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83" w:lineRule="exact"/>
        <w:rPr>
          <w:sz w:val="24"/>
          <w:szCs w:val="24"/>
          <w:color w:val="auto"/>
        </w:rPr>
      </w:pPr>
    </w:p>
    <w:p>
      <w:pPr>
        <w:jc w:val="center"/>
        <w:ind w:right="40"/>
        <w:spacing w:after="0"/>
        <w:rPr>
          <w:sz w:val="20"/>
          <w:szCs w:val="20"/>
          <w:color w:val="auto"/>
        </w:rPr>
      </w:pPr>
      <w:r>
        <w:rPr>
          <w:rFonts w:ascii="Calibri" w:cs="Calibri" w:eastAsia="Calibri" w:hAnsi="Calibri"/>
          <w:sz w:val="22"/>
          <w:szCs w:val="22"/>
          <w:b w:val="1"/>
          <w:bCs w:val="1"/>
          <w:color w:val="auto"/>
        </w:rPr>
        <w:t>UNITED STATES</w:t>
      </w:r>
    </w:p>
    <w:p>
      <w:pPr>
        <w:spacing w:after="0" w:line="1" w:lineRule="exact"/>
        <w:rPr>
          <w:sz w:val="24"/>
          <w:szCs w:val="24"/>
          <w:color w:val="auto"/>
        </w:rPr>
      </w:pPr>
    </w:p>
    <w:p>
      <w:pPr>
        <w:jc w:val="center"/>
        <w:ind w:right="40"/>
        <w:spacing w:after="0"/>
        <w:rPr>
          <w:sz w:val="20"/>
          <w:szCs w:val="20"/>
          <w:color w:val="auto"/>
        </w:rPr>
      </w:pPr>
      <w:r>
        <w:rPr>
          <w:rFonts w:ascii="Calibri" w:cs="Calibri" w:eastAsia="Calibri" w:hAnsi="Calibri"/>
          <w:sz w:val="22"/>
          <w:szCs w:val="22"/>
          <w:b w:val="1"/>
          <w:bCs w:val="1"/>
          <w:color w:val="auto"/>
        </w:rPr>
        <w:t>SECURITIES AND EXCHANGE COMMISSION</w:t>
      </w:r>
    </w:p>
    <w:p>
      <w:pPr>
        <w:spacing w:after="0" w:line="2" w:lineRule="exact"/>
        <w:rPr>
          <w:sz w:val="24"/>
          <w:szCs w:val="24"/>
          <w:color w:val="auto"/>
        </w:rPr>
      </w:pPr>
    </w:p>
    <w:p>
      <w:pPr>
        <w:jc w:val="center"/>
        <w:ind w:right="-19"/>
        <w:spacing w:after="0"/>
        <w:rPr>
          <w:sz w:val="20"/>
          <w:szCs w:val="20"/>
          <w:color w:val="auto"/>
        </w:rPr>
      </w:pPr>
      <w:r>
        <w:rPr>
          <w:rFonts w:ascii="Calibri" w:cs="Calibri" w:eastAsia="Calibri" w:hAnsi="Calibri"/>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57785</wp:posOffset>
            </wp:positionV>
            <wp:extent cx="1800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99" w:lineRule="exact"/>
        <w:rPr>
          <w:sz w:val="24"/>
          <w:szCs w:val="24"/>
          <w:color w:val="auto"/>
        </w:rPr>
      </w:pPr>
    </w:p>
    <w:p>
      <w:pPr>
        <w:jc w:val="center"/>
        <w:spacing w:after="0"/>
        <w:rPr>
          <w:sz w:val="20"/>
          <w:szCs w:val="20"/>
          <w:color w:val="auto"/>
        </w:rPr>
      </w:pPr>
      <w:r>
        <w:rPr>
          <w:rFonts w:ascii="Calibri" w:cs="Calibri" w:eastAsia="Calibri" w:hAnsi="Calibri"/>
          <w:sz w:val="22"/>
          <w:szCs w:val="2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34290</wp:posOffset>
            </wp:positionV>
            <wp:extent cx="18002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106" w:lineRule="exact"/>
        <w:rPr>
          <w:sz w:val="24"/>
          <w:szCs w:val="24"/>
          <w:color w:val="auto"/>
        </w:rPr>
      </w:pPr>
    </w:p>
    <w:p>
      <w:pPr>
        <w:ind w:left="4200" w:right="3700" w:hanging="4183"/>
        <w:spacing w:after="0" w:line="274" w:lineRule="auto"/>
        <w:tabs>
          <w:tab w:leader="none" w:pos="403" w:val="left"/>
        </w:tabs>
        <w:numPr>
          <w:ilvl w:val="0"/>
          <w:numId w:val="1"/>
        </w:numPr>
        <w:rPr>
          <w:rFonts w:ascii="MS PGothic" w:cs="MS PGothic" w:eastAsia="MS PGothic" w:hAnsi="MS PGothic"/>
          <w:sz w:val="18"/>
          <w:szCs w:val="18"/>
          <w:color w:val="auto"/>
        </w:rPr>
      </w:pPr>
      <w:r>
        <w:rPr>
          <w:rFonts w:ascii="Calibri" w:cs="Calibri" w:eastAsia="Calibri" w:hAnsi="Calibri"/>
          <w:sz w:val="18"/>
          <w:szCs w:val="18"/>
          <w:b w:val="1"/>
          <w:bCs w:val="1"/>
          <w:color w:val="auto"/>
        </w:rPr>
        <w:t>ANNUAL REPORT PURSUANT TO SECTION 13 OR 15(d) OF THE SECURITIES EXCHANGE ACT OF 1934 For the year ended December 31, 2024</w:t>
      </w:r>
    </w:p>
    <w:p>
      <w:pPr>
        <w:spacing w:after="0" w:line="38" w:lineRule="exact"/>
        <w:rPr>
          <w:sz w:val="24"/>
          <w:szCs w:val="24"/>
          <w:color w:val="auto"/>
        </w:rPr>
      </w:pPr>
    </w:p>
    <w:p>
      <w:pPr>
        <w:ind w:left="440" w:right="740" w:hanging="423"/>
        <w:spacing w:after="0" w:line="235" w:lineRule="auto"/>
        <w:tabs>
          <w:tab w:leader="none" w:pos="400" w:val="left"/>
        </w:tabs>
        <w:numPr>
          <w:ilvl w:val="0"/>
          <w:numId w:val="2"/>
        </w:numPr>
        <w:rPr>
          <w:rFonts w:ascii="MS PGothic" w:cs="MS PGothic" w:eastAsia="MS PGothic" w:hAnsi="MS PGothic"/>
          <w:sz w:val="18"/>
          <w:szCs w:val="18"/>
          <w:color w:val="auto"/>
        </w:rPr>
      </w:pPr>
      <w:r>
        <w:rPr>
          <w:rFonts w:ascii="Calibri" w:cs="Calibri" w:eastAsia="Calibri" w:hAnsi="Calibri"/>
          <w:sz w:val="18"/>
          <w:szCs w:val="18"/>
          <w:b w:val="1"/>
          <w:bCs w:val="1"/>
          <w:color w:val="auto"/>
        </w:rPr>
        <w:t>TRANSITION REPORT PURSUANT TO SECTION 13 OR 15(d) OF THE SECURITIES EXCHANGE ACT OF 1934 FOR THE TRANSITION PERIOD FROM TO</w:t>
      </w:r>
    </w:p>
    <w:p>
      <w:pPr>
        <w:spacing w:after="0" w:line="51" w:lineRule="exact"/>
        <w:rPr>
          <w:sz w:val="24"/>
          <w:szCs w:val="24"/>
          <w:color w:val="auto"/>
        </w:rPr>
      </w:pPr>
    </w:p>
    <w:p>
      <w:pPr>
        <w:jc w:val="center"/>
        <w:ind w:right="-19"/>
        <w:spacing w:after="0"/>
        <w:rPr>
          <w:sz w:val="20"/>
          <w:szCs w:val="20"/>
          <w:color w:val="auto"/>
        </w:rPr>
      </w:pPr>
      <w:r>
        <w:rPr>
          <w:rFonts w:ascii="Calibri" w:cs="Calibri" w:eastAsia="Calibri" w:hAnsi="Calibri"/>
          <w:sz w:val="18"/>
          <w:szCs w:val="18"/>
          <w:b w:val="1"/>
          <w:bCs w:val="1"/>
          <w:color w:val="auto"/>
        </w:rPr>
        <w:t>Commission File Number 1-00087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57785</wp:posOffset>
            </wp:positionV>
            <wp:extent cx="18002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99" w:lineRule="exact"/>
        <w:rPr>
          <w:sz w:val="24"/>
          <w:szCs w:val="24"/>
          <w:color w:val="auto"/>
        </w:rPr>
      </w:pPr>
    </w:p>
    <w:p>
      <w:pPr>
        <w:jc w:val="center"/>
        <w:spacing w:after="0"/>
        <w:rPr>
          <w:sz w:val="20"/>
          <w:szCs w:val="20"/>
          <w:color w:val="auto"/>
        </w:rPr>
      </w:pPr>
      <w:r>
        <w:rPr>
          <w:rFonts w:ascii="Calibri" w:cs="Calibri" w:eastAsia="Calibri" w:hAnsi="Calibri"/>
          <w:sz w:val="22"/>
          <w:szCs w:val="22"/>
          <w:b w:val="1"/>
          <w:bCs w:val="1"/>
          <w:color w:val="auto"/>
        </w:rPr>
        <w:t>EASTMAN KODAK COMPANY</w:t>
      </w:r>
    </w:p>
    <w:p>
      <w:pPr>
        <w:spacing w:after="0" w:line="7" w:lineRule="exact"/>
        <w:rPr>
          <w:sz w:val="24"/>
          <w:szCs w:val="24"/>
          <w:color w:val="auto"/>
        </w:rPr>
      </w:pPr>
    </w:p>
    <w:p>
      <w:pPr>
        <w:jc w:val="center"/>
        <w:spacing w:after="0"/>
        <w:rPr>
          <w:sz w:val="20"/>
          <w:szCs w:val="20"/>
          <w:color w:val="auto"/>
        </w:rPr>
      </w:pPr>
      <w:r>
        <w:rPr>
          <w:rFonts w:ascii="Calibri" w:cs="Calibri" w:eastAsia="Calibri" w:hAnsi="Calibri"/>
          <w:sz w:val="16"/>
          <w:szCs w:val="16"/>
          <w:b w:val="1"/>
          <w:bCs w:val="1"/>
          <w:color w:val="auto"/>
        </w:rPr>
        <w:t>(Exact name of Registrant as specifed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60325</wp:posOffset>
            </wp:positionV>
            <wp:extent cx="18002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115" w:lineRule="exact"/>
        <w:rPr>
          <w:sz w:val="24"/>
          <w:szCs w:val="24"/>
          <w:color w:val="auto"/>
        </w:rPr>
      </w:pPr>
    </w:p>
    <w:tbl>
      <w:tblPr>
        <w:tblLayout w:type="fixed"/>
        <w:tblInd w:w="1040" w:type="dxa"/>
        <w:tblCellMar>
          <w:top w:w="0" w:type="dxa"/>
          <w:left w:w="0" w:type="dxa"/>
          <w:bottom w:w="0" w:type="dxa"/>
          <w:right w:w="0" w:type="dxa"/>
        </w:tblCellMar>
      </w:tblPr>
      <w:tr>
        <w:trPr>
          <w:trHeight w:val="220"/>
        </w:trPr>
        <w:tc>
          <w:tcPr>
            <w:tcW w:w="4960" w:type="dxa"/>
            <w:vAlign w:val="bottom"/>
          </w:tcPr>
          <w:p>
            <w:pPr>
              <w:jc w:val="center"/>
              <w:ind w:right="1319"/>
              <w:spacing w:after="0"/>
              <w:rPr>
                <w:sz w:val="20"/>
                <w:szCs w:val="20"/>
                <w:color w:val="auto"/>
              </w:rPr>
            </w:pPr>
            <w:r>
              <w:rPr>
                <w:rFonts w:ascii="Calibri" w:cs="Calibri" w:eastAsia="Calibri" w:hAnsi="Calibri"/>
                <w:sz w:val="18"/>
                <w:szCs w:val="18"/>
                <w:b w:val="1"/>
                <w:bCs w:val="1"/>
                <w:color w:val="auto"/>
                <w:w w:val="99"/>
              </w:rPr>
              <w:t>New Jersey</w:t>
            </w:r>
          </w:p>
        </w:tc>
        <w:tc>
          <w:tcPr>
            <w:tcW w:w="3460" w:type="dxa"/>
            <w:vAlign w:val="bottom"/>
          </w:tcPr>
          <w:p>
            <w:pPr>
              <w:jc w:val="right"/>
              <w:ind w:right="519"/>
              <w:spacing w:after="0"/>
              <w:rPr>
                <w:sz w:val="20"/>
                <w:szCs w:val="20"/>
                <w:color w:val="auto"/>
              </w:rPr>
            </w:pPr>
            <w:r>
              <w:rPr>
                <w:rFonts w:ascii="Calibri" w:cs="Calibri" w:eastAsia="Calibri" w:hAnsi="Calibri"/>
                <w:sz w:val="18"/>
                <w:szCs w:val="18"/>
                <w:b w:val="1"/>
                <w:bCs w:val="1"/>
                <w:color w:val="auto"/>
              </w:rPr>
              <w:t>16-0417150</w:t>
            </w:r>
          </w:p>
        </w:tc>
      </w:tr>
      <w:tr>
        <w:trPr>
          <w:trHeight w:val="177"/>
        </w:trPr>
        <w:tc>
          <w:tcPr>
            <w:tcW w:w="4960" w:type="dxa"/>
            <w:vAlign w:val="bottom"/>
          </w:tcPr>
          <w:p>
            <w:pPr>
              <w:jc w:val="center"/>
              <w:ind w:right="1319"/>
              <w:spacing w:after="0"/>
              <w:rPr>
                <w:sz w:val="20"/>
                <w:szCs w:val="20"/>
                <w:color w:val="auto"/>
              </w:rPr>
            </w:pPr>
            <w:r>
              <w:rPr>
                <w:rFonts w:ascii="Calibri" w:cs="Calibri" w:eastAsia="Calibri" w:hAnsi="Calibri"/>
                <w:sz w:val="14"/>
                <w:szCs w:val="14"/>
                <w:b w:val="1"/>
                <w:bCs w:val="1"/>
                <w:color w:val="auto"/>
              </w:rPr>
              <w:t>(State or other jurisdicton of incorporaton or organizaton)</w:t>
            </w:r>
          </w:p>
        </w:tc>
        <w:tc>
          <w:tcPr>
            <w:tcW w:w="3460" w:type="dxa"/>
            <w:vAlign w:val="bottom"/>
          </w:tcPr>
          <w:p>
            <w:pPr>
              <w:jc w:val="center"/>
              <w:ind w:left="1319"/>
              <w:spacing w:after="0"/>
              <w:rPr>
                <w:sz w:val="20"/>
                <w:szCs w:val="20"/>
                <w:color w:val="auto"/>
              </w:rPr>
            </w:pPr>
            <w:r>
              <w:rPr>
                <w:rFonts w:ascii="Calibri" w:cs="Calibri" w:eastAsia="Calibri" w:hAnsi="Calibri"/>
                <w:sz w:val="14"/>
                <w:szCs w:val="14"/>
                <w:b w:val="1"/>
                <w:bCs w:val="1"/>
                <w:color w:val="auto"/>
              </w:rPr>
              <w:t>(I.R.S. Employer Identfcaton No.)</w:t>
            </w:r>
          </w:p>
        </w:tc>
      </w:tr>
      <w:tr>
        <w:trPr>
          <w:trHeight w:val="215"/>
        </w:trPr>
        <w:tc>
          <w:tcPr>
            <w:tcW w:w="4960" w:type="dxa"/>
            <w:vAlign w:val="bottom"/>
          </w:tcPr>
          <w:p>
            <w:pPr>
              <w:jc w:val="center"/>
              <w:ind w:right="1339"/>
              <w:spacing w:after="0" w:line="215" w:lineRule="exact"/>
              <w:rPr>
                <w:sz w:val="20"/>
                <w:szCs w:val="20"/>
                <w:color w:val="auto"/>
              </w:rPr>
            </w:pPr>
            <w:r>
              <w:rPr>
                <w:rFonts w:ascii="Calibri" w:cs="Calibri" w:eastAsia="Calibri" w:hAnsi="Calibri"/>
                <w:sz w:val="18"/>
                <w:szCs w:val="18"/>
                <w:b w:val="1"/>
                <w:bCs w:val="1"/>
                <w:color w:val="auto"/>
                <w:w w:val="97"/>
              </w:rPr>
              <w:t>343 State Street, Rochester, New York</w:t>
            </w:r>
          </w:p>
        </w:tc>
        <w:tc>
          <w:tcPr>
            <w:tcW w:w="3460" w:type="dxa"/>
            <w:vAlign w:val="bottom"/>
          </w:tcPr>
          <w:p>
            <w:pPr>
              <w:jc w:val="right"/>
              <w:ind w:right="719"/>
              <w:spacing w:after="0" w:line="215" w:lineRule="exact"/>
              <w:rPr>
                <w:sz w:val="20"/>
                <w:szCs w:val="20"/>
                <w:color w:val="auto"/>
              </w:rPr>
            </w:pPr>
            <w:r>
              <w:rPr>
                <w:rFonts w:ascii="Calibri" w:cs="Calibri" w:eastAsia="Calibri" w:hAnsi="Calibri"/>
                <w:sz w:val="18"/>
                <w:szCs w:val="18"/>
                <w:b w:val="1"/>
                <w:bCs w:val="1"/>
                <w:color w:val="auto"/>
              </w:rPr>
              <w:t>14650</w:t>
            </w:r>
          </w:p>
        </w:tc>
      </w:tr>
      <w:tr>
        <w:trPr>
          <w:trHeight w:val="179"/>
        </w:trPr>
        <w:tc>
          <w:tcPr>
            <w:tcW w:w="4960" w:type="dxa"/>
            <w:vAlign w:val="bottom"/>
          </w:tcPr>
          <w:p>
            <w:pPr>
              <w:jc w:val="center"/>
              <w:ind w:right="1339"/>
              <w:spacing w:after="0"/>
              <w:rPr>
                <w:sz w:val="20"/>
                <w:szCs w:val="20"/>
                <w:color w:val="auto"/>
              </w:rPr>
            </w:pPr>
            <w:r>
              <w:rPr>
                <w:rFonts w:ascii="Calibri" w:cs="Calibri" w:eastAsia="Calibri" w:hAnsi="Calibri"/>
                <w:sz w:val="14"/>
                <w:szCs w:val="14"/>
                <w:b w:val="1"/>
                <w:bCs w:val="1"/>
                <w:color w:val="auto"/>
              </w:rPr>
              <w:t>(Address of principal executve ofces)</w:t>
            </w:r>
          </w:p>
        </w:tc>
        <w:tc>
          <w:tcPr>
            <w:tcW w:w="3460" w:type="dxa"/>
            <w:vAlign w:val="bottom"/>
          </w:tcPr>
          <w:p>
            <w:pPr>
              <w:jc w:val="center"/>
              <w:ind w:left="1319"/>
              <w:spacing w:after="0"/>
              <w:rPr>
                <w:sz w:val="20"/>
                <w:szCs w:val="20"/>
                <w:color w:val="auto"/>
              </w:rPr>
            </w:pPr>
            <w:r>
              <w:rPr>
                <w:rFonts w:ascii="Calibri" w:cs="Calibri" w:eastAsia="Calibri" w:hAnsi="Calibri"/>
                <w:sz w:val="14"/>
                <w:szCs w:val="14"/>
                <w:b w:val="1"/>
                <w:bCs w:val="1"/>
                <w:color w:val="auto"/>
              </w:rPr>
              <w:t>(Zip Code)</w:t>
            </w:r>
          </w:p>
        </w:tc>
      </w:tr>
    </w:tbl>
    <w:p>
      <w:pPr>
        <w:spacing w:after="0" w:line="47" w:lineRule="exact"/>
        <w:rPr>
          <w:sz w:val="24"/>
          <w:szCs w:val="24"/>
          <w:color w:val="auto"/>
        </w:rPr>
      </w:pPr>
    </w:p>
    <w:p>
      <w:pPr>
        <w:jc w:val="center"/>
        <w:ind w:right="-19"/>
        <w:spacing w:after="0"/>
        <w:rPr>
          <w:sz w:val="20"/>
          <w:szCs w:val="20"/>
          <w:color w:val="auto"/>
        </w:rPr>
      </w:pPr>
      <w:r>
        <w:rPr>
          <w:rFonts w:ascii="Calibri" w:cs="Calibri" w:eastAsia="Calibri" w:hAnsi="Calibri"/>
          <w:sz w:val="18"/>
          <w:szCs w:val="18"/>
          <w:b w:val="1"/>
          <w:bCs w:val="1"/>
          <w:color w:val="auto"/>
        </w:rPr>
        <w:t>Registrant</w:t>
      </w:r>
      <w:r>
        <w:rPr>
          <w:rFonts w:ascii="Calibri" w:cs="Calibri" w:eastAsia="Calibri" w:hAnsi="Calibri"/>
          <w:sz w:val="18"/>
          <w:szCs w:val="18"/>
          <w:color w:val="auto"/>
        </w:rPr>
        <w:t>’</w:t>
      </w:r>
      <w:r>
        <w:rPr>
          <w:rFonts w:ascii="Calibri" w:cs="Calibri" w:eastAsia="Calibri" w:hAnsi="Calibri"/>
          <w:sz w:val="18"/>
          <w:szCs w:val="18"/>
          <w:b w:val="1"/>
          <w:bCs w:val="1"/>
          <w:color w:val="auto"/>
        </w:rPr>
        <w:t>s telephone number, including area code: (800) 356-3259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57785</wp:posOffset>
            </wp:positionV>
            <wp:extent cx="18002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105" w:lineRule="exact"/>
        <w:rPr>
          <w:sz w:val="24"/>
          <w:szCs w:val="24"/>
          <w:color w:val="auto"/>
        </w:rPr>
      </w:pPr>
    </w:p>
    <w:p>
      <w:pPr>
        <w:jc w:val="center"/>
        <w:spacing w:after="0"/>
        <w:rPr>
          <w:sz w:val="20"/>
          <w:szCs w:val="20"/>
          <w:color w:val="auto"/>
        </w:rPr>
      </w:pPr>
      <w:r>
        <w:rPr>
          <w:rFonts w:ascii="Calibri" w:cs="Calibri" w:eastAsia="Calibri" w:hAnsi="Calibri"/>
          <w:sz w:val="16"/>
          <w:szCs w:val="16"/>
          <w:color w:val="auto"/>
        </w:rPr>
        <w:t>Securites registered pursuant to Secton 12(b) of the Act:</w:t>
      </w:r>
    </w:p>
    <w:p>
      <w:pPr>
        <w:spacing w:after="0" w:line="61"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4500" w:type="dxa"/>
            <w:vAlign w:val="bottom"/>
          </w:tcPr>
          <w:p>
            <w:pPr>
              <w:jc w:val="center"/>
              <w:spacing w:after="0"/>
              <w:rPr>
                <w:sz w:val="20"/>
                <w:szCs w:val="20"/>
                <w:color w:val="auto"/>
              </w:rPr>
            </w:pPr>
            <w:r>
              <w:rPr>
                <w:rFonts w:ascii="Calibri" w:cs="Calibri" w:eastAsia="Calibri" w:hAnsi="Calibri"/>
                <w:sz w:val="16"/>
                <w:szCs w:val="16"/>
                <w:b w:val="1"/>
                <w:bCs w:val="1"/>
                <w:color w:val="auto"/>
              </w:rPr>
              <w:t>Title of each class</w:t>
            </w:r>
          </w:p>
        </w:tc>
        <w:tc>
          <w:tcPr>
            <w:tcW w:w="120" w:type="dxa"/>
            <w:vAlign w:val="bottom"/>
          </w:tcPr>
          <w:p>
            <w:pPr>
              <w:spacing w:after="0"/>
              <w:rPr>
                <w:sz w:val="16"/>
                <w:szCs w:val="16"/>
                <w:color w:val="auto"/>
              </w:rPr>
            </w:pPr>
          </w:p>
        </w:tc>
        <w:tc>
          <w:tcPr>
            <w:tcW w:w="2020" w:type="dxa"/>
            <w:vAlign w:val="bottom"/>
          </w:tcPr>
          <w:p>
            <w:pPr>
              <w:jc w:val="center"/>
              <w:spacing w:after="0"/>
              <w:rPr>
                <w:sz w:val="20"/>
                <w:szCs w:val="20"/>
                <w:color w:val="auto"/>
              </w:rPr>
            </w:pPr>
            <w:r>
              <w:rPr>
                <w:rFonts w:ascii="Calibri" w:cs="Calibri" w:eastAsia="Calibri" w:hAnsi="Calibri"/>
                <w:sz w:val="16"/>
                <w:szCs w:val="16"/>
                <w:b w:val="1"/>
                <w:bCs w:val="1"/>
                <w:color w:val="auto"/>
              </w:rPr>
              <w:t>Trading Symbol(s)</w:t>
            </w:r>
          </w:p>
        </w:tc>
        <w:tc>
          <w:tcPr>
            <w:tcW w:w="120" w:type="dxa"/>
            <w:vAlign w:val="bottom"/>
          </w:tcPr>
          <w:p>
            <w:pPr>
              <w:spacing w:after="0"/>
              <w:rPr>
                <w:sz w:val="16"/>
                <w:szCs w:val="16"/>
                <w:color w:val="auto"/>
              </w:rPr>
            </w:pPr>
          </w:p>
        </w:tc>
        <w:tc>
          <w:tcPr>
            <w:tcW w:w="4480" w:type="dxa"/>
            <w:vAlign w:val="bottom"/>
          </w:tcPr>
          <w:p>
            <w:pPr>
              <w:jc w:val="center"/>
              <w:spacing w:after="0"/>
              <w:rPr>
                <w:sz w:val="20"/>
                <w:szCs w:val="20"/>
                <w:color w:val="auto"/>
              </w:rPr>
            </w:pPr>
            <w:r>
              <w:rPr>
                <w:rFonts w:ascii="Calibri" w:cs="Calibri" w:eastAsia="Calibri" w:hAnsi="Calibri"/>
                <w:sz w:val="16"/>
                <w:szCs w:val="16"/>
                <w:b w:val="1"/>
                <w:bCs w:val="1"/>
                <w:color w:val="auto"/>
              </w:rPr>
              <w:t>Name of each exchange on which registered</w:t>
            </w:r>
          </w:p>
        </w:tc>
        <w:tc>
          <w:tcPr>
            <w:tcW w:w="0" w:type="dxa"/>
            <w:vAlign w:val="bottom"/>
          </w:tcPr>
          <w:p>
            <w:pPr>
              <w:spacing w:after="0"/>
              <w:rPr>
                <w:sz w:val="1"/>
                <w:szCs w:val="1"/>
                <w:color w:val="auto"/>
              </w:rPr>
            </w:pPr>
          </w:p>
        </w:tc>
      </w:tr>
      <w:tr>
        <w:trPr>
          <w:trHeight w:val="28"/>
        </w:trPr>
        <w:tc>
          <w:tcPr>
            <w:tcW w:w="450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4500" w:type="dxa"/>
            <w:vAlign w:val="bottom"/>
          </w:tcPr>
          <w:p>
            <w:pPr>
              <w:jc w:val="center"/>
              <w:spacing w:after="0" w:line="187" w:lineRule="exact"/>
              <w:rPr>
                <w:sz w:val="20"/>
                <w:szCs w:val="20"/>
                <w:color w:val="auto"/>
              </w:rPr>
            </w:pPr>
            <w:r>
              <w:rPr>
                <w:rFonts w:ascii="Calibri" w:cs="Calibri" w:eastAsia="Calibri" w:hAnsi="Calibri"/>
                <w:sz w:val="16"/>
                <w:szCs w:val="16"/>
                <w:color w:val="auto"/>
              </w:rPr>
              <w:t>Common stock, par value $0.01 per share</w:t>
            </w:r>
          </w:p>
        </w:tc>
        <w:tc>
          <w:tcPr>
            <w:tcW w:w="120" w:type="dxa"/>
            <w:vAlign w:val="bottom"/>
            <w:vMerge w:val="continue"/>
          </w:tcPr>
          <w:p>
            <w:pPr>
              <w:spacing w:after="0"/>
              <w:rPr>
                <w:sz w:val="16"/>
                <w:szCs w:val="16"/>
                <w:color w:val="auto"/>
              </w:rPr>
            </w:pPr>
          </w:p>
        </w:tc>
        <w:tc>
          <w:tcPr>
            <w:tcW w:w="2020" w:type="dxa"/>
            <w:vAlign w:val="bottom"/>
          </w:tcPr>
          <w:p>
            <w:pPr>
              <w:jc w:val="center"/>
              <w:spacing w:after="0" w:line="187" w:lineRule="exact"/>
              <w:rPr>
                <w:sz w:val="20"/>
                <w:szCs w:val="20"/>
                <w:color w:val="auto"/>
              </w:rPr>
            </w:pPr>
            <w:r>
              <w:rPr>
                <w:rFonts w:ascii="Calibri" w:cs="Calibri" w:eastAsia="Calibri" w:hAnsi="Calibri"/>
                <w:sz w:val="16"/>
                <w:szCs w:val="16"/>
                <w:color w:val="auto"/>
              </w:rPr>
              <w:t>KODK</w:t>
            </w:r>
          </w:p>
        </w:tc>
        <w:tc>
          <w:tcPr>
            <w:tcW w:w="120" w:type="dxa"/>
            <w:vAlign w:val="bottom"/>
            <w:vMerge w:val="continue"/>
          </w:tcPr>
          <w:p>
            <w:pPr>
              <w:spacing w:after="0"/>
              <w:rPr>
                <w:sz w:val="16"/>
                <w:szCs w:val="16"/>
                <w:color w:val="auto"/>
              </w:rPr>
            </w:pPr>
          </w:p>
        </w:tc>
        <w:tc>
          <w:tcPr>
            <w:tcW w:w="4480" w:type="dxa"/>
            <w:vAlign w:val="bottom"/>
          </w:tcPr>
          <w:p>
            <w:pPr>
              <w:jc w:val="center"/>
              <w:spacing w:after="0" w:line="187" w:lineRule="exact"/>
              <w:rPr>
                <w:sz w:val="20"/>
                <w:szCs w:val="20"/>
                <w:color w:val="auto"/>
              </w:rPr>
            </w:pPr>
            <w:r>
              <w:rPr>
                <w:rFonts w:ascii="Calibri" w:cs="Calibri" w:eastAsia="Calibri" w:hAnsi="Calibri"/>
                <w:sz w:val="16"/>
                <w:szCs w:val="16"/>
                <w:color w:val="auto"/>
              </w:rPr>
              <w:t>New York Stock Exchange</w:t>
            </w:r>
          </w:p>
        </w:tc>
        <w:tc>
          <w:tcPr>
            <w:tcW w:w="0" w:type="dxa"/>
            <w:vAlign w:val="bottom"/>
          </w:tcPr>
          <w:p>
            <w:pPr>
              <w:spacing w:after="0"/>
              <w:rPr>
                <w:sz w:val="1"/>
                <w:szCs w:val="1"/>
                <w:color w:val="auto"/>
              </w:rPr>
            </w:pPr>
          </w:p>
        </w:tc>
      </w:tr>
    </w:tbl>
    <w:p>
      <w:pPr>
        <w:spacing w:after="0" w:line="43" w:lineRule="exact"/>
        <w:rPr>
          <w:sz w:val="24"/>
          <w:szCs w:val="24"/>
          <w:color w:val="auto"/>
        </w:rPr>
      </w:pPr>
    </w:p>
    <w:p>
      <w:pPr>
        <w:jc w:val="center"/>
        <w:spacing w:after="0"/>
        <w:rPr>
          <w:sz w:val="20"/>
          <w:szCs w:val="20"/>
          <w:color w:val="auto"/>
        </w:rPr>
      </w:pPr>
      <w:r>
        <w:rPr>
          <w:rFonts w:ascii="Calibri" w:cs="Calibri" w:eastAsia="Calibri" w:hAnsi="Calibri"/>
          <w:sz w:val="16"/>
          <w:szCs w:val="16"/>
          <w:color w:val="auto"/>
        </w:rPr>
        <w:t xml:space="preserve">Securites registered pursuant to Secton 12(g) of the Act: </w:t>
      </w:r>
      <w:r>
        <w:rPr>
          <w:rFonts w:ascii="Calibri" w:cs="Calibri" w:eastAsia="Calibri" w:hAnsi="Calibri"/>
          <w:sz w:val="16"/>
          <w:szCs w:val="16"/>
          <w:b w:val="1"/>
          <w:bCs w:val="1"/>
          <w:color w:val="auto"/>
        </w:rPr>
        <w:t>None</w:t>
      </w:r>
    </w:p>
    <w:p>
      <w:pPr>
        <w:spacing w:after="0" w:line="18" w:lineRule="exact"/>
        <w:rPr>
          <w:sz w:val="24"/>
          <w:szCs w:val="24"/>
          <w:color w:val="auto"/>
        </w:rPr>
      </w:pPr>
    </w:p>
    <w:p>
      <w:pPr>
        <w:ind w:right="2720"/>
        <w:spacing w:after="0" w:line="258" w:lineRule="exact"/>
        <w:rPr>
          <w:sz w:val="20"/>
          <w:szCs w:val="20"/>
          <w:color w:val="auto"/>
        </w:rPr>
      </w:pPr>
      <w:r>
        <w:rPr>
          <w:rFonts w:ascii="Calibri" w:cs="Calibri" w:eastAsia="Calibri" w:hAnsi="Calibri"/>
          <w:sz w:val="16"/>
          <w:szCs w:val="16"/>
          <w:color w:val="auto"/>
        </w:rPr>
        <w:t xml:space="preserve">Indicate by check mark if the Registrant is a well-known seasoned issuer, as defned in Rule 405 of the Securites Act. Yes </w:t>
      </w:r>
      <w:r>
        <w:rPr>
          <w:rFonts w:ascii="MS PGothic" w:cs="MS PGothic" w:eastAsia="MS PGothic" w:hAnsi="MS PGothic"/>
          <w:sz w:val="16"/>
          <w:szCs w:val="16"/>
          <w:color w:val="auto"/>
        </w:rPr>
        <w:t>☐</w:t>
      </w:r>
      <w:r>
        <w:rPr>
          <w:rFonts w:ascii="Calibri" w:cs="Calibri" w:eastAsia="Calibri" w:hAnsi="Calibri"/>
          <w:sz w:val="16"/>
          <w:szCs w:val="16"/>
          <w:color w:val="auto"/>
        </w:rPr>
        <w:t xml:space="preserve"> No </w:t>
      </w:r>
      <w:r>
        <w:rPr>
          <w:rFonts w:ascii="MS PGothic" w:cs="MS PGothic" w:eastAsia="MS PGothic" w:hAnsi="MS PGothic"/>
          <w:sz w:val="16"/>
          <w:szCs w:val="16"/>
          <w:color w:val="auto"/>
        </w:rPr>
        <w:t>☒</w:t>
      </w:r>
      <w:r>
        <w:rPr>
          <w:rFonts w:ascii="Calibri" w:cs="Calibri" w:eastAsia="Calibri" w:hAnsi="Calibri"/>
          <w:sz w:val="16"/>
          <w:szCs w:val="16"/>
          <w:color w:val="auto"/>
        </w:rPr>
        <w:t xml:space="preserve"> Indicate by check mark if the Registrant is not required to fle reports pursuant to Secton 13 or 15(d) of the Act. Yes </w:t>
      </w:r>
      <w:r>
        <w:rPr>
          <w:rFonts w:ascii="MS PGothic" w:cs="MS PGothic" w:eastAsia="MS PGothic" w:hAnsi="MS PGothic"/>
          <w:sz w:val="16"/>
          <w:szCs w:val="16"/>
          <w:color w:val="auto"/>
        </w:rPr>
        <w:t>☐</w:t>
      </w:r>
      <w:r>
        <w:rPr>
          <w:rFonts w:ascii="Calibri" w:cs="Calibri" w:eastAsia="Calibri" w:hAnsi="Calibri"/>
          <w:sz w:val="16"/>
          <w:szCs w:val="16"/>
          <w:color w:val="auto"/>
        </w:rPr>
        <w:t xml:space="preserve"> No </w:t>
      </w:r>
      <w:r>
        <w:rPr>
          <w:rFonts w:ascii="MS PGothic" w:cs="MS PGothic" w:eastAsia="MS PGothic" w:hAnsi="MS PGothic"/>
          <w:sz w:val="16"/>
          <w:szCs w:val="16"/>
          <w:color w:val="auto"/>
        </w:rPr>
        <w:t>☒</w:t>
      </w:r>
    </w:p>
    <w:p>
      <w:pPr>
        <w:spacing w:after="0" w:line="17" w:lineRule="exact"/>
        <w:rPr>
          <w:sz w:val="24"/>
          <w:szCs w:val="24"/>
          <w:color w:val="auto"/>
        </w:rPr>
      </w:pPr>
    </w:p>
    <w:p>
      <w:pPr>
        <w:ind w:right="80"/>
        <w:spacing w:after="0" w:line="215" w:lineRule="exact"/>
        <w:rPr>
          <w:sz w:val="20"/>
          <w:szCs w:val="20"/>
          <w:color w:val="auto"/>
        </w:rPr>
      </w:pPr>
      <w:r>
        <w:rPr>
          <w:rFonts w:ascii="Calibri" w:cs="Calibri" w:eastAsia="Calibri" w:hAnsi="Calibri"/>
          <w:sz w:val="16"/>
          <w:szCs w:val="16"/>
          <w:color w:val="auto"/>
        </w:rPr>
        <w:t xml:space="preserve">Indicate by check mark whether the Registrant: (1) has fled all reports required to be fled by Secton 13 or 15(d) of the Securites Exchange Act of 1934 during the preceding 12 months (or for such shorter period that the Registrant was required to fle such reports), and (2) has been subject to such fling requirements for the past 90 days. Yes </w:t>
      </w:r>
      <w:r>
        <w:rPr>
          <w:rFonts w:ascii="MS PGothic" w:cs="MS PGothic" w:eastAsia="MS PGothic" w:hAnsi="MS PGothic"/>
          <w:sz w:val="16"/>
          <w:szCs w:val="16"/>
          <w:color w:val="auto"/>
        </w:rPr>
        <w:t>☒</w:t>
      </w:r>
      <w:r>
        <w:rPr>
          <w:rFonts w:ascii="Calibri" w:cs="Calibri" w:eastAsia="Calibri" w:hAnsi="Calibri"/>
          <w:sz w:val="16"/>
          <w:szCs w:val="16"/>
          <w:color w:val="auto"/>
        </w:rPr>
        <w:t xml:space="preserve"> No </w:t>
      </w:r>
      <w:r>
        <w:rPr>
          <w:rFonts w:ascii="MS PGothic" w:cs="MS PGothic" w:eastAsia="MS PGothic" w:hAnsi="MS PGothic"/>
          <w:sz w:val="16"/>
          <w:szCs w:val="16"/>
          <w:color w:val="auto"/>
        </w:rPr>
        <w:t>☐</w:t>
      </w:r>
    </w:p>
    <w:p>
      <w:pPr>
        <w:spacing w:after="0" w:line="17" w:lineRule="exact"/>
        <w:rPr>
          <w:sz w:val="24"/>
          <w:szCs w:val="24"/>
          <w:color w:val="auto"/>
        </w:rPr>
      </w:pPr>
    </w:p>
    <w:p>
      <w:pPr>
        <w:ind w:right="260"/>
        <w:spacing w:after="0" w:line="222" w:lineRule="exact"/>
        <w:rPr>
          <w:sz w:val="20"/>
          <w:szCs w:val="20"/>
          <w:color w:val="auto"/>
        </w:rPr>
      </w:pPr>
      <w:r>
        <w:rPr>
          <w:rFonts w:ascii="Calibri" w:cs="Calibri" w:eastAsia="Calibri" w:hAnsi="Calibri"/>
          <w:sz w:val="16"/>
          <w:szCs w:val="16"/>
          <w:color w:val="auto"/>
        </w:rPr>
        <w:t xml:space="preserve">Indicate by check mark whether the Registrant has submited electronically every Interactve Data File required to be submited pursuant to Rule 405 of Regulaton S-T (§232.405 of this chapter) during the preceding 12 months (or for such shorter period that the Registrant was required to submit such fles). Yes </w:t>
      </w:r>
      <w:r>
        <w:rPr>
          <w:rFonts w:ascii="MS PGothic" w:cs="MS PGothic" w:eastAsia="MS PGothic" w:hAnsi="MS PGothic"/>
          <w:sz w:val="16"/>
          <w:szCs w:val="16"/>
          <w:color w:val="auto"/>
        </w:rPr>
        <w:t>☒</w:t>
      </w:r>
      <w:r>
        <w:rPr>
          <w:rFonts w:ascii="Calibri" w:cs="Calibri" w:eastAsia="Calibri" w:hAnsi="Calibri"/>
          <w:sz w:val="16"/>
          <w:szCs w:val="16"/>
          <w:color w:val="auto"/>
        </w:rPr>
        <w:t xml:space="preserve"> No </w:t>
      </w:r>
      <w:r>
        <w:rPr>
          <w:rFonts w:ascii="MS PGothic" w:cs="MS PGothic" w:eastAsia="MS PGothic" w:hAnsi="MS PGothic"/>
          <w:sz w:val="16"/>
          <w:szCs w:val="16"/>
          <w:color w:val="auto"/>
        </w:rPr>
        <w:t>☐</w:t>
      </w:r>
    </w:p>
    <w:p>
      <w:pPr>
        <w:spacing w:after="0" w:line="3" w:lineRule="exact"/>
        <w:rPr>
          <w:sz w:val="24"/>
          <w:szCs w:val="24"/>
          <w:color w:val="auto"/>
        </w:rPr>
      </w:pPr>
    </w:p>
    <w:p>
      <w:pPr>
        <w:jc w:val="both"/>
        <w:ind w:right="20"/>
        <w:spacing w:after="0" w:line="250" w:lineRule="auto"/>
        <w:rPr>
          <w:sz w:val="20"/>
          <w:szCs w:val="20"/>
          <w:color w:val="auto"/>
        </w:rPr>
      </w:pPr>
      <w:r>
        <w:rPr>
          <w:rFonts w:ascii="Calibri" w:cs="Calibri" w:eastAsia="Calibri" w:hAnsi="Calibri"/>
          <w:sz w:val="16"/>
          <w:szCs w:val="16"/>
          <w:color w:val="auto"/>
        </w:rPr>
        <w:t>Indicate by check mark whether the Registrant is a large accelerated fler, an accelerated fler, a non-accelerated fler, smaller reportng company, or an emerging growth company. See the defnitons of “large accelerated fler,” “accelerated fler,” “smaller reportng company,” and “emerging growth company” in Rule 12b-2 of the Exchange Act.</w:t>
      </w:r>
    </w:p>
    <w:p>
      <w:pPr>
        <w:spacing w:after="0" w:line="223"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2320" w:type="dxa"/>
            <w:vAlign w:val="bottom"/>
          </w:tcPr>
          <w:p>
            <w:pPr>
              <w:spacing w:after="0"/>
              <w:rPr>
                <w:sz w:val="20"/>
                <w:szCs w:val="20"/>
                <w:color w:val="auto"/>
              </w:rPr>
            </w:pPr>
            <w:r>
              <w:rPr>
                <w:rFonts w:ascii="Calibri" w:cs="Calibri" w:eastAsia="Calibri" w:hAnsi="Calibri"/>
                <w:sz w:val="16"/>
                <w:szCs w:val="16"/>
                <w:color w:val="auto"/>
              </w:rPr>
              <w:t>Large accelerated fler</w:t>
            </w:r>
          </w:p>
        </w:tc>
        <w:tc>
          <w:tcPr>
            <w:tcW w:w="1760" w:type="dxa"/>
            <w:vAlign w:val="bottom"/>
          </w:tcPr>
          <w:p>
            <w:pPr>
              <w:ind w:left="540"/>
              <w:spacing w:after="0" w:line="161" w:lineRule="exact"/>
              <w:rPr>
                <w:sz w:val="20"/>
                <w:szCs w:val="20"/>
                <w:color w:val="auto"/>
              </w:rPr>
            </w:pPr>
            <w:r>
              <w:rPr>
                <w:rFonts w:ascii="MS PGothic" w:cs="MS PGothic" w:eastAsia="MS PGothic" w:hAnsi="MS PGothic"/>
                <w:sz w:val="16"/>
                <w:szCs w:val="16"/>
                <w:color w:val="auto"/>
              </w:rPr>
              <w:t>☐</w:t>
            </w:r>
          </w:p>
        </w:tc>
        <w:tc>
          <w:tcPr>
            <w:tcW w:w="3380" w:type="dxa"/>
            <w:vAlign w:val="bottom"/>
          </w:tcPr>
          <w:p>
            <w:pPr>
              <w:ind w:left="1060"/>
              <w:spacing w:after="0"/>
              <w:rPr>
                <w:sz w:val="20"/>
                <w:szCs w:val="20"/>
                <w:color w:val="auto"/>
              </w:rPr>
            </w:pPr>
            <w:r>
              <w:rPr>
                <w:rFonts w:ascii="Calibri" w:cs="Calibri" w:eastAsia="Calibri" w:hAnsi="Calibri"/>
                <w:sz w:val="16"/>
                <w:szCs w:val="16"/>
                <w:color w:val="auto"/>
              </w:rPr>
              <w:t>Accelerated fler</w:t>
            </w:r>
          </w:p>
        </w:tc>
        <w:tc>
          <w:tcPr>
            <w:tcW w:w="700" w:type="dxa"/>
            <w:vAlign w:val="bottom"/>
          </w:tcPr>
          <w:p>
            <w:pPr>
              <w:ind w:left="5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16"/>
        </w:trPr>
        <w:tc>
          <w:tcPr>
            <w:tcW w:w="2320" w:type="dxa"/>
            <w:vAlign w:val="bottom"/>
          </w:tcPr>
          <w:p>
            <w:pPr>
              <w:spacing w:after="0"/>
              <w:rPr>
                <w:sz w:val="20"/>
                <w:szCs w:val="20"/>
                <w:color w:val="auto"/>
              </w:rPr>
            </w:pPr>
            <w:r>
              <w:rPr>
                <w:rFonts w:ascii="Calibri" w:cs="Calibri" w:eastAsia="Calibri" w:hAnsi="Calibri"/>
                <w:sz w:val="16"/>
                <w:szCs w:val="16"/>
                <w:color w:val="auto"/>
              </w:rPr>
              <w:t>Non-accelerated fler</w:t>
            </w:r>
          </w:p>
        </w:tc>
        <w:tc>
          <w:tcPr>
            <w:tcW w:w="1760" w:type="dxa"/>
            <w:vAlign w:val="bottom"/>
          </w:tcPr>
          <w:p>
            <w:pPr>
              <w:ind w:left="540"/>
              <w:spacing w:after="0" w:line="161" w:lineRule="exact"/>
              <w:rPr>
                <w:sz w:val="20"/>
                <w:szCs w:val="20"/>
                <w:color w:val="auto"/>
              </w:rPr>
            </w:pPr>
            <w:r>
              <w:rPr>
                <w:rFonts w:ascii="MS PGothic" w:cs="MS PGothic" w:eastAsia="MS PGothic" w:hAnsi="MS PGothic"/>
                <w:sz w:val="16"/>
                <w:szCs w:val="16"/>
                <w:color w:val="auto"/>
              </w:rPr>
              <w:t>☐</w:t>
            </w:r>
          </w:p>
        </w:tc>
        <w:tc>
          <w:tcPr>
            <w:tcW w:w="3380" w:type="dxa"/>
            <w:vAlign w:val="bottom"/>
          </w:tcPr>
          <w:p>
            <w:pPr>
              <w:ind w:left="1060"/>
              <w:spacing w:after="0"/>
              <w:rPr>
                <w:sz w:val="20"/>
                <w:szCs w:val="20"/>
                <w:color w:val="auto"/>
              </w:rPr>
            </w:pPr>
            <w:r>
              <w:rPr>
                <w:rFonts w:ascii="Calibri" w:cs="Calibri" w:eastAsia="Calibri" w:hAnsi="Calibri"/>
                <w:sz w:val="16"/>
                <w:szCs w:val="16"/>
                <w:color w:val="auto"/>
              </w:rPr>
              <w:t>Smaller reportng company</w:t>
            </w:r>
          </w:p>
        </w:tc>
        <w:tc>
          <w:tcPr>
            <w:tcW w:w="700" w:type="dxa"/>
            <w:vAlign w:val="bottom"/>
          </w:tcPr>
          <w:p>
            <w:pPr>
              <w:ind w:left="5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2"/>
        </w:trPr>
        <w:tc>
          <w:tcPr>
            <w:tcW w:w="2320" w:type="dxa"/>
            <w:vAlign w:val="bottom"/>
          </w:tcPr>
          <w:p>
            <w:pPr>
              <w:spacing w:after="0"/>
              <w:rPr>
                <w:sz w:val="20"/>
                <w:szCs w:val="20"/>
                <w:color w:val="auto"/>
              </w:rPr>
            </w:pPr>
            <w:r>
              <w:rPr>
                <w:rFonts w:ascii="Calibri" w:cs="Calibri" w:eastAsia="Calibri" w:hAnsi="Calibri"/>
                <w:sz w:val="16"/>
                <w:szCs w:val="16"/>
                <w:color w:val="auto"/>
              </w:rPr>
              <w:t>Emerging growth company</w:t>
            </w:r>
          </w:p>
        </w:tc>
        <w:tc>
          <w:tcPr>
            <w:tcW w:w="1760" w:type="dxa"/>
            <w:vAlign w:val="bottom"/>
          </w:tcPr>
          <w:p>
            <w:pPr>
              <w:ind w:left="540"/>
              <w:spacing w:after="0" w:line="161" w:lineRule="exact"/>
              <w:rPr>
                <w:sz w:val="20"/>
                <w:szCs w:val="20"/>
                <w:color w:val="auto"/>
              </w:rPr>
            </w:pPr>
            <w:r>
              <w:rPr>
                <w:rFonts w:ascii="MS PGothic" w:cs="MS PGothic" w:eastAsia="MS PGothic" w:hAnsi="MS PGothic"/>
                <w:sz w:val="16"/>
                <w:szCs w:val="16"/>
                <w:color w:val="auto"/>
              </w:rPr>
              <w:t>☐</w:t>
            </w:r>
          </w:p>
        </w:tc>
        <w:tc>
          <w:tcPr>
            <w:tcW w:w="3380" w:type="dxa"/>
            <w:vAlign w:val="bottom"/>
          </w:tcPr>
          <w:p>
            <w:pPr>
              <w:spacing w:after="0"/>
              <w:rPr>
                <w:sz w:val="23"/>
                <w:szCs w:val="23"/>
                <w:color w:val="auto"/>
              </w:rPr>
            </w:pPr>
          </w:p>
        </w:tc>
        <w:tc>
          <w:tcPr>
            <w:tcW w:w="700" w:type="dxa"/>
            <w:vAlign w:val="bottom"/>
          </w:tcPr>
          <w:p>
            <w:pPr>
              <w:spacing w:after="0"/>
              <w:rPr>
                <w:sz w:val="23"/>
                <w:szCs w:val="23"/>
                <w:color w:val="auto"/>
              </w:rPr>
            </w:pPr>
          </w:p>
        </w:tc>
      </w:tr>
    </w:tbl>
    <w:p>
      <w:pPr>
        <w:spacing w:after="0" w:line="29" w:lineRule="exact"/>
        <w:rPr>
          <w:sz w:val="24"/>
          <w:szCs w:val="24"/>
          <w:color w:val="auto"/>
        </w:rPr>
      </w:pPr>
    </w:p>
    <w:p>
      <w:pPr>
        <w:ind w:right="360"/>
        <w:spacing w:after="0" w:line="222" w:lineRule="exact"/>
        <w:rPr>
          <w:sz w:val="20"/>
          <w:szCs w:val="20"/>
          <w:color w:val="auto"/>
        </w:rPr>
      </w:pPr>
      <w:r>
        <w:rPr>
          <w:rFonts w:ascii="Calibri" w:cs="Calibri" w:eastAsia="Calibri" w:hAnsi="Calibri"/>
          <w:sz w:val="16"/>
          <w:szCs w:val="16"/>
          <w:color w:val="auto"/>
        </w:rPr>
        <w:t xml:space="preserve">If an emerging growth company, indicate by check mark if the Registrant has elected not to use the extended transiton period for complying with any new or revised fnancial accountng standards provided pursuant to Secton 13(a) of the Exchange Act. </w:t>
      </w:r>
      <w:r>
        <w:rPr>
          <w:rFonts w:ascii="MS PGothic" w:cs="MS PGothic" w:eastAsia="MS PGothic" w:hAnsi="MS PGothic"/>
          <w:sz w:val="16"/>
          <w:szCs w:val="16"/>
          <w:color w:val="auto"/>
        </w:rPr>
        <w:t>☐</w:t>
      </w:r>
    </w:p>
    <w:p>
      <w:pPr>
        <w:spacing w:after="0" w:line="16" w:lineRule="exact"/>
        <w:rPr>
          <w:sz w:val="24"/>
          <w:szCs w:val="24"/>
          <w:color w:val="auto"/>
        </w:rPr>
      </w:pPr>
    </w:p>
    <w:p>
      <w:pPr>
        <w:ind w:right="80"/>
        <w:spacing w:after="0" w:line="226" w:lineRule="exact"/>
        <w:rPr>
          <w:sz w:val="20"/>
          <w:szCs w:val="20"/>
          <w:color w:val="auto"/>
        </w:rPr>
      </w:pPr>
      <w:r>
        <w:rPr>
          <w:rFonts w:ascii="Calibri" w:cs="Calibri" w:eastAsia="Calibri" w:hAnsi="Calibri"/>
          <w:sz w:val="16"/>
          <w:szCs w:val="16"/>
          <w:color w:val="auto"/>
        </w:rPr>
        <w:t xml:space="preserve">Indicate by check mark whether the Registrant has fled a report on and atestaton to its management’s assessment of the efectveness of its internal control over fnancial reportng under Secton 404(b) of the Sarbanes-Oxley Act (15 U.S.C. 7262(b)) by the registered public accountng frm that prepared or issued its audit report. </w:t>
      </w:r>
      <w:r>
        <w:rPr>
          <w:rFonts w:ascii="MS PGothic" w:cs="MS PGothic" w:eastAsia="MS PGothic" w:hAnsi="MS PGothic"/>
          <w:sz w:val="16"/>
          <w:szCs w:val="16"/>
          <w:color w:val="auto"/>
        </w:rPr>
        <w:t>☒</w:t>
      </w:r>
      <w:r>
        <w:rPr>
          <w:rFonts w:ascii="Calibri" w:cs="Calibri" w:eastAsia="Calibri" w:hAnsi="Calibri"/>
          <w:sz w:val="16"/>
          <w:szCs w:val="16"/>
          <w:color w:val="auto"/>
        </w:rPr>
        <w:t xml:space="preserve"> If securites are registered pursuant to Secton 12(b) of the Act, indicate by check mark whether the fnancial statements of the Registrant included in the fling refect the correcton of an error to previously issued fnancial statements. </w:t>
      </w:r>
      <w:r>
        <w:rPr>
          <w:rFonts w:ascii="MS PGothic" w:cs="MS PGothic" w:eastAsia="MS PGothic" w:hAnsi="MS PGothic"/>
          <w:sz w:val="16"/>
          <w:szCs w:val="16"/>
          <w:color w:val="auto"/>
        </w:rPr>
        <w:t>☐</w:t>
      </w:r>
    </w:p>
    <w:p>
      <w:pPr>
        <w:spacing w:after="0" w:line="3" w:lineRule="exact"/>
        <w:rPr>
          <w:sz w:val="24"/>
          <w:szCs w:val="24"/>
          <w:color w:val="auto"/>
        </w:rPr>
      </w:pPr>
    </w:p>
    <w:p>
      <w:pPr>
        <w:ind w:right="60"/>
        <w:spacing w:after="0" w:line="222" w:lineRule="exact"/>
        <w:rPr>
          <w:sz w:val="20"/>
          <w:szCs w:val="20"/>
          <w:color w:val="auto"/>
        </w:rPr>
      </w:pPr>
      <w:r>
        <w:rPr>
          <w:rFonts w:ascii="Calibri" w:cs="Calibri" w:eastAsia="Calibri" w:hAnsi="Calibri"/>
          <w:sz w:val="16"/>
          <w:szCs w:val="16"/>
          <w:color w:val="auto"/>
        </w:rPr>
        <w:t xml:space="preserve">Indicate by check mark whether any of those error correctons are restatements that required a recovery analysis of incentve-based compensaton received by any of the Registrant’s executve ofcers during the relevant recovery period pursuant to §240.10D-1 (b).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196" w:lineRule="exact"/>
        <w:rPr>
          <w:sz w:val="20"/>
          <w:szCs w:val="20"/>
          <w:color w:val="auto"/>
        </w:rPr>
      </w:pPr>
      <w:r>
        <w:rPr>
          <w:rFonts w:ascii="Calibri" w:cs="Calibri" w:eastAsia="Calibri" w:hAnsi="Calibri"/>
          <w:sz w:val="16"/>
          <w:szCs w:val="16"/>
          <w:color w:val="auto"/>
        </w:rPr>
        <w:t xml:space="preserve">Indicate by check mark whether the Registrant is a shell company (as defned in Rule 12b-2 of the Exchange Act). Yes </w:t>
      </w:r>
      <w:r>
        <w:rPr>
          <w:rFonts w:ascii="MS PGothic" w:cs="MS PGothic" w:eastAsia="MS PGothic" w:hAnsi="MS PGothic"/>
          <w:sz w:val="16"/>
          <w:szCs w:val="16"/>
          <w:color w:val="auto"/>
        </w:rPr>
        <w:t>☐</w:t>
      </w:r>
      <w:r>
        <w:rPr>
          <w:rFonts w:ascii="Calibri" w:cs="Calibri" w:eastAsia="Calibri" w:hAnsi="Calibri"/>
          <w:sz w:val="16"/>
          <w:szCs w:val="16"/>
          <w:color w:val="auto"/>
        </w:rPr>
        <w:t xml:space="preserve"> No </w:t>
      </w:r>
      <w:r>
        <w:rPr>
          <w:rFonts w:ascii="MS PGothic" w:cs="MS PGothic" w:eastAsia="MS PGothic" w:hAnsi="MS PGothic"/>
          <w:sz w:val="16"/>
          <w:szCs w:val="16"/>
          <w:color w:val="auto"/>
        </w:rPr>
        <w:t>☒</w:t>
      </w:r>
    </w:p>
    <w:p>
      <w:pPr>
        <w:spacing w:after="0" w:line="77" w:lineRule="exact"/>
        <w:rPr>
          <w:sz w:val="24"/>
          <w:szCs w:val="24"/>
          <w:color w:val="auto"/>
        </w:rPr>
      </w:pPr>
    </w:p>
    <w:p>
      <w:pPr>
        <w:ind w:right="360"/>
        <w:spacing w:after="0" w:line="246" w:lineRule="auto"/>
        <w:rPr>
          <w:sz w:val="20"/>
          <w:szCs w:val="20"/>
          <w:color w:val="auto"/>
        </w:rPr>
      </w:pPr>
      <w:r>
        <w:rPr>
          <w:rFonts w:ascii="Calibri" w:cs="Calibri" w:eastAsia="Calibri" w:hAnsi="Calibri"/>
          <w:sz w:val="16"/>
          <w:szCs w:val="16"/>
          <w:color w:val="auto"/>
        </w:rPr>
        <w:t>The aggregate market value of the votng and non-votng common equity held by non-afliates of the Registrant, based on the closing price of the shares of Common Stock on June 28, 2024, was approximately $345 million.</w:t>
      </w:r>
    </w:p>
    <w:p>
      <w:pPr>
        <w:spacing w:after="0" w:line="30" w:lineRule="exact"/>
        <w:rPr>
          <w:sz w:val="24"/>
          <w:szCs w:val="24"/>
          <w:color w:val="auto"/>
        </w:rPr>
      </w:pPr>
    </w:p>
    <w:p>
      <w:pPr>
        <w:spacing w:after="0"/>
        <w:rPr>
          <w:sz w:val="20"/>
          <w:szCs w:val="20"/>
          <w:color w:val="auto"/>
        </w:rPr>
      </w:pPr>
      <w:r>
        <w:rPr>
          <w:rFonts w:ascii="Calibri" w:cs="Calibri" w:eastAsia="Calibri" w:hAnsi="Calibri"/>
          <w:sz w:val="16"/>
          <w:szCs w:val="16"/>
          <w:color w:val="auto"/>
        </w:rPr>
        <w:t>The number of shares of Registrant’s Common Stock outstanding as of March 6, 2025 was 80.6 million.</w:t>
      </w:r>
    </w:p>
    <w:p>
      <w:pPr>
        <w:spacing w:after="0" w:line="48" w:lineRule="exact"/>
        <w:rPr>
          <w:sz w:val="24"/>
          <w:szCs w:val="24"/>
          <w:color w:val="auto"/>
        </w:rPr>
      </w:pPr>
    </w:p>
    <w:p>
      <w:pPr>
        <w:ind w:left="4140"/>
        <w:spacing w:after="0"/>
        <w:rPr>
          <w:sz w:val="20"/>
          <w:szCs w:val="20"/>
          <w:color w:val="auto"/>
        </w:rPr>
      </w:pPr>
      <w:r>
        <w:rPr>
          <w:rFonts w:ascii="Calibri" w:cs="Calibri" w:eastAsia="Calibri" w:hAnsi="Calibri"/>
          <w:sz w:val="16"/>
          <w:szCs w:val="16"/>
          <w:color w:val="auto"/>
        </w:rPr>
        <w:t>DOCUMENTS INCORPORATED BY REFERENCE</w:t>
      </w:r>
    </w:p>
    <w:p>
      <w:pPr>
        <w:spacing w:after="0" w:line="49" w:lineRule="exact"/>
        <w:rPr>
          <w:sz w:val="24"/>
          <w:szCs w:val="24"/>
          <w:color w:val="auto"/>
        </w:rPr>
      </w:pPr>
    </w:p>
    <w:p>
      <w:pPr>
        <w:ind w:right="60"/>
        <w:spacing w:after="0" w:line="246" w:lineRule="auto"/>
        <w:rPr>
          <w:sz w:val="20"/>
          <w:szCs w:val="20"/>
          <w:color w:val="auto"/>
        </w:rPr>
      </w:pPr>
      <w:r>
        <w:rPr>
          <w:rFonts w:ascii="Calibri" w:cs="Calibri" w:eastAsia="Calibri" w:hAnsi="Calibri"/>
          <w:sz w:val="16"/>
          <w:szCs w:val="16"/>
          <w:color w:val="auto"/>
        </w:rPr>
        <w:t>Portons of the defnitve Proxy Statement for the Registrant’s Annual Meetng of Shareholders to be held on May 21, 2025 have been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610870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0"/>
        </w:trPr>
        <w:tc>
          <w:tcPr>
            <w:tcW w:w="9720" w:type="dxa"/>
            <w:vAlign w:val="bottom"/>
            <w:gridSpan w:val="36"/>
          </w:tcPr>
          <w:p>
            <w:pPr>
              <w:spacing w:after="0"/>
              <w:rPr>
                <w:sz w:val="20"/>
                <w:szCs w:val="20"/>
                <w:color w:val="auto"/>
              </w:rPr>
            </w:pPr>
            <w:r>
              <w:rPr>
                <w:rFonts w:ascii="Calibri" w:cs="Calibri" w:eastAsia="Calibri" w:hAnsi="Calibri"/>
                <w:sz w:val="18"/>
                <w:szCs w:val="18"/>
                <w:b w:val="1"/>
                <w:bCs w:val="1"/>
                <w:color w:val="0000FF"/>
              </w:rPr>
              <w:t>Table of Contents</w:t>
            </w: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739"/>
        </w:trPr>
        <w:tc>
          <w:tcPr>
            <w:tcW w:w="9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20" w:type="dxa"/>
            <w:vAlign w:val="bottom"/>
            <w:gridSpan w:val="16"/>
          </w:tcPr>
          <w:p>
            <w:pPr>
              <w:jc w:val="center"/>
              <w:ind w:right="2660"/>
              <w:spacing w:after="0"/>
              <w:rPr>
                <w:sz w:val="20"/>
                <w:szCs w:val="20"/>
                <w:color w:val="auto"/>
              </w:rPr>
            </w:pPr>
            <w:r>
              <w:rPr>
                <w:rFonts w:ascii="Calibri" w:cs="Calibri" w:eastAsia="Calibri" w:hAnsi="Calibri"/>
                <w:sz w:val="18"/>
                <w:szCs w:val="18"/>
                <w:b w:val="1"/>
                <w:bCs w:val="1"/>
                <w:color w:val="auto"/>
                <w:w w:val="97"/>
              </w:rPr>
              <w:t>Eastman Kodak Company</w:t>
            </w: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580" w:type="dxa"/>
            <w:vAlign w:val="bottom"/>
            <w:gridSpan w:val="14"/>
          </w:tcPr>
          <w:p>
            <w:pPr>
              <w:jc w:val="center"/>
              <w:ind w:right="3600"/>
              <w:spacing w:after="0" w:line="216" w:lineRule="exact"/>
              <w:rPr>
                <w:sz w:val="20"/>
                <w:szCs w:val="20"/>
                <w:color w:val="auto"/>
              </w:rPr>
            </w:pPr>
            <w:r>
              <w:rPr>
                <w:rFonts w:ascii="Calibri" w:cs="Calibri" w:eastAsia="Calibri" w:hAnsi="Calibri"/>
                <w:sz w:val="18"/>
                <w:szCs w:val="18"/>
                <w:b w:val="1"/>
                <w:bCs w:val="1"/>
                <w:color w:val="auto"/>
                <w:w w:val="96"/>
              </w:rPr>
              <w:t>Form 10-K</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40" w:type="dxa"/>
            <w:vAlign w:val="bottom"/>
            <w:gridSpan w:val="15"/>
          </w:tcPr>
          <w:p>
            <w:pPr>
              <w:jc w:val="center"/>
              <w:ind w:right="3360"/>
              <w:spacing w:after="0" w:line="216" w:lineRule="exact"/>
              <w:rPr>
                <w:sz w:val="20"/>
                <w:szCs w:val="20"/>
                <w:color w:val="auto"/>
              </w:rPr>
            </w:pPr>
            <w:r>
              <w:rPr>
                <w:rFonts w:ascii="Calibri" w:cs="Calibri" w:eastAsia="Calibri" w:hAnsi="Calibri"/>
                <w:sz w:val="18"/>
                <w:szCs w:val="18"/>
                <w:b w:val="1"/>
                <w:bCs w:val="1"/>
                <w:color w:val="auto"/>
                <w:w w:val="97"/>
              </w:rPr>
              <w:t>December 31, 2024</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432"/>
        </w:trPr>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40" w:type="dxa"/>
            <w:vAlign w:val="bottom"/>
            <w:gridSpan w:val="15"/>
          </w:tcPr>
          <w:p>
            <w:pPr>
              <w:jc w:val="center"/>
              <w:ind w:right="3360"/>
              <w:spacing w:after="0"/>
              <w:rPr>
                <w:sz w:val="20"/>
                <w:szCs w:val="20"/>
                <w:color w:val="auto"/>
              </w:rPr>
            </w:pPr>
            <w:r>
              <w:rPr>
                <w:rFonts w:ascii="Calibri" w:cs="Calibri" w:eastAsia="Calibri" w:hAnsi="Calibri"/>
                <w:sz w:val="18"/>
                <w:szCs w:val="18"/>
                <w:b w:val="1"/>
                <w:bCs w:val="1"/>
                <w:color w:val="auto"/>
                <w:w w:val="97"/>
              </w:rPr>
              <w:t>Table of Contents</w:t>
            </w: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32"/>
        </w:trPr>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20" w:type="dxa"/>
            <w:vAlign w:val="bottom"/>
            <w:gridSpan w:val="5"/>
          </w:tcPr>
          <w:p>
            <w:pPr>
              <w:jc w:val="right"/>
              <w:ind w:right="220"/>
              <w:spacing w:after="0"/>
              <w:rPr>
                <w:sz w:val="20"/>
                <w:szCs w:val="20"/>
                <w:color w:val="auto"/>
              </w:rPr>
            </w:pPr>
            <w:r>
              <w:rPr>
                <w:rFonts w:ascii="Calibri" w:cs="Calibri" w:eastAsia="Calibri" w:hAnsi="Calibri"/>
                <w:sz w:val="18"/>
                <w:szCs w:val="18"/>
                <w:b w:val="1"/>
                <w:bCs w:val="1"/>
                <w:color w:val="auto"/>
              </w:rPr>
              <w:t>Page</w:t>
            </w:r>
          </w:p>
        </w:tc>
      </w:tr>
      <w:tr>
        <w:trPr>
          <w:trHeight w:val="402"/>
        </w:trPr>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80" w:type="dxa"/>
            <w:vAlign w:val="bottom"/>
            <w:gridSpan w:val="12"/>
          </w:tcPr>
          <w:p>
            <w:pPr>
              <w:jc w:val="center"/>
              <w:ind w:right="3920"/>
              <w:spacing w:after="0"/>
              <w:rPr>
                <w:sz w:val="20"/>
                <w:szCs w:val="20"/>
                <w:color w:val="auto"/>
              </w:rPr>
            </w:pPr>
            <w:r>
              <w:rPr>
                <w:rFonts w:ascii="Calibri" w:cs="Calibri" w:eastAsia="Calibri" w:hAnsi="Calibri"/>
                <w:sz w:val="18"/>
                <w:szCs w:val="18"/>
                <w:b w:val="1"/>
                <w:bCs w:val="1"/>
                <w:color w:val="0000FF"/>
                <w:w w:val="94"/>
              </w:rPr>
              <w:t>Part I</w:t>
            </w: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2"/>
        </w:trPr>
        <w:tc>
          <w:tcPr>
            <w:tcW w:w="900" w:type="dxa"/>
            <w:vAlign w:val="bottom"/>
          </w:tcPr>
          <w:p>
            <w:pPr>
              <w:ind w:left="20"/>
              <w:spacing w:after="0"/>
              <w:rPr>
                <w:sz w:val="20"/>
                <w:szCs w:val="20"/>
                <w:color w:val="auto"/>
              </w:rPr>
            </w:pPr>
            <w:r>
              <w:rPr>
                <w:rFonts w:ascii="Calibri" w:cs="Calibri" w:eastAsia="Calibri" w:hAnsi="Calibri"/>
                <w:sz w:val="18"/>
                <w:szCs w:val="18"/>
                <w:color w:val="auto"/>
              </w:rPr>
              <w:t>Item 1.</w:t>
            </w:r>
          </w:p>
        </w:tc>
        <w:tc>
          <w:tcPr>
            <w:tcW w:w="4480" w:type="dxa"/>
            <w:vAlign w:val="bottom"/>
            <w:gridSpan w:val="24"/>
          </w:tcPr>
          <w:p>
            <w:pPr>
              <w:spacing w:after="0"/>
              <w:rPr>
                <w:sz w:val="20"/>
                <w:szCs w:val="20"/>
                <w:color w:val="auto"/>
              </w:rPr>
            </w:pPr>
            <w:r>
              <w:rPr>
                <w:rFonts w:ascii="Calibri" w:cs="Calibri" w:eastAsia="Calibri" w:hAnsi="Calibri"/>
                <w:sz w:val="18"/>
                <w:szCs w:val="18"/>
                <w:color w:val="0000FF"/>
              </w:rPr>
              <w:t>Business</w:t>
            </w:r>
          </w:p>
        </w:tc>
        <w:tc>
          <w:tcPr>
            <w:tcW w:w="380" w:type="dxa"/>
            <w:vAlign w:val="bottom"/>
            <w:tcBorders>
              <w:top w:val="single" w:sz="8" w:color="0000EE"/>
            </w:tcBorders>
            <w:gridSpan w:val="2"/>
          </w:tcPr>
          <w:p>
            <w:pPr>
              <w:spacing w:after="0"/>
              <w:rPr>
                <w:sz w:val="24"/>
                <w:szCs w:val="24"/>
                <w:color w:val="auto"/>
              </w:rPr>
            </w:pPr>
          </w:p>
        </w:tc>
        <w:tc>
          <w:tcPr>
            <w:tcW w:w="3960" w:type="dxa"/>
            <w:vAlign w:val="bottom"/>
            <w:gridSpan w:val="9"/>
          </w:tcPr>
          <w:p>
            <w:pPr>
              <w:spacing w:after="0"/>
              <w:rPr>
                <w:sz w:val="24"/>
                <w:szCs w:val="24"/>
                <w:color w:val="auto"/>
              </w:rPr>
            </w:pPr>
          </w:p>
        </w:tc>
        <w:tc>
          <w:tcPr>
            <w:tcW w:w="1520" w:type="dxa"/>
            <w:vAlign w:val="bottom"/>
            <w:gridSpan w:val="5"/>
          </w:tcPr>
          <w:p>
            <w:pPr>
              <w:jc w:val="right"/>
              <w:ind w:right="120"/>
              <w:spacing w:after="0"/>
              <w:rPr>
                <w:sz w:val="20"/>
                <w:szCs w:val="20"/>
                <w:color w:val="auto"/>
              </w:rPr>
            </w:pPr>
            <w:r>
              <w:rPr>
                <w:rFonts w:ascii="Calibri" w:cs="Calibri" w:eastAsia="Calibri" w:hAnsi="Calibri"/>
                <w:sz w:val="18"/>
                <w:szCs w:val="18"/>
                <w:color w:val="0000FF"/>
              </w:rPr>
              <w:t>3</w:t>
            </w:r>
          </w:p>
        </w:tc>
      </w:tr>
      <w:tr>
        <w:trPr>
          <w:trHeight w:val="20"/>
        </w:trPr>
        <w:tc>
          <w:tcPr>
            <w:tcW w:w="9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900" w:type="dxa"/>
            <w:vAlign w:val="bottom"/>
          </w:tcPr>
          <w:p>
            <w:pPr>
              <w:ind w:left="20"/>
              <w:spacing w:after="0" w:line="196" w:lineRule="exact"/>
              <w:rPr>
                <w:sz w:val="20"/>
                <w:szCs w:val="20"/>
                <w:color w:val="auto"/>
              </w:rPr>
            </w:pPr>
            <w:r>
              <w:rPr>
                <w:rFonts w:ascii="Calibri" w:cs="Calibri" w:eastAsia="Calibri" w:hAnsi="Calibri"/>
                <w:sz w:val="18"/>
                <w:szCs w:val="18"/>
                <w:color w:val="auto"/>
              </w:rPr>
              <w:t>Item 1A.</w:t>
            </w:r>
          </w:p>
        </w:tc>
        <w:tc>
          <w:tcPr>
            <w:tcW w:w="860" w:type="dxa"/>
            <w:vAlign w:val="bottom"/>
            <w:gridSpan w:val="6"/>
          </w:tcPr>
          <w:p>
            <w:pPr>
              <w:spacing w:after="0" w:line="196" w:lineRule="exact"/>
              <w:rPr>
                <w:sz w:val="20"/>
                <w:szCs w:val="20"/>
                <w:color w:val="auto"/>
              </w:rPr>
            </w:pPr>
            <w:r>
              <w:rPr>
                <w:rFonts w:ascii="Calibri" w:cs="Calibri" w:eastAsia="Calibri" w:hAnsi="Calibri"/>
                <w:sz w:val="18"/>
                <w:szCs w:val="18"/>
                <w:color w:val="0000FF"/>
                <w:w w:val="97"/>
              </w:rPr>
              <w:t>Risk Factors</w:t>
            </w:r>
          </w:p>
        </w:tc>
        <w:tc>
          <w:tcPr>
            <w:tcW w:w="7960" w:type="dxa"/>
            <w:vAlign w:val="bottom"/>
            <w:gridSpan w:val="29"/>
          </w:tcPr>
          <w:p>
            <w:pPr>
              <w:spacing w:after="0"/>
              <w:rPr>
                <w:sz w:val="17"/>
                <w:szCs w:val="17"/>
                <w:color w:val="auto"/>
              </w:rPr>
            </w:pPr>
          </w:p>
        </w:tc>
        <w:tc>
          <w:tcPr>
            <w:tcW w:w="1520" w:type="dxa"/>
            <w:vAlign w:val="bottom"/>
            <w:gridSpan w:val="5"/>
          </w:tcPr>
          <w:p>
            <w:pPr>
              <w:jc w:val="right"/>
              <w:ind w:right="120"/>
              <w:spacing w:after="0" w:line="196" w:lineRule="exact"/>
              <w:rPr>
                <w:sz w:val="20"/>
                <w:szCs w:val="20"/>
                <w:color w:val="auto"/>
              </w:rPr>
            </w:pPr>
            <w:r>
              <w:rPr>
                <w:rFonts w:ascii="Calibri" w:cs="Calibri" w:eastAsia="Calibri" w:hAnsi="Calibri"/>
                <w:sz w:val="18"/>
                <w:szCs w:val="18"/>
                <w:color w:val="0000FF"/>
              </w:rPr>
              <w:t>7</w:t>
            </w:r>
          </w:p>
        </w:tc>
      </w:tr>
      <w:tr>
        <w:trPr>
          <w:trHeight w:val="20"/>
        </w:trPr>
        <w:tc>
          <w:tcPr>
            <w:tcW w:w="90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900" w:type="dxa"/>
            <w:vAlign w:val="bottom"/>
          </w:tcPr>
          <w:p>
            <w:pPr>
              <w:ind w:left="20"/>
              <w:spacing w:after="0" w:line="196" w:lineRule="exact"/>
              <w:rPr>
                <w:sz w:val="20"/>
                <w:szCs w:val="20"/>
                <w:color w:val="auto"/>
              </w:rPr>
            </w:pPr>
            <w:r>
              <w:rPr>
                <w:rFonts w:ascii="Calibri" w:cs="Calibri" w:eastAsia="Calibri" w:hAnsi="Calibri"/>
                <w:sz w:val="18"/>
                <w:szCs w:val="18"/>
                <w:color w:val="auto"/>
              </w:rPr>
              <w:t>Item 1B.</w:t>
            </w:r>
          </w:p>
        </w:tc>
        <w:tc>
          <w:tcPr>
            <w:tcW w:w="8820" w:type="dxa"/>
            <w:vAlign w:val="bottom"/>
            <w:gridSpan w:val="35"/>
          </w:tcPr>
          <w:p>
            <w:pPr>
              <w:spacing w:after="0" w:line="196" w:lineRule="exact"/>
              <w:rPr>
                <w:sz w:val="20"/>
                <w:szCs w:val="20"/>
                <w:color w:val="auto"/>
              </w:rPr>
            </w:pPr>
            <w:r>
              <w:rPr>
                <w:rFonts w:ascii="Calibri" w:cs="Calibri" w:eastAsia="Calibri" w:hAnsi="Calibri"/>
                <w:sz w:val="18"/>
                <w:szCs w:val="18"/>
                <w:color w:val="0000FF"/>
              </w:rPr>
              <w:t>Unresolved Staf Comments</w:t>
            </w:r>
          </w:p>
        </w:tc>
        <w:tc>
          <w:tcPr>
            <w:tcW w:w="1520" w:type="dxa"/>
            <w:vAlign w:val="bottom"/>
            <w:gridSpan w:val="5"/>
          </w:tcPr>
          <w:p>
            <w:pPr>
              <w:jc w:val="right"/>
              <w:ind w:right="120"/>
              <w:spacing w:after="0" w:line="196" w:lineRule="exact"/>
              <w:rPr>
                <w:sz w:val="20"/>
                <w:szCs w:val="20"/>
                <w:color w:val="auto"/>
              </w:rPr>
            </w:pPr>
            <w:r>
              <w:rPr>
                <w:rFonts w:ascii="Calibri" w:cs="Calibri" w:eastAsia="Calibri" w:hAnsi="Calibri"/>
                <w:sz w:val="18"/>
                <w:szCs w:val="18"/>
                <w:color w:val="0000FF"/>
              </w:rPr>
              <w:t>26</w:t>
            </w:r>
          </w:p>
        </w:tc>
      </w:tr>
      <w:tr>
        <w:trPr>
          <w:trHeight w:val="20"/>
        </w:trPr>
        <w:tc>
          <w:tcPr>
            <w:tcW w:w="90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900" w:type="dxa"/>
            <w:vAlign w:val="bottom"/>
          </w:tcPr>
          <w:p>
            <w:pPr>
              <w:ind w:left="20"/>
              <w:spacing w:after="0" w:line="196" w:lineRule="exact"/>
              <w:rPr>
                <w:sz w:val="20"/>
                <w:szCs w:val="20"/>
                <w:color w:val="auto"/>
              </w:rPr>
            </w:pPr>
            <w:r>
              <w:rPr>
                <w:rFonts w:ascii="Calibri" w:cs="Calibri" w:eastAsia="Calibri" w:hAnsi="Calibri"/>
                <w:sz w:val="18"/>
                <w:szCs w:val="18"/>
                <w:color w:val="auto"/>
              </w:rPr>
              <w:t>Item 1C.</w:t>
            </w:r>
          </w:p>
        </w:tc>
        <w:tc>
          <w:tcPr>
            <w:tcW w:w="2000" w:type="dxa"/>
            <w:vAlign w:val="bottom"/>
            <w:gridSpan w:val="14"/>
          </w:tcPr>
          <w:p>
            <w:pPr>
              <w:spacing w:after="0" w:line="196" w:lineRule="exact"/>
              <w:rPr>
                <w:sz w:val="20"/>
                <w:szCs w:val="20"/>
                <w:color w:val="auto"/>
              </w:rPr>
            </w:pPr>
            <w:r>
              <w:rPr>
                <w:rFonts w:ascii="Calibri" w:cs="Calibri" w:eastAsia="Calibri" w:hAnsi="Calibri"/>
                <w:sz w:val="18"/>
                <w:szCs w:val="18"/>
                <w:color w:val="0000FF"/>
              </w:rPr>
              <w:t>Cybersecurity</w:t>
            </w:r>
          </w:p>
        </w:tc>
        <w:tc>
          <w:tcPr>
            <w:tcW w:w="6820" w:type="dxa"/>
            <w:vAlign w:val="bottom"/>
            <w:gridSpan w:val="21"/>
          </w:tcPr>
          <w:p>
            <w:pPr>
              <w:spacing w:after="0"/>
              <w:rPr>
                <w:sz w:val="17"/>
                <w:szCs w:val="17"/>
                <w:color w:val="auto"/>
              </w:rPr>
            </w:pPr>
          </w:p>
        </w:tc>
        <w:tc>
          <w:tcPr>
            <w:tcW w:w="1220" w:type="dxa"/>
            <w:vAlign w:val="bottom"/>
            <w:gridSpan w:val="2"/>
          </w:tcPr>
          <w:p>
            <w:pPr>
              <w:spacing w:after="0"/>
              <w:rPr>
                <w:sz w:val="17"/>
                <w:szCs w:val="17"/>
                <w:color w:val="auto"/>
              </w:rPr>
            </w:pPr>
          </w:p>
        </w:tc>
        <w:tc>
          <w:tcPr>
            <w:tcW w:w="300" w:type="dxa"/>
            <w:vAlign w:val="bottom"/>
            <w:gridSpan w:val="3"/>
          </w:tcPr>
          <w:p>
            <w:pPr>
              <w:jc w:val="right"/>
              <w:ind w:right="120"/>
              <w:spacing w:after="0" w:line="196" w:lineRule="exact"/>
              <w:rPr>
                <w:sz w:val="20"/>
                <w:szCs w:val="20"/>
                <w:color w:val="auto"/>
              </w:rPr>
            </w:pPr>
            <w:r>
              <w:rPr>
                <w:rFonts w:ascii="Calibri" w:cs="Calibri" w:eastAsia="Calibri" w:hAnsi="Calibri"/>
                <w:sz w:val="18"/>
                <w:szCs w:val="18"/>
                <w:color w:val="0000FF"/>
                <w:w w:val="87"/>
              </w:rPr>
              <w:t>26</w:t>
            </w:r>
          </w:p>
        </w:tc>
      </w:tr>
      <w:tr>
        <w:trPr>
          <w:trHeight w:val="20"/>
        </w:trPr>
        <w:tc>
          <w:tcPr>
            <w:tcW w:w="9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900" w:type="dxa"/>
            <w:vAlign w:val="bottom"/>
          </w:tcPr>
          <w:p>
            <w:pPr>
              <w:ind w:left="20"/>
              <w:spacing w:after="0" w:line="196" w:lineRule="exact"/>
              <w:rPr>
                <w:sz w:val="20"/>
                <w:szCs w:val="20"/>
                <w:color w:val="auto"/>
              </w:rPr>
            </w:pPr>
            <w:r>
              <w:rPr>
                <w:rFonts w:ascii="Calibri" w:cs="Calibri" w:eastAsia="Calibri" w:hAnsi="Calibri"/>
                <w:sz w:val="18"/>
                <w:szCs w:val="18"/>
                <w:color w:val="auto"/>
              </w:rPr>
              <w:t>Item 2.</w:t>
            </w:r>
          </w:p>
        </w:tc>
        <w:tc>
          <w:tcPr>
            <w:tcW w:w="980" w:type="dxa"/>
            <w:vAlign w:val="bottom"/>
            <w:gridSpan w:val="7"/>
          </w:tcPr>
          <w:p>
            <w:pPr>
              <w:spacing w:after="0" w:line="196" w:lineRule="exact"/>
              <w:rPr>
                <w:sz w:val="20"/>
                <w:szCs w:val="20"/>
                <w:color w:val="auto"/>
              </w:rPr>
            </w:pPr>
            <w:r>
              <w:rPr>
                <w:rFonts w:ascii="Calibri" w:cs="Calibri" w:eastAsia="Calibri" w:hAnsi="Calibri"/>
                <w:sz w:val="18"/>
                <w:szCs w:val="18"/>
                <w:color w:val="0000FF"/>
              </w:rPr>
              <w:t>Propertes</w:t>
            </w:r>
          </w:p>
        </w:tc>
        <w:tc>
          <w:tcPr>
            <w:tcW w:w="7840" w:type="dxa"/>
            <w:vAlign w:val="bottom"/>
            <w:gridSpan w:val="28"/>
          </w:tcPr>
          <w:p>
            <w:pPr>
              <w:spacing w:after="0"/>
              <w:rPr>
                <w:sz w:val="17"/>
                <w:szCs w:val="17"/>
                <w:color w:val="auto"/>
              </w:rPr>
            </w:pPr>
          </w:p>
        </w:tc>
        <w:tc>
          <w:tcPr>
            <w:tcW w:w="1220" w:type="dxa"/>
            <w:vAlign w:val="bottom"/>
            <w:gridSpan w:val="2"/>
          </w:tcPr>
          <w:p>
            <w:pPr>
              <w:spacing w:after="0"/>
              <w:rPr>
                <w:sz w:val="17"/>
                <w:szCs w:val="17"/>
                <w:color w:val="auto"/>
              </w:rPr>
            </w:pPr>
          </w:p>
        </w:tc>
        <w:tc>
          <w:tcPr>
            <w:tcW w:w="300" w:type="dxa"/>
            <w:vAlign w:val="bottom"/>
            <w:gridSpan w:val="3"/>
          </w:tcPr>
          <w:p>
            <w:pPr>
              <w:jc w:val="right"/>
              <w:ind w:right="120"/>
              <w:spacing w:after="0" w:line="196" w:lineRule="exact"/>
              <w:rPr>
                <w:sz w:val="20"/>
                <w:szCs w:val="20"/>
                <w:color w:val="auto"/>
              </w:rPr>
            </w:pPr>
            <w:r>
              <w:rPr>
                <w:rFonts w:ascii="Calibri" w:cs="Calibri" w:eastAsia="Calibri" w:hAnsi="Calibri"/>
                <w:sz w:val="18"/>
                <w:szCs w:val="18"/>
                <w:color w:val="0000FF"/>
                <w:w w:val="87"/>
              </w:rPr>
              <w:t>28</w:t>
            </w:r>
          </w:p>
        </w:tc>
      </w:tr>
      <w:tr>
        <w:trPr>
          <w:trHeight w:val="20"/>
        </w:trPr>
        <w:tc>
          <w:tcPr>
            <w:tcW w:w="9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900" w:type="dxa"/>
            <w:vAlign w:val="bottom"/>
          </w:tcPr>
          <w:p>
            <w:pPr>
              <w:ind w:left="20"/>
              <w:spacing w:after="0" w:line="196" w:lineRule="exact"/>
              <w:rPr>
                <w:sz w:val="20"/>
                <w:szCs w:val="20"/>
                <w:color w:val="auto"/>
              </w:rPr>
            </w:pPr>
            <w:r>
              <w:rPr>
                <w:rFonts w:ascii="Calibri" w:cs="Calibri" w:eastAsia="Calibri" w:hAnsi="Calibri"/>
                <w:sz w:val="18"/>
                <w:szCs w:val="18"/>
                <w:color w:val="auto"/>
              </w:rPr>
              <w:t>Item 3.</w:t>
            </w:r>
          </w:p>
        </w:tc>
        <w:tc>
          <w:tcPr>
            <w:tcW w:w="8820" w:type="dxa"/>
            <w:vAlign w:val="bottom"/>
            <w:gridSpan w:val="35"/>
          </w:tcPr>
          <w:p>
            <w:pPr>
              <w:spacing w:after="0" w:line="196" w:lineRule="exact"/>
              <w:rPr>
                <w:sz w:val="20"/>
                <w:szCs w:val="20"/>
                <w:color w:val="auto"/>
              </w:rPr>
            </w:pPr>
            <w:r>
              <w:rPr>
                <w:rFonts w:ascii="Calibri" w:cs="Calibri" w:eastAsia="Calibri" w:hAnsi="Calibri"/>
                <w:sz w:val="18"/>
                <w:szCs w:val="18"/>
                <w:color w:val="0000FF"/>
              </w:rPr>
              <w:t>Legal Proceedings</w:t>
            </w:r>
          </w:p>
        </w:tc>
        <w:tc>
          <w:tcPr>
            <w:tcW w:w="1520" w:type="dxa"/>
            <w:vAlign w:val="bottom"/>
            <w:gridSpan w:val="5"/>
          </w:tcPr>
          <w:p>
            <w:pPr>
              <w:jc w:val="right"/>
              <w:ind w:right="120"/>
              <w:spacing w:after="0" w:line="196" w:lineRule="exact"/>
              <w:rPr>
                <w:sz w:val="20"/>
                <w:szCs w:val="20"/>
                <w:color w:val="auto"/>
              </w:rPr>
            </w:pPr>
            <w:r>
              <w:rPr>
                <w:rFonts w:ascii="Calibri" w:cs="Calibri" w:eastAsia="Calibri" w:hAnsi="Calibri"/>
                <w:sz w:val="18"/>
                <w:szCs w:val="18"/>
                <w:color w:val="0000FF"/>
              </w:rPr>
              <w:t>29</w:t>
            </w:r>
          </w:p>
        </w:tc>
      </w:tr>
      <w:tr>
        <w:trPr>
          <w:trHeight w:val="20"/>
        </w:trPr>
        <w:tc>
          <w:tcPr>
            <w:tcW w:w="9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900" w:type="dxa"/>
            <w:vAlign w:val="bottom"/>
          </w:tcPr>
          <w:p>
            <w:pPr>
              <w:ind w:left="20"/>
              <w:spacing w:after="0" w:line="196" w:lineRule="exact"/>
              <w:rPr>
                <w:sz w:val="20"/>
                <w:szCs w:val="20"/>
                <w:color w:val="auto"/>
              </w:rPr>
            </w:pPr>
            <w:r>
              <w:rPr>
                <w:rFonts w:ascii="Calibri" w:cs="Calibri" w:eastAsia="Calibri" w:hAnsi="Calibri"/>
                <w:sz w:val="18"/>
                <w:szCs w:val="18"/>
                <w:color w:val="auto"/>
              </w:rPr>
              <w:t>Item 4.</w:t>
            </w:r>
          </w:p>
        </w:tc>
        <w:tc>
          <w:tcPr>
            <w:tcW w:w="8820" w:type="dxa"/>
            <w:vAlign w:val="bottom"/>
            <w:gridSpan w:val="35"/>
          </w:tcPr>
          <w:p>
            <w:pPr>
              <w:spacing w:after="0" w:line="196" w:lineRule="exact"/>
              <w:rPr>
                <w:sz w:val="20"/>
                <w:szCs w:val="20"/>
                <w:color w:val="auto"/>
              </w:rPr>
            </w:pPr>
            <w:r>
              <w:rPr>
                <w:rFonts w:ascii="Calibri" w:cs="Calibri" w:eastAsia="Calibri" w:hAnsi="Calibri"/>
                <w:sz w:val="18"/>
                <w:szCs w:val="18"/>
                <w:color w:val="0000FF"/>
              </w:rPr>
              <w:t>Mine Safety Disclosures</w:t>
            </w:r>
          </w:p>
        </w:tc>
        <w:tc>
          <w:tcPr>
            <w:tcW w:w="1520" w:type="dxa"/>
            <w:vAlign w:val="bottom"/>
            <w:gridSpan w:val="5"/>
          </w:tcPr>
          <w:p>
            <w:pPr>
              <w:jc w:val="right"/>
              <w:ind w:right="120"/>
              <w:spacing w:after="0" w:line="196" w:lineRule="exact"/>
              <w:rPr>
                <w:sz w:val="20"/>
                <w:szCs w:val="20"/>
                <w:color w:val="auto"/>
              </w:rPr>
            </w:pPr>
            <w:r>
              <w:rPr>
                <w:rFonts w:ascii="Calibri" w:cs="Calibri" w:eastAsia="Calibri" w:hAnsi="Calibri"/>
                <w:sz w:val="18"/>
                <w:szCs w:val="18"/>
                <w:color w:val="0000FF"/>
              </w:rPr>
              <w:t>29</w:t>
            </w:r>
          </w:p>
        </w:tc>
      </w:tr>
      <w:tr>
        <w:trPr>
          <w:trHeight w:val="20"/>
        </w:trPr>
        <w:tc>
          <w:tcPr>
            <w:tcW w:w="90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8820" w:type="dxa"/>
            <w:vAlign w:val="bottom"/>
            <w:gridSpan w:val="35"/>
          </w:tcPr>
          <w:p>
            <w:pPr>
              <w:spacing w:after="0" w:line="196" w:lineRule="exact"/>
              <w:rPr>
                <w:sz w:val="20"/>
                <w:szCs w:val="20"/>
                <w:color w:val="auto"/>
              </w:rPr>
            </w:pPr>
            <w:r>
              <w:rPr>
                <w:rFonts w:ascii="Calibri" w:cs="Calibri" w:eastAsia="Calibri" w:hAnsi="Calibri"/>
                <w:sz w:val="18"/>
                <w:szCs w:val="18"/>
                <w:color w:val="0000FF"/>
              </w:rPr>
              <w:t>Informaton About Our Executve Ofcers</w:t>
            </w:r>
          </w:p>
        </w:tc>
        <w:tc>
          <w:tcPr>
            <w:tcW w:w="1520" w:type="dxa"/>
            <w:vAlign w:val="bottom"/>
            <w:gridSpan w:val="5"/>
          </w:tcPr>
          <w:p>
            <w:pPr>
              <w:jc w:val="right"/>
              <w:ind w:right="120"/>
              <w:spacing w:after="0" w:line="196" w:lineRule="exact"/>
              <w:rPr>
                <w:sz w:val="20"/>
                <w:szCs w:val="20"/>
                <w:color w:val="auto"/>
              </w:rPr>
            </w:pPr>
            <w:r>
              <w:rPr>
                <w:rFonts w:ascii="Calibri" w:cs="Calibri" w:eastAsia="Calibri" w:hAnsi="Calibri"/>
                <w:sz w:val="18"/>
                <w:szCs w:val="18"/>
                <w:color w:val="0000FF"/>
              </w:rPr>
              <w:t>29</w:t>
            </w:r>
          </w:p>
        </w:tc>
      </w:tr>
      <w:tr>
        <w:trPr>
          <w:trHeight w:val="412"/>
        </w:trPr>
        <w:tc>
          <w:tcPr>
            <w:tcW w:w="900" w:type="dxa"/>
            <w:vAlign w:val="bottom"/>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80" w:type="dxa"/>
            <w:vAlign w:val="bottom"/>
            <w:gridSpan w:val="12"/>
          </w:tcPr>
          <w:p>
            <w:pPr>
              <w:jc w:val="center"/>
              <w:ind w:right="3920"/>
              <w:spacing w:after="0"/>
              <w:rPr>
                <w:sz w:val="20"/>
                <w:szCs w:val="20"/>
                <w:color w:val="auto"/>
              </w:rPr>
            </w:pPr>
            <w:r>
              <w:rPr>
                <w:rFonts w:ascii="Calibri" w:cs="Calibri" w:eastAsia="Calibri" w:hAnsi="Calibri"/>
                <w:sz w:val="18"/>
                <w:szCs w:val="18"/>
                <w:b w:val="1"/>
                <w:bCs w:val="1"/>
                <w:color w:val="0000FF"/>
                <w:w w:val="93"/>
              </w:rPr>
              <w:t>Part II</w:t>
            </w: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r>
      <w:tr>
        <w:trPr>
          <w:trHeight w:val="20"/>
        </w:trPr>
        <w:tc>
          <w:tcPr>
            <w:tcW w:w="90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r>
      <w:tr>
        <w:trPr>
          <w:trHeight w:val="412"/>
        </w:trPr>
        <w:tc>
          <w:tcPr>
            <w:tcW w:w="900" w:type="dxa"/>
            <w:vAlign w:val="bottom"/>
          </w:tcPr>
          <w:p>
            <w:pPr>
              <w:ind w:left="20"/>
              <w:spacing w:after="0"/>
              <w:rPr>
                <w:sz w:val="20"/>
                <w:szCs w:val="20"/>
                <w:color w:val="auto"/>
              </w:rPr>
            </w:pPr>
            <w:r>
              <w:rPr>
                <w:rFonts w:ascii="Calibri" w:cs="Calibri" w:eastAsia="Calibri" w:hAnsi="Calibri"/>
                <w:sz w:val="18"/>
                <w:szCs w:val="18"/>
                <w:color w:val="auto"/>
              </w:rPr>
              <w:t>Item 5.</w:t>
            </w:r>
          </w:p>
        </w:tc>
        <w:tc>
          <w:tcPr>
            <w:tcW w:w="8820" w:type="dxa"/>
            <w:vAlign w:val="bottom"/>
            <w:gridSpan w:val="35"/>
          </w:tcPr>
          <w:p>
            <w:pPr>
              <w:spacing w:after="0"/>
              <w:rPr>
                <w:sz w:val="20"/>
                <w:szCs w:val="20"/>
                <w:color w:val="auto"/>
              </w:rPr>
            </w:pPr>
            <w:r>
              <w:rPr>
                <w:rFonts w:ascii="Calibri" w:cs="Calibri" w:eastAsia="Calibri" w:hAnsi="Calibri"/>
                <w:sz w:val="18"/>
                <w:szCs w:val="18"/>
                <w:color w:val="0000FF"/>
              </w:rPr>
              <w:t>Market for Registrant's Common Equity, Related Stockholder Maters and Issuer Purchases of Equity Securites</w:t>
            </w:r>
          </w:p>
        </w:tc>
        <w:tc>
          <w:tcPr>
            <w:tcW w:w="1520" w:type="dxa"/>
            <w:vAlign w:val="bottom"/>
            <w:gridSpan w:val="5"/>
          </w:tcPr>
          <w:p>
            <w:pPr>
              <w:jc w:val="right"/>
              <w:ind w:right="120"/>
              <w:spacing w:after="0"/>
              <w:rPr>
                <w:sz w:val="20"/>
                <w:szCs w:val="20"/>
                <w:color w:val="auto"/>
              </w:rPr>
            </w:pPr>
            <w:r>
              <w:rPr>
                <w:rFonts w:ascii="Calibri" w:cs="Calibri" w:eastAsia="Calibri" w:hAnsi="Calibri"/>
                <w:sz w:val="18"/>
                <w:szCs w:val="18"/>
                <w:color w:val="0000FF"/>
              </w:rPr>
              <w:t>31</w:t>
            </w:r>
          </w:p>
        </w:tc>
      </w:tr>
      <w:tr>
        <w:trPr>
          <w:trHeight w:val="20"/>
        </w:trPr>
        <w:tc>
          <w:tcPr>
            <w:tcW w:w="9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900" w:type="dxa"/>
            <w:vAlign w:val="bottom"/>
          </w:tcPr>
          <w:p>
            <w:pPr>
              <w:ind w:left="20"/>
              <w:spacing w:after="0" w:line="196" w:lineRule="exact"/>
              <w:rPr>
                <w:sz w:val="20"/>
                <w:szCs w:val="20"/>
                <w:color w:val="auto"/>
              </w:rPr>
            </w:pPr>
            <w:r>
              <w:rPr>
                <w:rFonts w:ascii="Calibri" w:cs="Calibri" w:eastAsia="Calibri" w:hAnsi="Calibri"/>
                <w:sz w:val="18"/>
                <w:szCs w:val="18"/>
                <w:color w:val="auto"/>
              </w:rPr>
              <w:t>Item 6.</w:t>
            </w:r>
          </w:p>
        </w:tc>
        <w:tc>
          <w:tcPr>
            <w:tcW w:w="7880" w:type="dxa"/>
            <w:vAlign w:val="bottom"/>
            <w:gridSpan w:val="34"/>
          </w:tcPr>
          <w:p>
            <w:pPr>
              <w:spacing w:after="0" w:line="196" w:lineRule="exact"/>
              <w:rPr>
                <w:sz w:val="20"/>
                <w:szCs w:val="20"/>
                <w:color w:val="auto"/>
              </w:rPr>
            </w:pPr>
            <w:r>
              <w:rPr>
                <w:rFonts w:ascii="Calibri" w:cs="Calibri" w:eastAsia="Calibri" w:hAnsi="Calibri"/>
                <w:sz w:val="18"/>
                <w:szCs w:val="18"/>
                <w:color w:val="0000FF"/>
              </w:rPr>
              <w:t>Reserved</w:t>
            </w:r>
          </w:p>
        </w:tc>
        <w:tc>
          <w:tcPr>
            <w:tcW w:w="940" w:type="dxa"/>
            <w:vAlign w:val="bottom"/>
          </w:tcPr>
          <w:p>
            <w:pPr>
              <w:spacing w:after="0"/>
              <w:rPr>
                <w:sz w:val="17"/>
                <w:szCs w:val="17"/>
                <w:color w:val="auto"/>
              </w:rPr>
            </w:pPr>
          </w:p>
        </w:tc>
        <w:tc>
          <w:tcPr>
            <w:tcW w:w="1220" w:type="dxa"/>
            <w:vAlign w:val="bottom"/>
            <w:gridSpan w:val="2"/>
          </w:tcPr>
          <w:p>
            <w:pPr>
              <w:spacing w:after="0"/>
              <w:rPr>
                <w:sz w:val="17"/>
                <w:szCs w:val="17"/>
                <w:color w:val="auto"/>
              </w:rPr>
            </w:pPr>
          </w:p>
        </w:tc>
        <w:tc>
          <w:tcPr>
            <w:tcW w:w="300" w:type="dxa"/>
            <w:vAlign w:val="bottom"/>
            <w:gridSpan w:val="3"/>
          </w:tcPr>
          <w:p>
            <w:pPr>
              <w:jc w:val="right"/>
              <w:ind w:right="120"/>
              <w:spacing w:after="0" w:line="196" w:lineRule="exact"/>
              <w:rPr>
                <w:sz w:val="20"/>
                <w:szCs w:val="20"/>
                <w:color w:val="auto"/>
              </w:rPr>
            </w:pPr>
            <w:r>
              <w:rPr>
                <w:rFonts w:ascii="Calibri" w:cs="Calibri" w:eastAsia="Calibri" w:hAnsi="Calibri"/>
                <w:sz w:val="18"/>
                <w:szCs w:val="18"/>
                <w:color w:val="0000FF"/>
                <w:w w:val="87"/>
              </w:rPr>
              <w:t>32</w:t>
            </w:r>
          </w:p>
        </w:tc>
      </w:tr>
      <w:tr>
        <w:trPr>
          <w:trHeight w:val="20"/>
        </w:trPr>
        <w:tc>
          <w:tcPr>
            <w:tcW w:w="90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900" w:type="dxa"/>
            <w:vAlign w:val="bottom"/>
          </w:tcPr>
          <w:p>
            <w:pPr>
              <w:ind w:left="20"/>
              <w:spacing w:after="0" w:line="196" w:lineRule="exact"/>
              <w:rPr>
                <w:sz w:val="20"/>
                <w:szCs w:val="20"/>
                <w:color w:val="auto"/>
              </w:rPr>
            </w:pPr>
            <w:r>
              <w:rPr>
                <w:rFonts w:ascii="Calibri" w:cs="Calibri" w:eastAsia="Calibri" w:hAnsi="Calibri"/>
                <w:sz w:val="18"/>
                <w:szCs w:val="18"/>
                <w:color w:val="auto"/>
              </w:rPr>
              <w:t>Item 7.</w:t>
            </w:r>
          </w:p>
        </w:tc>
        <w:tc>
          <w:tcPr>
            <w:tcW w:w="8820" w:type="dxa"/>
            <w:vAlign w:val="bottom"/>
            <w:gridSpan w:val="35"/>
          </w:tcPr>
          <w:p>
            <w:pPr>
              <w:spacing w:after="0" w:line="196" w:lineRule="exact"/>
              <w:rPr>
                <w:sz w:val="20"/>
                <w:szCs w:val="20"/>
                <w:color w:val="auto"/>
              </w:rPr>
            </w:pPr>
            <w:r>
              <w:rPr>
                <w:rFonts w:ascii="Calibri" w:cs="Calibri" w:eastAsia="Calibri" w:hAnsi="Calibri"/>
                <w:sz w:val="18"/>
                <w:szCs w:val="18"/>
                <w:color w:val="0000FF"/>
              </w:rPr>
              <w:t>Management's Discussion and Analysis of Financial Conditon and Results of Operatons</w:t>
            </w:r>
          </w:p>
        </w:tc>
        <w:tc>
          <w:tcPr>
            <w:tcW w:w="1520" w:type="dxa"/>
            <w:vAlign w:val="bottom"/>
            <w:gridSpan w:val="5"/>
          </w:tcPr>
          <w:p>
            <w:pPr>
              <w:jc w:val="right"/>
              <w:ind w:right="120"/>
              <w:spacing w:after="0" w:line="196" w:lineRule="exact"/>
              <w:rPr>
                <w:sz w:val="20"/>
                <w:szCs w:val="20"/>
                <w:color w:val="auto"/>
              </w:rPr>
            </w:pPr>
            <w:r>
              <w:rPr>
                <w:rFonts w:ascii="Calibri" w:cs="Calibri" w:eastAsia="Calibri" w:hAnsi="Calibri"/>
                <w:sz w:val="18"/>
                <w:szCs w:val="18"/>
                <w:color w:val="0000FF"/>
              </w:rPr>
              <w:t>33</w:t>
            </w:r>
          </w:p>
        </w:tc>
      </w:tr>
      <w:tr>
        <w:trPr>
          <w:trHeight w:val="20"/>
        </w:trPr>
        <w:tc>
          <w:tcPr>
            <w:tcW w:w="9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6240" w:type="dxa"/>
            <w:vAlign w:val="bottom"/>
            <w:gridSpan w:val="31"/>
          </w:tcPr>
          <w:p>
            <w:pPr>
              <w:spacing w:after="0" w:line="196" w:lineRule="exact"/>
              <w:rPr>
                <w:sz w:val="20"/>
                <w:szCs w:val="20"/>
                <w:color w:val="auto"/>
              </w:rPr>
            </w:pPr>
            <w:r>
              <w:rPr>
                <w:rFonts w:ascii="Calibri" w:cs="Calibri" w:eastAsia="Calibri" w:hAnsi="Calibri"/>
                <w:sz w:val="18"/>
                <w:szCs w:val="18"/>
                <w:color w:val="0000FF"/>
              </w:rPr>
              <w:t>Liquidity and Capital Resources</w:t>
            </w:r>
          </w:p>
        </w:tc>
        <w:tc>
          <w:tcPr>
            <w:tcW w:w="2580" w:type="dxa"/>
            <w:vAlign w:val="bottom"/>
            <w:gridSpan w:val="4"/>
          </w:tcPr>
          <w:p>
            <w:pPr>
              <w:spacing w:after="0"/>
              <w:rPr>
                <w:sz w:val="17"/>
                <w:szCs w:val="17"/>
                <w:color w:val="auto"/>
              </w:rPr>
            </w:pPr>
          </w:p>
        </w:tc>
        <w:tc>
          <w:tcPr>
            <w:tcW w:w="1220" w:type="dxa"/>
            <w:vAlign w:val="bottom"/>
            <w:gridSpan w:val="2"/>
          </w:tcPr>
          <w:p>
            <w:pPr>
              <w:spacing w:after="0"/>
              <w:rPr>
                <w:sz w:val="17"/>
                <w:szCs w:val="17"/>
                <w:color w:val="auto"/>
              </w:rPr>
            </w:pPr>
          </w:p>
        </w:tc>
        <w:tc>
          <w:tcPr>
            <w:tcW w:w="300" w:type="dxa"/>
            <w:vAlign w:val="bottom"/>
            <w:gridSpan w:val="3"/>
          </w:tcPr>
          <w:p>
            <w:pPr>
              <w:jc w:val="right"/>
              <w:ind w:right="120"/>
              <w:spacing w:after="0" w:line="196" w:lineRule="exact"/>
              <w:rPr>
                <w:sz w:val="20"/>
                <w:szCs w:val="20"/>
                <w:color w:val="auto"/>
              </w:rPr>
            </w:pPr>
            <w:r>
              <w:rPr>
                <w:rFonts w:ascii="Calibri" w:cs="Calibri" w:eastAsia="Calibri" w:hAnsi="Calibri"/>
                <w:sz w:val="18"/>
                <w:szCs w:val="18"/>
                <w:color w:val="0000FF"/>
                <w:w w:val="87"/>
              </w:rPr>
              <w:t>41</w:t>
            </w:r>
          </w:p>
        </w:tc>
      </w:tr>
      <w:tr>
        <w:trPr>
          <w:trHeight w:val="20"/>
        </w:trPr>
        <w:tc>
          <w:tcPr>
            <w:tcW w:w="9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900" w:type="dxa"/>
            <w:vAlign w:val="bottom"/>
          </w:tcPr>
          <w:p>
            <w:pPr>
              <w:ind w:left="20"/>
              <w:spacing w:after="0" w:line="196" w:lineRule="exact"/>
              <w:rPr>
                <w:sz w:val="20"/>
                <w:szCs w:val="20"/>
                <w:color w:val="auto"/>
              </w:rPr>
            </w:pPr>
            <w:r>
              <w:rPr>
                <w:rFonts w:ascii="Calibri" w:cs="Calibri" w:eastAsia="Calibri" w:hAnsi="Calibri"/>
                <w:sz w:val="18"/>
                <w:szCs w:val="18"/>
                <w:color w:val="auto"/>
              </w:rPr>
              <w:t>Item 7A.</w:t>
            </w:r>
          </w:p>
        </w:tc>
        <w:tc>
          <w:tcPr>
            <w:tcW w:w="4240" w:type="dxa"/>
            <w:vAlign w:val="bottom"/>
            <w:gridSpan w:val="21"/>
          </w:tcPr>
          <w:p>
            <w:pPr>
              <w:spacing w:after="0" w:line="196" w:lineRule="exact"/>
              <w:rPr>
                <w:sz w:val="20"/>
                <w:szCs w:val="20"/>
                <w:color w:val="auto"/>
              </w:rPr>
            </w:pPr>
            <w:r>
              <w:rPr>
                <w:rFonts w:ascii="Calibri" w:cs="Calibri" w:eastAsia="Calibri" w:hAnsi="Calibri"/>
                <w:sz w:val="18"/>
                <w:szCs w:val="18"/>
                <w:color w:val="0000FF"/>
              </w:rPr>
              <w:t>Quanttatve and Qualitatve Disclosures About Market Risk</w:t>
            </w:r>
          </w:p>
        </w:tc>
        <w:tc>
          <w:tcPr>
            <w:tcW w:w="4580" w:type="dxa"/>
            <w:vAlign w:val="bottom"/>
            <w:gridSpan w:val="14"/>
          </w:tcPr>
          <w:p>
            <w:pPr>
              <w:spacing w:after="0"/>
              <w:rPr>
                <w:sz w:val="17"/>
                <w:szCs w:val="17"/>
                <w:color w:val="auto"/>
              </w:rPr>
            </w:pPr>
          </w:p>
        </w:tc>
        <w:tc>
          <w:tcPr>
            <w:tcW w:w="1220" w:type="dxa"/>
            <w:vAlign w:val="bottom"/>
            <w:gridSpan w:val="2"/>
          </w:tcPr>
          <w:p>
            <w:pPr>
              <w:spacing w:after="0"/>
              <w:rPr>
                <w:sz w:val="17"/>
                <w:szCs w:val="17"/>
                <w:color w:val="auto"/>
              </w:rPr>
            </w:pPr>
          </w:p>
        </w:tc>
        <w:tc>
          <w:tcPr>
            <w:tcW w:w="300" w:type="dxa"/>
            <w:vAlign w:val="bottom"/>
            <w:gridSpan w:val="3"/>
          </w:tcPr>
          <w:p>
            <w:pPr>
              <w:jc w:val="right"/>
              <w:ind w:right="120"/>
              <w:spacing w:after="0" w:line="196" w:lineRule="exact"/>
              <w:rPr>
                <w:sz w:val="20"/>
                <w:szCs w:val="20"/>
                <w:color w:val="auto"/>
              </w:rPr>
            </w:pPr>
            <w:r>
              <w:rPr>
                <w:rFonts w:ascii="Calibri" w:cs="Calibri" w:eastAsia="Calibri" w:hAnsi="Calibri"/>
                <w:sz w:val="18"/>
                <w:szCs w:val="18"/>
                <w:color w:val="0000FF"/>
                <w:w w:val="87"/>
              </w:rPr>
              <w:t>51</w:t>
            </w:r>
          </w:p>
        </w:tc>
      </w:tr>
      <w:tr>
        <w:trPr>
          <w:trHeight w:val="20"/>
        </w:trPr>
        <w:tc>
          <w:tcPr>
            <w:tcW w:w="900" w:type="dxa"/>
            <w:vAlign w:val="bottom"/>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900" w:type="dxa"/>
            <w:vAlign w:val="bottom"/>
          </w:tcPr>
          <w:p>
            <w:pPr>
              <w:ind w:left="20"/>
              <w:spacing w:after="0" w:line="196" w:lineRule="exact"/>
              <w:rPr>
                <w:sz w:val="20"/>
                <w:szCs w:val="20"/>
                <w:color w:val="auto"/>
              </w:rPr>
            </w:pPr>
            <w:r>
              <w:rPr>
                <w:rFonts w:ascii="Calibri" w:cs="Calibri" w:eastAsia="Calibri" w:hAnsi="Calibri"/>
                <w:sz w:val="18"/>
                <w:szCs w:val="18"/>
                <w:color w:val="auto"/>
              </w:rPr>
              <w:t>Item 8.</w:t>
            </w:r>
          </w:p>
        </w:tc>
        <w:tc>
          <w:tcPr>
            <w:tcW w:w="4240" w:type="dxa"/>
            <w:vAlign w:val="bottom"/>
            <w:gridSpan w:val="21"/>
          </w:tcPr>
          <w:p>
            <w:pPr>
              <w:spacing w:after="0" w:line="196" w:lineRule="exact"/>
              <w:rPr>
                <w:sz w:val="20"/>
                <w:szCs w:val="20"/>
                <w:color w:val="auto"/>
              </w:rPr>
            </w:pPr>
            <w:r>
              <w:rPr>
                <w:rFonts w:ascii="Calibri" w:cs="Calibri" w:eastAsia="Calibri" w:hAnsi="Calibri"/>
                <w:sz w:val="18"/>
                <w:szCs w:val="18"/>
                <w:color w:val="0000FF"/>
              </w:rPr>
              <w:t>Financial Statements and Supplementary Data</w:t>
            </w:r>
          </w:p>
        </w:tc>
        <w:tc>
          <w:tcPr>
            <w:tcW w:w="4580" w:type="dxa"/>
            <w:vAlign w:val="bottom"/>
            <w:gridSpan w:val="14"/>
          </w:tcPr>
          <w:p>
            <w:pPr>
              <w:spacing w:after="0"/>
              <w:rPr>
                <w:sz w:val="17"/>
                <w:szCs w:val="17"/>
                <w:color w:val="auto"/>
              </w:rPr>
            </w:pPr>
          </w:p>
        </w:tc>
        <w:tc>
          <w:tcPr>
            <w:tcW w:w="1220" w:type="dxa"/>
            <w:vAlign w:val="bottom"/>
            <w:gridSpan w:val="2"/>
          </w:tcPr>
          <w:p>
            <w:pPr>
              <w:spacing w:after="0"/>
              <w:rPr>
                <w:sz w:val="17"/>
                <w:szCs w:val="17"/>
                <w:color w:val="auto"/>
              </w:rPr>
            </w:pPr>
          </w:p>
        </w:tc>
        <w:tc>
          <w:tcPr>
            <w:tcW w:w="300" w:type="dxa"/>
            <w:vAlign w:val="bottom"/>
            <w:gridSpan w:val="3"/>
          </w:tcPr>
          <w:p>
            <w:pPr>
              <w:jc w:val="right"/>
              <w:ind w:right="120"/>
              <w:spacing w:after="0" w:line="196" w:lineRule="exact"/>
              <w:rPr>
                <w:sz w:val="20"/>
                <w:szCs w:val="20"/>
                <w:color w:val="auto"/>
              </w:rPr>
            </w:pPr>
            <w:r>
              <w:rPr>
                <w:rFonts w:ascii="Calibri" w:cs="Calibri" w:eastAsia="Calibri" w:hAnsi="Calibri"/>
                <w:sz w:val="18"/>
                <w:szCs w:val="18"/>
                <w:color w:val="0000FF"/>
                <w:w w:val="87"/>
              </w:rPr>
              <w:t>52</w:t>
            </w:r>
          </w:p>
        </w:tc>
      </w:tr>
      <w:tr>
        <w:trPr>
          <w:trHeight w:val="20"/>
        </w:trPr>
        <w:tc>
          <w:tcPr>
            <w:tcW w:w="9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900" w:type="dxa"/>
            <w:vAlign w:val="bottom"/>
          </w:tcPr>
          <w:p>
            <w:pPr>
              <w:ind w:left="20"/>
              <w:spacing w:after="0" w:line="196" w:lineRule="exact"/>
              <w:rPr>
                <w:sz w:val="20"/>
                <w:szCs w:val="20"/>
                <w:color w:val="auto"/>
              </w:rPr>
            </w:pPr>
            <w:r>
              <w:rPr>
                <w:rFonts w:ascii="Calibri" w:cs="Calibri" w:eastAsia="Calibri" w:hAnsi="Calibri"/>
                <w:sz w:val="18"/>
                <w:szCs w:val="18"/>
                <w:color w:val="auto"/>
              </w:rPr>
              <w:t>Item 9.</w:t>
            </w:r>
          </w:p>
        </w:tc>
        <w:tc>
          <w:tcPr>
            <w:tcW w:w="8820" w:type="dxa"/>
            <w:vAlign w:val="bottom"/>
            <w:gridSpan w:val="35"/>
          </w:tcPr>
          <w:p>
            <w:pPr>
              <w:spacing w:after="0" w:line="196" w:lineRule="exact"/>
              <w:rPr>
                <w:sz w:val="20"/>
                <w:szCs w:val="20"/>
                <w:color w:val="auto"/>
              </w:rPr>
            </w:pPr>
            <w:r>
              <w:rPr>
                <w:rFonts w:ascii="Calibri" w:cs="Calibri" w:eastAsia="Calibri" w:hAnsi="Calibri"/>
                <w:sz w:val="18"/>
                <w:szCs w:val="18"/>
                <w:color w:val="0000FF"/>
              </w:rPr>
              <w:t>Changes in and Disagreements With Accountants on Accountng and Financial Disclosure</w:t>
            </w:r>
          </w:p>
        </w:tc>
        <w:tc>
          <w:tcPr>
            <w:tcW w:w="1520" w:type="dxa"/>
            <w:vAlign w:val="bottom"/>
            <w:gridSpan w:val="5"/>
          </w:tcPr>
          <w:p>
            <w:pPr>
              <w:jc w:val="right"/>
              <w:ind w:right="120"/>
              <w:spacing w:after="0" w:line="196" w:lineRule="exact"/>
              <w:rPr>
                <w:sz w:val="20"/>
                <w:szCs w:val="20"/>
                <w:color w:val="auto"/>
              </w:rPr>
            </w:pPr>
            <w:r>
              <w:rPr>
                <w:rFonts w:ascii="Calibri" w:cs="Calibri" w:eastAsia="Calibri" w:hAnsi="Calibri"/>
                <w:sz w:val="18"/>
                <w:szCs w:val="18"/>
                <w:color w:val="0000FF"/>
              </w:rPr>
              <w:t>115</w:t>
            </w:r>
          </w:p>
        </w:tc>
      </w:tr>
      <w:tr>
        <w:trPr>
          <w:trHeight w:val="20"/>
        </w:trPr>
        <w:tc>
          <w:tcPr>
            <w:tcW w:w="900" w:type="dxa"/>
            <w:vAlign w:val="bottom"/>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900" w:type="dxa"/>
            <w:vAlign w:val="bottom"/>
          </w:tcPr>
          <w:p>
            <w:pPr>
              <w:ind w:left="20"/>
              <w:spacing w:after="0" w:line="196" w:lineRule="exact"/>
              <w:rPr>
                <w:sz w:val="20"/>
                <w:szCs w:val="20"/>
                <w:color w:val="auto"/>
              </w:rPr>
            </w:pPr>
            <w:r>
              <w:rPr>
                <w:rFonts w:ascii="Calibri" w:cs="Calibri" w:eastAsia="Calibri" w:hAnsi="Calibri"/>
                <w:sz w:val="18"/>
                <w:szCs w:val="18"/>
                <w:color w:val="auto"/>
              </w:rPr>
              <w:t>Item 9A.</w:t>
            </w:r>
          </w:p>
        </w:tc>
        <w:tc>
          <w:tcPr>
            <w:tcW w:w="6320" w:type="dxa"/>
            <w:vAlign w:val="bottom"/>
            <w:gridSpan w:val="32"/>
          </w:tcPr>
          <w:p>
            <w:pPr>
              <w:spacing w:after="0" w:line="196" w:lineRule="exact"/>
              <w:rPr>
                <w:sz w:val="20"/>
                <w:szCs w:val="20"/>
                <w:color w:val="auto"/>
              </w:rPr>
            </w:pPr>
            <w:r>
              <w:rPr>
                <w:rFonts w:ascii="Calibri" w:cs="Calibri" w:eastAsia="Calibri" w:hAnsi="Calibri"/>
                <w:sz w:val="18"/>
                <w:szCs w:val="18"/>
                <w:color w:val="0000FF"/>
              </w:rPr>
              <w:t>Controls and Procedures</w:t>
            </w:r>
          </w:p>
        </w:tc>
        <w:tc>
          <w:tcPr>
            <w:tcW w:w="2500" w:type="dxa"/>
            <w:vAlign w:val="bottom"/>
            <w:gridSpan w:val="3"/>
          </w:tcPr>
          <w:p>
            <w:pPr>
              <w:spacing w:after="0"/>
              <w:rPr>
                <w:sz w:val="17"/>
                <w:szCs w:val="17"/>
                <w:color w:val="auto"/>
              </w:rPr>
            </w:pPr>
          </w:p>
        </w:tc>
        <w:tc>
          <w:tcPr>
            <w:tcW w:w="1520" w:type="dxa"/>
            <w:vAlign w:val="bottom"/>
            <w:gridSpan w:val="5"/>
          </w:tcPr>
          <w:p>
            <w:pPr>
              <w:jc w:val="right"/>
              <w:ind w:right="120"/>
              <w:spacing w:after="0" w:line="196" w:lineRule="exact"/>
              <w:rPr>
                <w:sz w:val="20"/>
                <w:szCs w:val="20"/>
                <w:color w:val="auto"/>
              </w:rPr>
            </w:pPr>
            <w:r>
              <w:rPr>
                <w:rFonts w:ascii="Calibri" w:cs="Calibri" w:eastAsia="Calibri" w:hAnsi="Calibri"/>
                <w:sz w:val="18"/>
                <w:szCs w:val="18"/>
                <w:color w:val="0000FF"/>
              </w:rPr>
              <w:t>115</w:t>
            </w:r>
          </w:p>
        </w:tc>
      </w:tr>
      <w:tr>
        <w:trPr>
          <w:trHeight w:val="20"/>
        </w:trPr>
        <w:tc>
          <w:tcPr>
            <w:tcW w:w="900" w:type="dxa"/>
            <w:vAlign w:val="bottom"/>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900" w:type="dxa"/>
            <w:vAlign w:val="bottom"/>
          </w:tcPr>
          <w:p>
            <w:pPr>
              <w:ind w:left="20"/>
              <w:spacing w:after="0" w:line="196" w:lineRule="exact"/>
              <w:rPr>
                <w:sz w:val="20"/>
                <w:szCs w:val="20"/>
                <w:color w:val="auto"/>
              </w:rPr>
            </w:pPr>
            <w:r>
              <w:rPr>
                <w:rFonts w:ascii="Calibri" w:cs="Calibri" w:eastAsia="Calibri" w:hAnsi="Calibri"/>
                <w:sz w:val="18"/>
                <w:szCs w:val="18"/>
                <w:color w:val="auto"/>
              </w:rPr>
              <w:t>Item 9B.</w:t>
            </w:r>
          </w:p>
        </w:tc>
        <w:tc>
          <w:tcPr>
            <w:tcW w:w="1320" w:type="dxa"/>
            <w:vAlign w:val="bottom"/>
            <w:gridSpan w:val="10"/>
          </w:tcPr>
          <w:p>
            <w:pPr>
              <w:spacing w:after="0" w:line="196" w:lineRule="exact"/>
              <w:rPr>
                <w:sz w:val="20"/>
                <w:szCs w:val="20"/>
                <w:color w:val="auto"/>
              </w:rPr>
            </w:pPr>
            <w:r>
              <w:rPr>
                <w:rFonts w:ascii="Calibri" w:cs="Calibri" w:eastAsia="Calibri" w:hAnsi="Calibri"/>
                <w:sz w:val="18"/>
                <w:szCs w:val="18"/>
                <w:color w:val="0000FF"/>
              </w:rPr>
              <w:t>Other Informaton</w:t>
            </w:r>
          </w:p>
        </w:tc>
        <w:tc>
          <w:tcPr>
            <w:tcW w:w="440" w:type="dxa"/>
            <w:vAlign w:val="bottom"/>
            <w:gridSpan w:val="3"/>
          </w:tcPr>
          <w:p>
            <w:pPr>
              <w:spacing w:after="0"/>
              <w:rPr>
                <w:sz w:val="17"/>
                <w:szCs w:val="17"/>
                <w:color w:val="auto"/>
              </w:rPr>
            </w:pPr>
          </w:p>
        </w:tc>
        <w:tc>
          <w:tcPr>
            <w:tcW w:w="7060" w:type="dxa"/>
            <w:vAlign w:val="bottom"/>
            <w:gridSpan w:val="22"/>
          </w:tcPr>
          <w:p>
            <w:pPr>
              <w:spacing w:after="0"/>
              <w:rPr>
                <w:sz w:val="17"/>
                <w:szCs w:val="17"/>
                <w:color w:val="auto"/>
              </w:rPr>
            </w:pPr>
          </w:p>
        </w:tc>
        <w:tc>
          <w:tcPr>
            <w:tcW w:w="1520" w:type="dxa"/>
            <w:vAlign w:val="bottom"/>
            <w:gridSpan w:val="5"/>
          </w:tcPr>
          <w:p>
            <w:pPr>
              <w:jc w:val="right"/>
              <w:ind w:right="120"/>
              <w:spacing w:after="0" w:line="196" w:lineRule="exact"/>
              <w:rPr>
                <w:sz w:val="20"/>
                <w:szCs w:val="20"/>
                <w:color w:val="auto"/>
              </w:rPr>
            </w:pPr>
            <w:r>
              <w:rPr>
                <w:rFonts w:ascii="Calibri" w:cs="Calibri" w:eastAsia="Calibri" w:hAnsi="Calibri"/>
                <w:sz w:val="18"/>
                <w:szCs w:val="18"/>
                <w:color w:val="0000FF"/>
              </w:rPr>
              <w:t>116</w:t>
            </w:r>
          </w:p>
        </w:tc>
      </w:tr>
      <w:tr>
        <w:trPr>
          <w:trHeight w:val="20"/>
        </w:trPr>
        <w:tc>
          <w:tcPr>
            <w:tcW w:w="900" w:type="dxa"/>
            <w:vAlign w:val="bottom"/>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900" w:type="dxa"/>
            <w:vAlign w:val="bottom"/>
          </w:tcPr>
          <w:p>
            <w:pPr>
              <w:ind w:left="20"/>
              <w:spacing w:after="0" w:line="196" w:lineRule="exact"/>
              <w:rPr>
                <w:sz w:val="20"/>
                <w:szCs w:val="20"/>
                <w:color w:val="auto"/>
              </w:rPr>
            </w:pPr>
            <w:r>
              <w:rPr>
                <w:rFonts w:ascii="Calibri" w:cs="Calibri" w:eastAsia="Calibri" w:hAnsi="Calibri"/>
                <w:sz w:val="18"/>
                <w:szCs w:val="18"/>
                <w:color w:val="auto"/>
              </w:rPr>
              <w:t>Item 9C.</w:t>
            </w:r>
          </w:p>
        </w:tc>
        <w:tc>
          <w:tcPr>
            <w:tcW w:w="8820" w:type="dxa"/>
            <w:vAlign w:val="bottom"/>
            <w:gridSpan w:val="35"/>
          </w:tcPr>
          <w:p>
            <w:pPr>
              <w:spacing w:after="0" w:line="196" w:lineRule="exact"/>
              <w:rPr>
                <w:sz w:val="20"/>
                <w:szCs w:val="20"/>
                <w:color w:val="auto"/>
              </w:rPr>
            </w:pPr>
            <w:r>
              <w:rPr>
                <w:rFonts w:ascii="Calibri" w:cs="Calibri" w:eastAsia="Calibri" w:hAnsi="Calibri"/>
                <w:sz w:val="18"/>
                <w:szCs w:val="18"/>
                <w:color w:val="0000FF"/>
              </w:rPr>
              <w:t>Disclosure Regarding Foreign Jurisdictons that Prevent Inspectons</w:t>
            </w:r>
          </w:p>
        </w:tc>
        <w:tc>
          <w:tcPr>
            <w:tcW w:w="1520" w:type="dxa"/>
            <w:vAlign w:val="bottom"/>
            <w:gridSpan w:val="5"/>
          </w:tcPr>
          <w:p>
            <w:pPr>
              <w:jc w:val="right"/>
              <w:ind w:right="120"/>
              <w:spacing w:after="0" w:line="196" w:lineRule="exact"/>
              <w:rPr>
                <w:sz w:val="20"/>
                <w:szCs w:val="20"/>
                <w:color w:val="auto"/>
              </w:rPr>
            </w:pPr>
            <w:r>
              <w:rPr>
                <w:rFonts w:ascii="Calibri" w:cs="Calibri" w:eastAsia="Calibri" w:hAnsi="Calibri"/>
                <w:sz w:val="18"/>
                <w:szCs w:val="18"/>
                <w:color w:val="0000FF"/>
              </w:rPr>
              <w:t>116</w:t>
            </w:r>
          </w:p>
        </w:tc>
      </w:tr>
      <w:tr>
        <w:trPr>
          <w:trHeight w:val="20"/>
        </w:trPr>
        <w:tc>
          <w:tcPr>
            <w:tcW w:w="9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12"/>
        </w:trPr>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0" w:type="dxa"/>
            <w:vAlign w:val="bottom"/>
            <w:gridSpan w:val="13"/>
          </w:tcPr>
          <w:p>
            <w:pPr>
              <w:jc w:val="center"/>
              <w:ind w:right="3900"/>
              <w:spacing w:after="0"/>
              <w:rPr>
                <w:sz w:val="20"/>
                <w:szCs w:val="20"/>
                <w:color w:val="auto"/>
              </w:rPr>
            </w:pPr>
            <w:r>
              <w:rPr>
                <w:rFonts w:ascii="Calibri" w:cs="Calibri" w:eastAsia="Calibri" w:hAnsi="Calibri"/>
                <w:sz w:val="18"/>
                <w:szCs w:val="18"/>
                <w:b w:val="1"/>
                <w:bCs w:val="1"/>
                <w:color w:val="0000FF"/>
              </w:rPr>
              <w:t>Part III</w:t>
            </w: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2"/>
        </w:trPr>
        <w:tc>
          <w:tcPr>
            <w:tcW w:w="900" w:type="dxa"/>
            <w:vAlign w:val="bottom"/>
          </w:tcPr>
          <w:p>
            <w:pPr>
              <w:ind w:left="20"/>
              <w:spacing w:after="0"/>
              <w:rPr>
                <w:sz w:val="20"/>
                <w:szCs w:val="20"/>
                <w:color w:val="auto"/>
              </w:rPr>
            </w:pPr>
            <w:r>
              <w:rPr>
                <w:rFonts w:ascii="Calibri" w:cs="Calibri" w:eastAsia="Calibri" w:hAnsi="Calibri"/>
                <w:sz w:val="18"/>
                <w:szCs w:val="18"/>
                <w:color w:val="auto"/>
              </w:rPr>
              <w:t>Item 10.</w:t>
            </w:r>
          </w:p>
        </w:tc>
        <w:tc>
          <w:tcPr>
            <w:tcW w:w="4420" w:type="dxa"/>
            <w:vAlign w:val="bottom"/>
            <w:gridSpan w:val="22"/>
          </w:tcPr>
          <w:p>
            <w:pPr>
              <w:spacing w:after="0"/>
              <w:rPr>
                <w:sz w:val="20"/>
                <w:szCs w:val="20"/>
                <w:color w:val="auto"/>
              </w:rPr>
            </w:pPr>
            <w:r>
              <w:rPr>
                <w:rFonts w:ascii="Calibri" w:cs="Calibri" w:eastAsia="Calibri" w:hAnsi="Calibri"/>
                <w:sz w:val="18"/>
                <w:szCs w:val="18"/>
                <w:color w:val="0000FF"/>
              </w:rPr>
              <w:t>Directors, Executve Ofcers and Corporate Governance</w:t>
            </w:r>
          </w:p>
        </w:tc>
        <w:tc>
          <w:tcPr>
            <w:tcW w:w="480" w:type="dxa"/>
            <w:vAlign w:val="bottom"/>
            <w:tcBorders>
              <w:top w:val="single" w:sz="8" w:color="0000EE"/>
            </w:tcBorders>
            <w:gridSpan w:val="6"/>
          </w:tcPr>
          <w:p>
            <w:pPr>
              <w:spacing w:after="0"/>
              <w:rPr>
                <w:sz w:val="24"/>
                <w:szCs w:val="24"/>
                <w:color w:val="auto"/>
              </w:rPr>
            </w:pPr>
          </w:p>
        </w:tc>
        <w:tc>
          <w:tcPr>
            <w:tcW w:w="3920" w:type="dxa"/>
            <w:vAlign w:val="bottom"/>
            <w:gridSpan w:val="7"/>
          </w:tcPr>
          <w:p>
            <w:pPr>
              <w:spacing w:after="0"/>
              <w:rPr>
                <w:sz w:val="24"/>
                <w:szCs w:val="24"/>
                <w:color w:val="auto"/>
              </w:rPr>
            </w:pPr>
          </w:p>
        </w:tc>
        <w:tc>
          <w:tcPr>
            <w:tcW w:w="1520" w:type="dxa"/>
            <w:vAlign w:val="bottom"/>
            <w:gridSpan w:val="5"/>
          </w:tcPr>
          <w:p>
            <w:pPr>
              <w:jc w:val="right"/>
              <w:ind w:right="120"/>
              <w:spacing w:after="0"/>
              <w:rPr>
                <w:sz w:val="20"/>
                <w:szCs w:val="20"/>
                <w:color w:val="auto"/>
              </w:rPr>
            </w:pPr>
            <w:r>
              <w:rPr>
                <w:rFonts w:ascii="Calibri" w:cs="Calibri" w:eastAsia="Calibri" w:hAnsi="Calibri"/>
                <w:sz w:val="18"/>
                <w:szCs w:val="18"/>
                <w:color w:val="0000FF"/>
              </w:rPr>
              <w:t>117</w:t>
            </w:r>
          </w:p>
        </w:tc>
      </w:tr>
      <w:tr>
        <w:trPr>
          <w:trHeight w:val="20"/>
        </w:trPr>
        <w:tc>
          <w:tcPr>
            <w:tcW w:w="9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900" w:type="dxa"/>
            <w:vAlign w:val="bottom"/>
          </w:tcPr>
          <w:p>
            <w:pPr>
              <w:ind w:left="20"/>
              <w:spacing w:after="0" w:line="196" w:lineRule="exact"/>
              <w:rPr>
                <w:sz w:val="20"/>
                <w:szCs w:val="20"/>
                <w:color w:val="auto"/>
              </w:rPr>
            </w:pPr>
            <w:r>
              <w:rPr>
                <w:rFonts w:ascii="Calibri" w:cs="Calibri" w:eastAsia="Calibri" w:hAnsi="Calibri"/>
                <w:sz w:val="18"/>
                <w:szCs w:val="18"/>
                <w:color w:val="auto"/>
              </w:rPr>
              <w:t>Item 11.</w:t>
            </w:r>
          </w:p>
        </w:tc>
        <w:tc>
          <w:tcPr>
            <w:tcW w:w="3980" w:type="dxa"/>
            <w:vAlign w:val="bottom"/>
            <w:gridSpan w:val="20"/>
          </w:tcPr>
          <w:p>
            <w:pPr>
              <w:spacing w:after="0" w:line="196" w:lineRule="exact"/>
              <w:rPr>
                <w:sz w:val="20"/>
                <w:szCs w:val="20"/>
                <w:color w:val="auto"/>
              </w:rPr>
            </w:pPr>
            <w:r>
              <w:rPr>
                <w:rFonts w:ascii="Calibri" w:cs="Calibri" w:eastAsia="Calibri" w:hAnsi="Calibri"/>
                <w:sz w:val="18"/>
                <w:szCs w:val="18"/>
                <w:color w:val="0000FF"/>
              </w:rPr>
              <w:t>Executve Compensaton</w:t>
            </w:r>
          </w:p>
        </w:tc>
        <w:tc>
          <w:tcPr>
            <w:tcW w:w="4840" w:type="dxa"/>
            <w:vAlign w:val="bottom"/>
            <w:gridSpan w:val="15"/>
          </w:tcPr>
          <w:p>
            <w:pPr>
              <w:spacing w:after="0"/>
              <w:rPr>
                <w:sz w:val="17"/>
                <w:szCs w:val="17"/>
                <w:color w:val="auto"/>
              </w:rPr>
            </w:pPr>
          </w:p>
        </w:tc>
        <w:tc>
          <w:tcPr>
            <w:tcW w:w="1520" w:type="dxa"/>
            <w:vAlign w:val="bottom"/>
            <w:gridSpan w:val="5"/>
          </w:tcPr>
          <w:p>
            <w:pPr>
              <w:jc w:val="right"/>
              <w:ind w:right="120"/>
              <w:spacing w:after="0" w:line="196" w:lineRule="exact"/>
              <w:rPr>
                <w:sz w:val="20"/>
                <w:szCs w:val="20"/>
                <w:color w:val="auto"/>
              </w:rPr>
            </w:pPr>
            <w:r>
              <w:rPr>
                <w:rFonts w:ascii="Calibri" w:cs="Calibri" w:eastAsia="Calibri" w:hAnsi="Calibri"/>
                <w:sz w:val="18"/>
                <w:szCs w:val="18"/>
                <w:color w:val="0000FF"/>
              </w:rPr>
              <w:t>117</w:t>
            </w:r>
          </w:p>
        </w:tc>
      </w:tr>
      <w:tr>
        <w:trPr>
          <w:trHeight w:val="20"/>
        </w:trPr>
        <w:tc>
          <w:tcPr>
            <w:tcW w:w="900" w:type="dxa"/>
            <w:vAlign w:val="bottom"/>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500" w:type="dxa"/>
            <w:vAlign w:val="bottom"/>
            <w:gridSpan w:val="7"/>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900" w:type="dxa"/>
            <w:vAlign w:val="bottom"/>
          </w:tcPr>
          <w:p>
            <w:pPr>
              <w:ind w:left="20"/>
              <w:spacing w:after="0" w:line="196" w:lineRule="exact"/>
              <w:rPr>
                <w:sz w:val="20"/>
                <w:szCs w:val="20"/>
                <w:color w:val="auto"/>
              </w:rPr>
            </w:pPr>
            <w:r>
              <w:rPr>
                <w:rFonts w:ascii="Calibri" w:cs="Calibri" w:eastAsia="Calibri" w:hAnsi="Calibri"/>
                <w:sz w:val="18"/>
                <w:szCs w:val="18"/>
                <w:color w:val="auto"/>
              </w:rPr>
              <w:t>Item 12.</w:t>
            </w:r>
          </w:p>
        </w:tc>
        <w:tc>
          <w:tcPr>
            <w:tcW w:w="7160" w:type="dxa"/>
            <w:vAlign w:val="bottom"/>
            <w:gridSpan w:val="33"/>
          </w:tcPr>
          <w:p>
            <w:pPr>
              <w:spacing w:after="0" w:line="196" w:lineRule="exact"/>
              <w:rPr>
                <w:sz w:val="20"/>
                <w:szCs w:val="20"/>
                <w:color w:val="auto"/>
              </w:rPr>
            </w:pPr>
            <w:r>
              <w:rPr>
                <w:rFonts w:ascii="Calibri" w:cs="Calibri" w:eastAsia="Calibri" w:hAnsi="Calibri"/>
                <w:sz w:val="18"/>
                <w:szCs w:val="18"/>
                <w:color w:val="0000FF"/>
                <w:w w:val="98"/>
              </w:rPr>
              <w:t>Security Ownership of Certain Benefcial Owners and Management and Related Stockholder Maters</w:t>
            </w:r>
          </w:p>
        </w:tc>
        <w:tc>
          <w:tcPr>
            <w:tcW w:w="1660" w:type="dxa"/>
            <w:vAlign w:val="bottom"/>
            <w:gridSpan w:val="2"/>
          </w:tcPr>
          <w:p>
            <w:pPr>
              <w:spacing w:after="0"/>
              <w:rPr>
                <w:sz w:val="17"/>
                <w:szCs w:val="17"/>
                <w:color w:val="auto"/>
              </w:rPr>
            </w:pPr>
          </w:p>
        </w:tc>
        <w:tc>
          <w:tcPr>
            <w:tcW w:w="1520" w:type="dxa"/>
            <w:vAlign w:val="bottom"/>
            <w:gridSpan w:val="5"/>
          </w:tcPr>
          <w:p>
            <w:pPr>
              <w:jc w:val="right"/>
              <w:ind w:right="120"/>
              <w:spacing w:after="0" w:line="196" w:lineRule="exact"/>
              <w:rPr>
                <w:sz w:val="20"/>
                <w:szCs w:val="20"/>
                <w:color w:val="auto"/>
              </w:rPr>
            </w:pPr>
            <w:r>
              <w:rPr>
                <w:rFonts w:ascii="Calibri" w:cs="Calibri" w:eastAsia="Calibri" w:hAnsi="Calibri"/>
                <w:sz w:val="18"/>
                <w:szCs w:val="18"/>
                <w:color w:val="0000FF"/>
              </w:rPr>
              <w:t>118</w:t>
            </w:r>
          </w:p>
        </w:tc>
      </w:tr>
      <w:tr>
        <w:trPr>
          <w:trHeight w:val="20"/>
        </w:trPr>
        <w:tc>
          <w:tcPr>
            <w:tcW w:w="900" w:type="dxa"/>
            <w:vAlign w:val="bottom"/>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500" w:type="dxa"/>
            <w:vAlign w:val="bottom"/>
            <w:gridSpan w:val="7"/>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780" w:type="dxa"/>
            <w:vAlign w:val="bottom"/>
            <w:gridSpan w:val="3"/>
            <w:shd w:val="clear" w:color="auto" w:fill="0000EE"/>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900" w:type="dxa"/>
            <w:vAlign w:val="bottom"/>
          </w:tcPr>
          <w:p>
            <w:pPr>
              <w:ind w:left="20"/>
              <w:spacing w:after="0" w:line="196" w:lineRule="exact"/>
              <w:rPr>
                <w:sz w:val="20"/>
                <w:szCs w:val="20"/>
                <w:color w:val="auto"/>
              </w:rPr>
            </w:pPr>
            <w:r>
              <w:rPr>
                <w:rFonts w:ascii="Calibri" w:cs="Calibri" w:eastAsia="Calibri" w:hAnsi="Calibri"/>
                <w:sz w:val="18"/>
                <w:szCs w:val="18"/>
                <w:color w:val="auto"/>
              </w:rPr>
              <w:t>Item 13.</w:t>
            </w:r>
          </w:p>
        </w:tc>
        <w:tc>
          <w:tcPr>
            <w:tcW w:w="7160" w:type="dxa"/>
            <w:vAlign w:val="bottom"/>
            <w:gridSpan w:val="33"/>
          </w:tcPr>
          <w:p>
            <w:pPr>
              <w:spacing w:after="0" w:line="196" w:lineRule="exact"/>
              <w:rPr>
                <w:sz w:val="20"/>
                <w:szCs w:val="20"/>
                <w:color w:val="auto"/>
              </w:rPr>
            </w:pPr>
            <w:r>
              <w:rPr>
                <w:rFonts w:ascii="Calibri" w:cs="Calibri" w:eastAsia="Calibri" w:hAnsi="Calibri"/>
                <w:sz w:val="18"/>
                <w:szCs w:val="18"/>
                <w:color w:val="0000FF"/>
              </w:rPr>
              <w:t>Certain Relatonships and Related Transactons, and Director Independence</w:t>
            </w:r>
          </w:p>
        </w:tc>
        <w:tc>
          <w:tcPr>
            <w:tcW w:w="1660" w:type="dxa"/>
            <w:vAlign w:val="bottom"/>
            <w:gridSpan w:val="2"/>
          </w:tcPr>
          <w:p>
            <w:pPr>
              <w:spacing w:after="0"/>
              <w:rPr>
                <w:sz w:val="17"/>
                <w:szCs w:val="17"/>
                <w:color w:val="auto"/>
              </w:rPr>
            </w:pPr>
          </w:p>
        </w:tc>
        <w:tc>
          <w:tcPr>
            <w:tcW w:w="1520" w:type="dxa"/>
            <w:vAlign w:val="bottom"/>
            <w:gridSpan w:val="5"/>
          </w:tcPr>
          <w:p>
            <w:pPr>
              <w:jc w:val="right"/>
              <w:ind w:right="120"/>
              <w:spacing w:after="0" w:line="196" w:lineRule="exact"/>
              <w:rPr>
                <w:sz w:val="20"/>
                <w:szCs w:val="20"/>
                <w:color w:val="auto"/>
              </w:rPr>
            </w:pPr>
            <w:r>
              <w:rPr>
                <w:rFonts w:ascii="Calibri" w:cs="Calibri" w:eastAsia="Calibri" w:hAnsi="Calibri"/>
                <w:sz w:val="18"/>
                <w:szCs w:val="18"/>
                <w:color w:val="0000FF"/>
              </w:rPr>
              <w:t>118</w:t>
            </w:r>
          </w:p>
        </w:tc>
      </w:tr>
      <w:tr>
        <w:trPr>
          <w:trHeight w:val="20"/>
        </w:trPr>
        <w:tc>
          <w:tcPr>
            <w:tcW w:w="9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900" w:type="dxa"/>
            <w:vAlign w:val="bottom"/>
          </w:tcPr>
          <w:p>
            <w:pPr>
              <w:ind w:left="20"/>
              <w:spacing w:after="0" w:line="196" w:lineRule="exact"/>
              <w:rPr>
                <w:sz w:val="20"/>
                <w:szCs w:val="20"/>
                <w:color w:val="auto"/>
              </w:rPr>
            </w:pPr>
            <w:r>
              <w:rPr>
                <w:rFonts w:ascii="Calibri" w:cs="Calibri" w:eastAsia="Calibri" w:hAnsi="Calibri"/>
                <w:sz w:val="18"/>
                <w:szCs w:val="18"/>
                <w:color w:val="auto"/>
              </w:rPr>
              <w:t>Item 14.</w:t>
            </w:r>
          </w:p>
        </w:tc>
        <w:tc>
          <w:tcPr>
            <w:tcW w:w="5380" w:type="dxa"/>
            <w:vAlign w:val="bottom"/>
            <w:gridSpan w:val="30"/>
          </w:tcPr>
          <w:p>
            <w:pPr>
              <w:spacing w:after="0" w:line="196" w:lineRule="exact"/>
              <w:rPr>
                <w:sz w:val="20"/>
                <w:szCs w:val="20"/>
                <w:color w:val="auto"/>
              </w:rPr>
            </w:pPr>
            <w:r>
              <w:rPr>
                <w:rFonts w:ascii="Calibri" w:cs="Calibri" w:eastAsia="Calibri" w:hAnsi="Calibri"/>
                <w:sz w:val="18"/>
                <w:szCs w:val="18"/>
                <w:color w:val="0000FF"/>
              </w:rPr>
              <w:t>Principal Accountant Fees and Services</w:t>
            </w:r>
          </w:p>
        </w:tc>
        <w:tc>
          <w:tcPr>
            <w:tcW w:w="3440" w:type="dxa"/>
            <w:vAlign w:val="bottom"/>
            <w:gridSpan w:val="5"/>
          </w:tcPr>
          <w:p>
            <w:pPr>
              <w:spacing w:after="0"/>
              <w:rPr>
                <w:sz w:val="17"/>
                <w:szCs w:val="17"/>
                <w:color w:val="auto"/>
              </w:rPr>
            </w:pPr>
          </w:p>
        </w:tc>
        <w:tc>
          <w:tcPr>
            <w:tcW w:w="1520" w:type="dxa"/>
            <w:vAlign w:val="bottom"/>
            <w:gridSpan w:val="5"/>
          </w:tcPr>
          <w:p>
            <w:pPr>
              <w:jc w:val="right"/>
              <w:ind w:right="120"/>
              <w:spacing w:after="0" w:line="196" w:lineRule="exact"/>
              <w:rPr>
                <w:sz w:val="20"/>
                <w:szCs w:val="20"/>
                <w:color w:val="auto"/>
              </w:rPr>
            </w:pPr>
            <w:r>
              <w:rPr>
                <w:rFonts w:ascii="Calibri" w:cs="Calibri" w:eastAsia="Calibri" w:hAnsi="Calibri"/>
                <w:sz w:val="18"/>
                <w:szCs w:val="18"/>
                <w:color w:val="0000FF"/>
              </w:rPr>
              <w:t>118</w:t>
            </w:r>
          </w:p>
        </w:tc>
      </w:tr>
      <w:tr>
        <w:trPr>
          <w:trHeight w:val="412"/>
        </w:trPr>
        <w:tc>
          <w:tcPr>
            <w:tcW w:w="900" w:type="dxa"/>
            <w:vAlign w:val="bottom"/>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Borders>
              <w:bottom w:val="single" w:sz="8" w:color="0000EE"/>
            </w:tcBorders>
            <w:gridSpan w:val="7"/>
          </w:tcPr>
          <w:p>
            <w:pPr>
              <w:jc w:val="center"/>
              <w:spacing w:after="0"/>
              <w:rPr>
                <w:sz w:val="20"/>
                <w:szCs w:val="20"/>
                <w:color w:val="auto"/>
              </w:rPr>
            </w:pPr>
            <w:r>
              <w:rPr>
                <w:rFonts w:ascii="Calibri" w:cs="Calibri" w:eastAsia="Calibri" w:hAnsi="Calibri"/>
                <w:sz w:val="18"/>
                <w:szCs w:val="18"/>
                <w:b w:val="1"/>
                <w:bCs w:val="1"/>
                <w:color w:val="0000FF"/>
                <w:w w:val="98"/>
              </w:rPr>
              <w:t>Part IV</w:t>
            </w:r>
          </w:p>
        </w:tc>
        <w:tc>
          <w:tcPr>
            <w:tcW w:w="3900" w:type="dxa"/>
            <w:vAlign w:val="bottom"/>
            <w:gridSpan w:val="6"/>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r>
      <w:tr>
        <w:trPr>
          <w:trHeight w:val="412"/>
        </w:trPr>
        <w:tc>
          <w:tcPr>
            <w:tcW w:w="900" w:type="dxa"/>
            <w:vAlign w:val="bottom"/>
          </w:tcPr>
          <w:p>
            <w:pPr>
              <w:ind w:left="20"/>
              <w:spacing w:after="0"/>
              <w:rPr>
                <w:sz w:val="20"/>
                <w:szCs w:val="20"/>
                <w:color w:val="auto"/>
              </w:rPr>
            </w:pPr>
            <w:r>
              <w:rPr>
                <w:rFonts w:ascii="Calibri" w:cs="Calibri" w:eastAsia="Calibri" w:hAnsi="Calibri"/>
                <w:sz w:val="18"/>
                <w:szCs w:val="18"/>
                <w:color w:val="auto"/>
              </w:rPr>
              <w:t>Item 15.</w:t>
            </w:r>
          </w:p>
        </w:tc>
        <w:tc>
          <w:tcPr>
            <w:tcW w:w="8820" w:type="dxa"/>
            <w:vAlign w:val="bottom"/>
            <w:gridSpan w:val="35"/>
          </w:tcPr>
          <w:p>
            <w:pPr>
              <w:spacing w:after="0"/>
              <w:rPr>
                <w:sz w:val="20"/>
                <w:szCs w:val="20"/>
                <w:color w:val="auto"/>
              </w:rPr>
            </w:pPr>
            <w:r>
              <w:rPr>
                <w:rFonts w:ascii="Calibri" w:cs="Calibri" w:eastAsia="Calibri" w:hAnsi="Calibri"/>
                <w:sz w:val="18"/>
                <w:szCs w:val="18"/>
                <w:color w:val="0000FF"/>
              </w:rPr>
              <w:t>Exhibits and Financial Statement Schedules</w:t>
            </w:r>
          </w:p>
        </w:tc>
        <w:tc>
          <w:tcPr>
            <w:tcW w:w="1520" w:type="dxa"/>
            <w:vAlign w:val="bottom"/>
            <w:gridSpan w:val="5"/>
          </w:tcPr>
          <w:p>
            <w:pPr>
              <w:jc w:val="right"/>
              <w:ind w:right="120"/>
              <w:spacing w:after="0"/>
              <w:rPr>
                <w:sz w:val="20"/>
                <w:szCs w:val="20"/>
                <w:color w:val="auto"/>
              </w:rPr>
            </w:pPr>
            <w:r>
              <w:rPr>
                <w:rFonts w:ascii="Calibri" w:cs="Calibri" w:eastAsia="Calibri" w:hAnsi="Calibri"/>
                <w:sz w:val="18"/>
                <w:szCs w:val="18"/>
                <w:color w:val="0000FF"/>
              </w:rPr>
              <w:t>119</w:t>
            </w:r>
          </w:p>
        </w:tc>
      </w:tr>
      <w:tr>
        <w:trPr>
          <w:trHeight w:val="20"/>
        </w:trPr>
        <w:tc>
          <w:tcPr>
            <w:tcW w:w="900" w:type="dxa"/>
            <w:vAlign w:val="bottom"/>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620" w:type="dxa"/>
            <w:vAlign w:val="bottom"/>
            <w:gridSpan w:val="7"/>
            <w:shd w:val="clear" w:color="auto" w:fill="0000EE"/>
          </w:tcPr>
          <w:p>
            <w:pPr>
              <w:spacing w:after="0" w:line="20" w:lineRule="exact"/>
              <w:rPr>
                <w:sz w:val="1"/>
                <w:szCs w:val="1"/>
                <w:color w:val="auto"/>
              </w:rPr>
            </w:pPr>
          </w:p>
        </w:tc>
        <w:tc>
          <w:tcPr>
            <w:tcW w:w="5740" w:type="dxa"/>
            <w:vAlign w:val="bottom"/>
            <w:gridSpan w:val="17"/>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3080" w:type="dxa"/>
            <w:vAlign w:val="bottom"/>
            <w:gridSpan w:val="18"/>
          </w:tcPr>
          <w:p>
            <w:pPr>
              <w:spacing w:after="0" w:line="196" w:lineRule="exact"/>
              <w:rPr>
                <w:sz w:val="20"/>
                <w:szCs w:val="20"/>
                <w:color w:val="auto"/>
              </w:rPr>
            </w:pPr>
            <w:r>
              <w:rPr>
                <w:rFonts w:ascii="Calibri" w:cs="Calibri" w:eastAsia="Calibri" w:hAnsi="Calibri"/>
                <w:sz w:val="18"/>
                <w:szCs w:val="18"/>
                <w:color w:val="0000FF"/>
              </w:rPr>
              <w:t>Index to Exhibits</w:t>
            </w:r>
          </w:p>
        </w:tc>
        <w:tc>
          <w:tcPr>
            <w:tcW w:w="5740" w:type="dxa"/>
            <w:vAlign w:val="bottom"/>
            <w:gridSpan w:val="17"/>
          </w:tcPr>
          <w:p>
            <w:pPr>
              <w:spacing w:after="0"/>
              <w:rPr>
                <w:sz w:val="17"/>
                <w:szCs w:val="17"/>
                <w:color w:val="auto"/>
              </w:rPr>
            </w:pPr>
          </w:p>
        </w:tc>
        <w:tc>
          <w:tcPr>
            <w:tcW w:w="1520" w:type="dxa"/>
            <w:vAlign w:val="bottom"/>
            <w:gridSpan w:val="5"/>
          </w:tcPr>
          <w:p>
            <w:pPr>
              <w:jc w:val="right"/>
              <w:ind w:right="120"/>
              <w:spacing w:after="0" w:line="196" w:lineRule="exact"/>
              <w:rPr>
                <w:sz w:val="20"/>
                <w:szCs w:val="20"/>
                <w:color w:val="auto"/>
              </w:rPr>
            </w:pPr>
            <w:r>
              <w:rPr>
                <w:rFonts w:ascii="Calibri" w:cs="Calibri" w:eastAsia="Calibri" w:hAnsi="Calibri"/>
                <w:sz w:val="18"/>
                <w:szCs w:val="18"/>
                <w:color w:val="0000FF"/>
              </w:rPr>
              <w:t>120</w:t>
            </w:r>
          </w:p>
        </w:tc>
      </w:tr>
      <w:tr>
        <w:trPr>
          <w:trHeight w:val="20"/>
        </w:trPr>
        <w:tc>
          <w:tcPr>
            <w:tcW w:w="900" w:type="dxa"/>
            <w:vAlign w:val="bottom"/>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7360" w:type="dxa"/>
            <w:vAlign w:val="bottom"/>
            <w:gridSpan w:val="24"/>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900" w:type="dxa"/>
            <w:vAlign w:val="bottom"/>
          </w:tcPr>
          <w:p>
            <w:pPr>
              <w:ind w:left="20"/>
              <w:spacing w:after="0" w:line="196" w:lineRule="exact"/>
              <w:rPr>
                <w:sz w:val="20"/>
                <w:szCs w:val="20"/>
                <w:color w:val="auto"/>
              </w:rPr>
            </w:pPr>
            <w:r>
              <w:rPr>
                <w:rFonts w:ascii="Calibri" w:cs="Calibri" w:eastAsia="Calibri" w:hAnsi="Calibri"/>
                <w:sz w:val="18"/>
                <w:szCs w:val="18"/>
                <w:color w:val="auto"/>
              </w:rPr>
              <w:t>Item 16.</w:t>
            </w:r>
          </w:p>
        </w:tc>
        <w:tc>
          <w:tcPr>
            <w:tcW w:w="8820" w:type="dxa"/>
            <w:vAlign w:val="bottom"/>
            <w:gridSpan w:val="35"/>
          </w:tcPr>
          <w:p>
            <w:pPr>
              <w:spacing w:after="0" w:line="196" w:lineRule="exact"/>
              <w:rPr>
                <w:sz w:val="20"/>
                <w:szCs w:val="20"/>
                <w:color w:val="auto"/>
              </w:rPr>
            </w:pPr>
            <w:r>
              <w:rPr>
                <w:rFonts w:ascii="Calibri" w:cs="Calibri" w:eastAsia="Calibri" w:hAnsi="Calibri"/>
                <w:sz w:val="18"/>
                <w:szCs w:val="18"/>
                <w:color w:val="0000FF"/>
              </w:rPr>
              <w:t>Form 10-K Summary</w:t>
            </w:r>
          </w:p>
        </w:tc>
        <w:tc>
          <w:tcPr>
            <w:tcW w:w="1520" w:type="dxa"/>
            <w:vAlign w:val="bottom"/>
            <w:gridSpan w:val="5"/>
          </w:tcPr>
          <w:p>
            <w:pPr>
              <w:jc w:val="right"/>
              <w:ind w:right="120"/>
              <w:spacing w:after="0" w:line="196" w:lineRule="exact"/>
              <w:rPr>
                <w:sz w:val="20"/>
                <w:szCs w:val="20"/>
                <w:color w:val="auto"/>
              </w:rPr>
            </w:pPr>
            <w:r>
              <w:rPr>
                <w:rFonts w:ascii="Calibri" w:cs="Calibri" w:eastAsia="Calibri" w:hAnsi="Calibri"/>
                <w:sz w:val="18"/>
                <w:szCs w:val="18"/>
                <w:color w:val="0000FF"/>
              </w:rPr>
              <w:t>124</w:t>
            </w:r>
          </w:p>
        </w:tc>
      </w:tr>
      <w:tr>
        <w:trPr>
          <w:trHeight w:val="20"/>
        </w:trPr>
        <w:tc>
          <w:tcPr>
            <w:tcW w:w="900" w:type="dxa"/>
            <w:vAlign w:val="bottom"/>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7360" w:type="dxa"/>
            <w:vAlign w:val="bottom"/>
            <w:gridSpan w:val="24"/>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1460" w:type="dxa"/>
            <w:vAlign w:val="bottom"/>
            <w:gridSpan w:val="11"/>
          </w:tcPr>
          <w:p>
            <w:pPr>
              <w:spacing w:after="0" w:line="196" w:lineRule="exact"/>
              <w:rPr>
                <w:sz w:val="20"/>
                <w:szCs w:val="20"/>
                <w:color w:val="auto"/>
              </w:rPr>
            </w:pPr>
            <w:r>
              <w:rPr>
                <w:rFonts w:ascii="Calibri" w:cs="Calibri" w:eastAsia="Calibri" w:hAnsi="Calibri"/>
                <w:sz w:val="18"/>
                <w:szCs w:val="18"/>
                <w:color w:val="0000FF"/>
              </w:rPr>
              <w:t>Signatures</w:t>
            </w:r>
          </w:p>
        </w:tc>
        <w:tc>
          <w:tcPr>
            <w:tcW w:w="7360" w:type="dxa"/>
            <w:vAlign w:val="bottom"/>
            <w:gridSpan w:val="24"/>
          </w:tcPr>
          <w:p>
            <w:pPr>
              <w:spacing w:after="0"/>
              <w:rPr>
                <w:sz w:val="17"/>
                <w:szCs w:val="17"/>
                <w:color w:val="auto"/>
              </w:rPr>
            </w:pPr>
          </w:p>
        </w:tc>
        <w:tc>
          <w:tcPr>
            <w:tcW w:w="1520" w:type="dxa"/>
            <w:vAlign w:val="bottom"/>
            <w:gridSpan w:val="5"/>
          </w:tcPr>
          <w:p>
            <w:pPr>
              <w:jc w:val="right"/>
              <w:ind w:right="120"/>
              <w:spacing w:after="0" w:line="196" w:lineRule="exact"/>
              <w:rPr>
                <w:sz w:val="20"/>
                <w:szCs w:val="20"/>
                <w:color w:val="auto"/>
              </w:rPr>
            </w:pPr>
            <w:r>
              <w:rPr>
                <w:rFonts w:ascii="Calibri" w:cs="Calibri" w:eastAsia="Calibri" w:hAnsi="Calibri"/>
                <w:sz w:val="18"/>
                <w:szCs w:val="18"/>
                <w:color w:val="0000FF"/>
              </w:rPr>
              <w:t>125</w:t>
            </w:r>
          </w:p>
        </w:tc>
      </w:tr>
      <w:tr>
        <w:trPr>
          <w:trHeight w:val="973"/>
        </w:trPr>
        <w:tc>
          <w:tcPr>
            <w:tcW w:w="900" w:type="dxa"/>
            <w:vAlign w:val="bottom"/>
            <w:tcBorders>
              <w:bottom w:val="single" w:sz="8" w:color="9A9A9A"/>
            </w:tcBorders>
          </w:tcPr>
          <w:p>
            <w:pPr>
              <w:spacing w:after="0"/>
              <w:rPr>
                <w:sz w:val="24"/>
                <w:szCs w:val="24"/>
                <w:color w:val="auto"/>
              </w:rPr>
            </w:pPr>
          </w:p>
        </w:tc>
        <w:tc>
          <w:tcPr>
            <w:tcW w:w="400" w:type="dxa"/>
            <w:vAlign w:val="bottom"/>
            <w:tcBorders>
              <w:top w:val="single" w:sz="8" w:color="0000EE"/>
              <w:bottom w:val="single" w:sz="8" w:color="9A9A9A"/>
            </w:tcBorders>
          </w:tcPr>
          <w:p>
            <w:pPr>
              <w:spacing w:after="0"/>
              <w:rPr>
                <w:sz w:val="24"/>
                <w:szCs w:val="24"/>
                <w:color w:val="auto"/>
              </w:rPr>
            </w:pPr>
          </w:p>
        </w:tc>
        <w:tc>
          <w:tcPr>
            <w:tcW w:w="22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100" w:type="dxa"/>
            <w:vAlign w:val="bottom"/>
            <w:tcBorders>
              <w:top w:val="single" w:sz="8" w:color="0000EE"/>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2" w:right="339" w:bottom="1440" w:gutter="0" w:footer="0" w:header="0"/>
        </w:sectPr>
      </w:pPr>
    </w:p>
    <w:bookmarkStart w:id="2" w:name="page3"/>
    <w:bookmarkEnd w:id="2"/>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PART I</w:t>
      </w:r>
    </w:p>
    <w:p>
      <w:pPr>
        <w:spacing w:after="0" w:line="18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1. BUSINESS</w:t>
      </w:r>
    </w:p>
    <w:p>
      <w:pPr>
        <w:spacing w:after="0" w:line="177"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When used in this report, unless otherwise indicated, “we,” “our,” “us,” the “Company” and “Kodak” refer to the consolidated company on the basis of consolidaton described in Note 1 to the consolidated fnancial statements in Part II, Item 8, “Financial Statements and Supplementary Data” of this Form 10-K Report.</w:t>
      </w:r>
    </w:p>
    <w:p>
      <w:pPr>
        <w:spacing w:after="0" w:line="178" w:lineRule="exact"/>
        <w:rPr>
          <w:sz w:val="20"/>
          <w:szCs w:val="20"/>
          <w:color w:val="auto"/>
        </w:rPr>
      </w:pPr>
    </w:p>
    <w:p>
      <w:pPr>
        <w:ind w:right="140"/>
        <w:spacing w:after="0" w:line="235" w:lineRule="auto"/>
        <w:rPr>
          <w:sz w:val="20"/>
          <w:szCs w:val="20"/>
          <w:color w:val="auto"/>
        </w:rPr>
      </w:pPr>
      <w:r>
        <w:rPr>
          <w:rFonts w:ascii="Calibri" w:cs="Calibri" w:eastAsia="Calibri" w:hAnsi="Calibri"/>
          <w:sz w:val="18"/>
          <w:szCs w:val="18"/>
          <w:color w:val="auto"/>
        </w:rPr>
        <w:t>Kodak is a global manufacturer focused on commercial print and advanced materials and chemicals. With 79,000 patents earned over 130 years of research and development ("R&amp;D"), Kodak believes in the power of technology and science to enhance what the world sees and creates. Kodak's innovatve, award-winning products, combined with its customer-frst approach, make us the partner of choice for commercial printers worldwide. Kodak is commited to environmental stewardship, including industry leadership in developing sustainable solutons for print.</w:t>
      </w:r>
    </w:p>
    <w:p>
      <w:pPr>
        <w:spacing w:after="0" w:line="192" w:lineRule="exact"/>
        <w:rPr>
          <w:sz w:val="20"/>
          <w:szCs w:val="20"/>
          <w:color w:val="auto"/>
        </w:rPr>
      </w:pPr>
    </w:p>
    <w:p>
      <w:pPr>
        <w:spacing w:after="0"/>
        <w:rPr>
          <w:sz w:val="20"/>
          <w:szCs w:val="20"/>
          <w:color w:val="auto"/>
        </w:rPr>
      </w:pPr>
      <w:r>
        <w:rPr>
          <w:rFonts w:ascii="Calibri" w:cs="Calibri" w:eastAsia="Calibri" w:hAnsi="Calibri"/>
          <w:sz w:val="17"/>
          <w:szCs w:val="17"/>
          <w:color w:val="auto"/>
        </w:rPr>
        <w:t>The Company was founded by George Eastman in 1880 and incorporated in 1901 in the State of New Jersey. Kodak is headquartered in Rochester, New York.</w:t>
      </w:r>
    </w:p>
    <w:p>
      <w:pPr>
        <w:spacing w:after="0" w:line="17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DESCRIPTION OF THE BUSINESS</w:t>
      </w:r>
    </w:p>
    <w:p>
      <w:pPr>
        <w:spacing w:after="0" w:line="177" w:lineRule="exact"/>
        <w:rPr>
          <w:sz w:val="20"/>
          <w:szCs w:val="20"/>
          <w:color w:val="auto"/>
        </w:rPr>
      </w:pPr>
    </w:p>
    <w:p>
      <w:pPr>
        <w:jc w:val="both"/>
        <w:ind w:right="300"/>
        <w:spacing w:after="0" w:line="235" w:lineRule="auto"/>
        <w:rPr>
          <w:sz w:val="20"/>
          <w:szCs w:val="20"/>
          <w:color w:val="auto"/>
        </w:rPr>
      </w:pPr>
      <w:r>
        <w:rPr>
          <w:rFonts w:ascii="Calibri" w:cs="Calibri" w:eastAsia="Calibri" w:hAnsi="Calibri"/>
          <w:sz w:val="18"/>
          <w:szCs w:val="18"/>
          <w:color w:val="auto"/>
        </w:rPr>
        <w:t>Kodak’s operatons are classifed into three reportable segments: Print, Advanced Materials and Chemicals, and Brand. The balance of Kodak’s contnuing operatons, which do not meet the criteria of a reportable segment, are reported in All Other and primarily represent the Eastman Business Park ("EBP") operatons.</w:t>
      </w:r>
    </w:p>
    <w:p>
      <w:pPr>
        <w:spacing w:after="0" w:line="18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Print</w:t>
      </w:r>
    </w:p>
    <w:p>
      <w:pPr>
        <w:spacing w:after="0" w:line="177" w:lineRule="exact"/>
        <w:rPr>
          <w:sz w:val="20"/>
          <w:szCs w:val="20"/>
          <w:color w:val="auto"/>
        </w:rPr>
      </w:pPr>
    </w:p>
    <w:p>
      <w:pPr>
        <w:ind w:right="180"/>
        <w:spacing w:after="0" w:line="235" w:lineRule="auto"/>
        <w:rPr>
          <w:sz w:val="20"/>
          <w:szCs w:val="20"/>
          <w:color w:val="auto"/>
        </w:rPr>
      </w:pPr>
      <w:r>
        <w:rPr>
          <w:rFonts w:ascii="Calibri" w:cs="Calibri" w:eastAsia="Calibri" w:hAnsi="Calibri"/>
          <w:sz w:val="18"/>
          <w:szCs w:val="18"/>
          <w:color w:val="auto"/>
        </w:rPr>
        <w:t>The Print segment is comprised of four lines of business: the Prepress Solutons business, the Prosper business, the Sofware business and the Electrophotographic Printng Solutons business. Print segment products include digital ofset plate oferings and computer-to-plate (“CTP”) imaging solutons, high-quality digital printng solutons using electrically charged toner-based technology, producton press systems, consumables (primarily ink), inkjet components, sofware and services. The Print segment serves a variety of commercial industries, including commercial print, direct mail, book publishing, newspapers and magazines and packaging/labels. Print products are sold to customers through both a direct sales team as well as indirectly through dealers and channel partners. Key compettors are Fuji, EC03, HP, Canon, Ricoh and Screen. Products and services included in Kodak’s oferings are described below.</w:t>
      </w:r>
    </w:p>
    <w:p>
      <w:pPr>
        <w:spacing w:after="0" w:line="181" w:lineRule="exact"/>
        <w:rPr>
          <w:sz w:val="20"/>
          <w:szCs w:val="20"/>
          <w:color w:val="auto"/>
        </w:rPr>
      </w:pPr>
    </w:p>
    <w:p>
      <w:pPr>
        <w:ind w:right="180"/>
        <w:spacing w:after="0" w:line="235" w:lineRule="auto"/>
        <w:rPr>
          <w:sz w:val="20"/>
          <w:szCs w:val="20"/>
          <w:color w:val="auto"/>
        </w:rPr>
      </w:pPr>
      <w:r>
        <w:rPr>
          <w:rFonts w:ascii="Calibri" w:cs="Calibri" w:eastAsia="Calibri" w:hAnsi="Calibri"/>
          <w:sz w:val="18"/>
          <w:szCs w:val="18"/>
          <w:color w:val="auto"/>
        </w:rPr>
        <w:t>This segment is experiencing challenges from higher raw material and other supply chain costs, compettve pricing pressures and declines in volume. Refer to the Business Overview and Strategy secton of Item 7, “Management’s Discussion and Analysis of Financial Conditon and Results of Operatons” for additonal informaton on the opportunites and challenges related to the Print segment.</w:t>
      </w:r>
    </w:p>
    <w:p>
      <w:pPr>
        <w:spacing w:after="0" w:line="200" w:lineRule="exact"/>
        <w:rPr>
          <w:sz w:val="20"/>
          <w:szCs w:val="20"/>
          <w:color w:val="auto"/>
        </w:rPr>
      </w:pPr>
    </w:p>
    <w:p>
      <w:pPr>
        <w:ind w:left="280" w:hanging="272"/>
        <w:spacing w:after="0"/>
        <w:tabs>
          <w:tab w:leader="none" w:pos="280" w:val="left"/>
        </w:tabs>
        <w:numPr>
          <w:ilvl w:val="0"/>
          <w:numId w:val="3"/>
        </w:numPr>
        <w:rPr>
          <w:rFonts w:ascii="Times New Roman" w:cs="Times New Roman" w:eastAsia="Times New Roman" w:hAnsi="Times New Roman"/>
          <w:sz w:val="18"/>
          <w:szCs w:val="18"/>
          <w:color w:val="auto"/>
        </w:rPr>
      </w:pPr>
      <w:r>
        <w:rPr>
          <w:rFonts w:ascii="Calibri" w:cs="Calibri" w:eastAsia="Calibri" w:hAnsi="Calibri"/>
          <w:sz w:val="18"/>
          <w:szCs w:val="18"/>
          <w:i w:val="1"/>
          <w:iCs w:val="1"/>
          <w:color w:val="auto"/>
        </w:rPr>
        <w:t>Prepress Solutons:</w:t>
      </w:r>
    </w:p>
    <w:p>
      <w:pPr>
        <w:spacing w:after="0" w:line="185" w:lineRule="exact"/>
        <w:rPr>
          <w:rFonts w:ascii="Times New Roman" w:cs="Times New Roman" w:eastAsia="Times New Roman" w:hAnsi="Times New Roman"/>
          <w:sz w:val="18"/>
          <w:szCs w:val="18"/>
          <w:color w:val="auto"/>
        </w:rPr>
      </w:pPr>
    </w:p>
    <w:p>
      <w:pPr>
        <w:ind w:left="540" w:hanging="263"/>
        <w:spacing w:after="0"/>
        <w:tabs>
          <w:tab w:leader="none" w:pos="540" w:val="left"/>
        </w:tabs>
        <w:numPr>
          <w:ilvl w:val="1"/>
          <w:numId w:val="3"/>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Prepress Solutons business provides digital ofset plate oferings and CTP imaging solutons.</w:t>
      </w:r>
    </w:p>
    <w:p>
      <w:pPr>
        <w:spacing w:after="0" w:line="190" w:lineRule="exact"/>
        <w:rPr>
          <w:rFonts w:ascii="Times New Roman" w:cs="Times New Roman" w:eastAsia="Times New Roman" w:hAnsi="Times New Roman"/>
          <w:sz w:val="18"/>
          <w:szCs w:val="18"/>
          <w:color w:val="auto"/>
        </w:rPr>
      </w:pPr>
    </w:p>
    <w:p>
      <w:pPr>
        <w:ind w:left="540" w:hanging="263"/>
        <w:spacing w:after="0" w:line="235" w:lineRule="auto"/>
        <w:tabs>
          <w:tab w:leader="none" w:pos="540" w:val="left"/>
        </w:tabs>
        <w:numPr>
          <w:ilvl w:val="1"/>
          <w:numId w:val="3"/>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goal of Prepress Solutons is to pursue a contract-based, stable and recurring cash fow-generatve business model. The average duraton of customer contracts is two years. These contracts generate recurring revenue. The core of the business is the manufacturing of aluminum digital printng plates of varying sizes. These plates can be as small as 23cm x 27cm and as large as 126cm x 287cm. Unexposed plates are sold to commercial printng companies for use in the ofset printng process. Kodak also manufactures equipment, known as CTP equipment, which images the plates with a laser. The ofset printng process transfers ink from the plate onto a rubber blanket and then onto the substrate to be printed. Due to the nature of the imaging and printng process, a new plate must be used for each printng run. As a result, there is a recurring revenue stream from the sale of these plates.</w:t>
      </w:r>
    </w:p>
    <w:p>
      <w:pPr>
        <w:spacing w:after="0" w:line="208" w:lineRule="exact"/>
        <w:rPr>
          <w:rFonts w:ascii="Times New Roman" w:cs="Times New Roman" w:eastAsia="Times New Roman" w:hAnsi="Times New Roman"/>
          <w:sz w:val="18"/>
          <w:szCs w:val="18"/>
          <w:color w:val="auto"/>
        </w:rPr>
      </w:pPr>
    </w:p>
    <w:p>
      <w:pPr>
        <w:ind w:left="540" w:right="100" w:hanging="263"/>
        <w:spacing w:after="0" w:line="235" w:lineRule="auto"/>
        <w:tabs>
          <w:tab w:leader="none" w:pos="540" w:val="left"/>
        </w:tabs>
        <w:numPr>
          <w:ilvl w:val="1"/>
          <w:numId w:val="3"/>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Digital ofset plate oferings include KODAK SONORA Process Free Plates. Instead of the traditonal process in which a plate is run through processing equipment containing a soluton of developer, chemicals and water to set the image, KODAK SONORA Process Free Plates enable printers to set the image on the plateseter, then go directly to press. Processing variability is eliminated, so process-free plate users beneft from more consistent and stable plates. The soluton is designed to be a much more environmentally friendly approach that could eliminate all processing chemicals, water and excess energy and waste from the plate-making process. These plates are designed to deliver cost savings and efciency for customers and promote environmental sustainability practces.</w:t>
      </w:r>
    </w:p>
    <w:p>
      <w:pPr>
        <w:spacing w:after="0" w:line="176"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3" w:name="page4"/>
    <w:bookmarkEnd w:id="3"/>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40" w:right="60" w:hanging="263"/>
        <w:spacing w:after="0" w:line="235" w:lineRule="auto"/>
        <w:tabs>
          <w:tab w:leader="none" w:pos="540" w:val="left"/>
        </w:tabs>
        <w:numPr>
          <w:ilvl w:val="1"/>
          <w:numId w:val="4"/>
        </w:numPr>
        <w:rPr>
          <w:rFonts w:ascii="Times New Roman" w:cs="Times New Roman" w:eastAsia="Times New Roman" w:hAnsi="Times New Roman"/>
          <w:sz w:val="18"/>
          <w:szCs w:val="18"/>
          <w:color w:val="auto"/>
        </w:rPr>
      </w:pPr>
      <w:r>
        <w:rPr>
          <w:rFonts w:ascii="Calibri" w:cs="Calibri" w:eastAsia="Calibri" w:hAnsi="Calibri"/>
          <w:sz w:val="18"/>
          <w:szCs w:val="18"/>
          <w:color w:val="auto"/>
        </w:rPr>
        <w:t>On September 1, 2019 Kodak established a strategic relatonship with Lucky HuaGuang Graphics Co. Ltd (“HuaGuang”) in the People’s Republic of China. The relatonship is comprised of an agreement under which Kodak sold its shares of the Kodak (China) Graphic Communicaton Co. Ltd. entty, which included the ofset printng plates facility in Xiamen, China, and related assets and liabilites, to HuaGuang; a supply agreement for HuaGuang to help Kodak fulfll customer demand; and a license agreement under which Kodak licensed its plates technology, including its Sonora Process Free plates technology, to HuaGuang with the intent of expanding the plates market in China.</w:t>
      </w:r>
    </w:p>
    <w:p>
      <w:pPr>
        <w:spacing w:after="0" w:line="188"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4"/>
        </w:numPr>
        <w:rPr>
          <w:rFonts w:ascii="Times New Roman" w:cs="Times New Roman" w:eastAsia="Times New Roman" w:hAnsi="Times New Roman"/>
          <w:sz w:val="18"/>
          <w:szCs w:val="18"/>
          <w:color w:val="auto"/>
        </w:rPr>
      </w:pPr>
      <w:r>
        <w:rPr>
          <w:rFonts w:ascii="Calibri" w:cs="Calibri" w:eastAsia="Calibri" w:hAnsi="Calibri"/>
          <w:sz w:val="18"/>
          <w:szCs w:val="18"/>
          <w:i w:val="1"/>
          <w:iCs w:val="1"/>
          <w:color w:val="auto"/>
        </w:rPr>
        <w:t>Prosper:</w:t>
      </w:r>
    </w:p>
    <w:p>
      <w:pPr>
        <w:spacing w:after="0" w:line="190" w:lineRule="exact"/>
        <w:rPr>
          <w:rFonts w:ascii="Times New Roman" w:cs="Times New Roman" w:eastAsia="Times New Roman" w:hAnsi="Times New Roman"/>
          <w:sz w:val="18"/>
          <w:szCs w:val="18"/>
          <w:color w:val="auto"/>
        </w:rPr>
      </w:pPr>
    </w:p>
    <w:p>
      <w:pPr>
        <w:ind w:left="540" w:hanging="263"/>
        <w:spacing w:after="0" w:line="235" w:lineRule="auto"/>
        <w:tabs>
          <w:tab w:leader="none" w:pos="540" w:val="left"/>
        </w:tabs>
        <w:numPr>
          <w:ilvl w:val="1"/>
          <w:numId w:val="4"/>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Prosper business product oferings include PROSPER press systems and PROSPER components, based on KODAK’s Contnuous Inkjet Technologies KODAK Stream and ULTRASTREAM, along with KODACHROME and KODAK EKTACOLOR Inks and KODAK OPTIMAX Primers. Examples include the PROSPER 7000 Turbo Press and the PROSPER ULTRA 520 Press, which is powered by ULTRASTREAM, Kodak’s 4th generaton inkjet technology, which Kodak believes delivers exceptonal quality at the fastest speeds, even on the most demanding jobs with heavy ink coverage on glossy and coated papers.</w:t>
      </w:r>
    </w:p>
    <w:p>
      <w:pPr>
        <w:spacing w:after="0" w:line="206" w:lineRule="exact"/>
        <w:rPr>
          <w:rFonts w:ascii="Times New Roman" w:cs="Times New Roman" w:eastAsia="Times New Roman" w:hAnsi="Times New Roman"/>
          <w:sz w:val="18"/>
          <w:szCs w:val="18"/>
          <w:color w:val="auto"/>
        </w:rPr>
      </w:pPr>
    </w:p>
    <w:p>
      <w:pPr>
        <w:ind w:left="540" w:right="80" w:hanging="263"/>
        <w:spacing w:after="0" w:line="252" w:lineRule="auto"/>
        <w:tabs>
          <w:tab w:leader="none" w:pos="540" w:val="left"/>
        </w:tabs>
        <w:numPr>
          <w:ilvl w:val="1"/>
          <w:numId w:val="4"/>
        </w:numPr>
        <w:rPr>
          <w:rFonts w:ascii="Times New Roman" w:cs="Times New Roman" w:eastAsia="Times New Roman" w:hAnsi="Times New Roman"/>
          <w:sz w:val="17"/>
          <w:szCs w:val="17"/>
          <w:color w:val="auto"/>
        </w:rPr>
      </w:pPr>
      <w:r>
        <w:rPr>
          <w:rFonts w:ascii="Calibri" w:cs="Calibri" w:eastAsia="Calibri" w:hAnsi="Calibri"/>
          <w:sz w:val="17"/>
          <w:szCs w:val="17"/>
          <w:color w:val="auto"/>
        </w:rPr>
        <w:t>In additon to Kodak-branded presses, PROSPER print head components are integrated into original equipment manufacturer (“OEM”) partner products and systems. Applicatons include publishing, commercial print, direct mail, packaging, and décor. The modular and scalable design of print heads powered by our ULTRASTREAM inkjet technology facilitates integraton in print widths from 104 – 2500 mm (4” – 98”) for applicatons on paper, flm, plastc, and other substrates, expanding the footprint of inkjet printng to take on the challenges of a new age of digital printng.</w:t>
      </w:r>
    </w:p>
    <w:p>
      <w:pPr>
        <w:spacing w:after="0" w:line="181" w:lineRule="exact"/>
        <w:rPr>
          <w:rFonts w:ascii="Times New Roman" w:cs="Times New Roman" w:eastAsia="Times New Roman" w:hAnsi="Times New Roman"/>
          <w:sz w:val="17"/>
          <w:szCs w:val="17"/>
          <w:color w:val="auto"/>
        </w:rPr>
      </w:pPr>
    </w:p>
    <w:p>
      <w:pPr>
        <w:ind w:left="540" w:right="180" w:hanging="263"/>
        <w:spacing w:after="0" w:line="235" w:lineRule="auto"/>
        <w:tabs>
          <w:tab w:leader="none" w:pos="540" w:val="left"/>
        </w:tabs>
        <w:numPr>
          <w:ilvl w:val="1"/>
          <w:numId w:val="4"/>
        </w:numPr>
        <w:rPr>
          <w:rFonts w:ascii="Times New Roman" w:cs="Times New Roman" w:eastAsia="Times New Roman" w:hAnsi="Times New Roman"/>
          <w:sz w:val="18"/>
          <w:szCs w:val="18"/>
          <w:color w:val="auto"/>
        </w:rPr>
      </w:pPr>
      <w:r>
        <w:rPr>
          <w:rFonts w:ascii="Calibri" w:cs="Calibri" w:eastAsia="Calibri" w:hAnsi="Calibri"/>
          <w:sz w:val="18"/>
          <w:szCs w:val="18"/>
          <w:color w:val="auto"/>
        </w:rPr>
        <w:t>Sales of PROSPER presses and components result in recurring revenue from sales of KODACHROME and KODAK EKTACOLOR Inks and KODAK OPTIMAX Primers and equipment service. The level of recurring revenue depends on the applicaton for which the equipment is used, which drives the total number of pages printed and, therefore, the amount of ink usage. Kodak also generates revenue through the sale of other consumables including refurbished jetng modules and service.</w:t>
      </w:r>
    </w:p>
    <w:p>
      <w:pPr>
        <w:spacing w:after="0" w:line="192" w:lineRule="exact"/>
        <w:rPr>
          <w:rFonts w:ascii="Times New Roman" w:cs="Times New Roman" w:eastAsia="Times New Roman" w:hAnsi="Times New Roman"/>
          <w:sz w:val="18"/>
          <w:szCs w:val="18"/>
          <w:color w:val="auto"/>
        </w:rPr>
      </w:pPr>
    </w:p>
    <w:p>
      <w:pPr>
        <w:ind w:left="540" w:right="20" w:hanging="263"/>
        <w:spacing w:after="0" w:line="235" w:lineRule="auto"/>
        <w:tabs>
          <w:tab w:leader="none" w:pos="540" w:val="left"/>
        </w:tabs>
        <w:numPr>
          <w:ilvl w:val="1"/>
          <w:numId w:val="4"/>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Prosper business also includes KODAK VERSAMARK products which are the predecessor products to the Prosper business. Kodak has ceased manufacturing VERSAMARK Press Systems. Users of KODAK VERSAMARK products contnue to purchase ink and other consumables as well as service from Kodak. Applicatons of the VERSAMARK products include publishing, transactonal, commercial print and direct mail.</w:t>
      </w:r>
    </w:p>
    <w:p>
      <w:pPr>
        <w:spacing w:after="0" w:line="200"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4"/>
        </w:numPr>
        <w:rPr>
          <w:rFonts w:ascii="Times New Roman" w:cs="Times New Roman" w:eastAsia="Times New Roman" w:hAnsi="Times New Roman"/>
          <w:sz w:val="18"/>
          <w:szCs w:val="18"/>
          <w:color w:val="auto"/>
        </w:rPr>
      </w:pPr>
      <w:r>
        <w:rPr>
          <w:rFonts w:ascii="Calibri" w:cs="Calibri" w:eastAsia="Calibri" w:hAnsi="Calibri"/>
          <w:sz w:val="18"/>
          <w:szCs w:val="18"/>
          <w:i w:val="1"/>
          <w:iCs w:val="1"/>
          <w:color w:val="auto"/>
        </w:rPr>
        <w:t>Sofware:</w:t>
      </w:r>
    </w:p>
    <w:p>
      <w:pPr>
        <w:spacing w:after="0" w:line="190" w:lineRule="exact"/>
        <w:rPr>
          <w:rFonts w:ascii="Times New Roman" w:cs="Times New Roman" w:eastAsia="Times New Roman" w:hAnsi="Times New Roman"/>
          <w:sz w:val="18"/>
          <w:szCs w:val="18"/>
          <w:color w:val="auto"/>
        </w:rPr>
      </w:pPr>
    </w:p>
    <w:p>
      <w:pPr>
        <w:ind w:left="540" w:right="20" w:hanging="263"/>
        <w:spacing w:after="0" w:line="235" w:lineRule="auto"/>
        <w:tabs>
          <w:tab w:leader="none" w:pos="540" w:val="left"/>
        </w:tabs>
        <w:numPr>
          <w:ilvl w:val="1"/>
          <w:numId w:val="4"/>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Sofware business ofers a leading suite of solutons for print producton workfow, including the PRINERGY workfow producton sofware, by providing customer value through automaton, web integraton and integraton with other Kodak products and third-party oferings. Producton workfow sofware is used by customers to manage digital and conventonal print content from fle creaton to output. Producton workfow sofware manages content and color, reduces manual errors and helps customers manage the collaboratve creatve process. Kodak believes it is a leader in producton workfow solutons for the commercial print and packaging industries. Kodak added its cloud-based PRINERGY On Demand Platorm to its PRINERGY oferings in 2022.</w:t>
      </w:r>
    </w:p>
    <w:p>
      <w:pPr>
        <w:spacing w:after="0" w:line="194" w:lineRule="exact"/>
        <w:rPr>
          <w:rFonts w:ascii="Times New Roman" w:cs="Times New Roman" w:eastAsia="Times New Roman" w:hAnsi="Times New Roman"/>
          <w:sz w:val="18"/>
          <w:szCs w:val="18"/>
          <w:color w:val="auto"/>
        </w:rPr>
      </w:pPr>
    </w:p>
    <w:p>
      <w:pPr>
        <w:ind w:left="540" w:right="260" w:hanging="263"/>
        <w:spacing w:after="0" w:line="235" w:lineRule="auto"/>
        <w:tabs>
          <w:tab w:leader="none" w:pos="540" w:val="left"/>
        </w:tabs>
        <w:numPr>
          <w:ilvl w:val="1"/>
          <w:numId w:val="4"/>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Sofware business includes digital front-end controllers which manage the delivery of personalized content to digital presses while controlling color and print consistency.</w:t>
      </w:r>
    </w:p>
    <w:p>
      <w:pPr>
        <w:spacing w:after="0" w:line="199"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4"/>
        </w:numPr>
        <w:rPr>
          <w:rFonts w:ascii="Times New Roman" w:cs="Times New Roman" w:eastAsia="Times New Roman" w:hAnsi="Times New Roman"/>
          <w:sz w:val="18"/>
          <w:szCs w:val="18"/>
          <w:color w:val="auto"/>
        </w:rPr>
      </w:pPr>
      <w:r>
        <w:rPr>
          <w:rFonts w:ascii="Calibri" w:cs="Calibri" w:eastAsia="Calibri" w:hAnsi="Calibri"/>
          <w:sz w:val="18"/>
          <w:szCs w:val="18"/>
          <w:i w:val="1"/>
          <w:iCs w:val="1"/>
          <w:color w:val="auto"/>
        </w:rPr>
        <w:t>Electrophotographic Printng Solutons:</w:t>
      </w:r>
    </w:p>
    <w:p>
      <w:pPr>
        <w:spacing w:after="0" w:line="190" w:lineRule="exact"/>
        <w:rPr>
          <w:rFonts w:ascii="Times New Roman" w:cs="Times New Roman" w:eastAsia="Times New Roman" w:hAnsi="Times New Roman"/>
          <w:sz w:val="18"/>
          <w:szCs w:val="18"/>
          <w:color w:val="auto"/>
        </w:rPr>
      </w:pPr>
    </w:p>
    <w:p>
      <w:pPr>
        <w:ind w:left="540" w:right="240" w:hanging="263"/>
        <w:spacing w:after="0" w:line="235" w:lineRule="auto"/>
        <w:tabs>
          <w:tab w:leader="none" w:pos="540" w:val="left"/>
        </w:tabs>
        <w:numPr>
          <w:ilvl w:val="1"/>
          <w:numId w:val="4"/>
        </w:numPr>
        <w:rPr>
          <w:rFonts w:ascii="Times New Roman" w:cs="Times New Roman" w:eastAsia="Times New Roman" w:hAnsi="Times New Roman"/>
          <w:sz w:val="18"/>
          <w:szCs w:val="18"/>
          <w:color w:val="auto"/>
        </w:rPr>
      </w:pPr>
      <w:r>
        <w:rPr>
          <w:rFonts w:ascii="Calibri" w:cs="Calibri" w:eastAsia="Calibri" w:hAnsi="Calibri"/>
          <w:sz w:val="18"/>
          <w:szCs w:val="18"/>
          <w:color w:val="auto"/>
        </w:rPr>
        <w:t>NEXFINITY printers produce high-quality, diferentated printng of short-run, personalized print applicatons, such as direct mail, books, marketng collateral and photo products.</w:t>
      </w:r>
    </w:p>
    <w:p>
      <w:pPr>
        <w:spacing w:after="0" w:line="190" w:lineRule="exact"/>
        <w:rPr>
          <w:rFonts w:ascii="Times New Roman" w:cs="Times New Roman" w:eastAsia="Times New Roman" w:hAnsi="Times New Roman"/>
          <w:sz w:val="18"/>
          <w:szCs w:val="18"/>
          <w:color w:val="auto"/>
        </w:rPr>
      </w:pPr>
    </w:p>
    <w:p>
      <w:pPr>
        <w:ind w:left="540" w:right="60" w:hanging="263"/>
        <w:spacing w:after="0" w:line="235" w:lineRule="auto"/>
        <w:tabs>
          <w:tab w:leader="none" w:pos="540" w:val="left"/>
        </w:tabs>
        <w:numPr>
          <w:ilvl w:val="1"/>
          <w:numId w:val="4"/>
        </w:numPr>
        <w:rPr>
          <w:rFonts w:ascii="Times New Roman" w:cs="Times New Roman" w:eastAsia="Times New Roman" w:hAnsi="Times New Roman"/>
          <w:sz w:val="18"/>
          <w:szCs w:val="18"/>
          <w:color w:val="auto"/>
        </w:rPr>
      </w:pPr>
      <w:r>
        <w:rPr>
          <w:rFonts w:ascii="Calibri" w:cs="Calibri" w:eastAsia="Calibri" w:hAnsi="Calibri"/>
          <w:sz w:val="18"/>
          <w:szCs w:val="18"/>
          <w:color w:val="auto"/>
        </w:rPr>
        <w:t>Kodak ceased manufacturing of NEXFINITY printers efectve December 2022. Kodak contnues to ofer ink and other consumables as well as provide service to its installed base of printers.</w:t>
      </w:r>
    </w:p>
    <w:p>
      <w:pPr>
        <w:spacing w:after="0" w:line="191" w:lineRule="exact"/>
        <w:rPr>
          <w:sz w:val="20"/>
          <w:szCs w:val="20"/>
          <w:color w:val="auto"/>
        </w:rPr>
      </w:pPr>
    </w:p>
    <w:p>
      <w:pPr>
        <w:ind w:right="240"/>
        <w:spacing w:after="0" w:line="235" w:lineRule="auto"/>
        <w:rPr>
          <w:sz w:val="20"/>
          <w:szCs w:val="20"/>
          <w:color w:val="auto"/>
        </w:rPr>
      </w:pPr>
      <w:r>
        <w:rPr>
          <w:rFonts w:ascii="Calibri" w:cs="Calibri" w:eastAsia="Calibri" w:hAnsi="Calibri"/>
          <w:sz w:val="18"/>
          <w:szCs w:val="18"/>
          <w:color w:val="auto"/>
        </w:rPr>
        <w:t>Net sales for the Prepress Solutons business accounted for 54%, 56% and 59% of Kodak’s total net revenue for the years ended December 31, 2024, 2023 and 2022, respectvely.</w:t>
      </w:r>
    </w:p>
    <w:p>
      <w:pPr>
        <w:spacing w:after="0" w:line="172"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sectPr>
      </w:pPr>
    </w:p>
    <w:bookmarkStart w:id="4" w:name="page5"/>
    <w:bookmarkEnd w:id="4"/>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Advanced Materials and Chemicals</w:t>
      </w:r>
    </w:p>
    <w:p>
      <w:pPr>
        <w:spacing w:after="0" w:line="177" w:lineRule="exact"/>
        <w:rPr>
          <w:sz w:val="20"/>
          <w:szCs w:val="20"/>
          <w:color w:val="auto"/>
        </w:rPr>
      </w:pPr>
    </w:p>
    <w:p>
      <w:pPr>
        <w:ind w:right="220"/>
        <w:spacing w:after="0" w:line="235" w:lineRule="auto"/>
        <w:rPr>
          <w:sz w:val="20"/>
          <w:szCs w:val="20"/>
          <w:color w:val="auto"/>
        </w:rPr>
      </w:pPr>
      <w:r>
        <w:rPr>
          <w:rFonts w:ascii="Calibri" w:cs="Calibri" w:eastAsia="Calibri" w:hAnsi="Calibri"/>
          <w:sz w:val="18"/>
          <w:szCs w:val="18"/>
          <w:color w:val="auto"/>
        </w:rPr>
        <w:t>The Advanced Materials and Chemicals segment is comprised of four lines of business: the Industrial Film and Chemicals business, the Moton Picture business, the Advanced Materials and Functonal Printng business and the IP Licensing and Analytcal Services business. Kodak’s Advanced Materials and Chemicals products are distributed directly by Kodak and indirectly through dealers. Kodak Alaris, a professional and consumer stll photographic flm and chemicals customer, represented approximately 33% of total Advanced Materials and Chemicals segment revenues in 2024 and 34% and 32% in 2023 and 2022, respectvely. Products and services included in Kodak’s oferings are described below.</w:t>
      </w:r>
    </w:p>
    <w:p>
      <w:pPr>
        <w:spacing w:after="0" w:line="180" w:lineRule="exact"/>
        <w:rPr>
          <w:sz w:val="20"/>
          <w:szCs w:val="20"/>
          <w:color w:val="auto"/>
        </w:rPr>
      </w:pPr>
    </w:p>
    <w:p>
      <w:pPr>
        <w:ind w:right="200"/>
        <w:spacing w:after="0" w:line="235" w:lineRule="auto"/>
        <w:rPr>
          <w:sz w:val="20"/>
          <w:szCs w:val="20"/>
          <w:color w:val="auto"/>
        </w:rPr>
      </w:pPr>
      <w:r>
        <w:rPr>
          <w:rFonts w:ascii="Calibri" w:cs="Calibri" w:eastAsia="Calibri" w:hAnsi="Calibri"/>
          <w:sz w:val="18"/>
          <w:szCs w:val="18"/>
          <w:color w:val="auto"/>
        </w:rPr>
        <w:t>The Advanced Materials and Chemicals segment includes the Kodak Research Laboratories which conduct research, develop new product or new business opportunites such as Kodak's growth initatves of printed electronics, light blocking treatment for fabrics and diagnostc test reagents and fle patent applicatons for its inventons and innovatons.</w:t>
      </w:r>
    </w:p>
    <w:p>
      <w:pPr>
        <w:spacing w:after="0" w:line="192" w:lineRule="exact"/>
        <w:rPr>
          <w:sz w:val="20"/>
          <w:szCs w:val="20"/>
          <w:color w:val="auto"/>
        </w:rPr>
      </w:pPr>
    </w:p>
    <w:p>
      <w:pPr>
        <w:ind w:right="340"/>
        <w:spacing w:after="0" w:line="235" w:lineRule="auto"/>
        <w:rPr>
          <w:sz w:val="20"/>
          <w:szCs w:val="20"/>
          <w:color w:val="auto"/>
        </w:rPr>
      </w:pPr>
      <w:r>
        <w:rPr>
          <w:rFonts w:ascii="Calibri" w:cs="Calibri" w:eastAsia="Calibri" w:hAnsi="Calibri"/>
          <w:sz w:val="18"/>
          <w:szCs w:val="18"/>
          <w:color w:val="auto"/>
        </w:rPr>
        <w:t>The Advanced Materials and Chemicals segment also manages licensing of its intellectual property to third partes and is a supportng partcipant for any licensing of Kodak intellectual property to a third party. Kodak maintains a large worldwide portolio of pending applicatons and issued patents.</w:t>
      </w:r>
    </w:p>
    <w:p>
      <w:pPr>
        <w:spacing w:after="0" w:line="186" w:lineRule="exact"/>
        <w:rPr>
          <w:sz w:val="20"/>
          <w:szCs w:val="20"/>
          <w:color w:val="auto"/>
        </w:rPr>
      </w:pPr>
    </w:p>
    <w:p>
      <w:pPr>
        <w:ind w:left="280" w:hanging="272"/>
        <w:spacing w:after="0"/>
        <w:tabs>
          <w:tab w:leader="none" w:pos="280" w:val="left"/>
        </w:tabs>
        <w:numPr>
          <w:ilvl w:val="0"/>
          <w:numId w:val="5"/>
        </w:numPr>
        <w:rPr>
          <w:rFonts w:ascii="Times New Roman" w:cs="Times New Roman" w:eastAsia="Times New Roman" w:hAnsi="Times New Roman"/>
          <w:sz w:val="18"/>
          <w:szCs w:val="18"/>
          <w:color w:val="auto"/>
        </w:rPr>
      </w:pPr>
      <w:r>
        <w:rPr>
          <w:rFonts w:ascii="Calibri" w:cs="Calibri" w:eastAsia="Calibri" w:hAnsi="Calibri"/>
          <w:sz w:val="18"/>
          <w:szCs w:val="18"/>
          <w:i w:val="1"/>
          <w:iCs w:val="1"/>
          <w:color w:val="auto"/>
        </w:rPr>
        <w:t>Industrial Film and Chemicals</w:t>
      </w:r>
      <w:r>
        <w:rPr>
          <w:rFonts w:ascii="Calibri" w:cs="Calibri" w:eastAsia="Calibri" w:hAnsi="Calibri"/>
          <w:sz w:val="18"/>
          <w:szCs w:val="18"/>
          <w:color w:val="auto"/>
        </w:rPr>
        <w:t>:</w:t>
      </w:r>
    </w:p>
    <w:p>
      <w:pPr>
        <w:spacing w:after="0" w:line="190" w:lineRule="exact"/>
        <w:rPr>
          <w:rFonts w:ascii="Times New Roman" w:cs="Times New Roman" w:eastAsia="Times New Roman" w:hAnsi="Times New Roman"/>
          <w:sz w:val="18"/>
          <w:szCs w:val="18"/>
          <w:color w:val="auto"/>
        </w:rPr>
      </w:pPr>
    </w:p>
    <w:p>
      <w:pPr>
        <w:ind w:left="540" w:right="60" w:hanging="263"/>
        <w:spacing w:after="0" w:line="235" w:lineRule="auto"/>
        <w:tabs>
          <w:tab w:leader="none" w:pos="540" w:val="left"/>
        </w:tabs>
        <w:numPr>
          <w:ilvl w:val="1"/>
          <w:numId w:val="5"/>
        </w:numPr>
        <w:rPr>
          <w:rFonts w:ascii="Times New Roman" w:cs="Times New Roman" w:eastAsia="Times New Roman" w:hAnsi="Times New Roman"/>
          <w:sz w:val="18"/>
          <w:szCs w:val="18"/>
          <w:color w:val="auto"/>
        </w:rPr>
      </w:pPr>
      <w:r>
        <w:rPr>
          <w:rFonts w:ascii="Calibri" w:cs="Calibri" w:eastAsia="Calibri" w:hAnsi="Calibri"/>
          <w:sz w:val="18"/>
          <w:szCs w:val="18"/>
          <w:color w:val="auto"/>
        </w:rPr>
        <w:t>Ofers professional and consumer stll photographic flm, as well as industrial flm, including flms used by the electronics industry to produce printed circuit boards.</w:t>
      </w:r>
    </w:p>
    <w:p>
      <w:pPr>
        <w:spacing w:after="0" w:line="204" w:lineRule="exact"/>
        <w:rPr>
          <w:rFonts w:ascii="Times New Roman" w:cs="Times New Roman" w:eastAsia="Times New Roman" w:hAnsi="Times New Roman"/>
          <w:sz w:val="18"/>
          <w:szCs w:val="18"/>
          <w:color w:val="auto"/>
        </w:rPr>
      </w:pPr>
    </w:p>
    <w:p>
      <w:pPr>
        <w:ind w:left="540" w:right="40" w:hanging="263"/>
        <w:spacing w:after="0" w:line="235" w:lineRule="auto"/>
        <w:tabs>
          <w:tab w:leader="none" w:pos="540" w:val="left"/>
        </w:tabs>
        <w:numPr>
          <w:ilvl w:val="1"/>
          <w:numId w:val="5"/>
        </w:numPr>
        <w:rPr>
          <w:rFonts w:ascii="Times New Roman" w:cs="Times New Roman" w:eastAsia="Times New Roman" w:hAnsi="Times New Roman"/>
          <w:sz w:val="18"/>
          <w:szCs w:val="18"/>
          <w:color w:val="auto"/>
        </w:rPr>
      </w:pPr>
      <w:r>
        <w:rPr>
          <w:rFonts w:ascii="Calibri" w:cs="Calibri" w:eastAsia="Calibri" w:hAnsi="Calibri"/>
          <w:sz w:val="18"/>
          <w:szCs w:val="18"/>
          <w:color w:val="auto"/>
        </w:rPr>
        <w:t>Includes related component businesses: Specialty Chemicals; Solvent Recovery; and Polyester Film. Specialty Chemicals include unregulated key startng materials (“KSMs”) for pharmaceutcals. Kodak intends to contnue organic expansion of its KSM producton and is exploring opportunites to further expand its pharmaceutcal oferings. Specialty Chemicals also includes materials for bateries (e.g., electric vehicles ("EV") and others) and specifc functonal materials for personal care products.</w:t>
      </w:r>
    </w:p>
    <w:p>
      <w:pPr>
        <w:spacing w:after="0" w:line="187" w:lineRule="exact"/>
        <w:rPr>
          <w:rFonts w:ascii="Times New Roman" w:cs="Times New Roman" w:eastAsia="Times New Roman" w:hAnsi="Times New Roman"/>
          <w:sz w:val="18"/>
          <w:szCs w:val="18"/>
          <w:color w:val="auto"/>
        </w:rPr>
      </w:pPr>
    </w:p>
    <w:p>
      <w:pPr>
        <w:ind w:left="540" w:hanging="263"/>
        <w:spacing w:after="0"/>
        <w:tabs>
          <w:tab w:leader="none" w:pos="540" w:val="left"/>
        </w:tabs>
        <w:numPr>
          <w:ilvl w:val="1"/>
          <w:numId w:val="5"/>
        </w:numPr>
        <w:rPr>
          <w:rFonts w:ascii="Times New Roman" w:cs="Times New Roman" w:eastAsia="Times New Roman" w:hAnsi="Times New Roman"/>
          <w:sz w:val="18"/>
          <w:szCs w:val="18"/>
          <w:color w:val="auto"/>
        </w:rPr>
      </w:pPr>
      <w:r>
        <w:rPr>
          <w:rFonts w:ascii="Calibri" w:cs="Calibri" w:eastAsia="Calibri" w:hAnsi="Calibri"/>
          <w:sz w:val="18"/>
          <w:szCs w:val="18"/>
          <w:color w:val="auto"/>
        </w:rPr>
        <w:t>Ofers specialty inks and dispersions to third partes.</w:t>
      </w:r>
    </w:p>
    <w:p>
      <w:pPr>
        <w:spacing w:after="0" w:line="190" w:lineRule="exact"/>
        <w:rPr>
          <w:rFonts w:ascii="Times New Roman" w:cs="Times New Roman" w:eastAsia="Times New Roman" w:hAnsi="Times New Roman"/>
          <w:sz w:val="18"/>
          <w:szCs w:val="18"/>
          <w:color w:val="auto"/>
        </w:rPr>
      </w:pPr>
    </w:p>
    <w:p>
      <w:pPr>
        <w:ind w:left="540" w:right="80" w:hanging="263"/>
        <w:spacing w:after="0" w:line="235" w:lineRule="auto"/>
        <w:tabs>
          <w:tab w:leader="none" w:pos="540" w:val="left"/>
        </w:tabs>
        <w:numPr>
          <w:ilvl w:val="1"/>
          <w:numId w:val="5"/>
        </w:numPr>
        <w:rPr>
          <w:rFonts w:ascii="Times New Roman" w:cs="Times New Roman" w:eastAsia="Times New Roman" w:hAnsi="Times New Roman"/>
          <w:sz w:val="18"/>
          <w:szCs w:val="18"/>
          <w:color w:val="auto"/>
        </w:rPr>
      </w:pPr>
      <w:r>
        <w:rPr>
          <w:rFonts w:ascii="Calibri" w:cs="Calibri" w:eastAsia="Calibri" w:hAnsi="Calibri"/>
          <w:sz w:val="18"/>
          <w:szCs w:val="18"/>
          <w:color w:val="auto"/>
        </w:rPr>
        <w:t>Ofers coatng and product commercializaton services: oferings include both pilot-scale and producton scale roll-to-roll coatng capabilites utlizing Kodak’s assets and know-how to commercialize and manufacture third-party products. This includes the growth initatve for coated substrates for components used in cell and batery pack assembly.</w:t>
      </w:r>
    </w:p>
    <w:p>
      <w:pPr>
        <w:spacing w:after="0" w:line="200"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5"/>
        </w:numPr>
        <w:rPr>
          <w:rFonts w:ascii="Times New Roman" w:cs="Times New Roman" w:eastAsia="Times New Roman" w:hAnsi="Times New Roman"/>
          <w:sz w:val="18"/>
          <w:szCs w:val="18"/>
          <w:color w:val="auto"/>
        </w:rPr>
      </w:pPr>
      <w:r>
        <w:rPr>
          <w:rFonts w:ascii="Calibri" w:cs="Calibri" w:eastAsia="Calibri" w:hAnsi="Calibri"/>
          <w:sz w:val="18"/>
          <w:szCs w:val="18"/>
          <w:i w:val="1"/>
          <w:iCs w:val="1"/>
          <w:color w:val="auto"/>
        </w:rPr>
        <w:t>Moton Picture:</w:t>
      </w:r>
    </w:p>
    <w:p>
      <w:pPr>
        <w:spacing w:after="0" w:line="190" w:lineRule="exact"/>
        <w:rPr>
          <w:rFonts w:ascii="Times New Roman" w:cs="Times New Roman" w:eastAsia="Times New Roman" w:hAnsi="Times New Roman"/>
          <w:sz w:val="18"/>
          <w:szCs w:val="18"/>
          <w:color w:val="auto"/>
        </w:rPr>
      </w:pPr>
    </w:p>
    <w:p>
      <w:pPr>
        <w:ind w:left="540" w:right="760" w:hanging="263"/>
        <w:spacing w:after="0" w:line="235" w:lineRule="auto"/>
        <w:tabs>
          <w:tab w:leader="none" w:pos="540" w:val="left"/>
        </w:tabs>
        <w:numPr>
          <w:ilvl w:val="1"/>
          <w:numId w:val="5"/>
        </w:numPr>
        <w:rPr>
          <w:rFonts w:ascii="Times New Roman" w:cs="Times New Roman" w:eastAsia="Times New Roman" w:hAnsi="Times New Roman"/>
          <w:sz w:val="18"/>
          <w:szCs w:val="18"/>
          <w:color w:val="auto"/>
        </w:rPr>
      </w:pPr>
      <w:r>
        <w:rPr>
          <w:rFonts w:ascii="Calibri" w:cs="Calibri" w:eastAsia="Calibri" w:hAnsi="Calibri"/>
          <w:sz w:val="18"/>
          <w:szCs w:val="18"/>
          <w:color w:val="auto"/>
        </w:rPr>
        <w:t>Includes the moton picture flm business serving the entertainment industry. Moton picture products are sold directly to studios, external laboratories, distributors, and independent flmmakers.</w:t>
      </w:r>
    </w:p>
    <w:p>
      <w:pPr>
        <w:spacing w:after="0" w:line="185" w:lineRule="exact"/>
        <w:rPr>
          <w:rFonts w:ascii="Times New Roman" w:cs="Times New Roman" w:eastAsia="Times New Roman" w:hAnsi="Times New Roman"/>
          <w:sz w:val="18"/>
          <w:szCs w:val="18"/>
          <w:color w:val="auto"/>
        </w:rPr>
      </w:pPr>
    </w:p>
    <w:p>
      <w:pPr>
        <w:ind w:left="540" w:hanging="263"/>
        <w:spacing w:after="0"/>
        <w:tabs>
          <w:tab w:leader="none" w:pos="540" w:val="left"/>
        </w:tabs>
        <w:numPr>
          <w:ilvl w:val="1"/>
          <w:numId w:val="5"/>
        </w:numPr>
        <w:rPr>
          <w:rFonts w:ascii="Times New Roman" w:cs="Times New Roman" w:eastAsia="Times New Roman" w:hAnsi="Times New Roman"/>
          <w:sz w:val="18"/>
          <w:szCs w:val="18"/>
          <w:color w:val="auto"/>
        </w:rPr>
      </w:pPr>
      <w:r>
        <w:rPr>
          <w:rFonts w:ascii="Calibri" w:cs="Calibri" w:eastAsia="Calibri" w:hAnsi="Calibri"/>
          <w:sz w:val="18"/>
          <w:szCs w:val="18"/>
          <w:color w:val="auto"/>
        </w:rPr>
        <w:t>Kodak moton picture flm processing laboratories ofer onsite processing services at strategic locatons in the U.S. and Europe.</w:t>
      </w:r>
    </w:p>
    <w:p>
      <w:pPr>
        <w:spacing w:after="0" w:line="198"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5"/>
        </w:numPr>
        <w:rPr>
          <w:rFonts w:ascii="Times New Roman" w:cs="Times New Roman" w:eastAsia="Times New Roman" w:hAnsi="Times New Roman"/>
          <w:sz w:val="18"/>
          <w:szCs w:val="18"/>
          <w:color w:val="auto"/>
        </w:rPr>
      </w:pPr>
      <w:r>
        <w:rPr>
          <w:rFonts w:ascii="Calibri" w:cs="Calibri" w:eastAsia="Calibri" w:hAnsi="Calibri"/>
          <w:sz w:val="18"/>
          <w:szCs w:val="18"/>
          <w:i w:val="1"/>
          <w:iCs w:val="1"/>
          <w:color w:val="auto"/>
        </w:rPr>
        <w:t>Advanced Materials and Functonal Printng:</w:t>
      </w:r>
    </w:p>
    <w:p>
      <w:pPr>
        <w:spacing w:after="0" w:line="190" w:lineRule="exact"/>
        <w:rPr>
          <w:rFonts w:ascii="Times New Roman" w:cs="Times New Roman" w:eastAsia="Times New Roman" w:hAnsi="Times New Roman"/>
          <w:sz w:val="18"/>
          <w:szCs w:val="18"/>
          <w:color w:val="auto"/>
        </w:rPr>
      </w:pPr>
    </w:p>
    <w:p>
      <w:pPr>
        <w:ind w:left="540" w:hanging="263"/>
        <w:spacing w:after="0" w:line="235" w:lineRule="auto"/>
        <w:tabs>
          <w:tab w:leader="none" w:pos="540" w:val="left"/>
        </w:tabs>
        <w:numPr>
          <w:ilvl w:val="1"/>
          <w:numId w:val="5"/>
        </w:numPr>
        <w:rPr>
          <w:rFonts w:ascii="Times New Roman" w:cs="Times New Roman" w:eastAsia="Times New Roman" w:hAnsi="Times New Roman"/>
          <w:sz w:val="18"/>
          <w:szCs w:val="18"/>
          <w:color w:val="auto"/>
        </w:rPr>
      </w:pPr>
      <w:r>
        <w:rPr>
          <w:rFonts w:ascii="Calibri" w:cs="Calibri" w:eastAsia="Calibri" w:hAnsi="Calibri"/>
          <w:sz w:val="18"/>
          <w:szCs w:val="18"/>
          <w:color w:val="auto"/>
        </w:rPr>
        <w:t>Advanced Materials develops solutons for component smart materials based on the materials science inventons and innovatons from the research laboratories. There are multple applicatons that Kodak contemplates addressing in this category, one of which is light blocking partcles for black out window treatments. Kodak has installed a producton-scale machine to coat fabrics in Eastman Business Park, located in Rochester, NY. A second applicaton is a specialized functonal flm being manufactured for use by a 3D printng customer. A third applicaton is the process development work for launching Kodak’s diagnostc test reagents as preparaton for the opening of a cGMP facility within an existng building at Eastman Business Park to manufacture regulated pharmaceutcal materials for healthcare applicatons.</w:t>
      </w:r>
    </w:p>
    <w:p>
      <w:pPr>
        <w:spacing w:after="0" w:line="194" w:lineRule="exact"/>
        <w:rPr>
          <w:rFonts w:ascii="Times New Roman" w:cs="Times New Roman" w:eastAsia="Times New Roman" w:hAnsi="Times New Roman"/>
          <w:sz w:val="18"/>
          <w:szCs w:val="18"/>
          <w:color w:val="auto"/>
        </w:rPr>
      </w:pPr>
    </w:p>
    <w:p>
      <w:pPr>
        <w:ind w:left="540" w:right="40" w:hanging="263"/>
        <w:spacing w:after="0" w:line="235" w:lineRule="auto"/>
        <w:tabs>
          <w:tab w:leader="none" w:pos="540" w:val="left"/>
        </w:tabs>
        <w:numPr>
          <w:ilvl w:val="1"/>
          <w:numId w:val="5"/>
        </w:numPr>
        <w:rPr>
          <w:rFonts w:ascii="Times New Roman" w:cs="Times New Roman" w:eastAsia="Times New Roman" w:hAnsi="Times New Roman"/>
          <w:sz w:val="18"/>
          <w:szCs w:val="18"/>
          <w:color w:val="auto"/>
        </w:rPr>
      </w:pPr>
      <w:r>
        <w:rPr>
          <w:rFonts w:ascii="Calibri" w:cs="Calibri" w:eastAsia="Calibri" w:hAnsi="Calibri"/>
          <w:sz w:val="18"/>
          <w:szCs w:val="18"/>
          <w:color w:val="auto"/>
        </w:rPr>
        <w:t>Functonal Printng concentrates on contract manufacturing, development partnerships, and/or licensing opportunites in very high-resoluton micro-3D printng solutons such as printed electronics, printed transparent heaters, and printed transparent antennas. Development partnerships may include non-recurring engineering payments for Kodak’s eforts to further develop such technologies into components or sub-systems for their products. Also, a portolio of products is ofered to enable others to utlize functonal printng.</w:t>
      </w:r>
    </w:p>
    <w:p>
      <w:pPr>
        <w:spacing w:after="0" w:line="188"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sectPr>
      </w:pPr>
    </w:p>
    <w:bookmarkStart w:id="5" w:name="page6"/>
    <w:bookmarkEnd w:id="5"/>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80" w:hanging="272"/>
        <w:spacing w:after="0"/>
        <w:tabs>
          <w:tab w:leader="none" w:pos="280" w:val="left"/>
        </w:tabs>
        <w:numPr>
          <w:ilvl w:val="0"/>
          <w:numId w:val="6"/>
        </w:numPr>
        <w:rPr>
          <w:rFonts w:ascii="Times New Roman" w:cs="Times New Roman" w:eastAsia="Times New Roman" w:hAnsi="Times New Roman"/>
          <w:sz w:val="18"/>
          <w:szCs w:val="18"/>
          <w:color w:val="auto"/>
        </w:rPr>
      </w:pPr>
      <w:r>
        <w:rPr>
          <w:rFonts w:ascii="Calibri" w:cs="Calibri" w:eastAsia="Calibri" w:hAnsi="Calibri"/>
          <w:sz w:val="18"/>
          <w:szCs w:val="18"/>
          <w:i w:val="1"/>
          <w:iCs w:val="1"/>
          <w:color w:val="auto"/>
        </w:rPr>
        <w:t>IP Licensing and Analytcal Services</w:t>
      </w:r>
      <w:r>
        <w:rPr>
          <w:rFonts w:ascii="Calibri" w:cs="Calibri" w:eastAsia="Calibri" w:hAnsi="Calibri"/>
          <w:sz w:val="18"/>
          <w:szCs w:val="18"/>
          <w:color w:val="auto"/>
        </w:rPr>
        <w:t>:</w:t>
      </w:r>
    </w:p>
    <w:p>
      <w:pPr>
        <w:spacing w:after="0" w:line="190" w:lineRule="exact"/>
        <w:rPr>
          <w:rFonts w:ascii="Times New Roman" w:cs="Times New Roman" w:eastAsia="Times New Roman" w:hAnsi="Times New Roman"/>
          <w:sz w:val="18"/>
          <w:szCs w:val="18"/>
          <w:color w:val="auto"/>
        </w:rPr>
      </w:pPr>
    </w:p>
    <w:p>
      <w:pPr>
        <w:ind w:left="540" w:right="20" w:hanging="263"/>
        <w:spacing w:after="0" w:line="235" w:lineRule="auto"/>
        <w:tabs>
          <w:tab w:leader="none" w:pos="540" w:val="left"/>
        </w:tabs>
        <w:numPr>
          <w:ilvl w:val="1"/>
          <w:numId w:val="6"/>
        </w:numPr>
        <w:rPr>
          <w:rFonts w:ascii="Times New Roman" w:cs="Times New Roman" w:eastAsia="Times New Roman" w:hAnsi="Times New Roman"/>
          <w:sz w:val="18"/>
          <w:szCs w:val="18"/>
          <w:color w:val="auto"/>
        </w:rPr>
      </w:pPr>
      <w:r>
        <w:rPr>
          <w:rFonts w:ascii="Calibri" w:cs="Calibri" w:eastAsia="Calibri" w:hAnsi="Calibri"/>
          <w:sz w:val="18"/>
          <w:szCs w:val="18"/>
          <w:color w:val="auto"/>
        </w:rPr>
        <w:t>Kodak actvely seeks opportunites to leverage its patents and associated technology in licensing and/or cross-licensing deals to support both revenue growth and its ongoing businesses. While revenues from these licensing actvites tend to be unpredictable in nature, this segment carries the potental for revenue generaton from intellectual property licensing and new materials businesses. Kodak also provides a wide range of analytcal services to external clients at compettve rates.</w:t>
      </w:r>
    </w:p>
    <w:p>
      <w:pPr>
        <w:spacing w:after="0" w:line="179"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color w:val="auto"/>
        </w:rPr>
        <w:t>Refer to the Business Overview and Strategy secton of Item 7, “Management’s Discussion and Analysis of Financial Conditon and Results of Operatons” for additonal informaton on the opportunites related to Advanced Materials and Chemicals growth initatves.</w:t>
      </w:r>
    </w:p>
    <w:p>
      <w:pPr>
        <w:spacing w:after="0" w:line="191" w:lineRule="exact"/>
        <w:rPr>
          <w:sz w:val="20"/>
          <w:szCs w:val="20"/>
          <w:color w:val="auto"/>
        </w:rPr>
      </w:pPr>
    </w:p>
    <w:p>
      <w:pPr>
        <w:ind w:right="160"/>
        <w:spacing w:after="0" w:line="235" w:lineRule="auto"/>
        <w:rPr>
          <w:sz w:val="20"/>
          <w:szCs w:val="20"/>
          <w:color w:val="auto"/>
        </w:rPr>
      </w:pPr>
      <w:r>
        <w:rPr>
          <w:rFonts w:ascii="Calibri" w:cs="Calibri" w:eastAsia="Calibri" w:hAnsi="Calibri"/>
          <w:sz w:val="18"/>
          <w:szCs w:val="18"/>
          <w:color w:val="auto"/>
        </w:rPr>
        <w:t>Net sales for Industrial Film and Chemicals business accounted for 21%, 18% and 15% of Kodak’s total net revenue for the years ended December 31, 2024, 2023 and 2022, respectvely.</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Brand</w:t>
      </w:r>
    </w:p>
    <w:p>
      <w:pPr>
        <w:spacing w:after="0" w:line="177"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The Brand segment includes licensing of the Kodak brand to third partes. Kodak currently licenses its brand for use with a range of products including digital, instant print and 35mm flm cameras, printng and scanning consumer use devices, eyewear, bateries and apparel. Kodak intends to contnue eforts to grow its portolio of brand licenses to generate both ongoing royalty streams and upfront payments. Brand licensees use the Kodak brand on their own products and use their own distributon channels.</w:t>
      </w:r>
    </w:p>
    <w:p>
      <w:pPr>
        <w:spacing w:after="0" w:line="18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RAW MATERIALS</w:t>
      </w:r>
    </w:p>
    <w:p>
      <w:pPr>
        <w:spacing w:after="0" w:line="177"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color w:val="auto"/>
        </w:rPr>
        <w:t>The raw materials used by Kodak are many and varied and are generally readily available. Lithographic aluminum is the primary material used in the manufacture of ofset printng plates. Kodak procures lithographic aluminum coils from several suppliers with pricing largely based on prevailing market prices for aluminum. Electronic components are used in the manufacturing of commercial printers and other electronic devices. The flm and chemicals business uses many raw materials, including silver, from a broad range of suppliers. While most raw materials are generally available from multple sources, certain key electronic components, other components and specialty chemicals included in the fnished goods manufactured by Kodak and manufactured by and purchased from Kodak’s third-party suppliers are obtained from single or limited sources, which subjects Kodak to supply risks. Refer to Item 1A, "Risk Factors" and the Executve Overview secton of Item 7, “Management’s Discussion and Analysis of Financial Conditon and Results of Operatons” for a discussion of the impact of the economic environment and other global events for additonal informaton.</w:t>
      </w:r>
    </w:p>
    <w:p>
      <w:pPr>
        <w:spacing w:after="0" w:line="17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SEASONALITY OF BUSINESS</w:t>
      </w:r>
    </w:p>
    <w:p>
      <w:pPr>
        <w:spacing w:after="0" w:line="190" w:lineRule="exact"/>
        <w:rPr>
          <w:sz w:val="20"/>
          <w:szCs w:val="20"/>
          <w:color w:val="auto"/>
        </w:rPr>
      </w:pPr>
    </w:p>
    <w:p>
      <w:pPr>
        <w:ind w:right="540"/>
        <w:spacing w:after="0" w:line="235" w:lineRule="auto"/>
        <w:rPr>
          <w:sz w:val="20"/>
          <w:szCs w:val="20"/>
          <w:color w:val="auto"/>
        </w:rPr>
      </w:pPr>
      <w:r>
        <w:rPr>
          <w:rFonts w:ascii="Calibri" w:cs="Calibri" w:eastAsia="Calibri" w:hAnsi="Calibri"/>
          <w:sz w:val="18"/>
          <w:szCs w:val="18"/>
          <w:color w:val="auto"/>
        </w:rPr>
        <w:t>Printng equipment and plate unit sales generally are higher in the fourth quarter, resultng from customer or industry budgetng practces and buying paterns.</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RESEARCH AND DEVELOPMENT</w:t>
      </w:r>
    </w:p>
    <w:p>
      <w:pPr>
        <w:spacing w:after="0" w:line="177"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Kodak's general practce is to protect its investment in research and development and its freedom to use its inventons by obtaining patents. The ownership of these patents contributes to Kodak's ability to provide industry-leading products. Kodak holds portolios of patents in several areas important to its business, including specifc technologies such as lithographic printng plates and related equipment systems; digital printng workfow and color management proofng systems; key press components and toners for color and black-and-white electrophotographic printng systems; commercial inkjet writng systems and components, presses and inks; custom and specialty materials for 3D printng, functonal printng materials, material formulatons, and depositon modalites; engineered micropartcles for specifc functons; and security materials. Each of these areas is important to existng and emerging business opportunites that bear directly on Kodak's overall business performance.</w:t>
      </w:r>
    </w:p>
    <w:p>
      <w:pPr>
        <w:spacing w:after="0" w:line="195" w:lineRule="exact"/>
        <w:rPr>
          <w:sz w:val="20"/>
          <w:szCs w:val="20"/>
          <w:color w:val="auto"/>
        </w:rPr>
      </w:pPr>
    </w:p>
    <w:p>
      <w:pPr>
        <w:ind w:right="420"/>
        <w:spacing w:after="0" w:line="235" w:lineRule="auto"/>
        <w:rPr>
          <w:sz w:val="20"/>
          <w:szCs w:val="20"/>
          <w:color w:val="auto"/>
        </w:rPr>
      </w:pPr>
      <w:r>
        <w:rPr>
          <w:rFonts w:ascii="Calibri" w:cs="Calibri" w:eastAsia="Calibri" w:hAnsi="Calibri"/>
          <w:sz w:val="18"/>
          <w:szCs w:val="18"/>
          <w:color w:val="auto"/>
        </w:rPr>
        <w:t>In additon to patents, Kodak’s intellectual property includes know-how in many of the areas noted above, but in other businesses as well, such as color negatve flms, processing and print flms, and manufacturing of unregulated KSMs for the pharmaceutcal industry.</w:t>
      </w:r>
    </w:p>
    <w:p>
      <w:pPr>
        <w:spacing w:after="0" w:line="177"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Kodak's major products are not dependent upon one single, material patent. Rather, the technologies that underlie Kodak's products are supported by an aggregaton of patents having various remaining lives and expiraton dates along with know-how and trade secrets. There is no individual patent, or group of patents, whose expiraton is expected to have a material impact on Kodak's results of operatons.</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311150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6" w:name="page7"/>
    <w:bookmarkEnd w:id="6"/>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ENVIRONMENTAL MATTERS</w:t>
      </w:r>
    </w:p>
    <w:p>
      <w:pPr>
        <w:spacing w:after="0" w:line="177"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Kodak is subject to a wide variety of increasingly stringent federal, state, local, and foreign environmental laws and regulatons, including laws addressing the discharge of pollutants into the air and water, the management and disposal of hazardous substances and wastes, and the cleanup of contaminated sites. It is Kodak’s policy to carry out its business actvites in a manner consistent with sound health, safety and environmental management practces and to comply with applicable health, safety and environmental laws and regulatons. Kodak contnues to engage in programs for environmental, health and safety protecton and control.</w:t>
      </w:r>
    </w:p>
    <w:p>
      <w:pPr>
        <w:spacing w:after="0" w:line="180" w:lineRule="exact"/>
        <w:rPr>
          <w:sz w:val="20"/>
          <w:szCs w:val="20"/>
          <w:color w:val="auto"/>
        </w:rPr>
      </w:pPr>
    </w:p>
    <w:p>
      <w:pPr>
        <w:ind w:right="140"/>
        <w:spacing w:after="0" w:line="235" w:lineRule="auto"/>
        <w:rPr>
          <w:sz w:val="20"/>
          <w:szCs w:val="20"/>
          <w:color w:val="auto"/>
        </w:rPr>
      </w:pPr>
      <w:r>
        <w:rPr>
          <w:rFonts w:ascii="Calibri" w:cs="Calibri" w:eastAsia="Calibri" w:hAnsi="Calibri"/>
          <w:sz w:val="18"/>
          <w:szCs w:val="18"/>
          <w:color w:val="auto"/>
        </w:rPr>
        <w:t>A liability for environmental remediaton and other environmental costs is accrued when it is considered probable that a liability has been incurred and the amount of loss can be reasonably estmated. Environmental costs and accruals are presently not material to Kodak’s operatons, cash fows or fnancial positon. Although there is no assurance that existng or future environmental laws applicable to operatons or products will not have a material adverse efect on operatons, cash fows or fnancial conditon, Kodak does not currently antcipate material expenditures to comply with environmental laws and regulatons.</w:t>
      </w:r>
    </w:p>
    <w:p>
      <w:pPr>
        <w:spacing w:after="0" w:line="193" w:lineRule="exact"/>
        <w:rPr>
          <w:sz w:val="20"/>
          <w:szCs w:val="20"/>
          <w:color w:val="auto"/>
        </w:rPr>
      </w:pPr>
    </w:p>
    <w:p>
      <w:pPr>
        <w:ind w:right="200"/>
        <w:spacing w:after="0" w:line="235" w:lineRule="auto"/>
        <w:rPr>
          <w:sz w:val="20"/>
          <w:szCs w:val="20"/>
          <w:color w:val="auto"/>
        </w:rPr>
      </w:pPr>
      <w:r>
        <w:rPr>
          <w:rFonts w:ascii="Calibri" w:cs="Calibri" w:eastAsia="Calibri" w:hAnsi="Calibri"/>
          <w:sz w:val="18"/>
          <w:szCs w:val="18"/>
          <w:color w:val="auto"/>
        </w:rPr>
        <w:t>Kodak is focused on developing and delivering products and technologies that can drive sustainability and proftability by increasing operatonal efciency, minimizing resource use, reducing costs over tme and empowering customers to meet their own sustainability objectves.</w:t>
      </w:r>
    </w:p>
    <w:p>
      <w:pPr>
        <w:spacing w:after="0" w:line="177"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auto"/>
        </w:rPr>
        <w:t>The opportunity to reduce the environmental impact of its products and services is especially great for print products, as commercial printng has historically been a signifcant source of waste and polluton. Kodak contnues to develop in-house life cycle assessment and carbon footprint capabilites, which will help identfy where the environmental footprint of Kodak’s products can be further reduced.</w:t>
      </w:r>
    </w:p>
    <w:p>
      <w:pPr>
        <w:spacing w:after="0" w:line="17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HUMAN CAPITAL</w:t>
      </w:r>
    </w:p>
    <w:p>
      <w:pPr>
        <w:spacing w:after="0" w:line="190" w:lineRule="exact"/>
        <w:rPr>
          <w:sz w:val="20"/>
          <w:szCs w:val="20"/>
          <w:color w:val="auto"/>
        </w:rPr>
      </w:pPr>
    </w:p>
    <w:p>
      <w:pPr>
        <w:ind w:right="220"/>
        <w:spacing w:after="0" w:line="235" w:lineRule="auto"/>
        <w:rPr>
          <w:sz w:val="20"/>
          <w:szCs w:val="20"/>
          <w:color w:val="auto"/>
        </w:rPr>
      </w:pPr>
      <w:r>
        <w:rPr>
          <w:rFonts w:ascii="Calibri" w:cs="Calibri" w:eastAsia="Calibri" w:hAnsi="Calibri"/>
          <w:sz w:val="18"/>
          <w:szCs w:val="18"/>
          <w:color w:val="auto"/>
        </w:rPr>
        <w:t>As of the end of 2024, Kodak employed approximately 3,900 employees across 29 countries. Kodak’s success depends on identfying, atractng, engaging, developing, and retaining a highly skilled workforce in multple areas within Kodak. Outside the U.S. there are employees in certain countries that are represented by unions or similar organizatons, such as works councils, or are covered by collectve bargaining agreements.</w:t>
      </w:r>
    </w:p>
    <w:p>
      <w:pPr>
        <w:spacing w:after="0" w:line="178" w:lineRule="exact"/>
        <w:rPr>
          <w:sz w:val="20"/>
          <w:szCs w:val="20"/>
          <w:color w:val="auto"/>
        </w:rPr>
      </w:pPr>
    </w:p>
    <w:p>
      <w:pPr>
        <w:ind w:right="100"/>
        <w:spacing w:after="0" w:line="235" w:lineRule="auto"/>
        <w:rPr>
          <w:sz w:val="20"/>
          <w:szCs w:val="20"/>
          <w:color w:val="auto"/>
        </w:rPr>
      </w:pPr>
      <w:r>
        <w:rPr>
          <w:rFonts w:ascii="Calibri" w:cs="Calibri" w:eastAsia="Calibri" w:hAnsi="Calibri"/>
          <w:sz w:val="18"/>
          <w:szCs w:val="18"/>
          <w:color w:val="auto"/>
        </w:rPr>
        <w:t>Kodak utlizes temporary stafng programs to develop a pipeline of talent and provide additonal support during peak periods. This includes working closely with local schools to provide apprentce and intern programs. Less than 2% of its workforce is temporary.</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color w:val="auto"/>
        </w:rPr>
        <w:t>The Company has a code of conduct policy that requires the fair treatment of all employees and a zero tolerance policy for harassment or intmidaton.</w:t>
      </w:r>
    </w:p>
    <w:p>
      <w:pPr>
        <w:spacing w:after="0" w:line="235" w:lineRule="auto"/>
        <w:rPr>
          <w:sz w:val="20"/>
          <w:szCs w:val="20"/>
          <w:color w:val="auto"/>
        </w:rPr>
      </w:pPr>
      <w:r>
        <w:rPr>
          <w:rFonts w:ascii="Calibri" w:cs="Calibri" w:eastAsia="Calibri" w:hAnsi="Calibri"/>
          <w:sz w:val="18"/>
          <w:szCs w:val="18"/>
          <w:color w:val="auto"/>
        </w:rPr>
        <w:t>Kodak conducts code of conduct training with employees and managers on an annual basis.</w:t>
      </w:r>
    </w:p>
    <w:p>
      <w:pPr>
        <w:spacing w:after="0" w:line="18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Health, Wellness and Safety</w:t>
      </w:r>
    </w:p>
    <w:p>
      <w:pPr>
        <w:spacing w:after="0" w:line="177" w:lineRule="exact"/>
        <w:rPr>
          <w:sz w:val="20"/>
          <w:szCs w:val="20"/>
          <w:color w:val="auto"/>
        </w:rPr>
      </w:pPr>
    </w:p>
    <w:p>
      <w:pPr>
        <w:ind w:right="480"/>
        <w:spacing w:after="0" w:line="235" w:lineRule="auto"/>
        <w:rPr>
          <w:sz w:val="20"/>
          <w:szCs w:val="20"/>
          <w:color w:val="auto"/>
        </w:rPr>
      </w:pPr>
      <w:r>
        <w:rPr>
          <w:rFonts w:ascii="Calibri" w:cs="Calibri" w:eastAsia="Calibri" w:hAnsi="Calibri"/>
          <w:sz w:val="18"/>
          <w:szCs w:val="18"/>
          <w:color w:val="auto"/>
        </w:rPr>
        <w:t>Kodak is dedicated to driving contnuous safety improvement across its operatons. Kodak’s approach includes identfying and mitgatng risk, targeted training, informaton sharing on safe work practces, and thorough analysis of incidents and near misses, implementng preventatve measures and performing reviews to ensure the hazard has been eliminated.</w:t>
      </w:r>
    </w:p>
    <w:p>
      <w:pPr>
        <w:spacing w:after="0" w:line="17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AVAILABLE INFORMATION</w:t>
      </w:r>
    </w:p>
    <w:p>
      <w:pPr>
        <w:spacing w:after="0" w:line="190" w:lineRule="exact"/>
        <w:rPr>
          <w:sz w:val="20"/>
          <w:szCs w:val="20"/>
          <w:color w:val="auto"/>
        </w:rPr>
      </w:pPr>
    </w:p>
    <w:p>
      <w:pPr>
        <w:ind w:right="140"/>
        <w:spacing w:after="0" w:line="235" w:lineRule="auto"/>
        <w:rPr>
          <w:sz w:val="20"/>
          <w:szCs w:val="20"/>
          <w:color w:val="auto"/>
        </w:rPr>
      </w:pPr>
      <w:r>
        <w:rPr>
          <w:rFonts w:ascii="Calibri" w:cs="Calibri" w:eastAsia="Calibri" w:hAnsi="Calibri"/>
          <w:sz w:val="18"/>
          <w:szCs w:val="18"/>
          <w:color w:val="auto"/>
        </w:rPr>
        <w:t>Kodak fles many reports with the Securites and Exchange Commission (“SEC”) (www.sec.gov), including annual reports on Form 10-K, quarterly reports on Form 10-Q and current reports on Form 8-K. These reports, and amendments to these reports, are made available free of charge as soon as reasonably practcable afer being electronically fled with or furnished to the SEC. They are available through Kodak's website at www.Kodak.com. To reach the SEC flings, follow the links to Company, About Us, Investor Center, Financials and then SEC Filings.</w:t>
      </w:r>
    </w:p>
    <w:p>
      <w:pPr>
        <w:spacing w:after="0" w:line="17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1A. RISK FACTORS</w:t>
      </w:r>
    </w:p>
    <w:p>
      <w:pPr>
        <w:spacing w:after="0" w:line="177" w:lineRule="exact"/>
        <w:rPr>
          <w:sz w:val="20"/>
          <w:szCs w:val="20"/>
          <w:color w:val="auto"/>
        </w:rPr>
      </w:pPr>
    </w:p>
    <w:p>
      <w:pPr>
        <w:ind w:right="160"/>
        <w:spacing w:after="0" w:line="235" w:lineRule="auto"/>
        <w:rPr>
          <w:sz w:val="20"/>
          <w:szCs w:val="20"/>
          <w:color w:val="auto"/>
        </w:rPr>
      </w:pPr>
      <w:r>
        <w:rPr>
          <w:rFonts w:ascii="Calibri" w:cs="Calibri" w:eastAsia="Calibri" w:hAnsi="Calibri"/>
          <w:sz w:val="18"/>
          <w:szCs w:val="18"/>
          <w:color w:val="auto"/>
        </w:rPr>
        <w:t>Kodak operates in rapidly changing economic and technological environments which present numerous risks and uncertaintes. The risk factors described below, if realized, could have a material adverse efect on Kodak’s business, fnancial conditon, and results of operatons and make an investment in our securites risky. Some of the factors, events, and contngencies discussed below may have occurred in the past, but the disclosures below are not representatons as to whether or not the factors, events, or contngencies have occurred in the past, and instead refect Kodak’s beliefs and opinions as to the factors, events, or contngencies that could materially and adversely afect Kodak in the future. The risks and uncertaintes described below are not the only ones Kodak faces. Kodak’s operatons could also be afected by factors, events, or uncertaintes that are not presently known to Kodak or that Kodak currently does not consider to present signifcant risks to Kodak’s business. Therefore, you should not consider the following risks to be a complete statement of all the potental risks or uncertaintes that Kodak faces. You should carefully consider these risks and</w:t>
      </w:r>
    </w:p>
    <w:p>
      <w:pPr>
        <w:spacing w:after="0" w:line="191"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311150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sectPr>
      </w:pPr>
    </w:p>
    <w:bookmarkStart w:id="7" w:name="page8"/>
    <w:bookmarkEnd w:id="7"/>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uncertaintes in additon to other informaton contained in this Annual Report on Form 10-K, including the Management’s Discussion and Analysis of Financial Conditon and Results of Operatons (“MD&amp;A”) secton and the consolidated fnancial statements and related notes.</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Summary of Risk Factors</w:t>
      </w:r>
    </w:p>
    <w:p>
      <w:pPr>
        <w:spacing w:after="0" w:line="177"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color w:val="auto"/>
        </w:rPr>
        <w:t>The following is a summary of the risk factors Kodak faces. The list is not exhaustve, and investors should read this “Risk Factors” secton in full. Some of the risks Kodak faces include:</w:t>
      </w:r>
    </w:p>
    <w:p>
      <w:pPr>
        <w:spacing w:after="0" w:line="18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Summary of Risks Related to Kodak</w:t>
      </w:r>
      <w:r>
        <w:rPr>
          <w:rFonts w:ascii="Calibri" w:cs="Calibri" w:eastAsia="Calibri" w:hAnsi="Calibri"/>
          <w:sz w:val="18"/>
          <w:szCs w:val="18"/>
          <w:color w:val="auto"/>
        </w:rPr>
        <w:t>’</w:t>
      </w:r>
      <w:r>
        <w:rPr>
          <w:rFonts w:ascii="Calibri" w:cs="Calibri" w:eastAsia="Calibri" w:hAnsi="Calibri"/>
          <w:sz w:val="18"/>
          <w:szCs w:val="18"/>
          <w:b w:val="1"/>
          <w:bCs w:val="1"/>
          <w:color w:val="auto"/>
        </w:rPr>
        <w:t>s Business and Operatons</w:t>
      </w:r>
    </w:p>
    <w:p>
      <w:pPr>
        <w:spacing w:after="0" w:line="190" w:lineRule="exact"/>
        <w:rPr>
          <w:sz w:val="20"/>
          <w:szCs w:val="20"/>
          <w:color w:val="auto"/>
        </w:rPr>
      </w:pPr>
    </w:p>
    <w:p>
      <w:pPr>
        <w:ind w:left="1020" w:right="40" w:hanging="263"/>
        <w:spacing w:after="0" w:line="235" w:lineRule="auto"/>
        <w:tabs>
          <w:tab w:leader="none" w:pos="1020" w:val="left"/>
        </w:tabs>
        <w:numPr>
          <w:ilvl w:val="0"/>
          <w:numId w:val="7"/>
        </w:numPr>
        <w:rPr>
          <w:rFonts w:ascii="Times New Roman" w:cs="Times New Roman" w:eastAsia="Times New Roman" w:hAnsi="Times New Roman"/>
          <w:sz w:val="18"/>
          <w:szCs w:val="18"/>
          <w:color w:val="auto"/>
        </w:rPr>
      </w:pPr>
      <w:r>
        <w:rPr>
          <w:rFonts w:ascii="Calibri" w:cs="Calibri" w:eastAsia="Calibri" w:hAnsi="Calibri"/>
          <w:sz w:val="18"/>
          <w:szCs w:val="18"/>
          <w:i w:val="1"/>
          <w:iCs w:val="1"/>
          <w:color w:val="auto"/>
        </w:rPr>
        <w:t>Kodak</w:t>
      </w:r>
      <w:r>
        <w:rPr>
          <w:rFonts w:ascii="Calibri" w:cs="Calibri" w:eastAsia="Calibri" w:hAnsi="Calibri"/>
          <w:sz w:val="18"/>
          <w:szCs w:val="18"/>
          <w:color w:val="auto"/>
        </w:rPr>
        <w:t>’</w:t>
      </w:r>
      <w:r>
        <w:rPr>
          <w:rFonts w:ascii="Calibri" w:cs="Calibri" w:eastAsia="Calibri" w:hAnsi="Calibri"/>
          <w:sz w:val="18"/>
          <w:szCs w:val="18"/>
          <w:i w:val="1"/>
          <w:iCs w:val="1"/>
          <w:color w:val="auto"/>
        </w:rPr>
        <w:t>s business, fnancial conditon and results of operatons have been and may contnue to be adversely afected by global economic and geopolitcal conditons, including wars and other hostlites, medical epidemics, infaton, fuctuatons in interest rates, changes in trade policies, including tarifs or other trade restrictons or the threat of such actons, and slowdowns in customer demand.</w:t>
      </w:r>
    </w:p>
    <w:p>
      <w:pPr>
        <w:spacing w:after="0" w:line="186"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7"/>
        </w:numPr>
        <w:rPr>
          <w:rFonts w:ascii="Times New Roman" w:cs="Times New Roman" w:eastAsia="Times New Roman" w:hAnsi="Times New Roman"/>
          <w:sz w:val="18"/>
          <w:szCs w:val="18"/>
          <w:color w:val="auto"/>
        </w:rPr>
      </w:pPr>
      <w:r>
        <w:rPr>
          <w:rFonts w:ascii="Calibri" w:cs="Calibri" w:eastAsia="Calibri" w:hAnsi="Calibri"/>
          <w:sz w:val="18"/>
          <w:szCs w:val="18"/>
          <w:i w:val="1"/>
          <w:iCs w:val="1"/>
          <w:color w:val="auto"/>
        </w:rPr>
        <w:t>The ability to generate positve operatng cash fows will be necessary for Kodak to contnue to operate our business.</w:t>
      </w:r>
    </w:p>
    <w:p>
      <w:pPr>
        <w:spacing w:after="0" w:line="203" w:lineRule="exact"/>
        <w:rPr>
          <w:rFonts w:ascii="Times New Roman" w:cs="Times New Roman" w:eastAsia="Times New Roman" w:hAnsi="Times New Roman"/>
          <w:sz w:val="18"/>
          <w:szCs w:val="18"/>
          <w:color w:val="auto"/>
        </w:rPr>
      </w:pPr>
    </w:p>
    <w:p>
      <w:pPr>
        <w:ind w:left="1020" w:right="180" w:hanging="263"/>
        <w:spacing w:after="0" w:line="235" w:lineRule="auto"/>
        <w:tabs>
          <w:tab w:leader="none" w:pos="1020" w:val="left"/>
        </w:tabs>
        <w:numPr>
          <w:ilvl w:val="0"/>
          <w:numId w:val="7"/>
        </w:numPr>
        <w:rPr>
          <w:rFonts w:ascii="Times New Roman" w:cs="Times New Roman" w:eastAsia="Times New Roman" w:hAnsi="Times New Roman"/>
          <w:sz w:val="18"/>
          <w:szCs w:val="18"/>
          <w:color w:val="auto"/>
        </w:rPr>
      </w:pPr>
      <w:r>
        <w:rPr>
          <w:rFonts w:ascii="Calibri" w:cs="Calibri" w:eastAsia="Calibri" w:hAnsi="Calibri"/>
          <w:sz w:val="18"/>
          <w:szCs w:val="18"/>
          <w:i w:val="1"/>
          <w:iCs w:val="1"/>
          <w:color w:val="auto"/>
        </w:rPr>
        <w:t>Kodak’s ability to receive reversion proceeds from the terminaton and liquidaton of the Kodak Retrement Income Plan (KRIP), if any, and the amount and tming of such receipts, are subject to factors beyond Kodak’s control.</w:t>
      </w:r>
    </w:p>
    <w:p>
      <w:pPr>
        <w:spacing w:after="0" w:line="190" w:lineRule="exact"/>
        <w:rPr>
          <w:rFonts w:ascii="Times New Roman" w:cs="Times New Roman" w:eastAsia="Times New Roman" w:hAnsi="Times New Roman"/>
          <w:sz w:val="18"/>
          <w:szCs w:val="18"/>
          <w:color w:val="auto"/>
        </w:rPr>
      </w:pPr>
    </w:p>
    <w:p>
      <w:pPr>
        <w:ind w:left="1020" w:right="100" w:hanging="263"/>
        <w:spacing w:after="0" w:line="235" w:lineRule="auto"/>
        <w:tabs>
          <w:tab w:leader="none" w:pos="1020" w:val="left"/>
        </w:tabs>
        <w:numPr>
          <w:ilvl w:val="0"/>
          <w:numId w:val="7"/>
        </w:numPr>
        <w:rPr>
          <w:rFonts w:ascii="Times New Roman" w:cs="Times New Roman" w:eastAsia="Times New Roman" w:hAnsi="Times New Roman"/>
          <w:sz w:val="18"/>
          <w:szCs w:val="18"/>
          <w:color w:val="auto"/>
        </w:rPr>
      </w:pPr>
      <w:r>
        <w:rPr>
          <w:rFonts w:ascii="Calibri" w:cs="Calibri" w:eastAsia="Calibri" w:hAnsi="Calibri"/>
          <w:sz w:val="18"/>
          <w:szCs w:val="18"/>
          <w:i w:val="1"/>
          <w:iCs w:val="1"/>
          <w:color w:val="auto"/>
        </w:rPr>
        <w:t>If Kodak is unable to contnue successful development, funding, and commercializaton of products in businesses upon which we are focused or do so within an acceptable tmeframe, Kodak</w:t>
      </w:r>
      <w:r>
        <w:rPr>
          <w:rFonts w:ascii="Calibri" w:cs="Calibri" w:eastAsia="Calibri" w:hAnsi="Calibri"/>
          <w:sz w:val="18"/>
          <w:szCs w:val="18"/>
          <w:color w:val="auto"/>
        </w:rPr>
        <w:t>’</w:t>
      </w:r>
      <w:r>
        <w:rPr>
          <w:rFonts w:ascii="Calibri" w:cs="Calibri" w:eastAsia="Calibri" w:hAnsi="Calibri"/>
          <w:sz w:val="18"/>
          <w:szCs w:val="18"/>
          <w:i w:val="1"/>
          <w:iCs w:val="1"/>
          <w:color w:val="auto"/>
        </w:rPr>
        <w:t>s fnancial performance could be adversely afected.</w:t>
      </w:r>
    </w:p>
    <w:p>
      <w:pPr>
        <w:spacing w:after="0" w:line="190" w:lineRule="exact"/>
        <w:rPr>
          <w:rFonts w:ascii="Times New Roman" w:cs="Times New Roman" w:eastAsia="Times New Roman" w:hAnsi="Times New Roman"/>
          <w:sz w:val="18"/>
          <w:szCs w:val="18"/>
          <w:color w:val="auto"/>
        </w:rPr>
      </w:pPr>
    </w:p>
    <w:p>
      <w:pPr>
        <w:ind w:left="1020" w:right="160" w:hanging="263"/>
        <w:spacing w:after="0" w:line="235" w:lineRule="auto"/>
        <w:tabs>
          <w:tab w:leader="none" w:pos="1020" w:val="left"/>
        </w:tabs>
        <w:numPr>
          <w:ilvl w:val="0"/>
          <w:numId w:val="7"/>
        </w:numPr>
        <w:rPr>
          <w:rFonts w:ascii="Times New Roman" w:cs="Times New Roman" w:eastAsia="Times New Roman" w:hAnsi="Times New Roman"/>
          <w:sz w:val="18"/>
          <w:szCs w:val="18"/>
          <w:color w:val="auto"/>
        </w:rPr>
      </w:pPr>
      <w:r>
        <w:rPr>
          <w:rFonts w:ascii="Calibri" w:cs="Calibri" w:eastAsia="Calibri" w:hAnsi="Calibri"/>
          <w:sz w:val="18"/>
          <w:szCs w:val="18"/>
          <w:i w:val="1"/>
          <w:iCs w:val="1"/>
          <w:color w:val="auto"/>
        </w:rPr>
        <w:t>If Kodak is unable to successfully or tmely implement cost structure reductons, Kodak</w:t>
      </w:r>
      <w:r>
        <w:rPr>
          <w:rFonts w:ascii="Calibri" w:cs="Calibri" w:eastAsia="Calibri" w:hAnsi="Calibri"/>
          <w:sz w:val="18"/>
          <w:szCs w:val="18"/>
          <w:color w:val="auto"/>
        </w:rPr>
        <w:t>’</w:t>
      </w:r>
      <w:r>
        <w:rPr>
          <w:rFonts w:ascii="Calibri" w:cs="Calibri" w:eastAsia="Calibri" w:hAnsi="Calibri"/>
          <w:sz w:val="18"/>
          <w:szCs w:val="18"/>
          <w:i w:val="1"/>
          <w:iCs w:val="1"/>
          <w:color w:val="auto"/>
        </w:rPr>
        <w:t>s business, fnancial conditon and results of operatons could be negatvely afected.</w:t>
      </w:r>
    </w:p>
    <w:p>
      <w:pPr>
        <w:spacing w:after="0" w:line="204" w:lineRule="exact"/>
        <w:rPr>
          <w:rFonts w:ascii="Times New Roman" w:cs="Times New Roman" w:eastAsia="Times New Roman" w:hAnsi="Times New Roman"/>
          <w:sz w:val="18"/>
          <w:szCs w:val="18"/>
          <w:color w:val="auto"/>
        </w:rPr>
      </w:pPr>
    </w:p>
    <w:p>
      <w:pPr>
        <w:ind w:left="1020" w:right="160" w:hanging="263"/>
        <w:spacing w:after="0" w:line="235" w:lineRule="auto"/>
        <w:tabs>
          <w:tab w:leader="none" w:pos="1020" w:val="left"/>
        </w:tabs>
        <w:numPr>
          <w:ilvl w:val="0"/>
          <w:numId w:val="7"/>
        </w:numPr>
        <w:rPr>
          <w:rFonts w:ascii="Times New Roman" w:cs="Times New Roman" w:eastAsia="Times New Roman" w:hAnsi="Times New Roman"/>
          <w:sz w:val="18"/>
          <w:szCs w:val="18"/>
          <w:color w:val="auto"/>
        </w:rPr>
      </w:pPr>
      <w:r>
        <w:rPr>
          <w:rFonts w:ascii="Calibri" w:cs="Calibri" w:eastAsia="Calibri" w:hAnsi="Calibri"/>
          <w:sz w:val="18"/>
          <w:szCs w:val="18"/>
          <w:i w:val="1"/>
          <w:iCs w:val="1"/>
          <w:color w:val="auto"/>
        </w:rPr>
        <w:t>The loss of one or more of Kodak</w:t>
      </w:r>
      <w:r>
        <w:rPr>
          <w:rFonts w:ascii="Calibri" w:cs="Calibri" w:eastAsia="Calibri" w:hAnsi="Calibri"/>
          <w:sz w:val="18"/>
          <w:szCs w:val="18"/>
          <w:color w:val="auto"/>
        </w:rPr>
        <w:t>’</w:t>
      </w:r>
      <w:r>
        <w:rPr>
          <w:rFonts w:ascii="Calibri" w:cs="Calibri" w:eastAsia="Calibri" w:hAnsi="Calibri"/>
          <w:sz w:val="18"/>
          <w:szCs w:val="18"/>
          <w:i w:val="1"/>
          <w:iCs w:val="1"/>
          <w:color w:val="auto"/>
        </w:rPr>
        <w:t>s key personnel, or our failure to atract and retain other highly qualifed personnel in the future, could harm our business.</w:t>
      </w:r>
    </w:p>
    <w:p>
      <w:pPr>
        <w:spacing w:after="0" w:line="190" w:lineRule="exact"/>
        <w:rPr>
          <w:rFonts w:ascii="Times New Roman" w:cs="Times New Roman" w:eastAsia="Times New Roman" w:hAnsi="Times New Roman"/>
          <w:sz w:val="18"/>
          <w:szCs w:val="18"/>
          <w:color w:val="auto"/>
        </w:rPr>
      </w:pPr>
    </w:p>
    <w:p>
      <w:pPr>
        <w:ind w:left="1020" w:right="300" w:hanging="263"/>
        <w:spacing w:after="0" w:line="235" w:lineRule="auto"/>
        <w:tabs>
          <w:tab w:leader="none" w:pos="1020" w:val="left"/>
        </w:tabs>
        <w:numPr>
          <w:ilvl w:val="0"/>
          <w:numId w:val="7"/>
        </w:numPr>
        <w:rPr>
          <w:rFonts w:ascii="Times New Roman" w:cs="Times New Roman" w:eastAsia="Times New Roman" w:hAnsi="Times New Roman"/>
          <w:sz w:val="18"/>
          <w:szCs w:val="18"/>
          <w:color w:val="auto"/>
        </w:rPr>
      </w:pPr>
      <w:r>
        <w:rPr>
          <w:rFonts w:ascii="Calibri" w:cs="Calibri" w:eastAsia="Calibri" w:hAnsi="Calibri"/>
          <w:sz w:val="18"/>
          <w:szCs w:val="18"/>
          <w:i w:val="1"/>
          <w:iCs w:val="1"/>
          <w:color w:val="auto"/>
        </w:rPr>
        <w:t>If Kodak cannot efectvely antcipate or rapidly respond to technology trends and develop and market new products to respond to changing customer needs and preferences, our revenue, earnings and cash fow could be adversely afected.</w:t>
      </w:r>
    </w:p>
    <w:p>
      <w:pPr>
        <w:spacing w:after="0" w:line="185"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7"/>
        </w:numPr>
        <w:rPr>
          <w:rFonts w:ascii="Times New Roman" w:cs="Times New Roman" w:eastAsia="Times New Roman" w:hAnsi="Times New Roman"/>
          <w:sz w:val="18"/>
          <w:szCs w:val="18"/>
          <w:color w:val="auto"/>
        </w:rPr>
      </w:pPr>
      <w:r>
        <w:rPr>
          <w:rFonts w:ascii="Calibri" w:cs="Calibri" w:eastAsia="Calibri" w:hAnsi="Calibri"/>
          <w:sz w:val="18"/>
          <w:szCs w:val="18"/>
          <w:i w:val="1"/>
          <w:iCs w:val="1"/>
          <w:color w:val="auto"/>
        </w:rPr>
        <w:t>Kodak is exposed to risks associated with expanding into related or new markets and industries.</w:t>
      </w:r>
    </w:p>
    <w:p>
      <w:pPr>
        <w:spacing w:after="0" w:line="198"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7"/>
        </w:numPr>
        <w:rPr>
          <w:rFonts w:ascii="Times New Roman" w:cs="Times New Roman" w:eastAsia="Times New Roman" w:hAnsi="Times New Roman"/>
          <w:sz w:val="18"/>
          <w:szCs w:val="18"/>
          <w:color w:val="auto"/>
        </w:rPr>
      </w:pPr>
      <w:r>
        <w:rPr>
          <w:rFonts w:ascii="Calibri" w:cs="Calibri" w:eastAsia="Calibri" w:hAnsi="Calibri"/>
          <w:sz w:val="18"/>
          <w:szCs w:val="18"/>
          <w:i w:val="1"/>
          <w:iCs w:val="1"/>
          <w:color w:val="auto"/>
        </w:rPr>
        <w:t>Kodak</w:t>
      </w:r>
      <w:r>
        <w:rPr>
          <w:rFonts w:ascii="Calibri" w:cs="Calibri" w:eastAsia="Calibri" w:hAnsi="Calibri"/>
          <w:sz w:val="18"/>
          <w:szCs w:val="18"/>
          <w:color w:val="auto"/>
        </w:rPr>
        <w:t>’</w:t>
      </w:r>
      <w:r>
        <w:rPr>
          <w:rFonts w:ascii="Calibri" w:cs="Calibri" w:eastAsia="Calibri" w:hAnsi="Calibri"/>
          <w:sz w:val="18"/>
          <w:szCs w:val="18"/>
          <w:i w:val="1"/>
          <w:iCs w:val="1"/>
          <w:color w:val="auto"/>
        </w:rPr>
        <w:t>s investment in new products and services may not achieve expected returns.</w:t>
      </w:r>
    </w:p>
    <w:p>
      <w:pPr>
        <w:spacing w:after="0" w:line="190" w:lineRule="exact"/>
        <w:rPr>
          <w:rFonts w:ascii="Times New Roman" w:cs="Times New Roman" w:eastAsia="Times New Roman" w:hAnsi="Times New Roman"/>
          <w:sz w:val="18"/>
          <w:szCs w:val="18"/>
          <w:color w:val="auto"/>
        </w:rPr>
      </w:pPr>
    </w:p>
    <w:p>
      <w:pPr>
        <w:ind w:left="1020" w:right="40" w:hanging="263"/>
        <w:spacing w:after="0" w:line="235" w:lineRule="auto"/>
        <w:tabs>
          <w:tab w:leader="none" w:pos="1020" w:val="left"/>
        </w:tabs>
        <w:numPr>
          <w:ilvl w:val="0"/>
          <w:numId w:val="7"/>
        </w:numPr>
        <w:rPr>
          <w:rFonts w:ascii="Times New Roman" w:cs="Times New Roman" w:eastAsia="Times New Roman" w:hAnsi="Times New Roman"/>
          <w:sz w:val="18"/>
          <w:szCs w:val="18"/>
          <w:color w:val="auto"/>
        </w:rPr>
      </w:pPr>
      <w:r>
        <w:rPr>
          <w:rFonts w:ascii="Calibri" w:cs="Calibri" w:eastAsia="Calibri" w:hAnsi="Calibri"/>
          <w:sz w:val="18"/>
          <w:szCs w:val="18"/>
          <w:i w:val="1"/>
          <w:iCs w:val="1"/>
          <w:color w:val="auto"/>
        </w:rPr>
        <w:t>If Kodak does not manage product reliability, yield and quality, our product launch plans may be delayed, our fnancial results may be adversely impacted, and our reputaton may be harmed.</w:t>
      </w:r>
    </w:p>
    <w:p>
      <w:pPr>
        <w:spacing w:after="0" w:line="185"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7"/>
        </w:numPr>
        <w:rPr>
          <w:rFonts w:ascii="Times New Roman" w:cs="Times New Roman" w:eastAsia="Times New Roman" w:hAnsi="Times New Roman"/>
          <w:sz w:val="18"/>
          <w:szCs w:val="18"/>
          <w:color w:val="auto"/>
        </w:rPr>
      </w:pPr>
      <w:r>
        <w:rPr>
          <w:rFonts w:ascii="Calibri" w:cs="Calibri" w:eastAsia="Calibri" w:hAnsi="Calibri"/>
          <w:sz w:val="18"/>
          <w:szCs w:val="18"/>
          <w:i w:val="1"/>
          <w:iCs w:val="1"/>
          <w:color w:val="auto"/>
        </w:rPr>
        <w:t>Aging manufacturing facilites and equipment could lead to failures of equipment and systems.</w:t>
      </w:r>
    </w:p>
    <w:p>
      <w:pPr>
        <w:spacing w:after="0" w:line="203" w:lineRule="exact"/>
        <w:rPr>
          <w:rFonts w:ascii="Times New Roman" w:cs="Times New Roman" w:eastAsia="Times New Roman" w:hAnsi="Times New Roman"/>
          <w:sz w:val="18"/>
          <w:szCs w:val="18"/>
          <w:color w:val="auto"/>
        </w:rPr>
      </w:pPr>
    </w:p>
    <w:p>
      <w:pPr>
        <w:ind w:left="1020" w:right="640" w:hanging="263"/>
        <w:spacing w:after="0" w:line="235" w:lineRule="auto"/>
        <w:tabs>
          <w:tab w:leader="none" w:pos="1020" w:val="left"/>
        </w:tabs>
        <w:numPr>
          <w:ilvl w:val="0"/>
          <w:numId w:val="7"/>
        </w:numPr>
        <w:rPr>
          <w:rFonts w:ascii="Times New Roman" w:cs="Times New Roman" w:eastAsia="Times New Roman" w:hAnsi="Times New Roman"/>
          <w:sz w:val="18"/>
          <w:szCs w:val="18"/>
          <w:color w:val="auto"/>
        </w:rPr>
      </w:pPr>
      <w:r>
        <w:rPr>
          <w:rFonts w:ascii="Calibri" w:cs="Calibri" w:eastAsia="Calibri" w:hAnsi="Calibri"/>
          <w:sz w:val="18"/>
          <w:szCs w:val="18"/>
          <w:i w:val="1"/>
          <w:iCs w:val="1"/>
          <w:color w:val="auto"/>
        </w:rPr>
        <w:t>If Kodak fails to manage distributon of our products and services properly, our revenue, gross margins and earnings could be adversely impacted.</w:t>
      </w:r>
    </w:p>
    <w:p>
      <w:pPr>
        <w:spacing w:after="0" w:line="190" w:lineRule="exact"/>
        <w:rPr>
          <w:rFonts w:ascii="Times New Roman" w:cs="Times New Roman" w:eastAsia="Times New Roman" w:hAnsi="Times New Roman"/>
          <w:sz w:val="18"/>
          <w:szCs w:val="18"/>
          <w:color w:val="auto"/>
        </w:rPr>
      </w:pPr>
    </w:p>
    <w:p>
      <w:pPr>
        <w:ind w:left="1020" w:right="60" w:hanging="263"/>
        <w:spacing w:after="0" w:line="235" w:lineRule="auto"/>
        <w:tabs>
          <w:tab w:leader="none" w:pos="1020" w:val="left"/>
        </w:tabs>
        <w:numPr>
          <w:ilvl w:val="0"/>
          <w:numId w:val="7"/>
        </w:numPr>
        <w:rPr>
          <w:rFonts w:ascii="Times New Roman" w:cs="Times New Roman" w:eastAsia="Times New Roman" w:hAnsi="Times New Roman"/>
          <w:sz w:val="18"/>
          <w:szCs w:val="18"/>
          <w:color w:val="auto"/>
        </w:rPr>
      </w:pPr>
      <w:r>
        <w:rPr>
          <w:rFonts w:ascii="Calibri" w:cs="Calibri" w:eastAsia="Calibri" w:hAnsi="Calibri"/>
          <w:sz w:val="18"/>
          <w:szCs w:val="18"/>
          <w:i w:val="1"/>
          <w:iCs w:val="1"/>
          <w:color w:val="auto"/>
        </w:rPr>
        <w:t>If Kodak cannot protect the intellectual property rights on which our business depends, or if third partes assert that we violate their intellectual property rights, our revenue, earnings, expenses and liquidity may be adversely impacted.</w:t>
      </w:r>
    </w:p>
    <w:p>
      <w:pPr>
        <w:spacing w:after="0" w:line="190" w:lineRule="exact"/>
        <w:rPr>
          <w:rFonts w:ascii="Times New Roman" w:cs="Times New Roman" w:eastAsia="Times New Roman" w:hAnsi="Times New Roman"/>
          <w:sz w:val="18"/>
          <w:szCs w:val="18"/>
          <w:color w:val="auto"/>
        </w:rPr>
      </w:pPr>
    </w:p>
    <w:p>
      <w:pPr>
        <w:ind w:left="1020" w:right="40" w:hanging="263"/>
        <w:spacing w:after="0" w:line="235" w:lineRule="auto"/>
        <w:tabs>
          <w:tab w:leader="none" w:pos="1020" w:val="left"/>
        </w:tabs>
        <w:numPr>
          <w:ilvl w:val="0"/>
          <w:numId w:val="7"/>
        </w:numPr>
        <w:rPr>
          <w:rFonts w:ascii="Times New Roman" w:cs="Times New Roman" w:eastAsia="Times New Roman" w:hAnsi="Times New Roman"/>
          <w:sz w:val="18"/>
          <w:szCs w:val="18"/>
          <w:color w:val="auto"/>
        </w:rPr>
      </w:pPr>
      <w:r>
        <w:rPr>
          <w:rFonts w:ascii="Calibri" w:cs="Calibri" w:eastAsia="Calibri" w:hAnsi="Calibri"/>
          <w:sz w:val="18"/>
          <w:szCs w:val="18"/>
          <w:i w:val="1"/>
          <w:iCs w:val="1"/>
          <w:color w:val="auto"/>
        </w:rPr>
        <w:t>Cyber-atacks or other data security incidents that disrupt Kodak</w:t>
      </w:r>
      <w:r>
        <w:rPr>
          <w:rFonts w:ascii="Calibri" w:cs="Calibri" w:eastAsia="Calibri" w:hAnsi="Calibri"/>
          <w:sz w:val="18"/>
          <w:szCs w:val="18"/>
          <w:color w:val="auto"/>
        </w:rPr>
        <w:t>’</w:t>
      </w:r>
      <w:r>
        <w:rPr>
          <w:rFonts w:ascii="Calibri" w:cs="Calibri" w:eastAsia="Calibri" w:hAnsi="Calibri"/>
          <w:sz w:val="18"/>
          <w:szCs w:val="18"/>
          <w:i w:val="1"/>
          <w:iCs w:val="1"/>
          <w:color w:val="auto"/>
        </w:rPr>
        <w:t>s operatons or result in the breach or other compromise of proprietary of confdental informaton about our workforce, our customers, or other third partes could disrupt our business, harm our reputaton, cause us to lose customers, and expose us to costly regulatory enforcement and litgaton, any of which could lead to material adverse efects on Kodak</w:t>
      </w:r>
      <w:r>
        <w:rPr>
          <w:rFonts w:ascii="Calibri" w:cs="Calibri" w:eastAsia="Calibri" w:hAnsi="Calibri"/>
          <w:sz w:val="18"/>
          <w:szCs w:val="18"/>
          <w:color w:val="auto"/>
        </w:rPr>
        <w:t>’</w:t>
      </w:r>
      <w:r>
        <w:rPr>
          <w:rFonts w:ascii="Calibri" w:cs="Calibri" w:eastAsia="Calibri" w:hAnsi="Calibri"/>
          <w:sz w:val="18"/>
          <w:szCs w:val="18"/>
          <w:i w:val="1"/>
          <w:iCs w:val="1"/>
          <w:color w:val="auto"/>
        </w:rPr>
        <w:t>s results of operatons, business and fnancial conditon.</w:t>
      </w:r>
    </w:p>
    <w:p>
      <w:pPr>
        <w:spacing w:after="0" w:line="205" w:lineRule="exact"/>
        <w:rPr>
          <w:rFonts w:ascii="Times New Roman" w:cs="Times New Roman" w:eastAsia="Times New Roman" w:hAnsi="Times New Roman"/>
          <w:sz w:val="18"/>
          <w:szCs w:val="18"/>
          <w:color w:val="auto"/>
        </w:rPr>
      </w:pPr>
    </w:p>
    <w:p>
      <w:pPr>
        <w:ind w:left="1020" w:right="600" w:hanging="263"/>
        <w:spacing w:after="0" w:line="235" w:lineRule="auto"/>
        <w:tabs>
          <w:tab w:leader="none" w:pos="1020" w:val="left"/>
        </w:tabs>
        <w:numPr>
          <w:ilvl w:val="0"/>
          <w:numId w:val="7"/>
        </w:numPr>
        <w:rPr>
          <w:rFonts w:ascii="Times New Roman" w:cs="Times New Roman" w:eastAsia="Times New Roman" w:hAnsi="Times New Roman"/>
          <w:sz w:val="18"/>
          <w:szCs w:val="18"/>
          <w:color w:val="auto"/>
        </w:rPr>
      </w:pPr>
      <w:r>
        <w:rPr>
          <w:rFonts w:ascii="Calibri" w:cs="Calibri" w:eastAsia="Calibri" w:hAnsi="Calibri"/>
          <w:sz w:val="18"/>
          <w:szCs w:val="18"/>
          <w:i w:val="1"/>
          <w:iCs w:val="1"/>
          <w:color w:val="auto"/>
        </w:rPr>
        <w:t>Failure to successfully manage the development and improvement of IT systems could diminish or delay any antcipated efciencies and operatonal improvements, and our operatons and business could be disrupted.</w:t>
      </w:r>
    </w:p>
    <w:p>
      <w:pPr>
        <w:spacing w:after="0" w:line="190" w:lineRule="exact"/>
        <w:rPr>
          <w:rFonts w:ascii="Times New Roman" w:cs="Times New Roman" w:eastAsia="Times New Roman" w:hAnsi="Times New Roman"/>
          <w:sz w:val="18"/>
          <w:szCs w:val="18"/>
          <w:color w:val="auto"/>
        </w:rPr>
      </w:pPr>
    </w:p>
    <w:p>
      <w:pPr>
        <w:ind w:left="1020" w:right="660" w:hanging="263"/>
        <w:spacing w:after="0" w:line="235" w:lineRule="auto"/>
        <w:tabs>
          <w:tab w:leader="none" w:pos="1020" w:val="left"/>
        </w:tabs>
        <w:numPr>
          <w:ilvl w:val="0"/>
          <w:numId w:val="7"/>
        </w:numPr>
        <w:rPr>
          <w:rFonts w:ascii="Times New Roman" w:cs="Times New Roman" w:eastAsia="Times New Roman" w:hAnsi="Times New Roman"/>
          <w:sz w:val="18"/>
          <w:szCs w:val="18"/>
          <w:color w:val="auto"/>
        </w:rPr>
      </w:pPr>
      <w:r>
        <w:rPr>
          <w:rFonts w:ascii="Calibri" w:cs="Calibri" w:eastAsia="Calibri" w:hAnsi="Calibri"/>
          <w:sz w:val="18"/>
          <w:szCs w:val="18"/>
          <w:i w:val="1"/>
          <w:iCs w:val="1"/>
          <w:color w:val="auto"/>
        </w:rPr>
        <w:t>Emerging issues related to development and use of artfcial intelligence ("AI") could give rise to legal or regulatory acton, damage our reputaton or otherwise materially harm our business.</w:t>
      </w:r>
    </w:p>
    <w:p>
      <w:pPr>
        <w:spacing w:after="0" w:line="172"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8" w:name="page9"/>
    <w:bookmarkEnd w:id="8"/>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020" w:right="320" w:hanging="263"/>
        <w:spacing w:after="0" w:line="235" w:lineRule="auto"/>
        <w:tabs>
          <w:tab w:leader="none" w:pos="1020" w:val="left"/>
        </w:tabs>
        <w:numPr>
          <w:ilvl w:val="0"/>
          <w:numId w:val="8"/>
        </w:numPr>
        <w:rPr>
          <w:rFonts w:ascii="Times New Roman" w:cs="Times New Roman" w:eastAsia="Times New Roman" w:hAnsi="Times New Roman"/>
          <w:sz w:val="18"/>
          <w:szCs w:val="18"/>
          <w:color w:val="auto"/>
        </w:rPr>
      </w:pPr>
      <w:r>
        <w:rPr>
          <w:rFonts w:ascii="Calibri" w:cs="Calibri" w:eastAsia="Calibri" w:hAnsi="Calibri"/>
          <w:sz w:val="18"/>
          <w:szCs w:val="18"/>
          <w:i w:val="1"/>
          <w:iCs w:val="1"/>
          <w:color w:val="auto"/>
        </w:rPr>
        <w:t>Kodak</w:t>
      </w:r>
      <w:r>
        <w:rPr>
          <w:rFonts w:ascii="Calibri" w:cs="Calibri" w:eastAsia="Calibri" w:hAnsi="Calibri"/>
          <w:sz w:val="18"/>
          <w:szCs w:val="18"/>
          <w:color w:val="auto"/>
        </w:rPr>
        <w:t>’</w:t>
      </w:r>
      <w:r>
        <w:rPr>
          <w:rFonts w:ascii="Calibri" w:cs="Calibri" w:eastAsia="Calibri" w:hAnsi="Calibri"/>
          <w:sz w:val="18"/>
          <w:szCs w:val="18"/>
          <w:i w:val="1"/>
          <w:iCs w:val="1"/>
          <w:color w:val="auto"/>
        </w:rPr>
        <w:t>s inability to efectvely complete and manage strategic transactons could adversely impact our business performance, including our fnancial results.</w:t>
      </w:r>
    </w:p>
    <w:p>
      <w:pPr>
        <w:spacing w:after="0" w:line="185"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8"/>
        </w:numPr>
        <w:rPr>
          <w:rFonts w:ascii="Times New Roman" w:cs="Times New Roman" w:eastAsia="Times New Roman" w:hAnsi="Times New Roman"/>
          <w:sz w:val="18"/>
          <w:szCs w:val="18"/>
          <w:color w:val="auto"/>
        </w:rPr>
      </w:pPr>
      <w:r>
        <w:rPr>
          <w:rFonts w:ascii="Calibri" w:cs="Calibri" w:eastAsia="Calibri" w:hAnsi="Calibri"/>
          <w:sz w:val="18"/>
          <w:szCs w:val="18"/>
          <w:i w:val="1"/>
          <w:iCs w:val="1"/>
          <w:color w:val="auto"/>
        </w:rPr>
        <w:t>If the reputaton of Kodak or its brand erodes signifcantly, it could have a material impact on our fnancial results.</w:t>
      </w:r>
    </w:p>
    <w:p>
      <w:pPr>
        <w:spacing w:after="0" w:line="190" w:lineRule="exact"/>
        <w:rPr>
          <w:rFonts w:ascii="Times New Roman" w:cs="Times New Roman" w:eastAsia="Times New Roman" w:hAnsi="Times New Roman"/>
          <w:sz w:val="18"/>
          <w:szCs w:val="18"/>
          <w:color w:val="auto"/>
        </w:rPr>
      </w:pPr>
    </w:p>
    <w:p>
      <w:pPr>
        <w:ind w:left="1020" w:right="300" w:hanging="263"/>
        <w:spacing w:after="0" w:line="235" w:lineRule="auto"/>
        <w:tabs>
          <w:tab w:leader="none" w:pos="1020" w:val="left"/>
        </w:tabs>
        <w:numPr>
          <w:ilvl w:val="0"/>
          <w:numId w:val="8"/>
        </w:numPr>
        <w:rPr>
          <w:rFonts w:ascii="Times New Roman" w:cs="Times New Roman" w:eastAsia="Times New Roman" w:hAnsi="Times New Roman"/>
          <w:sz w:val="18"/>
          <w:szCs w:val="18"/>
          <w:color w:val="auto"/>
        </w:rPr>
      </w:pPr>
      <w:r>
        <w:rPr>
          <w:rFonts w:ascii="Calibri" w:cs="Calibri" w:eastAsia="Calibri" w:hAnsi="Calibri"/>
          <w:sz w:val="18"/>
          <w:szCs w:val="18"/>
          <w:i w:val="1"/>
          <w:iCs w:val="1"/>
          <w:color w:val="auto"/>
        </w:rPr>
        <w:t>Increased competton, including price competton, could have a material adverse impact on Kodak</w:t>
      </w:r>
      <w:r>
        <w:rPr>
          <w:rFonts w:ascii="Calibri" w:cs="Calibri" w:eastAsia="Calibri" w:hAnsi="Calibri"/>
          <w:sz w:val="18"/>
          <w:szCs w:val="18"/>
          <w:color w:val="auto"/>
        </w:rPr>
        <w:t>’</w:t>
      </w:r>
      <w:r>
        <w:rPr>
          <w:rFonts w:ascii="Calibri" w:cs="Calibri" w:eastAsia="Calibri" w:hAnsi="Calibri"/>
          <w:sz w:val="18"/>
          <w:szCs w:val="18"/>
          <w:i w:val="1"/>
          <w:iCs w:val="1"/>
          <w:color w:val="auto"/>
        </w:rPr>
        <w:t>s revenue, gross margins, cash fow and market share.</w:t>
      </w:r>
    </w:p>
    <w:p>
      <w:pPr>
        <w:spacing w:after="0" w:line="199"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8"/>
        </w:numPr>
        <w:rPr>
          <w:rFonts w:ascii="Times New Roman" w:cs="Times New Roman" w:eastAsia="Times New Roman" w:hAnsi="Times New Roman"/>
          <w:sz w:val="18"/>
          <w:szCs w:val="18"/>
          <w:color w:val="auto"/>
        </w:rPr>
      </w:pPr>
      <w:r>
        <w:rPr>
          <w:rFonts w:ascii="Calibri" w:cs="Calibri" w:eastAsia="Calibri" w:hAnsi="Calibri"/>
          <w:sz w:val="18"/>
          <w:szCs w:val="18"/>
          <w:i w:val="1"/>
          <w:iCs w:val="1"/>
          <w:color w:val="auto"/>
        </w:rPr>
        <w:t>Business disruptons could seriously harm Kodak</w:t>
      </w:r>
      <w:r>
        <w:rPr>
          <w:rFonts w:ascii="Calibri" w:cs="Calibri" w:eastAsia="Calibri" w:hAnsi="Calibri"/>
          <w:sz w:val="18"/>
          <w:szCs w:val="18"/>
          <w:color w:val="auto"/>
        </w:rPr>
        <w:t>’</w:t>
      </w:r>
      <w:r>
        <w:rPr>
          <w:rFonts w:ascii="Calibri" w:cs="Calibri" w:eastAsia="Calibri" w:hAnsi="Calibri"/>
          <w:sz w:val="18"/>
          <w:szCs w:val="18"/>
          <w:i w:val="1"/>
          <w:iCs w:val="1"/>
          <w:color w:val="auto"/>
        </w:rPr>
        <w:t>s future revenue and fnancial conditon.</w:t>
      </w:r>
    </w:p>
    <w:p>
      <w:pPr>
        <w:spacing w:after="0" w:line="190" w:lineRule="exact"/>
        <w:rPr>
          <w:rFonts w:ascii="Times New Roman" w:cs="Times New Roman" w:eastAsia="Times New Roman" w:hAnsi="Times New Roman"/>
          <w:sz w:val="18"/>
          <w:szCs w:val="18"/>
          <w:color w:val="auto"/>
        </w:rPr>
      </w:pPr>
    </w:p>
    <w:p>
      <w:pPr>
        <w:ind w:left="1020" w:right="140" w:hanging="263"/>
        <w:spacing w:after="0" w:line="235" w:lineRule="auto"/>
        <w:tabs>
          <w:tab w:leader="none" w:pos="1020" w:val="left"/>
        </w:tabs>
        <w:numPr>
          <w:ilvl w:val="0"/>
          <w:numId w:val="8"/>
        </w:numPr>
        <w:rPr>
          <w:rFonts w:ascii="Times New Roman" w:cs="Times New Roman" w:eastAsia="Times New Roman" w:hAnsi="Times New Roman"/>
          <w:sz w:val="18"/>
          <w:szCs w:val="18"/>
          <w:color w:val="auto"/>
        </w:rPr>
      </w:pPr>
      <w:r>
        <w:rPr>
          <w:rFonts w:ascii="Calibri" w:cs="Calibri" w:eastAsia="Calibri" w:hAnsi="Calibri"/>
          <w:sz w:val="18"/>
          <w:szCs w:val="18"/>
          <w:i w:val="1"/>
          <w:iCs w:val="1"/>
          <w:color w:val="auto"/>
        </w:rPr>
        <w:t>Kodak relies on third-party suppliers and service providers to support our manufacturing, logistcs, and business operatons and faces the risks associated with reliance on external business partners.</w:t>
      </w:r>
    </w:p>
    <w:p>
      <w:pPr>
        <w:spacing w:after="0" w:line="190" w:lineRule="exact"/>
        <w:rPr>
          <w:rFonts w:ascii="Times New Roman" w:cs="Times New Roman" w:eastAsia="Times New Roman" w:hAnsi="Times New Roman"/>
          <w:sz w:val="18"/>
          <w:szCs w:val="18"/>
          <w:color w:val="auto"/>
        </w:rPr>
      </w:pPr>
    </w:p>
    <w:p>
      <w:pPr>
        <w:ind w:left="1020" w:right="300" w:hanging="263"/>
        <w:spacing w:after="0" w:line="235" w:lineRule="auto"/>
        <w:tabs>
          <w:tab w:leader="none" w:pos="1020" w:val="left"/>
        </w:tabs>
        <w:numPr>
          <w:ilvl w:val="0"/>
          <w:numId w:val="8"/>
        </w:numPr>
        <w:rPr>
          <w:rFonts w:ascii="Times New Roman" w:cs="Times New Roman" w:eastAsia="Times New Roman" w:hAnsi="Times New Roman"/>
          <w:sz w:val="18"/>
          <w:szCs w:val="18"/>
          <w:color w:val="auto"/>
        </w:rPr>
      </w:pPr>
      <w:r>
        <w:rPr>
          <w:rFonts w:ascii="Calibri" w:cs="Calibri" w:eastAsia="Calibri" w:hAnsi="Calibri"/>
          <w:sz w:val="18"/>
          <w:szCs w:val="18"/>
          <w:i w:val="1"/>
          <w:iCs w:val="1"/>
          <w:color w:val="auto"/>
        </w:rPr>
        <w:t>Due to the nature of the products we sell and Kodak</w:t>
      </w:r>
      <w:r>
        <w:rPr>
          <w:rFonts w:ascii="Calibri" w:cs="Calibri" w:eastAsia="Calibri" w:hAnsi="Calibri"/>
          <w:sz w:val="18"/>
          <w:szCs w:val="18"/>
          <w:color w:val="auto"/>
        </w:rPr>
        <w:t>’</w:t>
      </w:r>
      <w:r>
        <w:rPr>
          <w:rFonts w:ascii="Calibri" w:cs="Calibri" w:eastAsia="Calibri" w:hAnsi="Calibri"/>
          <w:sz w:val="18"/>
          <w:szCs w:val="18"/>
          <w:i w:val="1"/>
          <w:iCs w:val="1"/>
          <w:color w:val="auto"/>
        </w:rPr>
        <w:t>s worldwide distributon, Kodak is exposed to fuctuatons in foreign currency exchange rates, interest rates and commodity costs which, together with the impacts of changes in trade policies, including tarifs or other trade restrictons or the threat of such actons, may adversely impact our results of operatons and fnancial positon.</w:t>
      </w:r>
    </w:p>
    <w:p>
      <w:pPr>
        <w:spacing w:after="0" w:line="200"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8"/>
        </w:numPr>
        <w:rPr>
          <w:rFonts w:ascii="Times New Roman" w:cs="Times New Roman" w:eastAsia="Times New Roman" w:hAnsi="Times New Roman"/>
          <w:sz w:val="18"/>
          <w:szCs w:val="18"/>
          <w:color w:val="auto"/>
        </w:rPr>
      </w:pPr>
      <w:r>
        <w:rPr>
          <w:rFonts w:ascii="Calibri" w:cs="Calibri" w:eastAsia="Calibri" w:hAnsi="Calibri"/>
          <w:sz w:val="18"/>
          <w:szCs w:val="18"/>
          <w:i w:val="1"/>
          <w:iCs w:val="1"/>
          <w:color w:val="auto"/>
        </w:rPr>
        <w:t>Kodak faces additonal costs and risks associated with our worldwide business operatons.</w:t>
      </w:r>
    </w:p>
    <w:p>
      <w:pPr>
        <w:spacing w:after="0" w:line="190" w:lineRule="exact"/>
        <w:rPr>
          <w:rFonts w:ascii="Times New Roman" w:cs="Times New Roman" w:eastAsia="Times New Roman" w:hAnsi="Times New Roman"/>
          <w:sz w:val="18"/>
          <w:szCs w:val="18"/>
          <w:color w:val="auto"/>
        </w:rPr>
      </w:pPr>
    </w:p>
    <w:p>
      <w:pPr>
        <w:ind w:left="1020" w:right="240" w:hanging="263"/>
        <w:spacing w:after="0" w:line="235" w:lineRule="auto"/>
        <w:tabs>
          <w:tab w:leader="none" w:pos="1020" w:val="left"/>
        </w:tabs>
        <w:numPr>
          <w:ilvl w:val="0"/>
          <w:numId w:val="8"/>
        </w:numPr>
        <w:rPr>
          <w:rFonts w:ascii="Times New Roman" w:cs="Times New Roman" w:eastAsia="Times New Roman" w:hAnsi="Times New Roman"/>
          <w:sz w:val="18"/>
          <w:szCs w:val="18"/>
          <w:color w:val="auto"/>
        </w:rPr>
      </w:pPr>
      <w:r>
        <w:rPr>
          <w:rFonts w:ascii="Calibri" w:cs="Calibri" w:eastAsia="Calibri" w:hAnsi="Calibri"/>
          <w:sz w:val="18"/>
          <w:szCs w:val="18"/>
          <w:i w:val="1"/>
          <w:iCs w:val="1"/>
          <w:color w:val="auto"/>
        </w:rPr>
        <w:t>An inability to provide compettve fnancing arrangements to Kodak</w:t>
      </w:r>
      <w:r>
        <w:rPr>
          <w:rFonts w:ascii="Calibri" w:cs="Calibri" w:eastAsia="Calibri" w:hAnsi="Calibri"/>
          <w:sz w:val="18"/>
          <w:szCs w:val="18"/>
          <w:color w:val="auto"/>
        </w:rPr>
        <w:t>’</w:t>
      </w:r>
      <w:r>
        <w:rPr>
          <w:rFonts w:ascii="Calibri" w:cs="Calibri" w:eastAsia="Calibri" w:hAnsi="Calibri"/>
          <w:sz w:val="18"/>
          <w:szCs w:val="18"/>
          <w:i w:val="1"/>
          <w:iCs w:val="1"/>
          <w:color w:val="auto"/>
        </w:rPr>
        <w:t>s customers or extension of credit to customers whose creditworthiness deteriorates could adversely impact our revenue, proftability and fnancial positon.</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Summary of Risks Related to Kodak</w:t>
      </w:r>
      <w:r>
        <w:rPr>
          <w:rFonts w:ascii="Calibri" w:cs="Calibri" w:eastAsia="Calibri" w:hAnsi="Calibri"/>
          <w:sz w:val="18"/>
          <w:szCs w:val="18"/>
          <w:color w:val="auto"/>
        </w:rPr>
        <w:t>’</w:t>
      </w:r>
      <w:r>
        <w:rPr>
          <w:rFonts w:ascii="Calibri" w:cs="Calibri" w:eastAsia="Calibri" w:hAnsi="Calibri"/>
          <w:sz w:val="18"/>
          <w:szCs w:val="18"/>
          <w:b w:val="1"/>
          <w:bCs w:val="1"/>
          <w:color w:val="auto"/>
        </w:rPr>
        <w:t>s Indebtedness and Access to Capital Markets</w:t>
      </w:r>
    </w:p>
    <w:p>
      <w:pPr>
        <w:spacing w:after="0" w:line="204" w:lineRule="exact"/>
        <w:rPr>
          <w:sz w:val="20"/>
          <w:szCs w:val="20"/>
          <w:color w:val="auto"/>
        </w:rPr>
      </w:pPr>
    </w:p>
    <w:p>
      <w:pPr>
        <w:ind w:left="1020" w:right="40" w:hanging="263"/>
        <w:spacing w:after="0" w:line="235" w:lineRule="auto"/>
        <w:tabs>
          <w:tab w:leader="none" w:pos="1020" w:val="left"/>
        </w:tabs>
        <w:numPr>
          <w:ilvl w:val="0"/>
          <w:numId w:val="9"/>
        </w:numPr>
        <w:rPr>
          <w:rFonts w:ascii="Times New Roman" w:cs="Times New Roman" w:eastAsia="Times New Roman" w:hAnsi="Times New Roman"/>
          <w:sz w:val="18"/>
          <w:szCs w:val="18"/>
          <w:color w:val="auto"/>
        </w:rPr>
      </w:pPr>
      <w:r>
        <w:rPr>
          <w:rFonts w:ascii="Calibri" w:cs="Calibri" w:eastAsia="Calibri" w:hAnsi="Calibri"/>
          <w:sz w:val="18"/>
          <w:szCs w:val="18"/>
          <w:i w:val="1"/>
          <w:iCs w:val="1"/>
          <w:color w:val="auto"/>
        </w:rPr>
        <w:t>The Company</w:t>
      </w:r>
      <w:r>
        <w:rPr>
          <w:rFonts w:ascii="Calibri" w:cs="Calibri" w:eastAsia="Calibri" w:hAnsi="Calibri"/>
          <w:sz w:val="18"/>
          <w:szCs w:val="18"/>
          <w:color w:val="auto"/>
        </w:rPr>
        <w:t>’</w:t>
      </w:r>
      <w:r>
        <w:rPr>
          <w:rFonts w:ascii="Calibri" w:cs="Calibri" w:eastAsia="Calibri" w:hAnsi="Calibri"/>
          <w:sz w:val="18"/>
          <w:szCs w:val="18"/>
          <w:i w:val="1"/>
          <w:iCs w:val="1"/>
          <w:color w:val="auto"/>
        </w:rPr>
        <w:t>s substantal monetary obligatons require a porton of our cash fow to be used to fund other obligatons rather than be invested in the business and could adversely afect our ability to fund our operatons.</w:t>
      </w:r>
    </w:p>
    <w:p>
      <w:pPr>
        <w:spacing w:after="0" w:line="190" w:lineRule="exact"/>
        <w:rPr>
          <w:rFonts w:ascii="Times New Roman" w:cs="Times New Roman" w:eastAsia="Times New Roman" w:hAnsi="Times New Roman"/>
          <w:sz w:val="18"/>
          <w:szCs w:val="18"/>
          <w:color w:val="auto"/>
        </w:rPr>
      </w:pPr>
    </w:p>
    <w:p>
      <w:pPr>
        <w:ind w:left="1020" w:right="280" w:hanging="263"/>
        <w:spacing w:after="0" w:line="235" w:lineRule="auto"/>
        <w:tabs>
          <w:tab w:leader="none" w:pos="1020" w:val="left"/>
        </w:tabs>
        <w:numPr>
          <w:ilvl w:val="0"/>
          <w:numId w:val="9"/>
        </w:numPr>
        <w:rPr>
          <w:rFonts w:ascii="Times New Roman" w:cs="Times New Roman" w:eastAsia="Times New Roman" w:hAnsi="Times New Roman"/>
          <w:sz w:val="18"/>
          <w:szCs w:val="18"/>
          <w:color w:val="auto"/>
        </w:rPr>
      </w:pPr>
      <w:r>
        <w:rPr>
          <w:rFonts w:ascii="Calibri" w:cs="Calibri" w:eastAsia="Calibri" w:hAnsi="Calibri"/>
          <w:sz w:val="18"/>
          <w:szCs w:val="18"/>
          <w:i w:val="1"/>
          <w:iCs w:val="1"/>
          <w:color w:val="auto"/>
        </w:rPr>
        <w:t>The availability of leters of credit under the Amended and Restated Leter of Credit Facility Agreement ("Amended and Restated L/C Facility Agreement") is limited by the amount of cash on deposit with the administratve agent.</w:t>
      </w:r>
    </w:p>
    <w:p>
      <w:pPr>
        <w:spacing w:after="0" w:line="185"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9"/>
        </w:numPr>
        <w:rPr>
          <w:rFonts w:ascii="Times New Roman" w:cs="Times New Roman" w:eastAsia="Times New Roman" w:hAnsi="Times New Roman"/>
          <w:sz w:val="18"/>
          <w:szCs w:val="18"/>
          <w:color w:val="auto"/>
        </w:rPr>
      </w:pPr>
      <w:r>
        <w:rPr>
          <w:rFonts w:ascii="Calibri" w:cs="Calibri" w:eastAsia="Calibri" w:hAnsi="Calibri"/>
          <w:sz w:val="18"/>
          <w:szCs w:val="18"/>
          <w:i w:val="1"/>
          <w:iCs w:val="1"/>
          <w:color w:val="auto"/>
        </w:rPr>
        <w:t>Kodak may desire additonal capital funding and such capital may not be available to us and/or may be limited.</w:t>
      </w:r>
    </w:p>
    <w:p>
      <w:pPr>
        <w:spacing w:after="0" w:line="198"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9"/>
        </w:numPr>
        <w:rPr>
          <w:rFonts w:ascii="Times New Roman" w:cs="Times New Roman" w:eastAsia="Times New Roman" w:hAnsi="Times New Roman"/>
          <w:sz w:val="18"/>
          <w:szCs w:val="18"/>
          <w:color w:val="auto"/>
        </w:rPr>
      </w:pPr>
      <w:r>
        <w:rPr>
          <w:rFonts w:ascii="Calibri" w:cs="Calibri" w:eastAsia="Calibri" w:hAnsi="Calibri"/>
          <w:sz w:val="18"/>
          <w:szCs w:val="18"/>
          <w:i w:val="1"/>
          <w:iCs w:val="1"/>
          <w:color w:val="auto"/>
        </w:rPr>
        <w:t>There can be no assurance the Company will be able to comply with the terms of our various credit facilites.</w:t>
      </w:r>
    </w:p>
    <w:p>
      <w:pPr>
        <w:spacing w:after="0" w:line="190" w:lineRule="exact"/>
        <w:rPr>
          <w:rFonts w:ascii="Times New Roman" w:cs="Times New Roman" w:eastAsia="Times New Roman" w:hAnsi="Times New Roman"/>
          <w:sz w:val="18"/>
          <w:szCs w:val="18"/>
          <w:color w:val="auto"/>
        </w:rPr>
      </w:pPr>
    </w:p>
    <w:p>
      <w:pPr>
        <w:ind w:left="1020" w:right="240" w:hanging="263"/>
        <w:spacing w:after="0" w:line="235" w:lineRule="auto"/>
        <w:tabs>
          <w:tab w:leader="none" w:pos="1020" w:val="left"/>
        </w:tabs>
        <w:numPr>
          <w:ilvl w:val="0"/>
          <w:numId w:val="9"/>
        </w:numPr>
        <w:rPr>
          <w:rFonts w:ascii="Times New Roman" w:cs="Times New Roman" w:eastAsia="Times New Roman" w:hAnsi="Times New Roman"/>
          <w:sz w:val="18"/>
          <w:szCs w:val="18"/>
          <w:color w:val="auto"/>
        </w:rPr>
      </w:pPr>
      <w:r>
        <w:rPr>
          <w:rFonts w:ascii="Calibri" w:cs="Calibri" w:eastAsia="Calibri" w:hAnsi="Calibri"/>
          <w:sz w:val="18"/>
          <w:szCs w:val="18"/>
          <w:i w:val="1"/>
          <w:iCs w:val="1"/>
          <w:color w:val="auto"/>
        </w:rPr>
        <w:t>The current non-investment grade status and Kodak</w:t>
      </w:r>
      <w:r>
        <w:rPr>
          <w:rFonts w:ascii="Calibri" w:cs="Calibri" w:eastAsia="Calibri" w:hAnsi="Calibri"/>
          <w:sz w:val="18"/>
          <w:szCs w:val="18"/>
          <w:color w:val="auto"/>
        </w:rPr>
        <w:t>’</w:t>
      </w:r>
      <w:r>
        <w:rPr>
          <w:rFonts w:ascii="Calibri" w:cs="Calibri" w:eastAsia="Calibri" w:hAnsi="Calibri"/>
          <w:sz w:val="18"/>
          <w:szCs w:val="18"/>
          <w:i w:val="1"/>
          <w:iCs w:val="1"/>
          <w:color w:val="auto"/>
        </w:rPr>
        <w:t>s fnancial conditon may adversely impact Kodak</w:t>
      </w:r>
      <w:r>
        <w:rPr>
          <w:rFonts w:ascii="Calibri" w:cs="Calibri" w:eastAsia="Calibri" w:hAnsi="Calibri"/>
          <w:sz w:val="18"/>
          <w:szCs w:val="18"/>
          <w:color w:val="auto"/>
        </w:rPr>
        <w:t>’</w:t>
      </w:r>
      <w:r>
        <w:rPr>
          <w:rFonts w:ascii="Calibri" w:cs="Calibri" w:eastAsia="Calibri" w:hAnsi="Calibri"/>
          <w:sz w:val="18"/>
          <w:szCs w:val="18"/>
          <w:i w:val="1"/>
          <w:iCs w:val="1"/>
          <w:color w:val="auto"/>
        </w:rPr>
        <w:t>s commercial operatons, increase our liquidity requirements and increase the cost of refnancing opportunites. We may not have adequate liquidity to post required amounts of additonal collateral.</w:t>
      </w:r>
    </w:p>
    <w:p>
      <w:pPr>
        <w:spacing w:after="0" w:line="17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Summary of Legal, Regulatory and Compliance Risks</w:t>
      </w:r>
    </w:p>
    <w:p>
      <w:pPr>
        <w:spacing w:after="0" w:line="204" w:lineRule="exact"/>
        <w:rPr>
          <w:sz w:val="20"/>
          <w:szCs w:val="20"/>
          <w:color w:val="auto"/>
        </w:rPr>
      </w:pPr>
    </w:p>
    <w:p>
      <w:pPr>
        <w:ind w:left="1020" w:right="80" w:hanging="263"/>
        <w:spacing w:after="0" w:line="235" w:lineRule="auto"/>
        <w:tabs>
          <w:tab w:leader="none" w:pos="1020" w:val="left"/>
        </w:tabs>
        <w:numPr>
          <w:ilvl w:val="0"/>
          <w:numId w:val="10"/>
        </w:numPr>
        <w:rPr>
          <w:rFonts w:ascii="Times New Roman" w:cs="Times New Roman" w:eastAsia="Times New Roman" w:hAnsi="Times New Roman"/>
          <w:sz w:val="18"/>
          <w:szCs w:val="18"/>
          <w:color w:val="auto"/>
        </w:rPr>
      </w:pPr>
      <w:r>
        <w:rPr>
          <w:rFonts w:ascii="Calibri" w:cs="Calibri" w:eastAsia="Calibri" w:hAnsi="Calibri"/>
          <w:sz w:val="18"/>
          <w:szCs w:val="18"/>
          <w:i w:val="1"/>
          <w:iCs w:val="1"/>
          <w:color w:val="auto"/>
        </w:rPr>
        <w:t>Legal proceedings and governmental investgatons could have a material adverse efect on our business operatons and prospects, reputaton, fnancial conditon, results of operatons and stock price.</w:t>
      </w:r>
    </w:p>
    <w:p>
      <w:pPr>
        <w:spacing w:after="0" w:line="185"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10"/>
        </w:numPr>
        <w:rPr>
          <w:rFonts w:ascii="Times New Roman" w:cs="Times New Roman" w:eastAsia="Times New Roman" w:hAnsi="Times New Roman"/>
          <w:sz w:val="18"/>
          <w:szCs w:val="18"/>
          <w:color w:val="auto"/>
        </w:rPr>
      </w:pPr>
      <w:r>
        <w:rPr>
          <w:rFonts w:ascii="Calibri" w:cs="Calibri" w:eastAsia="Calibri" w:hAnsi="Calibri"/>
          <w:sz w:val="18"/>
          <w:szCs w:val="18"/>
          <w:i w:val="1"/>
          <w:iCs w:val="1"/>
          <w:color w:val="auto"/>
        </w:rPr>
        <w:t>Our business and fnancial conditon can be impaired by improper conduct by any of our employees, agents, or business partners.</w:t>
      </w:r>
    </w:p>
    <w:p>
      <w:pPr>
        <w:spacing w:after="0" w:line="190" w:lineRule="exact"/>
        <w:rPr>
          <w:rFonts w:ascii="Times New Roman" w:cs="Times New Roman" w:eastAsia="Times New Roman" w:hAnsi="Times New Roman"/>
          <w:sz w:val="18"/>
          <w:szCs w:val="18"/>
          <w:color w:val="auto"/>
        </w:rPr>
      </w:pPr>
    </w:p>
    <w:p>
      <w:pPr>
        <w:ind w:left="1020" w:right="480" w:hanging="263"/>
        <w:spacing w:after="0" w:line="235" w:lineRule="auto"/>
        <w:tabs>
          <w:tab w:leader="none" w:pos="1020" w:val="left"/>
        </w:tabs>
        <w:numPr>
          <w:ilvl w:val="0"/>
          <w:numId w:val="10"/>
        </w:numPr>
        <w:rPr>
          <w:rFonts w:ascii="Times New Roman" w:cs="Times New Roman" w:eastAsia="Times New Roman" w:hAnsi="Times New Roman"/>
          <w:sz w:val="18"/>
          <w:szCs w:val="18"/>
          <w:color w:val="auto"/>
        </w:rPr>
      </w:pPr>
      <w:r>
        <w:rPr>
          <w:rFonts w:ascii="Calibri" w:cs="Calibri" w:eastAsia="Calibri" w:hAnsi="Calibri"/>
          <w:sz w:val="18"/>
          <w:szCs w:val="18"/>
          <w:i w:val="1"/>
          <w:iCs w:val="1"/>
          <w:color w:val="auto"/>
        </w:rPr>
        <w:t>Failure to comply with privacy, data protecton and cyber security laws and regulatons could have a materially adverse efect on Kodak</w:t>
      </w:r>
      <w:r>
        <w:rPr>
          <w:rFonts w:ascii="Calibri" w:cs="Calibri" w:eastAsia="Calibri" w:hAnsi="Calibri"/>
          <w:sz w:val="18"/>
          <w:szCs w:val="18"/>
          <w:color w:val="auto"/>
        </w:rPr>
        <w:t>’</w:t>
      </w:r>
      <w:r>
        <w:rPr>
          <w:rFonts w:ascii="Calibri" w:cs="Calibri" w:eastAsia="Calibri" w:hAnsi="Calibri"/>
          <w:sz w:val="18"/>
          <w:szCs w:val="18"/>
          <w:i w:val="1"/>
          <w:iCs w:val="1"/>
          <w:color w:val="auto"/>
        </w:rPr>
        <w:t>s reputaton, results of operatons or fnancial conditon.</w:t>
      </w:r>
    </w:p>
    <w:p>
      <w:pPr>
        <w:spacing w:after="0" w:line="204" w:lineRule="exact"/>
        <w:rPr>
          <w:rFonts w:ascii="Times New Roman" w:cs="Times New Roman" w:eastAsia="Times New Roman" w:hAnsi="Times New Roman"/>
          <w:sz w:val="18"/>
          <w:szCs w:val="18"/>
          <w:color w:val="auto"/>
        </w:rPr>
      </w:pPr>
    </w:p>
    <w:p>
      <w:pPr>
        <w:ind w:left="1020" w:right="60" w:hanging="263"/>
        <w:spacing w:after="0" w:line="235" w:lineRule="auto"/>
        <w:tabs>
          <w:tab w:leader="none" w:pos="1020" w:val="left"/>
        </w:tabs>
        <w:numPr>
          <w:ilvl w:val="0"/>
          <w:numId w:val="10"/>
        </w:numPr>
        <w:rPr>
          <w:rFonts w:ascii="Times New Roman" w:cs="Times New Roman" w:eastAsia="Times New Roman" w:hAnsi="Times New Roman"/>
          <w:sz w:val="18"/>
          <w:szCs w:val="18"/>
          <w:color w:val="auto"/>
        </w:rPr>
      </w:pPr>
      <w:r>
        <w:rPr>
          <w:rFonts w:ascii="Calibri" w:cs="Calibri" w:eastAsia="Calibri" w:hAnsi="Calibri"/>
          <w:sz w:val="18"/>
          <w:szCs w:val="18"/>
          <w:i w:val="1"/>
          <w:iCs w:val="1"/>
          <w:color w:val="auto"/>
        </w:rPr>
        <w:t>Failure to comply with environmental laws and regulatons or liabilites imposed as a result of such laws and regulatons could have an adverse efect on our business, results of operatons and fnancial conditon.</w:t>
      </w:r>
    </w:p>
    <w:p>
      <w:pPr>
        <w:spacing w:after="0" w:line="190" w:lineRule="exact"/>
        <w:rPr>
          <w:rFonts w:ascii="Times New Roman" w:cs="Times New Roman" w:eastAsia="Times New Roman" w:hAnsi="Times New Roman"/>
          <w:sz w:val="18"/>
          <w:szCs w:val="18"/>
          <w:color w:val="auto"/>
        </w:rPr>
      </w:pPr>
    </w:p>
    <w:p>
      <w:pPr>
        <w:ind w:left="1020" w:right="380" w:hanging="263"/>
        <w:spacing w:after="0" w:line="235" w:lineRule="auto"/>
        <w:tabs>
          <w:tab w:leader="none" w:pos="1020" w:val="left"/>
        </w:tabs>
        <w:numPr>
          <w:ilvl w:val="0"/>
          <w:numId w:val="10"/>
        </w:numPr>
        <w:rPr>
          <w:rFonts w:ascii="Times New Roman" w:cs="Times New Roman" w:eastAsia="Times New Roman" w:hAnsi="Times New Roman"/>
          <w:sz w:val="18"/>
          <w:szCs w:val="18"/>
          <w:color w:val="auto"/>
        </w:rPr>
      </w:pPr>
      <w:r>
        <w:rPr>
          <w:rFonts w:ascii="Calibri" w:cs="Calibri" w:eastAsia="Calibri" w:hAnsi="Calibri"/>
          <w:sz w:val="18"/>
          <w:szCs w:val="18"/>
          <w:i w:val="1"/>
          <w:iCs w:val="1"/>
          <w:color w:val="auto"/>
        </w:rPr>
        <w:t>Failure to efectvely manage Environmental, Social, and Governance (ESG)-related expectatons could impact Kodak's operatonal success, fnancial performance and investor confdence.</w:t>
      </w:r>
    </w:p>
    <w:p>
      <w:pPr>
        <w:spacing w:after="0" w:line="190" w:lineRule="exact"/>
        <w:rPr>
          <w:rFonts w:ascii="Times New Roman" w:cs="Times New Roman" w:eastAsia="Times New Roman" w:hAnsi="Times New Roman"/>
          <w:sz w:val="18"/>
          <w:szCs w:val="18"/>
          <w:color w:val="auto"/>
        </w:rPr>
      </w:pPr>
    </w:p>
    <w:p>
      <w:pPr>
        <w:ind w:left="1020" w:hanging="263"/>
        <w:spacing w:after="0" w:line="235" w:lineRule="auto"/>
        <w:tabs>
          <w:tab w:leader="none" w:pos="1020" w:val="left"/>
        </w:tabs>
        <w:numPr>
          <w:ilvl w:val="0"/>
          <w:numId w:val="10"/>
        </w:numPr>
        <w:rPr>
          <w:rFonts w:ascii="Times New Roman" w:cs="Times New Roman" w:eastAsia="Times New Roman" w:hAnsi="Times New Roman"/>
          <w:sz w:val="18"/>
          <w:szCs w:val="18"/>
          <w:color w:val="auto"/>
        </w:rPr>
      </w:pPr>
      <w:r>
        <w:rPr>
          <w:rFonts w:ascii="Calibri" w:cs="Calibri" w:eastAsia="Calibri" w:hAnsi="Calibri"/>
          <w:sz w:val="18"/>
          <w:szCs w:val="18"/>
          <w:i w:val="1"/>
          <w:iCs w:val="1"/>
          <w:color w:val="auto"/>
        </w:rPr>
        <w:t>If Kodak fails to maintain efectve internal controls over fnancial reportng, we may not be able to accurately report our fnancial results, which could have a material adverse efect on Kodak</w:t>
      </w:r>
      <w:r>
        <w:rPr>
          <w:rFonts w:ascii="Calibri" w:cs="Calibri" w:eastAsia="Calibri" w:hAnsi="Calibri"/>
          <w:sz w:val="18"/>
          <w:szCs w:val="18"/>
          <w:color w:val="auto"/>
        </w:rPr>
        <w:t>’</w:t>
      </w:r>
      <w:r>
        <w:rPr>
          <w:rFonts w:ascii="Calibri" w:cs="Calibri" w:eastAsia="Calibri" w:hAnsi="Calibri"/>
          <w:sz w:val="18"/>
          <w:szCs w:val="18"/>
          <w:i w:val="1"/>
          <w:iCs w:val="1"/>
          <w:color w:val="auto"/>
        </w:rPr>
        <w:t>s operatons, investor confdence in our business and the trading prices of our securites.</w:t>
      </w:r>
    </w:p>
    <w:p>
      <w:pPr>
        <w:spacing w:after="0" w:line="199"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10"/>
        </w:numPr>
        <w:rPr>
          <w:rFonts w:ascii="Times New Roman" w:cs="Times New Roman" w:eastAsia="Times New Roman" w:hAnsi="Times New Roman"/>
          <w:sz w:val="18"/>
          <w:szCs w:val="18"/>
          <w:color w:val="auto"/>
        </w:rPr>
      </w:pPr>
      <w:r>
        <w:rPr>
          <w:rFonts w:ascii="Calibri" w:cs="Calibri" w:eastAsia="Calibri" w:hAnsi="Calibri"/>
          <w:sz w:val="18"/>
          <w:szCs w:val="18"/>
          <w:i w:val="1"/>
          <w:iCs w:val="1"/>
          <w:color w:val="auto"/>
        </w:rPr>
        <w:t>Kodak may have additonal tax liabilites.</w:t>
      </w:r>
    </w:p>
    <w:p>
      <w:pPr>
        <w:spacing w:after="0" w:line="172"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9" w:name="page10"/>
    <w:bookmarkEnd w:id="9"/>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020" w:right="280" w:hanging="263"/>
        <w:spacing w:after="0" w:line="235" w:lineRule="auto"/>
        <w:tabs>
          <w:tab w:leader="none" w:pos="1020" w:val="left"/>
        </w:tabs>
        <w:numPr>
          <w:ilvl w:val="0"/>
          <w:numId w:val="11"/>
        </w:numPr>
        <w:rPr>
          <w:rFonts w:ascii="Times New Roman" w:cs="Times New Roman" w:eastAsia="Times New Roman" w:hAnsi="Times New Roman"/>
          <w:sz w:val="18"/>
          <w:szCs w:val="18"/>
          <w:color w:val="auto"/>
        </w:rPr>
      </w:pPr>
      <w:r>
        <w:rPr>
          <w:rFonts w:ascii="Calibri" w:cs="Calibri" w:eastAsia="Calibri" w:hAnsi="Calibri"/>
          <w:sz w:val="18"/>
          <w:szCs w:val="18"/>
          <w:i w:val="1"/>
          <w:iCs w:val="1"/>
          <w:color w:val="auto"/>
        </w:rPr>
        <w:t>Changes in trade policies, including tarifs or other trade restrictons or the threat of such actons, may have a material adverse efect on our business, fnancial conditon and results of operatons.</w:t>
      </w:r>
    </w:p>
    <w:p>
      <w:pPr>
        <w:spacing w:after="0" w:line="190" w:lineRule="exact"/>
        <w:rPr>
          <w:rFonts w:ascii="Times New Roman" w:cs="Times New Roman" w:eastAsia="Times New Roman" w:hAnsi="Times New Roman"/>
          <w:sz w:val="18"/>
          <w:szCs w:val="18"/>
          <w:color w:val="auto"/>
        </w:rPr>
      </w:pPr>
    </w:p>
    <w:p>
      <w:pPr>
        <w:ind w:left="1020" w:right="60" w:hanging="263"/>
        <w:spacing w:after="0" w:line="235" w:lineRule="auto"/>
        <w:tabs>
          <w:tab w:leader="none" w:pos="1020" w:val="left"/>
        </w:tabs>
        <w:numPr>
          <w:ilvl w:val="0"/>
          <w:numId w:val="11"/>
        </w:numPr>
        <w:rPr>
          <w:rFonts w:ascii="Times New Roman" w:cs="Times New Roman" w:eastAsia="Times New Roman" w:hAnsi="Times New Roman"/>
          <w:sz w:val="18"/>
          <w:szCs w:val="18"/>
          <w:color w:val="auto"/>
        </w:rPr>
      </w:pPr>
      <w:r>
        <w:rPr>
          <w:rFonts w:ascii="Calibri" w:cs="Calibri" w:eastAsia="Calibri" w:hAnsi="Calibri"/>
          <w:sz w:val="18"/>
          <w:szCs w:val="18"/>
          <w:i w:val="1"/>
          <w:iCs w:val="1"/>
          <w:color w:val="auto"/>
        </w:rPr>
        <w:t>Kodak</w:t>
      </w:r>
      <w:r>
        <w:rPr>
          <w:rFonts w:ascii="Calibri" w:cs="Calibri" w:eastAsia="Calibri" w:hAnsi="Calibri"/>
          <w:sz w:val="18"/>
          <w:szCs w:val="18"/>
          <w:color w:val="auto"/>
        </w:rPr>
        <w:t>’</w:t>
      </w:r>
      <w:r>
        <w:rPr>
          <w:rFonts w:ascii="Calibri" w:cs="Calibri" w:eastAsia="Calibri" w:hAnsi="Calibri"/>
          <w:sz w:val="18"/>
          <w:szCs w:val="18"/>
          <w:i w:val="1"/>
          <w:iCs w:val="1"/>
          <w:color w:val="auto"/>
        </w:rPr>
        <w:t>s future pension and other postretrement beneft plan costs and required level of contributons could be unfavorably impacted by changes in actuarial assumptons, market performance of plan assets and obligatons imposed by legislaton or pension authorites which could adversely afect our fnancial positon, results of operatons, and cash fow.</w:t>
      </w:r>
    </w:p>
    <w:p>
      <w:pPr>
        <w:spacing w:after="0" w:line="191" w:lineRule="exact"/>
        <w:rPr>
          <w:rFonts w:ascii="Times New Roman" w:cs="Times New Roman" w:eastAsia="Times New Roman" w:hAnsi="Times New Roman"/>
          <w:sz w:val="18"/>
          <w:szCs w:val="18"/>
          <w:color w:val="auto"/>
        </w:rPr>
      </w:pPr>
    </w:p>
    <w:p>
      <w:pPr>
        <w:ind w:left="1020" w:right="40" w:hanging="263"/>
        <w:spacing w:after="0" w:line="235" w:lineRule="auto"/>
        <w:tabs>
          <w:tab w:leader="none" w:pos="1020" w:val="left"/>
        </w:tabs>
        <w:numPr>
          <w:ilvl w:val="0"/>
          <w:numId w:val="11"/>
        </w:numPr>
        <w:rPr>
          <w:rFonts w:ascii="Times New Roman" w:cs="Times New Roman" w:eastAsia="Times New Roman" w:hAnsi="Times New Roman"/>
          <w:sz w:val="18"/>
          <w:szCs w:val="18"/>
          <w:color w:val="auto"/>
        </w:rPr>
      </w:pPr>
      <w:r>
        <w:rPr>
          <w:rFonts w:ascii="Calibri" w:cs="Calibri" w:eastAsia="Calibri" w:hAnsi="Calibri"/>
          <w:sz w:val="18"/>
          <w:szCs w:val="18"/>
          <w:i w:val="1"/>
          <w:iCs w:val="1"/>
          <w:color w:val="auto"/>
        </w:rPr>
        <w:t>Kodak may be required to recognize impairments in the value of our trade name and/or other long-lived assets which could adversely afect our results of operatons.</w:t>
      </w:r>
    </w:p>
    <w:p>
      <w:pPr>
        <w:spacing w:after="0" w:line="18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Summary of Risks Related to the Company</w:t>
      </w:r>
      <w:r>
        <w:rPr>
          <w:rFonts w:ascii="Calibri" w:cs="Calibri" w:eastAsia="Calibri" w:hAnsi="Calibri"/>
          <w:sz w:val="18"/>
          <w:szCs w:val="18"/>
          <w:color w:val="auto"/>
        </w:rPr>
        <w:t>’</w:t>
      </w:r>
      <w:r>
        <w:rPr>
          <w:rFonts w:ascii="Calibri" w:cs="Calibri" w:eastAsia="Calibri" w:hAnsi="Calibri"/>
          <w:sz w:val="18"/>
          <w:szCs w:val="18"/>
          <w:b w:val="1"/>
          <w:bCs w:val="1"/>
          <w:color w:val="auto"/>
        </w:rPr>
        <w:t>s Common Stock</w:t>
      </w:r>
    </w:p>
    <w:p>
      <w:pPr>
        <w:spacing w:after="0" w:line="190" w:lineRule="exact"/>
        <w:rPr>
          <w:sz w:val="20"/>
          <w:szCs w:val="20"/>
          <w:color w:val="auto"/>
        </w:rPr>
      </w:pPr>
    </w:p>
    <w:p>
      <w:pPr>
        <w:ind w:left="1020" w:right="60" w:hanging="263"/>
        <w:spacing w:after="0" w:line="235" w:lineRule="auto"/>
        <w:tabs>
          <w:tab w:leader="none" w:pos="1020" w:val="left"/>
        </w:tabs>
        <w:numPr>
          <w:ilvl w:val="0"/>
          <w:numId w:val="12"/>
        </w:numPr>
        <w:rPr>
          <w:rFonts w:ascii="Times New Roman" w:cs="Times New Roman" w:eastAsia="Times New Roman" w:hAnsi="Times New Roman"/>
          <w:sz w:val="18"/>
          <w:szCs w:val="18"/>
          <w:color w:val="auto"/>
        </w:rPr>
      </w:pPr>
      <w:r>
        <w:rPr>
          <w:rFonts w:ascii="Calibri" w:cs="Calibri" w:eastAsia="Calibri" w:hAnsi="Calibri"/>
          <w:sz w:val="18"/>
          <w:szCs w:val="18"/>
          <w:i w:val="1"/>
          <w:iCs w:val="1"/>
          <w:color w:val="auto"/>
        </w:rPr>
        <w:t>The conversion of the Series B Preferred Stock and Series C Preferred Stock into shares of the Company</w:t>
      </w:r>
      <w:r>
        <w:rPr>
          <w:rFonts w:ascii="Calibri" w:cs="Calibri" w:eastAsia="Calibri" w:hAnsi="Calibri"/>
          <w:sz w:val="18"/>
          <w:szCs w:val="18"/>
          <w:color w:val="auto"/>
        </w:rPr>
        <w:t>’</w:t>
      </w:r>
      <w:r>
        <w:rPr>
          <w:rFonts w:ascii="Calibri" w:cs="Calibri" w:eastAsia="Calibri" w:hAnsi="Calibri"/>
          <w:sz w:val="18"/>
          <w:szCs w:val="18"/>
          <w:i w:val="1"/>
          <w:iCs w:val="1"/>
          <w:color w:val="auto"/>
        </w:rPr>
        <w:t>s common stock may dilute the value for the current holders of the Company</w:t>
      </w:r>
      <w:r>
        <w:rPr>
          <w:rFonts w:ascii="Calibri" w:cs="Calibri" w:eastAsia="Calibri" w:hAnsi="Calibri"/>
          <w:sz w:val="18"/>
          <w:szCs w:val="18"/>
          <w:color w:val="auto"/>
        </w:rPr>
        <w:t>’</w:t>
      </w:r>
      <w:r>
        <w:rPr>
          <w:rFonts w:ascii="Calibri" w:cs="Calibri" w:eastAsia="Calibri" w:hAnsi="Calibri"/>
          <w:sz w:val="18"/>
          <w:szCs w:val="18"/>
          <w:i w:val="1"/>
          <w:iCs w:val="1"/>
          <w:color w:val="auto"/>
        </w:rPr>
        <w:t>s common stock.</w:t>
      </w:r>
    </w:p>
    <w:p>
      <w:pPr>
        <w:spacing w:after="0" w:line="185"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12"/>
        </w:numPr>
        <w:rPr>
          <w:rFonts w:ascii="Times New Roman" w:cs="Times New Roman" w:eastAsia="Times New Roman" w:hAnsi="Times New Roman"/>
          <w:sz w:val="18"/>
          <w:szCs w:val="18"/>
          <w:color w:val="auto"/>
        </w:rPr>
      </w:pPr>
      <w:r>
        <w:rPr>
          <w:rFonts w:ascii="Calibri" w:cs="Calibri" w:eastAsia="Calibri" w:hAnsi="Calibri"/>
          <w:sz w:val="18"/>
          <w:szCs w:val="18"/>
          <w:i w:val="1"/>
          <w:iCs w:val="1"/>
          <w:color w:val="auto"/>
        </w:rPr>
        <w:t>The holder of the Series C Preferred Stock may infuence the compositon of the Board and future actons taken by the Board.</w:t>
      </w:r>
    </w:p>
    <w:p>
      <w:pPr>
        <w:spacing w:after="0" w:line="198"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12"/>
        </w:numPr>
        <w:rPr>
          <w:rFonts w:ascii="Times New Roman" w:cs="Times New Roman" w:eastAsia="Times New Roman" w:hAnsi="Times New Roman"/>
          <w:sz w:val="18"/>
          <w:szCs w:val="18"/>
          <w:color w:val="auto"/>
        </w:rPr>
      </w:pPr>
      <w:r>
        <w:rPr>
          <w:rFonts w:ascii="Calibri" w:cs="Calibri" w:eastAsia="Calibri" w:hAnsi="Calibri"/>
          <w:sz w:val="18"/>
          <w:szCs w:val="18"/>
          <w:i w:val="1"/>
          <w:iCs w:val="1"/>
          <w:color w:val="auto"/>
        </w:rPr>
        <w:t>The resale of the Company</w:t>
      </w:r>
      <w:r>
        <w:rPr>
          <w:rFonts w:ascii="Calibri" w:cs="Calibri" w:eastAsia="Calibri" w:hAnsi="Calibri"/>
          <w:sz w:val="18"/>
          <w:szCs w:val="18"/>
          <w:color w:val="auto"/>
        </w:rPr>
        <w:t>’</w:t>
      </w:r>
      <w:r>
        <w:rPr>
          <w:rFonts w:ascii="Calibri" w:cs="Calibri" w:eastAsia="Calibri" w:hAnsi="Calibri"/>
          <w:sz w:val="18"/>
          <w:szCs w:val="18"/>
          <w:i w:val="1"/>
          <w:iCs w:val="1"/>
          <w:color w:val="auto"/>
        </w:rPr>
        <w:t>s common stock may adversely afect the price of our common stock.</w:t>
      </w:r>
    </w:p>
    <w:p>
      <w:pPr>
        <w:spacing w:after="0" w:line="190" w:lineRule="exact"/>
        <w:rPr>
          <w:rFonts w:ascii="Times New Roman" w:cs="Times New Roman" w:eastAsia="Times New Roman" w:hAnsi="Times New Roman"/>
          <w:sz w:val="18"/>
          <w:szCs w:val="18"/>
          <w:color w:val="auto"/>
        </w:rPr>
      </w:pPr>
    </w:p>
    <w:p>
      <w:pPr>
        <w:ind w:left="1020" w:right="40" w:hanging="263"/>
        <w:spacing w:after="0" w:line="235" w:lineRule="auto"/>
        <w:tabs>
          <w:tab w:leader="none" w:pos="1020" w:val="left"/>
        </w:tabs>
        <w:numPr>
          <w:ilvl w:val="0"/>
          <w:numId w:val="12"/>
        </w:numPr>
        <w:rPr>
          <w:rFonts w:ascii="Times New Roman" w:cs="Times New Roman" w:eastAsia="Times New Roman" w:hAnsi="Times New Roman"/>
          <w:sz w:val="18"/>
          <w:szCs w:val="18"/>
          <w:color w:val="auto"/>
        </w:rPr>
      </w:pPr>
      <w:r>
        <w:rPr>
          <w:rFonts w:ascii="Calibri" w:cs="Calibri" w:eastAsia="Calibri" w:hAnsi="Calibri"/>
          <w:sz w:val="18"/>
          <w:szCs w:val="18"/>
          <w:i w:val="1"/>
          <w:iCs w:val="1"/>
          <w:color w:val="auto"/>
        </w:rPr>
        <w:t>The resale of a signifcant porton of the Company</w:t>
      </w:r>
      <w:r>
        <w:rPr>
          <w:rFonts w:ascii="Calibri" w:cs="Calibri" w:eastAsia="Calibri" w:hAnsi="Calibri"/>
          <w:sz w:val="18"/>
          <w:szCs w:val="18"/>
          <w:color w:val="auto"/>
        </w:rPr>
        <w:t>’</w:t>
      </w:r>
      <w:r>
        <w:rPr>
          <w:rFonts w:ascii="Calibri" w:cs="Calibri" w:eastAsia="Calibri" w:hAnsi="Calibri"/>
          <w:sz w:val="18"/>
          <w:szCs w:val="18"/>
          <w:i w:val="1"/>
          <w:iCs w:val="1"/>
          <w:color w:val="auto"/>
        </w:rPr>
        <w:t>s securites or certain accumulatons or transfers of the Company</w:t>
      </w:r>
      <w:r>
        <w:rPr>
          <w:rFonts w:ascii="Calibri" w:cs="Calibri" w:eastAsia="Calibri" w:hAnsi="Calibri"/>
          <w:sz w:val="18"/>
          <w:szCs w:val="18"/>
          <w:color w:val="auto"/>
        </w:rPr>
        <w:t>’</w:t>
      </w:r>
      <w:r>
        <w:rPr>
          <w:rFonts w:ascii="Calibri" w:cs="Calibri" w:eastAsia="Calibri" w:hAnsi="Calibri"/>
          <w:sz w:val="18"/>
          <w:szCs w:val="18"/>
          <w:i w:val="1"/>
          <w:iCs w:val="1"/>
          <w:color w:val="auto"/>
        </w:rPr>
        <w:t>s securites could result in a change of control of the Company and the loss of favorable tax atributes.</w:t>
      </w:r>
    </w:p>
    <w:p>
      <w:pPr>
        <w:spacing w:after="0" w:line="185"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12"/>
        </w:numPr>
        <w:rPr>
          <w:rFonts w:ascii="Times New Roman" w:cs="Times New Roman" w:eastAsia="Times New Roman" w:hAnsi="Times New Roman"/>
          <w:sz w:val="18"/>
          <w:szCs w:val="18"/>
          <w:color w:val="auto"/>
        </w:rPr>
      </w:pPr>
      <w:r>
        <w:rPr>
          <w:rFonts w:ascii="Calibri" w:cs="Calibri" w:eastAsia="Calibri" w:hAnsi="Calibri"/>
          <w:sz w:val="18"/>
          <w:szCs w:val="18"/>
          <w:i w:val="1"/>
          <w:iCs w:val="1"/>
          <w:color w:val="auto"/>
        </w:rPr>
        <w:t>The Company</w:t>
      </w:r>
      <w:r>
        <w:rPr>
          <w:rFonts w:ascii="Calibri" w:cs="Calibri" w:eastAsia="Calibri" w:hAnsi="Calibri"/>
          <w:sz w:val="18"/>
          <w:szCs w:val="18"/>
          <w:color w:val="auto"/>
        </w:rPr>
        <w:t>’</w:t>
      </w:r>
      <w:r>
        <w:rPr>
          <w:rFonts w:ascii="Calibri" w:cs="Calibri" w:eastAsia="Calibri" w:hAnsi="Calibri"/>
          <w:sz w:val="18"/>
          <w:szCs w:val="18"/>
          <w:i w:val="1"/>
          <w:iCs w:val="1"/>
          <w:color w:val="auto"/>
        </w:rPr>
        <w:t>s stock price has been and may contnue to be volatle.</w:t>
      </w:r>
    </w:p>
    <w:p>
      <w:pPr>
        <w:spacing w:after="0" w:line="18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Risks Related to Kodak</w:t>
      </w:r>
      <w:r>
        <w:rPr>
          <w:rFonts w:ascii="Calibri" w:cs="Calibri" w:eastAsia="Calibri" w:hAnsi="Calibri"/>
          <w:sz w:val="18"/>
          <w:szCs w:val="18"/>
          <w:color w:val="auto"/>
        </w:rPr>
        <w:t>’</w:t>
      </w:r>
      <w:r>
        <w:rPr>
          <w:rFonts w:ascii="Calibri" w:cs="Calibri" w:eastAsia="Calibri" w:hAnsi="Calibri"/>
          <w:sz w:val="18"/>
          <w:szCs w:val="18"/>
          <w:b w:val="1"/>
          <w:bCs w:val="1"/>
          <w:color w:val="auto"/>
        </w:rPr>
        <w:t>s Business and Operatons</w:t>
      </w:r>
    </w:p>
    <w:p>
      <w:pPr>
        <w:spacing w:after="0" w:line="17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Kodak</w:t>
      </w:r>
      <w:r>
        <w:rPr>
          <w:rFonts w:ascii="Calibri" w:cs="Calibri" w:eastAsia="Calibri" w:hAnsi="Calibri"/>
          <w:sz w:val="18"/>
          <w:szCs w:val="18"/>
          <w:color w:val="auto"/>
        </w:rPr>
        <w:t>’</w:t>
      </w:r>
      <w:r>
        <w:rPr>
          <w:rFonts w:ascii="Calibri" w:cs="Calibri" w:eastAsia="Calibri" w:hAnsi="Calibri"/>
          <w:sz w:val="18"/>
          <w:szCs w:val="18"/>
          <w:b w:val="1"/>
          <w:bCs w:val="1"/>
          <w:i w:val="1"/>
          <w:iCs w:val="1"/>
          <w:color w:val="auto"/>
        </w:rPr>
        <w:t>s business, fnancial conditon and results of operatons have been and may contnue to be adversely afected by global economic and geopolitcal conditons, including the impact of wars and other hostlites, medical epidemics, infaton, fuctuatons in interest rates, changes in trade policies, including tarifs or other trade restrictons or the threat of such actons, and slowdowns in customer demand.</w:t>
      </w:r>
    </w:p>
    <w:p>
      <w:pPr>
        <w:spacing w:after="0" w:line="178"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Worsening global economic conditons, including those associated with the war in Ukraine, the conficts involving Israel, medical epidemics, heightened levels of infaton, fuctuatons in interest rates and changes in trade policies, including tarifs or other trade restrictons or the threat of such actons, could have material adverse impacts on Kodak’s business, cash fows, employees, suppliers, customers, and others’ ability to conduct business, including increased operatonal costs, extended business shutdowns, reduced operatons, restrictons or interruptons in shipping, manufacturing or installing products, reduced consumer demand and the reduced ability of our customers to make payments. Accounts receivable and past due accounts could increase due to a decline in our customers’ ability to pay, and our liquidity, including our ability to use credit lines, could be negatvely impacted by failures of fnancial instrument counterpartes, including banks and other fnancial insttutons.</w:t>
      </w:r>
    </w:p>
    <w:p>
      <w:pPr>
        <w:spacing w:after="0" w:line="195"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Due to the global economic impact of the war in Ukraine, the conficts involving Israel, medical epidemics, heightened levels of infaton, fuctuatons in interest rates and uncertainty in the U.S trade policy, we have and may contnue to experience additonal operatng costs due to increased cost of energy, shipping, raw materials and labor, limited availability of raw materials and component products, delays in shipping and transportaton and a decline in customer demand. Kodak’s products contain aluminum, silver, petroleum-based or other commodity-based raw materials, the prices of which have signifcantly increased, and could contnue to increase. Ongoing disruptons in our supply chain could afect our ability to contnue to meet customer demand for our products and services. Contnued or worsening operatonal and global economic conditons could materially afect our business, fnancial conditon or results of operatons. The extent to which the global economic conditons afect our results will depend on future developments, which are highly uncertain and cannot be predicted. This includes new informaton which may emerge concerning the contnued impact of the war in Ukraine and the conficts involving Israel, any escalaton thereof, and the impact of the internatonal response thereto. For additonal discussion regarding known impacts of the war in Ukraine, the conficts involving Israel and the global economic environment, see Item 7, “Management’s Discussion and Analysis of Financial Conditon and Results of Operatons“ in this Annual Report on Form 10-K.</w:t>
      </w:r>
    </w:p>
    <w:p>
      <w:pPr>
        <w:spacing w:after="0" w:line="180"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The ability to generate positve operatng cash fows will be necessary for Kodak to contnue to operate our business.</w:t>
      </w:r>
    </w:p>
    <w:p>
      <w:pPr>
        <w:spacing w:after="0" w:line="177" w:lineRule="exact"/>
        <w:rPr>
          <w:sz w:val="20"/>
          <w:szCs w:val="20"/>
          <w:color w:val="auto"/>
        </w:rPr>
      </w:pPr>
    </w:p>
    <w:p>
      <w:pPr>
        <w:jc w:val="both"/>
        <w:ind w:right="160"/>
        <w:spacing w:after="0" w:line="235" w:lineRule="auto"/>
        <w:rPr>
          <w:sz w:val="20"/>
          <w:szCs w:val="20"/>
          <w:color w:val="auto"/>
        </w:rPr>
      </w:pPr>
      <w:r>
        <w:rPr>
          <w:rFonts w:ascii="Calibri" w:cs="Calibri" w:eastAsia="Calibri" w:hAnsi="Calibri"/>
          <w:sz w:val="18"/>
          <w:szCs w:val="18"/>
          <w:color w:val="auto"/>
        </w:rPr>
        <w:t>Contnued investment, capital needs, restructuring payments, dividends and servicing Kodak’s debt require a signifcant amount of cash and we may not be able to generate sufcient cash to fund these actvites, which could adversely afect our business, fnancial conditon, and results of operatons. Kodak has not consistently generated positve operatng cash fows without supplementng</w:t>
      </w:r>
    </w:p>
    <w:p>
      <w:pPr>
        <w:spacing w:after="0" w:line="187"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311150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0" w:name="page11"/>
    <w:bookmarkEnd w:id="10"/>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260"/>
        <w:spacing w:after="0" w:line="235" w:lineRule="auto"/>
        <w:rPr>
          <w:sz w:val="20"/>
          <w:szCs w:val="20"/>
          <w:color w:val="auto"/>
        </w:rPr>
      </w:pPr>
      <w:r>
        <w:rPr>
          <w:rFonts w:ascii="Calibri" w:cs="Calibri" w:eastAsia="Calibri" w:hAnsi="Calibri"/>
          <w:sz w:val="18"/>
          <w:szCs w:val="18"/>
          <w:color w:val="auto"/>
        </w:rPr>
        <w:t>such cash fow from operatons with fnancing and monetzaton transactons over the past several years. Kodak's businesses may not grow or contnue to generate the same or enough cash fow.</w:t>
      </w:r>
    </w:p>
    <w:p>
      <w:pPr>
        <w:spacing w:after="0" w:line="177"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It may take Kodak longer than planned to generate consistent positve cash fow from operatons, which would have a material adverse efect on our liquidity and fnancial positon. If Kodak is unable to generate positve cash fow from operatons for an extended period in the future or to adequately supplement such cash fow from operatons, our ability to contnue as a going concern could be impaired or limited.</w:t>
      </w:r>
    </w:p>
    <w:p>
      <w:pPr>
        <w:spacing w:after="0" w:line="178" w:lineRule="exact"/>
        <w:rPr>
          <w:sz w:val="20"/>
          <w:szCs w:val="20"/>
          <w:color w:val="auto"/>
        </w:rPr>
      </w:pPr>
    </w:p>
    <w:p>
      <w:pPr>
        <w:ind w:right="220"/>
        <w:spacing w:after="0" w:line="235" w:lineRule="auto"/>
        <w:rPr>
          <w:sz w:val="20"/>
          <w:szCs w:val="20"/>
          <w:color w:val="auto"/>
        </w:rPr>
      </w:pPr>
      <w:r>
        <w:rPr>
          <w:rFonts w:ascii="Calibri" w:cs="Calibri" w:eastAsia="Calibri" w:hAnsi="Calibri"/>
          <w:sz w:val="18"/>
          <w:szCs w:val="18"/>
          <w:color w:val="auto"/>
        </w:rPr>
        <w:t>Kodak’s ability to generate cash is subject to general economic, fnancial, compettve, legal, regulatory and other factors beyond our control. There are no assurances:</w:t>
      </w:r>
    </w:p>
    <w:p>
      <w:pPr>
        <w:spacing w:after="0" w:line="199" w:lineRule="exact"/>
        <w:rPr>
          <w:sz w:val="20"/>
          <w:szCs w:val="20"/>
          <w:color w:val="auto"/>
        </w:rPr>
      </w:pPr>
    </w:p>
    <w:p>
      <w:pPr>
        <w:ind w:left="1020" w:hanging="263"/>
        <w:spacing w:after="0"/>
        <w:tabs>
          <w:tab w:leader="none" w:pos="1020" w:val="left"/>
        </w:tabs>
        <w:numPr>
          <w:ilvl w:val="0"/>
          <w:numId w:val="13"/>
        </w:numPr>
        <w:rPr>
          <w:rFonts w:ascii="Times New Roman" w:cs="Times New Roman" w:eastAsia="Times New Roman" w:hAnsi="Times New Roman"/>
          <w:sz w:val="18"/>
          <w:szCs w:val="18"/>
          <w:color w:val="auto"/>
        </w:rPr>
      </w:pPr>
      <w:r>
        <w:rPr>
          <w:rFonts w:ascii="Calibri" w:cs="Calibri" w:eastAsia="Calibri" w:hAnsi="Calibri"/>
          <w:sz w:val="18"/>
          <w:szCs w:val="18"/>
          <w:color w:val="auto"/>
        </w:rPr>
        <w:t>Kodak’s businesses will generate sufcient cash fow from operatons;</w:t>
      </w:r>
    </w:p>
    <w:p>
      <w:pPr>
        <w:spacing w:after="0" w:line="185"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13"/>
        </w:numPr>
        <w:rPr>
          <w:rFonts w:ascii="Times New Roman" w:cs="Times New Roman" w:eastAsia="Times New Roman" w:hAnsi="Times New Roman"/>
          <w:sz w:val="18"/>
          <w:szCs w:val="18"/>
          <w:color w:val="auto"/>
        </w:rPr>
      </w:pPr>
      <w:r>
        <w:rPr>
          <w:rFonts w:ascii="Calibri" w:cs="Calibri" w:eastAsia="Calibri" w:hAnsi="Calibri"/>
          <w:sz w:val="18"/>
          <w:szCs w:val="18"/>
          <w:color w:val="auto"/>
        </w:rPr>
        <w:t>Kodak will be able to repatriate or move cash to locatons where and when it is needed;</w:t>
      </w:r>
    </w:p>
    <w:p>
      <w:pPr>
        <w:spacing w:after="0" w:line="190"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13"/>
        </w:numPr>
        <w:rPr>
          <w:rFonts w:ascii="Times New Roman" w:cs="Times New Roman" w:eastAsia="Times New Roman" w:hAnsi="Times New Roman"/>
          <w:sz w:val="17"/>
          <w:szCs w:val="17"/>
          <w:color w:val="auto"/>
        </w:rPr>
      </w:pPr>
      <w:r>
        <w:rPr>
          <w:rFonts w:ascii="Calibri" w:cs="Calibri" w:eastAsia="Calibri" w:hAnsi="Calibri"/>
          <w:sz w:val="17"/>
          <w:szCs w:val="17"/>
          <w:color w:val="auto"/>
        </w:rPr>
        <w:t>Kodak will meet all conditons associated with borrowings or issuing leters of credit under the Amended and Restated L/C Facility Agreement;</w:t>
      </w:r>
    </w:p>
    <w:p>
      <w:pPr>
        <w:spacing w:after="0" w:line="210" w:lineRule="exact"/>
        <w:rPr>
          <w:rFonts w:ascii="Times New Roman" w:cs="Times New Roman" w:eastAsia="Times New Roman" w:hAnsi="Times New Roman"/>
          <w:sz w:val="17"/>
          <w:szCs w:val="17"/>
          <w:color w:val="auto"/>
        </w:rPr>
      </w:pPr>
    </w:p>
    <w:p>
      <w:pPr>
        <w:ind w:left="1020" w:right="360" w:hanging="263"/>
        <w:spacing w:after="0" w:line="235" w:lineRule="auto"/>
        <w:tabs>
          <w:tab w:leader="none" w:pos="1020" w:val="left"/>
        </w:tabs>
        <w:numPr>
          <w:ilvl w:val="0"/>
          <w:numId w:val="13"/>
        </w:numPr>
        <w:rPr>
          <w:rFonts w:ascii="Times New Roman" w:cs="Times New Roman" w:eastAsia="Times New Roman" w:hAnsi="Times New Roman"/>
          <w:sz w:val="18"/>
          <w:szCs w:val="18"/>
          <w:color w:val="auto"/>
        </w:rPr>
      </w:pPr>
      <w:r>
        <w:rPr>
          <w:rFonts w:ascii="Calibri" w:cs="Calibri" w:eastAsia="Calibri" w:hAnsi="Calibri"/>
          <w:sz w:val="18"/>
          <w:szCs w:val="18"/>
          <w:color w:val="auto"/>
        </w:rPr>
        <w:t>Kodak will realize cost savings, earnings growth or operatng improvements resultng from the executon of our business and restructuring plan;</w:t>
      </w:r>
    </w:p>
    <w:p>
      <w:pPr>
        <w:spacing w:after="0" w:line="185"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13"/>
        </w:numPr>
        <w:rPr>
          <w:rFonts w:ascii="Times New Roman" w:cs="Times New Roman" w:eastAsia="Times New Roman" w:hAnsi="Times New Roman"/>
          <w:sz w:val="18"/>
          <w:szCs w:val="18"/>
          <w:color w:val="auto"/>
        </w:rPr>
      </w:pPr>
      <w:r>
        <w:rPr>
          <w:rFonts w:ascii="Calibri" w:cs="Calibri" w:eastAsia="Calibri" w:hAnsi="Calibri"/>
          <w:sz w:val="18"/>
          <w:szCs w:val="18"/>
          <w:color w:val="auto"/>
        </w:rPr>
        <w:t>Kodak will not have to expend cash defending lawsuits regardless of the merits of any claims raised; or</w:t>
      </w:r>
    </w:p>
    <w:p>
      <w:pPr>
        <w:spacing w:after="0" w:line="185"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13"/>
        </w:numPr>
        <w:rPr>
          <w:rFonts w:ascii="Times New Roman" w:cs="Times New Roman" w:eastAsia="Times New Roman" w:hAnsi="Times New Roman"/>
          <w:sz w:val="18"/>
          <w:szCs w:val="18"/>
          <w:color w:val="auto"/>
        </w:rPr>
      </w:pPr>
      <w:r>
        <w:rPr>
          <w:rFonts w:ascii="Calibri" w:cs="Calibri" w:eastAsia="Calibri" w:hAnsi="Calibri"/>
          <w:sz w:val="18"/>
          <w:szCs w:val="18"/>
          <w:color w:val="auto"/>
        </w:rPr>
        <w:t>Future sources of funding will be available in amounts sufcient to enable funding of our liquidity needs.</w:t>
      </w:r>
    </w:p>
    <w:p>
      <w:pPr>
        <w:spacing w:after="0" w:line="217" w:lineRule="exact"/>
        <w:rPr>
          <w:sz w:val="20"/>
          <w:szCs w:val="20"/>
          <w:color w:val="auto"/>
        </w:rPr>
      </w:pPr>
    </w:p>
    <w:p>
      <w:pPr>
        <w:ind w:right="240"/>
        <w:spacing w:after="0" w:line="235" w:lineRule="auto"/>
        <w:rPr>
          <w:sz w:val="20"/>
          <w:szCs w:val="20"/>
          <w:color w:val="auto"/>
        </w:rPr>
      </w:pPr>
      <w:r>
        <w:rPr>
          <w:rFonts w:ascii="Calibri" w:cs="Calibri" w:eastAsia="Calibri" w:hAnsi="Calibri"/>
          <w:sz w:val="18"/>
          <w:szCs w:val="18"/>
          <w:color w:val="auto"/>
        </w:rPr>
        <w:t>Kodak’s business may not generate cash fow in an amount sufcient to enable us to pay the principal or mandatory redempton price of, or interest and dividends on, the senior secured frst lien term loans (the “Term Loans”) borrowed under the Amended and Restated Credit Agreement (the "Credit Agreement"), dated June 30, 2023, by and among the Company, the lenders party thereto (the “Term Loan Lenders”), and Alter Domus (US) LLC, as Administratve Agent (the “Term Loan Credit Agreement”), the 4.0% Series B Convertble Preferred Stock of the Company (the “Series B Preferred Stock”), and the 5.0% Series C Convertble Preferred Stock of the Company (the “Series C Preferred Stock”), or to fund Kodak’s other liquidity needs, including working capital, capital expenditures, product development eforts, restructuring actons, collateral requirements, strategic acquisitons, investments and alliances and other general corporate requirements.</w:t>
      </w:r>
    </w:p>
    <w:p>
      <w:pPr>
        <w:spacing w:after="0" w:line="222"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If Kodak cannot fund our liquidity needs, we will have to take actons, such as reducing or delaying capital expenditures, product development eforts, strategic acquisitons, and investments and alliances; selling additonal assets; restructuring or refnancing the Company’s debt; or seeking additonal equity capital. Such actons could increase the Company’s debt, negatvely impact customer confdence in our ability to provide products and services, reduce our ability to raise additonal capital and delay sustained proftability. There are no assurances any of these actons could, if necessary, be taken on commercially reasonable terms, or at all, or they would satsfy Kodak’s liquidity needs.</w:t>
      </w:r>
    </w:p>
    <w:p>
      <w:pPr>
        <w:spacing w:after="0" w:line="193" w:lineRule="exact"/>
        <w:rPr>
          <w:sz w:val="20"/>
          <w:szCs w:val="20"/>
          <w:color w:val="auto"/>
        </w:rPr>
      </w:pPr>
    </w:p>
    <w:p>
      <w:pPr>
        <w:ind w:right="280"/>
        <w:spacing w:after="0" w:line="235" w:lineRule="auto"/>
        <w:rPr>
          <w:sz w:val="20"/>
          <w:szCs w:val="20"/>
          <w:color w:val="auto"/>
        </w:rPr>
      </w:pPr>
      <w:r>
        <w:rPr>
          <w:rFonts w:ascii="Calibri" w:cs="Calibri" w:eastAsia="Calibri" w:hAnsi="Calibri"/>
          <w:sz w:val="18"/>
          <w:szCs w:val="18"/>
          <w:b w:val="1"/>
          <w:bCs w:val="1"/>
          <w:i w:val="1"/>
          <w:iCs w:val="1"/>
          <w:color w:val="auto"/>
        </w:rPr>
        <w:t>Kodak’s ability to receive reversion proceeds from the terminaton and liquidaton of the Kodak Retrement Income Plan (KRIP), if any, and the amount and tming of such receipts, are subject to factors beyond Kodak’s control.</w:t>
      </w:r>
    </w:p>
    <w:p>
      <w:pPr>
        <w:spacing w:after="0" w:line="177"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color w:val="auto"/>
        </w:rPr>
        <w:t>On January 21, 2025, the Board of Directors of Kodak approved the terminaton of KRIP efectve March 31, 2025, and no further benefts will accrue under KRIP following such date. Following the determinaton and satsfacton of KRIP’s liabilites, Kodak should be enttled to a reversion of any remaining KRIP assets subject to tax obligatons and the funding of a qualifed defned beneft retrement plan as a replacement for KRIP. Kodak’s receipt of reversion proceeds, if any, the amount of such proceeds and the tming of any such receipt are subject to factors beyond its control, including the actual amounts realized from the monetzaton of KRIP’s assets, the tming of conversion of KRIP’s investments into cash or other liquid assets, fuctuatons in the amount of KRIP’s liabilites and the efectveness of KRIP’s hedging strategy to mitgate such fuctuatons, the availability of an annuity product to satsfy KRIP’s annuity obligatons at an acceptable cost and on acceptable terms, the ability to engage an independent fduciary and otherwise satsfy applicable fduciary dutes, any claims or lawsuits with respect to such maters or seeking to impede contemplated actons, regulatory review and approval of various aspects of the terms of KRIP, KRIP’s actvites, and the terminaton and liquidaton process, and possible changes in laws, regulatons, or processes relatng to any of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11" w:name="page12"/>
    <w:bookmarkEnd w:id="11"/>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420"/>
        <w:spacing w:after="0" w:line="235" w:lineRule="auto"/>
        <w:rPr>
          <w:sz w:val="20"/>
          <w:szCs w:val="20"/>
          <w:color w:val="auto"/>
        </w:rPr>
      </w:pPr>
      <w:r>
        <w:rPr>
          <w:rFonts w:ascii="Calibri" w:cs="Calibri" w:eastAsia="Calibri" w:hAnsi="Calibri"/>
          <w:sz w:val="18"/>
          <w:szCs w:val="18"/>
          <w:b w:val="1"/>
          <w:bCs w:val="1"/>
          <w:i w:val="1"/>
          <w:iCs w:val="1"/>
          <w:color w:val="auto"/>
        </w:rPr>
        <w:t>If Kodak is unable to contnue successful development, funding, and commercializaton of products in businesses upon which we are focused or do so within an acceptable tmeframe, Kodak</w:t>
      </w:r>
      <w:r>
        <w:rPr>
          <w:rFonts w:ascii="Calibri" w:cs="Calibri" w:eastAsia="Calibri" w:hAnsi="Calibri"/>
          <w:sz w:val="18"/>
          <w:szCs w:val="18"/>
          <w:color w:val="auto"/>
        </w:rPr>
        <w:t>’</w:t>
      </w:r>
      <w:r>
        <w:rPr>
          <w:rFonts w:ascii="Calibri" w:cs="Calibri" w:eastAsia="Calibri" w:hAnsi="Calibri"/>
          <w:sz w:val="18"/>
          <w:szCs w:val="18"/>
          <w:b w:val="1"/>
          <w:bCs w:val="1"/>
          <w:i w:val="1"/>
          <w:iCs w:val="1"/>
          <w:color w:val="auto"/>
        </w:rPr>
        <w:t>s fnancial performance could be adversely afected.</w:t>
      </w:r>
    </w:p>
    <w:p>
      <w:pPr>
        <w:spacing w:after="0" w:line="177"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Kodak has focused our investments in print, advanced materials, and chemicals. These investment areas include digital printng using commercial inkjet, high resoluton functonal printng for electronic and optcal solutons, specialty chemicals (including pharmaceutcal and reagent products), coated materials used in EV/energy storage bateries and smart materials for light control and 3D printng. Each of these businesses requires additonal investment and may not be successful. The introducton of successful innovatve products at market compettve prices and the achievement of scale are necessary for Kodak to grow these businesses, improve margins and achieve our fnancial objectves. Additonally, Kodak’s strategy is based on a number of factors and assumptons, some of which are not within our control, such as the actons of third partes, including the geopolitcal environment. There can be no assurance that we will be able to successfully execute all or any elements of our strategy, or that Kodak’s ability to successfully execute our strategy will be unafected by external factors. If Kodak is unsuccessful in growing our investment businesses as planned, or perceiving the needs of our target customers, Kodak’s results of operatons, fnancial conditon and liquidity could be adversely afected.</w:t>
      </w:r>
    </w:p>
    <w:p>
      <w:pPr>
        <w:spacing w:after="0" w:line="183" w:lineRule="exact"/>
        <w:rPr>
          <w:sz w:val="20"/>
          <w:szCs w:val="20"/>
          <w:color w:val="auto"/>
        </w:rPr>
      </w:pPr>
    </w:p>
    <w:p>
      <w:pPr>
        <w:ind w:right="240"/>
        <w:spacing w:after="0" w:line="235" w:lineRule="auto"/>
        <w:rPr>
          <w:sz w:val="20"/>
          <w:szCs w:val="20"/>
          <w:color w:val="auto"/>
        </w:rPr>
      </w:pPr>
      <w:r>
        <w:rPr>
          <w:rFonts w:ascii="Calibri" w:cs="Calibri" w:eastAsia="Calibri" w:hAnsi="Calibri"/>
          <w:sz w:val="18"/>
          <w:szCs w:val="18"/>
          <w:b w:val="1"/>
          <w:bCs w:val="1"/>
          <w:i w:val="1"/>
          <w:iCs w:val="1"/>
          <w:color w:val="auto"/>
        </w:rPr>
        <w:t>If Kodak is unable to successfully or tmely implement cost structure reductons, Kodak</w:t>
      </w:r>
      <w:r>
        <w:rPr>
          <w:rFonts w:ascii="Calibri" w:cs="Calibri" w:eastAsia="Calibri" w:hAnsi="Calibri"/>
          <w:sz w:val="18"/>
          <w:szCs w:val="18"/>
          <w:color w:val="auto"/>
        </w:rPr>
        <w:t>’</w:t>
      </w:r>
      <w:r>
        <w:rPr>
          <w:rFonts w:ascii="Calibri" w:cs="Calibri" w:eastAsia="Calibri" w:hAnsi="Calibri"/>
          <w:sz w:val="18"/>
          <w:szCs w:val="18"/>
          <w:b w:val="1"/>
          <w:bCs w:val="1"/>
          <w:i w:val="1"/>
          <w:iCs w:val="1"/>
          <w:color w:val="auto"/>
        </w:rPr>
        <w:t>s business, fnancial conditon and results of operatons could be negatvely afected.</w:t>
      </w:r>
    </w:p>
    <w:p>
      <w:pPr>
        <w:spacing w:after="0" w:line="191"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Kodak contnues to ratonalize our workforce and streamline operatons to a leaner and more focused organizaton aligned with our business initatves. There are no assurances that workforce reductons, restructuring eforts and other cost-saving measures will be successful or the cost savings or other benefcial results will be consistent with expectatons. The extent of change across our organizatonal structure, senior leadership, culture, functonal alignment, outsourcing and other areas poses risks in the form of personnel capacity constraints and insttutonal knowledge loss that could lead to diminished results, compliance issues, and harm to our reputaton. If workforce reductons, restructuring eforts and other cost-saving measures are not efectvely managed, Kodak may also experience lost sales, harm to our business and customer relatonships, adverse efects on employee morale, loss of key employees or other retenton issues, product delays and increased costs.</w:t>
      </w:r>
    </w:p>
    <w:p>
      <w:pPr>
        <w:spacing w:after="0" w:line="181"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color w:val="auto"/>
        </w:rPr>
        <w:t>Finally, the tming and implementaton of workforce reductons may require compliance with laws and regulatons, including local labor laws, and the failure to comply with such requirements may result in damages, fnes and penaltes. Any of these outcomes could negatvely impact Kodak’s business, fnancial conditon, and results of operatons.</w:t>
      </w:r>
    </w:p>
    <w:p>
      <w:pPr>
        <w:spacing w:after="0" w:line="178" w:lineRule="exact"/>
        <w:rPr>
          <w:sz w:val="20"/>
          <w:szCs w:val="20"/>
          <w:color w:val="auto"/>
        </w:rPr>
      </w:pPr>
    </w:p>
    <w:p>
      <w:pPr>
        <w:ind w:right="620"/>
        <w:spacing w:after="0" w:line="235" w:lineRule="auto"/>
        <w:rPr>
          <w:sz w:val="20"/>
          <w:szCs w:val="20"/>
          <w:color w:val="auto"/>
        </w:rPr>
      </w:pPr>
      <w:r>
        <w:rPr>
          <w:rFonts w:ascii="Calibri" w:cs="Calibri" w:eastAsia="Calibri" w:hAnsi="Calibri"/>
          <w:sz w:val="18"/>
          <w:szCs w:val="18"/>
          <w:b w:val="1"/>
          <w:bCs w:val="1"/>
          <w:i w:val="1"/>
          <w:iCs w:val="1"/>
          <w:color w:val="auto"/>
        </w:rPr>
        <w:t>The loss of one or more of Kodak</w:t>
      </w:r>
      <w:r>
        <w:rPr>
          <w:rFonts w:ascii="Calibri" w:cs="Calibri" w:eastAsia="Calibri" w:hAnsi="Calibri"/>
          <w:sz w:val="18"/>
          <w:szCs w:val="18"/>
          <w:color w:val="auto"/>
        </w:rPr>
        <w:t>’</w:t>
      </w:r>
      <w:r>
        <w:rPr>
          <w:rFonts w:ascii="Calibri" w:cs="Calibri" w:eastAsia="Calibri" w:hAnsi="Calibri"/>
          <w:sz w:val="18"/>
          <w:szCs w:val="18"/>
          <w:b w:val="1"/>
          <w:bCs w:val="1"/>
          <w:i w:val="1"/>
          <w:iCs w:val="1"/>
          <w:color w:val="auto"/>
        </w:rPr>
        <w:t>s key personnel, or our failure to atract and retain other highly qualifed personnel in the future, could harm our business.</w:t>
      </w:r>
    </w:p>
    <w:p>
      <w:pPr>
        <w:spacing w:after="0" w:line="191"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In order to be successful, Kodak must contnue to atract, retain and motvate executves and other key employees across the Company. Hiring and retaining qualifed executves, research and engineering professionals, and qualifed sales representatves, partcularly in Kodak’s targeted growth markets, is critcal to our future. The impact of the COVID-19 pandemic resulted in increased atriton and signifcant shifs in the labor market and employee expectatons. Given our business is highly technical and specialized, it would be difcult to replace the loss of any of our key employees. The increased focus from the current administraton on immigraton is also a factor in identfying technical and specialized talent. Kodak may be unable to atract and retain highly qualifed management and employees, partcularly if we do not ofer employment terms compettve with the rest of the market. Failure to atract and retain qualifed individuals, key leaders, executves and employees, or failure to develop and implement a viable succession plan, could result in inadequate depth of insttutonal knowledge or skill sets, which could adversely afect Kodak’s business and results of operatons.</w:t>
      </w:r>
    </w:p>
    <w:p>
      <w:pPr>
        <w:spacing w:after="0" w:line="182" w:lineRule="exact"/>
        <w:rPr>
          <w:sz w:val="20"/>
          <w:szCs w:val="20"/>
          <w:color w:val="auto"/>
        </w:rPr>
      </w:pPr>
    </w:p>
    <w:p>
      <w:pPr>
        <w:ind w:right="320"/>
        <w:spacing w:after="0" w:line="235" w:lineRule="auto"/>
        <w:rPr>
          <w:sz w:val="20"/>
          <w:szCs w:val="20"/>
          <w:color w:val="auto"/>
        </w:rPr>
      </w:pPr>
      <w:r>
        <w:rPr>
          <w:rFonts w:ascii="Calibri" w:cs="Calibri" w:eastAsia="Calibri" w:hAnsi="Calibri"/>
          <w:sz w:val="18"/>
          <w:szCs w:val="18"/>
          <w:b w:val="1"/>
          <w:bCs w:val="1"/>
          <w:i w:val="1"/>
          <w:iCs w:val="1"/>
          <w:color w:val="auto"/>
        </w:rPr>
        <w:t>If Kodak cannot efectvely antcipate or rapidly respond to technology trends and develop and market new products to respond to changing customer needs and preferences, our revenue, earnings and cash fow could be adversely afected.</w:t>
      </w:r>
    </w:p>
    <w:p>
      <w:pPr>
        <w:spacing w:after="0" w:line="177"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Kodak generally sells our products in industries which are characterized by rapid technological changes, frequent new product and service introductons and changing industry standards. Kodak’s success depends on our ability to ofer diferentated solutons and technologies to capture market share and grow scale. To do so, Kodak must contnually develop and introduce new products and services in a tmely manner to keep pace with technological developments and achieve customer acceptance. In additon, the services and products we provide to customers may not or may no longer meet the needs of our customers as the business models of our customers evolve. Kodak’s customers may decide to outsource their imaging and printng needs or may purchase imaging and printng services from other suppliers in order to meet their needs. In additon, it is difcult to always successfully antcipate the products and services our customers will demand. The success of Kodak’s business depends in part on our ability to identfy and respond promptly to changes in customer preferences, expectatons and needs. If Kodak does not tmely assess and respond to changing customer expectatons, preferences and needs, our fnancial conditon, results of operatons or cash fows could be adversely afected.</w:t>
      </w:r>
    </w:p>
    <w:p>
      <w:pPr>
        <w:spacing w:after="0" w:line="192"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311150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12" w:name="page13"/>
    <w:bookmarkEnd w:id="12"/>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140"/>
        <w:spacing w:after="0" w:line="258" w:lineRule="auto"/>
        <w:rPr>
          <w:sz w:val="20"/>
          <w:szCs w:val="20"/>
          <w:color w:val="auto"/>
        </w:rPr>
      </w:pPr>
      <w:r>
        <w:rPr>
          <w:rFonts w:ascii="Calibri" w:cs="Calibri" w:eastAsia="Calibri" w:hAnsi="Calibri"/>
          <w:sz w:val="17"/>
          <w:szCs w:val="17"/>
          <w:color w:val="auto"/>
        </w:rPr>
        <w:t>If Kodak is unable to tmely antcipate new technology trends, develop improvements to our current technology to address changing customer preferences, and efectvely communicate our businesses, products, and the markets we serve, our revenue, earnings and cash fow could be adversely afected.</w:t>
      </w:r>
    </w:p>
    <w:p>
      <w:pPr>
        <w:spacing w:after="0" w:line="161"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color w:val="auto"/>
        </w:rPr>
        <w:t>The success of Kodak’s technology development eforts may be afected by the development eforts of our compettors, which may have more fnancial and other resources to beter ascertain technology trends, changing customer preferences, and changing business expectatons or models. Kodak’s assessment and response may as a result be incomplete or inferior when compared to our compettors, which could adversely afect our product roadmaps and associated revenue streams.</w:t>
      </w:r>
    </w:p>
    <w:p>
      <w:pPr>
        <w:spacing w:after="0" w:line="179" w:lineRule="exact"/>
        <w:rPr>
          <w:sz w:val="20"/>
          <w:szCs w:val="20"/>
          <w:color w:val="auto"/>
        </w:rPr>
      </w:pPr>
    </w:p>
    <w:p>
      <w:pPr>
        <w:ind w:right="140"/>
        <w:spacing w:after="0" w:line="235" w:lineRule="auto"/>
        <w:rPr>
          <w:sz w:val="20"/>
          <w:szCs w:val="20"/>
          <w:color w:val="auto"/>
        </w:rPr>
      </w:pPr>
      <w:r>
        <w:rPr>
          <w:rFonts w:ascii="Calibri" w:cs="Calibri" w:eastAsia="Calibri" w:hAnsi="Calibri"/>
          <w:sz w:val="18"/>
          <w:szCs w:val="18"/>
          <w:color w:val="auto"/>
        </w:rPr>
        <w:t>Kodak has reduced the scope of its corporate-focused research and development actvites. If our investment in research and product development is inadequate, our response to changing customer needs and changing market dynamics may be too slow and this may adversely afect revenue streams from new products and services.</w:t>
      </w:r>
    </w:p>
    <w:p>
      <w:pPr>
        <w:spacing w:after="0" w:line="18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Kodak is exposed to risks associated with expanding into related or new markets and industries.</w:t>
      </w:r>
    </w:p>
    <w:p>
      <w:pPr>
        <w:spacing w:after="0" w:line="8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part of our growth strategy, we seek to contnue to expand into related or new markets and industries, either with our existng products or with new products developed internally, or those developed in collaboraton with third partes, or obtained through acquisitons. Our ability to successfully expand our business into related or new markets and industries may be adversely afected by a number of factors, including:</w:t>
      </w:r>
    </w:p>
    <w:p>
      <w:pPr>
        <w:spacing w:after="0" w:line="119" w:lineRule="exact"/>
        <w:rPr>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need to devote additonal resources to develop new products for, and operate in, new markets;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need to develop new sales and technical marketng strategies, and to develop relatonships with new customers;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Calibri" w:cs="Calibri" w:eastAsia="Calibri" w:hAnsi="Calibri"/>
          <w:sz w:val="18"/>
          <w:szCs w:val="18"/>
          <w:color w:val="auto"/>
        </w:rPr>
        <w:t>difering rates of proftability and growth among multple businesses;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Calibri" w:cs="Calibri" w:eastAsia="Calibri" w:hAnsi="Calibri"/>
          <w:sz w:val="18"/>
          <w:szCs w:val="18"/>
          <w:color w:val="auto"/>
        </w:rPr>
        <w:t>our ability to antcipate demand, capitalize on opportunites, and avoid or minimize risks;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complexity of managing multple businesses with variatons in producton planning, executon, supply chain management and logistcs;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adopton of new business models, business processes and systems;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complexity of entering into and efectvely managing strategic alliances or partnering opportunites;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Calibri" w:cs="Calibri" w:eastAsia="Calibri" w:hAnsi="Calibri"/>
          <w:sz w:val="18"/>
          <w:szCs w:val="18"/>
          <w:color w:val="auto"/>
        </w:rPr>
        <w:t>new materials, processes and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need to atract, motvate and retain employees with skills and expertse in these new areas;</w:t>
      </w:r>
    </w:p>
    <w:p>
      <w:pPr>
        <w:spacing w:after="0" w:line="122" w:lineRule="exact"/>
        <w:rPr>
          <w:rFonts w:ascii="Times New Roman" w:cs="Times New Roman" w:eastAsia="Times New Roman" w:hAnsi="Times New Roman"/>
          <w:sz w:val="18"/>
          <w:szCs w:val="18"/>
          <w:color w:val="auto"/>
        </w:rPr>
      </w:pPr>
    </w:p>
    <w:p>
      <w:pPr>
        <w:ind w:left="1020" w:hanging="503"/>
        <w:spacing w:after="0" w:line="235" w:lineRule="auto"/>
        <w:tabs>
          <w:tab w:leader="none" w:pos="1020" w:val="left"/>
        </w:tabs>
        <w:numPr>
          <w:ilvl w:val="0"/>
          <w:numId w:val="14"/>
        </w:numPr>
        <w:rPr>
          <w:rFonts w:ascii="Times New Roman" w:cs="Times New Roman" w:eastAsia="Times New Roman" w:hAnsi="Times New Roman"/>
          <w:sz w:val="18"/>
          <w:szCs w:val="18"/>
          <w:color w:val="auto"/>
        </w:rPr>
      </w:pPr>
      <w:r>
        <w:rPr>
          <w:rFonts w:ascii="Calibri" w:cs="Calibri" w:eastAsia="Calibri" w:hAnsi="Calibri"/>
          <w:sz w:val="18"/>
          <w:szCs w:val="18"/>
          <w:color w:val="auto"/>
        </w:rPr>
        <w:t>new and more diverse customers and suppliers, including some with limited operatng histories, uncertain or limited funding, evolving business models or locatons in regions where we do not have, or have limited, operatons;</w:t>
      </w:r>
    </w:p>
    <w:p>
      <w:pPr>
        <w:spacing w:after="0" w:line="11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Calibri" w:cs="Calibri" w:eastAsia="Calibri" w:hAnsi="Calibri"/>
          <w:sz w:val="18"/>
          <w:szCs w:val="18"/>
          <w:color w:val="auto"/>
        </w:rPr>
        <w:t>new or diferent compettors with potentally more fnancial or other resources, industry experience and established customer relatonships;</w:t>
      </w:r>
    </w:p>
    <w:p>
      <w:pPr>
        <w:spacing w:after="0" w:line="122" w:lineRule="exact"/>
        <w:rPr>
          <w:rFonts w:ascii="Times New Roman" w:cs="Times New Roman" w:eastAsia="Times New Roman" w:hAnsi="Times New Roman"/>
          <w:sz w:val="18"/>
          <w:szCs w:val="18"/>
          <w:color w:val="auto"/>
        </w:rPr>
      </w:pPr>
    </w:p>
    <w:p>
      <w:pPr>
        <w:ind w:left="1020" w:hanging="503"/>
        <w:spacing w:after="0" w:line="235" w:lineRule="auto"/>
        <w:tabs>
          <w:tab w:leader="none" w:pos="1020" w:val="left"/>
        </w:tabs>
        <w:numPr>
          <w:ilvl w:val="0"/>
          <w:numId w:val="14"/>
        </w:numPr>
        <w:rPr>
          <w:rFonts w:ascii="Times New Roman" w:cs="Times New Roman" w:eastAsia="Times New Roman" w:hAnsi="Times New Roman"/>
          <w:sz w:val="18"/>
          <w:szCs w:val="18"/>
          <w:color w:val="auto"/>
        </w:rPr>
      </w:pPr>
      <w:r>
        <w:rPr>
          <w:rFonts w:ascii="Calibri" w:cs="Calibri" w:eastAsia="Calibri" w:hAnsi="Calibri"/>
          <w:sz w:val="18"/>
          <w:szCs w:val="18"/>
          <w:color w:val="auto"/>
        </w:rPr>
        <w:t>entry into new industries and countries, with difering levels of government involvement, laws and regulatons, and business, employment and safety practces and requirements;</w:t>
      </w:r>
    </w:p>
    <w:p>
      <w:pPr>
        <w:spacing w:after="0" w:line="11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third partes’ intellectual property rights;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need to comply with, or work to establish, industry standards and practces.</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Kodak</w:t>
      </w:r>
      <w:r>
        <w:rPr>
          <w:rFonts w:ascii="Calibri" w:cs="Calibri" w:eastAsia="Calibri" w:hAnsi="Calibri"/>
          <w:sz w:val="18"/>
          <w:szCs w:val="18"/>
          <w:color w:val="auto"/>
        </w:rPr>
        <w:t>’</w:t>
      </w:r>
      <w:r>
        <w:rPr>
          <w:rFonts w:ascii="Calibri" w:cs="Calibri" w:eastAsia="Calibri" w:hAnsi="Calibri"/>
          <w:sz w:val="18"/>
          <w:szCs w:val="18"/>
          <w:b w:val="1"/>
          <w:bCs w:val="1"/>
          <w:i w:val="1"/>
          <w:iCs w:val="1"/>
          <w:color w:val="auto"/>
        </w:rPr>
        <w:t>s investment in new products and services may not achieve expected returns.</w:t>
      </w:r>
    </w:p>
    <w:p>
      <w:pPr>
        <w:spacing w:after="0" w:line="190" w:lineRule="exact"/>
        <w:rPr>
          <w:sz w:val="20"/>
          <w:szCs w:val="20"/>
          <w:color w:val="auto"/>
        </w:rPr>
      </w:pPr>
    </w:p>
    <w:p>
      <w:pPr>
        <w:ind w:right="140"/>
        <w:spacing w:after="0" w:line="235" w:lineRule="auto"/>
        <w:rPr>
          <w:sz w:val="20"/>
          <w:szCs w:val="20"/>
          <w:color w:val="auto"/>
        </w:rPr>
      </w:pPr>
      <w:r>
        <w:rPr>
          <w:rFonts w:ascii="Calibri" w:cs="Calibri" w:eastAsia="Calibri" w:hAnsi="Calibri"/>
          <w:sz w:val="18"/>
          <w:szCs w:val="18"/>
          <w:color w:val="auto"/>
        </w:rPr>
        <w:t>Commercial success depends on many factors, including innovaton, manufacturing capability, and efectve distributon and marketng. If customers do not perceive Kodak’s latest oferings as providing signifcant new functonality or other value, they may reduce their purchases of new products or upgrades, unfavorably afectng our revenue. That may mean Kodak does not achieve signifcant revenue from new product, service, and distributon channel investments for several years, if at all.</w:t>
      </w:r>
    </w:p>
    <w:p>
      <w:pPr>
        <w:spacing w:after="0" w:line="179" w:lineRule="exact"/>
        <w:rPr>
          <w:sz w:val="20"/>
          <w:szCs w:val="20"/>
          <w:color w:val="auto"/>
        </w:rPr>
      </w:pPr>
    </w:p>
    <w:p>
      <w:pPr>
        <w:ind w:right="260"/>
        <w:spacing w:after="0" w:line="235" w:lineRule="auto"/>
        <w:rPr>
          <w:sz w:val="20"/>
          <w:szCs w:val="20"/>
          <w:color w:val="auto"/>
        </w:rPr>
      </w:pPr>
      <w:r>
        <w:rPr>
          <w:rFonts w:ascii="Calibri" w:cs="Calibri" w:eastAsia="Calibri" w:hAnsi="Calibri"/>
          <w:sz w:val="18"/>
          <w:szCs w:val="18"/>
          <w:color w:val="auto"/>
        </w:rPr>
        <w:t>New products and services may not be proftable, and even if they are proftable, operatng margins for some new products and businesses may not be as high as the margins Kodak has experienced historically. Developing new technologies is complex. It can require long development and testng periods. Signifcant delays in new releases or signifcant problems in creatng new products or services could adversely afect Kodak’s revenue.</w:t>
      </w:r>
    </w:p>
    <w:p>
      <w:pPr>
        <w:spacing w:after="0" w:line="173"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3" w:name="page14"/>
    <w:bookmarkEnd w:id="13"/>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line="235" w:lineRule="auto"/>
        <w:rPr>
          <w:sz w:val="20"/>
          <w:szCs w:val="20"/>
          <w:color w:val="auto"/>
        </w:rPr>
      </w:pPr>
      <w:r>
        <w:rPr>
          <w:rFonts w:ascii="Calibri" w:cs="Calibri" w:eastAsia="Calibri" w:hAnsi="Calibri"/>
          <w:sz w:val="18"/>
          <w:szCs w:val="18"/>
          <w:b w:val="1"/>
          <w:bCs w:val="1"/>
          <w:i w:val="1"/>
          <w:iCs w:val="1"/>
          <w:color w:val="auto"/>
        </w:rPr>
        <w:t>If Kodak does not manage product reliability, yield and quality, our product launch plans may be delayed, our fnancial results may be adversely impacted, and our reputaton may be harmed.</w:t>
      </w:r>
    </w:p>
    <w:p>
      <w:pPr>
        <w:spacing w:after="0" w:line="177" w:lineRule="exact"/>
        <w:rPr>
          <w:sz w:val="20"/>
          <w:szCs w:val="20"/>
          <w:color w:val="auto"/>
        </w:rPr>
      </w:pPr>
    </w:p>
    <w:p>
      <w:pPr>
        <w:ind w:right="160"/>
        <w:spacing w:after="0" w:line="235" w:lineRule="auto"/>
        <w:rPr>
          <w:sz w:val="20"/>
          <w:szCs w:val="20"/>
          <w:color w:val="auto"/>
        </w:rPr>
      </w:pPr>
      <w:r>
        <w:rPr>
          <w:rFonts w:ascii="Calibri" w:cs="Calibri" w:eastAsia="Calibri" w:hAnsi="Calibri"/>
          <w:sz w:val="18"/>
          <w:szCs w:val="18"/>
          <w:color w:val="auto"/>
        </w:rPr>
        <w:t>In developing, commercializing, manufacturing and servicing our products and services, Kodak must adequately address reliability and prevent yield and other quality issues, including defects in our engineering, design and manufacturing processes, as well as defects in third-party components included in our products.</w:t>
      </w:r>
    </w:p>
    <w:p>
      <w:pPr>
        <w:spacing w:after="0" w:line="178" w:lineRule="exact"/>
        <w:rPr>
          <w:sz w:val="20"/>
          <w:szCs w:val="20"/>
          <w:color w:val="auto"/>
        </w:rPr>
      </w:pPr>
    </w:p>
    <w:p>
      <w:pPr>
        <w:ind w:right="200"/>
        <w:spacing w:after="0" w:line="235" w:lineRule="auto"/>
        <w:rPr>
          <w:sz w:val="20"/>
          <w:szCs w:val="20"/>
          <w:color w:val="auto"/>
        </w:rPr>
      </w:pPr>
      <w:r>
        <w:rPr>
          <w:rFonts w:ascii="Calibri" w:cs="Calibri" w:eastAsia="Calibri" w:hAnsi="Calibri"/>
          <w:sz w:val="18"/>
          <w:szCs w:val="18"/>
          <w:color w:val="auto"/>
        </w:rPr>
        <w:t>Because Kodak’s products are sophistcated and complicated to develop and commercialize with rapid advances in technologies, the occurrence of defects may increase, partcularly with the introducton of new product lines.</w:t>
      </w:r>
    </w:p>
    <w:p>
      <w:pPr>
        <w:spacing w:after="0" w:line="191"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Unantcipated issues with product performance may delay product launch plans which could result in additonal expenses, lost revenue and earnings. Although Kodak has established internal procedures to minimize risks which may arise from product quality issues, there can be no assurance we will be able to eliminate or mitgate occurrences of these issues and associated liabilites. Product reliability, yield and quality issues can impair our relatonships with new or existng customers and adversely afect our brand image; product quality issues can result in recalls, warranty, or other service obligatons and litgaton; and our reputaton as a producer of high quality products could sufer, all of which could adversely afect our business as well as our fnancial results.</w:t>
      </w:r>
    </w:p>
    <w:p>
      <w:pPr>
        <w:spacing w:after="0" w:line="17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Aging manufacturing facilites and equipment could lead to failures of equipment and systems and require capital investment.</w:t>
      </w:r>
    </w:p>
    <w:p>
      <w:pPr>
        <w:spacing w:after="0" w:line="177"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Kodak’s manufacturing facilites are aged, and without signifcant updates to equipment and systems, will be more prone to failure. Capital improvements to manufacturing facilites are planned but there is risk to manufacturing operatons especially due to the complexity of the processes and technology and the loss of knowledge as employees leave who are familiar with the processes and technology. The longer these updates are delayed the higher the risk due to equipment failures, further obsolescence and additonal loss of employees with the specifc knowledge base. If Kodak’s equipment and systems experience a critcal failure, we could experience an interrupton of operatons, manufacturing delays, increased costs associated with repairs or redesigns of systems and products, loss of sales and customers and damage to Kodak’s reputaton, any of which could have a material adverse efect on our business, fnancial conditon and results of operatons.</w:t>
      </w:r>
    </w:p>
    <w:p>
      <w:pPr>
        <w:spacing w:after="0" w:line="190"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If Kodak fails to manage distributon of our products and services properly, our revenue, gross margins and earnings could be adversely impacted.</w:t>
      </w:r>
    </w:p>
    <w:p>
      <w:pPr>
        <w:spacing w:after="0" w:line="177" w:lineRule="exact"/>
        <w:rPr>
          <w:sz w:val="20"/>
          <w:szCs w:val="20"/>
          <w:color w:val="auto"/>
        </w:rPr>
      </w:pPr>
    </w:p>
    <w:p>
      <w:pPr>
        <w:jc w:val="both"/>
        <w:ind w:right="100"/>
        <w:spacing w:after="0" w:line="235" w:lineRule="auto"/>
        <w:rPr>
          <w:sz w:val="20"/>
          <w:szCs w:val="20"/>
          <w:color w:val="auto"/>
        </w:rPr>
      </w:pPr>
      <w:r>
        <w:rPr>
          <w:rFonts w:ascii="Calibri" w:cs="Calibri" w:eastAsia="Calibri" w:hAnsi="Calibri"/>
          <w:sz w:val="18"/>
          <w:szCs w:val="18"/>
          <w:color w:val="auto"/>
        </w:rPr>
        <w:t>Kodak uses a variety of distributon methods to sell and deliver our products and services, including direct sales, third-party resellers, channel partners and distributors. Successfully managing the interacton of direct and indirect channels across customer segments for our products and services is complex. Since each distributon method has distnct risks and fnancial implicatons, Kodak’s failure to achieve the most advantageous delivery model for our products and services could adversely afect our revenue and earnings.</w:t>
      </w:r>
    </w:p>
    <w:p>
      <w:pPr>
        <w:spacing w:after="0" w:line="179" w:lineRule="exact"/>
        <w:rPr>
          <w:sz w:val="20"/>
          <w:szCs w:val="20"/>
          <w:color w:val="auto"/>
        </w:rPr>
      </w:pPr>
    </w:p>
    <w:p>
      <w:pPr>
        <w:jc w:val="both"/>
        <w:ind w:right="100"/>
        <w:spacing w:after="0" w:line="235" w:lineRule="auto"/>
        <w:rPr>
          <w:sz w:val="20"/>
          <w:szCs w:val="20"/>
          <w:color w:val="auto"/>
        </w:rPr>
      </w:pPr>
      <w:r>
        <w:rPr>
          <w:rFonts w:ascii="Calibri" w:cs="Calibri" w:eastAsia="Calibri" w:hAnsi="Calibri"/>
          <w:sz w:val="18"/>
          <w:szCs w:val="18"/>
          <w:b w:val="1"/>
          <w:bCs w:val="1"/>
          <w:i w:val="1"/>
          <w:iCs w:val="1"/>
          <w:color w:val="auto"/>
        </w:rPr>
        <w:t>If Kodak cannot protect the intellectual property rights on which our business depends, or if third partes assert that we violate their intellectual property rights, our revenue, earnings, expenses and liquidity may be adversely impacted.</w:t>
      </w:r>
    </w:p>
    <w:p>
      <w:pPr>
        <w:spacing w:after="0" w:line="191"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A key diferentator for Kodak in many of our businesses is our technological advantage over compettors’ products and solutons. Our technological advantage is supported by Kodak’s intellectual property rights. Patent, copyright, trademark and trade secret laws in the United States and similar laws in other countries, and non-disclosure, confdentality and other types of agreements with Kodak’s employees, customers, suppliers and other partes, may not be efectve in establishing, maintaining, protectng and enforcing Kodak’s intellectual property rights.</w:t>
      </w:r>
    </w:p>
    <w:p>
      <w:pPr>
        <w:spacing w:after="0" w:line="179"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Any of Kodak’s direct or indirect intellectual property rights could be challenged, invalidated, circumvented, infringed, diluted, disclosed or misappropriated, or such intellectual property rights may not be sufcient to permit us to take advantage of current market trends or otherwise to provide compettve advantages, which could result in costly product redesign eforts, discontnuance of certain product oferings or other compettve harm. Further, the laws of certain countries do not protect proprietary rights to the same degree as the laws of the United States.</w:t>
      </w:r>
    </w:p>
    <w:p>
      <w:pPr>
        <w:spacing w:after="0" w:line="179" w:lineRule="exact"/>
        <w:rPr>
          <w:sz w:val="20"/>
          <w:szCs w:val="20"/>
          <w:color w:val="auto"/>
        </w:rPr>
      </w:pPr>
    </w:p>
    <w:p>
      <w:pPr>
        <w:ind w:right="100"/>
        <w:spacing w:after="0" w:line="235" w:lineRule="auto"/>
        <w:rPr>
          <w:sz w:val="20"/>
          <w:szCs w:val="20"/>
          <w:color w:val="auto"/>
        </w:rPr>
      </w:pPr>
      <w:r>
        <w:rPr>
          <w:rFonts w:ascii="Calibri" w:cs="Calibri" w:eastAsia="Calibri" w:hAnsi="Calibri"/>
          <w:sz w:val="18"/>
          <w:szCs w:val="18"/>
          <w:color w:val="auto"/>
        </w:rPr>
        <w:t>Therefore, in certain jurisdictons, Kodak may be unable to protect our proprietary technology adequately against unauthorized third-party copying, infringement or use, which could adversely afect our compettve positon. Also, some of Kodak’s businesses and some of our products rely on key technologies developed or licensed by third partes and, because of the rapid pace of technological change in the informaton technology ("IT") industry, we may not be able to obtain or contnue to obtain licenses and technologies from relevant third partes on reasonable terms, or at all.</w:t>
      </w:r>
    </w:p>
    <w:p>
      <w:pPr>
        <w:spacing w:after="0" w:line="192" w:lineRule="exact"/>
        <w:rPr>
          <w:sz w:val="20"/>
          <w:szCs w:val="20"/>
          <w:color w:val="auto"/>
        </w:rPr>
      </w:pPr>
    </w:p>
    <w:p>
      <w:pPr>
        <w:jc w:val="both"/>
        <w:ind w:right="120"/>
        <w:spacing w:after="0" w:line="235" w:lineRule="auto"/>
        <w:rPr>
          <w:sz w:val="20"/>
          <w:szCs w:val="20"/>
          <w:color w:val="auto"/>
        </w:rPr>
      </w:pPr>
      <w:r>
        <w:rPr>
          <w:rFonts w:ascii="Calibri" w:cs="Calibri" w:eastAsia="Calibri" w:hAnsi="Calibri"/>
          <w:sz w:val="18"/>
          <w:szCs w:val="18"/>
          <w:color w:val="auto"/>
        </w:rPr>
        <w:t>Kodak also licenses third partes to use our trademarks. In an efort to preserve our trademark rights, Kodak enters into license agreements with these third partes which govern the use of our trademarks and requires our licensees to abide by quality control standards with respect to the goods and services they provide under the trademarks. Although Kodak makes eforts to police the use of our trademarks by our licensees, there can be no assurance these eforts will be sufcient to ensure the licensees abide by the</w:t>
      </w:r>
    </w:p>
    <w:p>
      <w:pPr>
        <w:spacing w:after="0" w:line="17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14" w:name="page15"/>
    <w:bookmarkEnd w:id="14"/>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color w:val="auto"/>
        </w:rPr>
        <w:t>terms of their licenses. In the event Kodak’s licensees fail to do so, our trademark rights could be diluted and our reputaton harmed by our licensees’ actvites. Also, failure by Kodak and our licensees to sufciently exploit any of Kodak’s trademarks in any markets could erode Kodak’s trademark rights with respect to the relevant trademarks. Because the laws and enforcement regimes of certain countries do not protect proprietary rights to the same degree as those in the United States, in certain jurisdictons Kodak may be unable to adequately prevent such unauthorized uses, which could result in impairment of our trademark rights.</w:t>
      </w:r>
    </w:p>
    <w:p>
      <w:pPr>
        <w:spacing w:after="0" w:line="180" w:lineRule="exact"/>
        <w:rPr>
          <w:sz w:val="20"/>
          <w:szCs w:val="20"/>
          <w:color w:val="auto"/>
        </w:rPr>
      </w:pPr>
    </w:p>
    <w:p>
      <w:pPr>
        <w:jc w:val="both"/>
        <w:ind w:right="160"/>
        <w:spacing w:after="0" w:line="249" w:lineRule="auto"/>
        <w:rPr>
          <w:sz w:val="20"/>
          <w:szCs w:val="20"/>
          <w:color w:val="auto"/>
        </w:rPr>
      </w:pPr>
      <w:r>
        <w:rPr>
          <w:rFonts w:ascii="Calibri" w:cs="Calibri" w:eastAsia="Calibri" w:hAnsi="Calibri"/>
          <w:sz w:val="17"/>
          <w:szCs w:val="17"/>
          <w:color w:val="auto"/>
        </w:rPr>
        <w:t>Kodak has made substantal investments in new, proprietary technologies and has fled patent applicatons and obtained patents to protect our intellectual property rights in these technologies as well as the interests of our licensees. There can be no assurance Kodak’s patent applicatons will be approved, any patents issued will be of sufcient scope or strength to provide us with meaningful protecton, or such patents will not be challenged by third partes.</w:t>
      </w:r>
    </w:p>
    <w:p>
      <w:pPr>
        <w:spacing w:after="0" w:line="2" w:lineRule="exact"/>
        <w:rPr>
          <w:sz w:val="20"/>
          <w:szCs w:val="20"/>
          <w:color w:val="auto"/>
        </w:rPr>
      </w:pPr>
    </w:p>
    <w:p>
      <w:pPr>
        <w:ind w:right="160"/>
        <w:spacing w:after="0" w:line="235" w:lineRule="auto"/>
        <w:rPr>
          <w:sz w:val="20"/>
          <w:szCs w:val="20"/>
          <w:color w:val="auto"/>
        </w:rPr>
      </w:pPr>
      <w:r>
        <w:rPr>
          <w:rFonts w:ascii="Calibri" w:cs="Calibri" w:eastAsia="Calibri" w:hAnsi="Calibri"/>
          <w:sz w:val="18"/>
          <w:szCs w:val="18"/>
          <w:color w:val="auto"/>
        </w:rPr>
        <w:t>Furthermore, Kodak may fail to accurately predict all of the countries where patent protecton will ultmately be desirable, and if we fail to tmely fle a patent applicaton in any such country, we may be precluded from doing so at a later date. The patents issuing may vary in scope of coverage depending on the country in which such patents issue.</w:t>
      </w:r>
    </w:p>
    <w:p>
      <w:pPr>
        <w:spacing w:after="0" w:line="178"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In additon, the intellectual property rights of others could inhibit Kodak’s ability to conduct our business. Other companies may hold patents on technologies used in Kodak’s industries and some of these companies may be aggressively seeking to expand, enforce or license their patent portolios. Third partes may claim Kodak and our customers, licensees or other partes indemnifed by us are infringing upon their intellectual property rights.</w:t>
      </w:r>
    </w:p>
    <w:p>
      <w:pPr>
        <w:spacing w:after="0" w:line="192" w:lineRule="exact"/>
        <w:rPr>
          <w:sz w:val="20"/>
          <w:szCs w:val="20"/>
          <w:color w:val="auto"/>
        </w:rPr>
      </w:pPr>
    </w:p>
    <w:p>
      <w:pPr>
        <w:ind w:right="420"/>
        <w:spacing w:after="0" w:line="235" w:lineRule="auto"/>
        <w:rPr>
          <w:sz w:val="20"/>
          <w:szCs w:val="20"/>
          <w:color w:val="auto"/>
        </w:rPr>
      </w:pPr>
      <w:r>
        <w:rPr>
          <w:rFonts w:ascii="Calibri" w:cs="Calibri" w:eastAsia="Calibri" w:hAnsi="Calibri"/>
          <w:sz w:val="18"/>
          <w:szCs w:val="18"/>
          <w:color w:val="auto"/>
        </w:rPr>
        <w:t>Such claims may be made by compettors seeking to block or limit Kodak’s access to certain markets. Additonally, certain individuals and groups have purchased intellectual property assets for the sole purpose of making claims of infringement and atemptng to extract setlements from companies like Kodak. Even if we believe the claims are without merit, these claims may have the following negatve impacts on our business:</w:t>
      </w:r>
    </w:p>
    <w:p>
      <w:pPr>
        <w:spacing w:after="0" w:line="187" w:lineRule="exact"/>
        <w:rPr>
          <w:sz w:val="20"/>
          <w:szCs w:val="20"/>
          <w:color w:val="auto"/>
        </w:rPr>
      </w:pPr>
    </w:p>
    <w:p>
      <w:pPr>
        <w:ind w:left="1020" w:hanging="263"/>
        <w:spacing w:after="0"/>
        <w:tabs>
          <w:tab w:leader="none" w:pos="1020" w:val="left"/>
        </w:tabs>
        <w:numPr>
          <w:ilvl w:val="0"/>
          <w:numId w:val="15"/>
        </w:numPr>
        <w:rPr>
          <w:rFonts w:ascii="Times New Roman" w:cs="Times New Roman" w:eastAsia="Times New Roman" w:hAnsi="Times New Roman"/>
          <w:sz w:val="18"/>
          <w:szCs w:val="18"/>
          <w:color w:val="auto"/>
        </w:rPr>
      </w:pPr>
      <w:r>
        <w:rPr>
          <w:rFonts w:ascii="Calibri" w:cs="Calibri" w:eastAsia="Calibri" w:hAnsi="Calibri"/>
          <w:sz w:val="18"/>
          <w:szCs w:val="18"/>
          <w:color w:val="auto"/>
        </w:rPr>
        <w:t>claims can be tme consuming and costly to defend and may distract management’s atenton and resources;</w:t>
      </w:r>
    </w:p>
    <w:p>
      <w:pPr>
        <w:spacing w:after="0" w:line="190" w:lineRule="exact"/>
        <w:rPr>
          <w:rFonts w:ascii="Times New Roman" w:cs="Times New Roman" w:eastAsia="Times New Roman" w:hAnsi="Times New Roman"/>
          <w:sz w:val="18"/>
          <w:szCs w:val="18"/>
          <w:color w:val="auto"/>
        </w:rPr>
      </w:pPr>
    </w:p>
    <w:p>
      <w:pPr>
        <w:ind w:left="1020" w:hanging="263"/>
        <w:spacing w:after="0" w:line="235" w:lineRule="auto"/>
        <w:tabs>
          <w:tab w:leader="none" w:pos="1020" w:val="left"/>
        </w:tabs>
        <w:numPr>
          <w:ilvl w:val="0"/>
          <w:numId w:val="15"/>
        </w:numPr>
        <w:rPr>
          <w:rFonts w:ascii="Times New Roman" w:cs="Times New Roman" w:eastAsia="Times New Roman" w:hAnsi="Times New Roman"/>
          <w:sz w:val="18"/>
          <w:szCs w:val="18"/>
          <w:color w:val="auto"/>
        </w:rPr>
      </w:pPr>
      <w:r>
        <w:rPr>
          <w:rFonts w:ascii="Calibri" w:cs="Calibri" w:eastAsia="Calibri" w:hAnsi="Calibri"/>
          <w:sz w:val="18"/>
          <w:szCs w:val="18"/>
          <w:color w:val="auto"/>
        </w:rPr>
        <w:t>claims of intellectual property infringement may require us to redesign afected products, enter into costly setlement or license agreements or pay costly damage awards, or face a temporary or permanent injuncton prohibitng us from marketng or selling certain of our products;</w:t>
      </w:r>
    </w:p>
    <w:p>
      <w:pPr>
        <w:spacing w:after="0" w:line="204" w:lineRule="exact"/>
        <w:rPr>
          <w:rFonts w:ascii="Times New Roman" w:cs="Times New Roman" w:eastAsia="Times New Roman" w:hAnsi="Times New Roman"/>
          <w:sz w:val="18"/>
          <w:szCs w:val="18"/>
          <w:color w:val="auto"/>
        </w:rPr>
      </w:pPr>
    </w:p>
    <w:p>
      <w:pPr>
        <w:ind w:left="1020" w:right="420" w:hanging="263"/>
        <w:spacing w:after="0" w:line="235" w:lineRule="auto"/>
        <w:tabs>
          <w:tab w:leader="none" w:pos="1020" w:val="left"/>
        </w:tabs>
        <w:numPr>
          <w:ilvl w:val="0"/>
          <w:numId w:val="15"/>
        </w:numPr>
        <w:rPr>
          <w:rFonts w:ascii="Times New Roman" w:cs="Times New Roman" w:eastAsia="Times New Roman" w:hAnsi="Times New Roman"/>
          <w:sz w:val="18"/>
          <w:szCs w:val="18"/>
          <w:color w:val="auto"/>
        </w:rPr>
      </w:pPr>
      <w:r>
        <w:rPr>
          <w:rFonts w:ascii="Calibri" w:cs="Calibri" w:eastAsia="Calibri" w:hAnsi="Calibri"/>
          <w:sz w:val="18"/>
          <w:szCs w:val="18"/>
          <w:color w:val="auto"/>
        </w:rPr>
        <w:t>even if we have an agreement with a third party to indemnify us against such costs, the indemnifying party may be unable to uphold such party’s contractual obligatons; and</w:t>
      </w:r>
    </w:p>
    <w:p>
      <w:pPr>
        <w:spacing w:after="0" w:line="190" w:lineRule="exact"/>
        <w:rPr>
          <w:rFonts w:ascii="Times New Roman" w:cs="Times New Roman" w:eastAsia="Times New Roman" w:hAnsi="Times New Roman"/>
          <w:sz w:val="18"/>
          <w:szCs w:val="18"/>
          <w:color w:val="auto"/>
        </w:rPr>
      </w:pPr>
    </w:p>
    <w:p>
      <w:pPr>
        <w:ind w:left="1020" w:right="40" w:hanging="263"/>
        <w:spacing w:after="0" w:line="235" w:lineRule="auto"/>
        <w:tabs>
          <w:tab w:leader="none" w:pos="1020" w:val="left"/>
        </w:tabs>
        <w:numPr>
          <w:ilvl w:val="0"/>
          <w:numId w:val="15"/>
        </w:numPr>
        <w:rPr>
          <w:rFonts w:ascii="Times New Roman" w:cs="Times New Roman" w:eastAsia="Times New Roman" w:hAnsi="Times New Roman"/>
          <w:sz w:val="18"/>
          <w:szCs w:val="18"/>
          <w:color w:val="auto"/>
        </w:rPr>
      </w:pPr>
      <w:r>
        <w:rPr>
          <w:rFonts w:ascii="Calibri" w:cs="Calibri" w:eastAsia="Calibri" w:hAnsi="Calibri"/>
          <w:sz w:val="18"/>
          <w:szCs w:val="18"/>
          <w:color w:val="auto"/>
        </w:rPr>
        <w:t>if we cannot or do not license the infringed technology at all, license the technology on reasonable terms or substtute similar technology from another source, Kodak’s revenue and earnings could be adversely impacted.</w:t>
      </w:r>
    </w:p>
    <w:p>
      <w:pPr>
        <w:spacing w:after="0" w:line="177"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Finally, Kodak uses open-source sofware in connecton with some of our products and services. Companies which incorporate open-source sofware into their products have, from tme to tme, faced claims challenging the ownership of open-source sofware and/or compliance with open-source license terms. As a result, Kodak could be subject to suits by partes claiming ownership of what we believe to be open-source sofware or noncompliance with open-source licensing terms. Some open-source sofware licenses require users who distribute open-source sofware as part of their sofware to publicly disclose all or part of the source code to such sofware and/or make available any derivatve works of the open-source code on unfavorable terms or at no cost. Any requirement to disclose Kodak’s source code or pay damages for breach of contract could be harmful to our business results of operatons and fnancial conditon.</w:t>
      </w:r>
    </w:p>
    <w:p>
      <w:pPr>
        <w:spacing w:after="0" w:line="195" w:lineRule="exact"/>
        <w:rPr>
          <w:sz w:val="20"/>
          <w:szCs w:val="20"/>
          <w:color w:val="auto"/>
        </w:rPr>
      </w:pPr>
    </w:p>
    <w:p>
      <w:pPr>
        <w:jc w:val="both"/>
        <w:ind w:right="220"/>
        <w:spacing w:after="0" w:line="235" w:lineRule="auto"/>
        <w:rPr>
          <w:sz w:val="20"/>
          <w:szCs w:val="20"/>
          <w:color w:val="auto"/>
        </w:rPr>
      </w:pPr>
      <w:r>
        <w:rPr>
          <w:rFonts w:ascii="Calibri" w:cs="Calibri" w:eastAsia="Calibri" w:hAnsi="Calibri"/>
          <w:sz w:val="18"/>
          <w:szCs w:val="18"/>
          <w:b w:val="1"/>
          <w:bCs w:val="1"/>
          <w:i w:val="1"/>
          <w:iCs w:val="1"/>
          <w:color w:val="auto"/>
        </w:rPr>
        <w:t>Cyber-atacks or other data security incidents that disrupt Kodak</w:t>
      </w:r>
      <w:r>
        <w:rPr>
          <w:rFonts w:ascii="Calibri" w:cs="Calibri" w:eastAsia="Calibri" w:hAnsi="Calibri"/>
          <w:sz w:val="18"/>
          <w:szCs w:val="18"/>
          <w:color w:val="auto"/>
        </w:rPr>
        <w:t>’</w:t>
      </w:r>
      <w:r>
        <w:rPr>
          <w:rFonts w:ascii="Calibri" w:cs="Calibri" w:eastAsia="Calibri" w:hAnsi="Calibri"/>
          <w:sz w:val="18"/>
          <w:szCs w:val="18"/>
          <w:b w:val="1"/>
          <w:bCs w:val="1"/>
          <w:i w:val="1"/>
          <w:iCs w:val="1"/>
          <w:color w:val="auto"/>
        </w:rPr>
        <w:t>s operatons or result in the breach or other compromise of proprietary of confdental informaton about our workforce, our customers, or other third partes could disrupt our business, harm our reputaton, cause us to lose customers, and expose us to costly regulatory enforcement and litgaton, any of which could lead to material adverse efects on Kodak</w:t>
      </w:r>
      <w:r>
        <w:rPr>
          <w:rFonts w:ascii="Calibri" w:cs="Calibri" w:eastAsia="Calibri" w:hAnsi="Calibri"/>
          <w:sz w:val="18"/>
          <w:szCs w:val="18"/>
          <w:color w:val="auto"/>
        </w:rPr>
        <w:t>’</w:t>
      </w:r>
      <w:r>
        <w:rPr>
          <w:rFonts w:ascii="Calibri" w:cs="Calibri" w:eastAsia="Calibri" w:hAnsi="Calibri"/>
          <w:sz w:val="18"/>
          <w:szCs w:val="18"/>
          <w:b w:val="1"/>
          <w:bCs w:val="1"/>
          <w:i w:val="1"/>
          <w:iCs w:val="1"/>
          <w:color w:val="auto"/>
        </w:rPr>
        <w:t>s results of operatons, business and fnancial conditon.</w:t>
      </w:r>
    </w:p>
    <w:p>
      <w:pPr>
        <w:spacing w:after="0" w:line="179"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color w:val="auto"/>
        </w:rPr>
        <w:t>To efectvely manage our global business, Kodak depends on secure and reliable IT systems with accurate data. These systems and their underlying infrastructure are provided by a combinaton of Kodak and third partes, and if unavailable or unreliable, could disrupt Kodak’s operatons, causing delays or cancellaton of customer orders, impeding the manufacturing or delivery of products, delaying the reportng of fnancial results, or impactng other business processes critcal to running our business.</w:t>
      </w:r>
    </w:p>
    <w:p>
      <w:pPr>
        <w:spacing w:after="0" w:line="174"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5" w:name="page16"/>
    <w:bookmarkEnd w:id="15"/>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140"/>
        <w:spacing w:after="0" w:line="235" w:lineRule="auto"/>
        <w:rPr>
          <w:sz w:val="20"/>
          <w:szCs w:val="20"/>
          <w:color w:val="auto"/>
        </w:rPr>
      </w:pPr>
      <w:r>
        <w:rPr>
          <w:rFonts w:ascii="Calibri" w:cs="Calibri" w:eastAsia="Calibri" w:hAnsi="Calibri"/>
          <w:sz w:val="18"/>
          <w:szCs w:val="18"/>
          <w:color w:val="auto"/>
        </w:rPr>
        <w:t>Atacks on IT systems contnue to grow in frequency, complexity and sophistcaton, and Kodak is regularly targeted by unauthorized partes using malicious tactcs, code and viruses. The techniques used to obtain unauthorized access, disable or degrade service, or sabotage systems change frequently, are increasingly more complex and sophistcated and may be difcult to detect for long periods of tme. Therefore, the system controls and security measures Kodak and other third partes use to prevent, detect and respond to data or cyber security incidents may not be sufcient to antcipate and identfy these techniques or implement adequate or tmely preventve or responsive measures.</w:t>
      </w:r>
    </w:p>
    <w:p>
      <w:pPr>
        <w:spacing w:after="0" w:line="180"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Kodak’s IT systems contain critcal informaton about our business, including intellectual property and confdental informaton of our customers, business partners, and employees. Cyber-atacks, breaches or defects in our systems or those of third partes could result in unauthorized access to and misuse of our informaton, corrupton of data, or disrupton of operatons, any of which could have a material adverse impact on Kodak’s business and reputaton. The speed to closure of signifcant cyber security incidents may be infuenced by the cooperaton of governmental or law enforcement agencies, which is outside of our control.</w:t>
      </w:r>
    </w:p>
    <w:p>
      <w:pPr>
        <w:spacing w:after="0" w:line="180" w:lineRule="exact"/>
        <w:rPr>
          <w:sz w:val="20"/>
          <w:szCs w:val="20"/>
          <w:color w:val="auto"/>
        </w:rPr>
      </w:pPr>
    </w:p>
    <w:p>
      <w:pPr>
        <w:ind w:right="100"/>
        <w:spacing w:after="0" w:line="235" w:lineRule="auto"/>
        <w:rPr>
          <w:sz w:val="20"/>
          <w:szCs w:val="20"/>
          <w:color w:val="auto"/>
        </w:rPr>
      </w:pPr>
      <w:r>
        <w:rPr>
          <w:rFonts w:ascii="Calibri" w:cs="Calibri" w:eastAsia="Calibri" w:hAnsi="Calibri"/>
          <w:sz w:val="18"/>
          <w:szCs w:val="18"/>
          <w:color w:val="auto"/>
        </w:rPr>
        <w:t>Kodak also provides IT-based products and services to our customers and operates services used by our customers and hosted by Kodak. A breach of our security or reliability measures, or those of our third-party service providers, could negatvely impact our customers’ operatons or data privacy, which could expose Kodak to liability and reputatonal harm.</w:t>
      </w:r>
    </w:p>
    <w:p>
      <w:pPr>
        <w:spacing w:after="0" w:line="192" w:lineRule="exact"/>
        <w:rPr>
          <w:sz w:val="20"/>
          <w:szCs w:val="20"/>
          <w:color w:val="auto"/>
        </w:rPr>
      </w:pPr>
    </w:p>
    <w:p>
      <w:pPr>
        <w:jc w:val="both"/>
        <w:ind w:right="240"/>
        <w:spacing w:after="0" w:line="235" w:lineRule="auto"/>
        <w:rPr>
          <w:sz w:val="20"/>
          <w:szCs w:val="20"/>
          <w:color w:val="auto"/>
        </w:rPr>
      </w:pPr>
      <w:r>
        <w:rPr>
          <w:rFonts w:ascii="Calibri" w:cs="Calibri" w:eastAsia="Calibri" w:hAnsi="Calibri"/>
          <w:sz w:val="18"/>
          <w:szCs w:val="18"/>
          <w:color w:val="auto"/>
        </w:rPr>
        <w:t>We may be required to incur signifcant costs to protect against damage caused by cyber-atacks or data security incidents in the future. Such events may expose us to unexpected liability, litgaton, regulatory investgaton and penaltes, loss of customers’ business, unfavorable impact to business reputaton, any of which could lead to a material adverse efect on our business, fnancial conditon and results of operatons.</w:t>
      </w:r>
    </w:p>
    <w:p>
      <w:pPr>
        <w:spacing w:after="0" w:line="178" w:lineRule="exact"/>
        <w:rPr>
          <w:sz w:val="20"/>
          <w:szCs w:val="20"/>
          <w:color w:val="auto"/>
        </w:rPr>
      </w:pPr>
    </w:p>
    <w:p>
      <w:pPr>
        <w:ind w:right="480"/>
        <w:spacing w:after="0" w:line="235" w:lineRule="auto"/>
        <w:rPr>
          <w:sz w:val="20"/>
          <w:szCs w:val="20"/>
          <w:color w:val="auto"/>
        </w:rPr>
      </w:pPr>
      <w:r>
        <w:rPr>
          <w:rFonts w:ascii="Calibri" w:cs="Calibri" w:eastAsia="Calibri" w:hAnsi="Calibri"/>
          <w:sz w:val="18"/>
          <w:szCs w:val="18"/>
          <w:b w:val="1"/>
          <w:bCs w:val="1"/>
          <w:i w:val="1"/>
          <w:iCs w:val="1"/>
          <w:color w:val="auto"/>
        </w:rPr>
        <w:t>Failure to successfully manage the development and improvement of IT systems could diminish or delay any antcipated efciencies and operatonal improvements, and our operatons and business could be disrupted.</w:t>
      </w:r>
    </w:p>
    <w:p>
      <w:pPr>
        <w:spacing w:after="0" w:line="177" w:lineRule="exact"/>
        <w:rPr>
          <w:sz w:val="20"/>
          <w:szCs w:val="20"/>
          <w:color w:val="auto"/>
        </w:rPr>
      </w:pPr>
    </w:p>
    <w:p>
      <w:pPr>
        <w:spacing w:after="0" w:line="241" w:lineRule="auto"/>
        <w:rPr>
          <w:sz w:val="20"/>
          <w:szCs w:val="20"/>
          <w:color w:val="auto"/>
        </w:rPr>
      </w:pPr>
      <w:r>
        <w:rPr>
          <w:rFonts w:ascii="Calibri" w:cs="Calibri" w:eastAsia="Calibri" w:hAnsi="Calibri"/>
          <w:sz w:val="18"/>
          <w:szCs w:val="18"/>
          <w:color w:val="auto"/>
        </w:rPr>
        <w:t xml:space="preserve">Kodak is implementng improvements to IT systems to more efectvely manage our global business and implement our strategic plans. If Kodak is unable to successfully manage the development, improvement and transiton of IT systems </w:t>
      </w:r>
      <w:r>
        <w:rPr>
          <w:rFonts w:ascii="Arial" w:cs="Arial" w:eastAsia="Arial" w:hAnsi="Arial"/>
          <w:sz w:val="16"/>
          <w:szCs w:val="16"/>
          <w:color w:val="auto"/>
        </w:rPr>
        <w:t>and unable to effectively design or execute controls over the development,</w:t>
      </w:r>
      <w:r>
        <w:rPr>
          <w:rFonts w:ascii="Calibri" w:cs="Calibri" w:eastAsia="Calibri" w:hAnsi="Calibri"/>
          <w:sz w:val="18"/>
          <w:szCs w:val="18"/>
          <w:color w:val="auto"/>
        </w:rPr>
        <w:t xml:space="preserve"> </w:t>
      </w:r>
      <w:r>
        <w:rPr>
          <w:rFonts w:ascii="Arial" w:cs="Arial" w:eastAsia="Arial" w:hAnsi="Arial"/>
          <w:sz w:val="16"/>
          <w:szCs w:val="16"/>
          <w:color w:val="auto"/>
        </w:rPr>
        <w:t>improvement and transition of IT systems</w:t>
      </w:r>
      <w:r>
        <w:rPr>
          <w:rFonts w:ascii="Calibri" w:cs="Calibri" w:eastAsia="Calibri" w:hAnsi="Calibri"/>
          <w:sz w:val="17"/>
          <w:szCs w:val="17"/>
          <w:color w:val="auto"/>
        </w:rPr>
        <w:t>, antcipated efciencies and operatonal improvements may be delayed or diminished, and we may experience cost</w:t>
      </w:r>
      <w:r>
        <w:rPr>
          <w:rFonts w:ascii="Arial" w:cs="Arial" w:eastAsia="Arial" w:hAnsi="Arial"/>
          <w:sz w:val="16"/>
          <w:szCs w:val="16"/>
          <w:color w:val="auto"/>
        </w:rPr>
        <w:t xml:space="preserve"> </w:t>
      </w:r>
      <w:r>
        <w:rPr>
          <w:rFonts w:ascii="Calibri" w:cs="Calibri" w:eastAsia="Calibri" w:hAnsi="Calibri"/>
          <w:sz w:val="17"/>
          <w:szCs w:val="17"/>
          <w:color w:val="auto"/>
        </w:rPr>
        <w:t>overruns, disrupton in our operatons, or other business or reputatonal harm, any of which could have a material adverse efect on Kodak’s results of operatons, business and fnancial conditon.</w:t>
      </w:r>
    </w:p>
    <w:p>
      <w:pPr>
        <w:spacing w:after="0" w:line="190"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b w:val="1"/>
          <w:bCs w:val="1"/>
          <w:i w:val="1"/>
          <w:iCs w:val="1"/>
          <w:color w:val="auto"/>
        </w:rPr>
        <w:t>Emerging issues related to the development and use of artfcial intelligence ("AI") could give rise to legal or regulatory acton, damage our reputaton, or otherwise materially harm our business.</w:t>
      </w:r>
    </w:p>
    <w:p>
      <w:pPr>
        <w:spacing w:after="0" w:line="177" w:lineRule="exact"/>
        <w:rPr>
          <w:sz w:val="20"/>
          <w:szCs w:val="20"/>
          <w:color w:val="auto"/>
        </w:rPr>
      </w:pPr>
    </w:p>
    <w:p>
      <w:pPr>
        <w:ind w:right="140"/>
        <w:spacing w:after="0" w:line="235" w:lineRule="auto"/>
        <w:rPr>
          <w:sz w:val="20"/>
          <w:szCs w:val="20"/>
          <w:color w:val="auto"/>
        </w:rPr>
      </w:pPr>
      <w:r>
        <w:rPr>
          <w:rFonts w:ascii="Calibri" w:cs="Calibri" w:eastAsia="Calibri" w:hAnsi="Calibri"/>
          <w:sz w:val="18"/>
          <w:szCs w:val="18"/>
          <w:color w:val="auto"/>
        </w:rPr>
        <w:t>Our development and use of AI technology in our products and operatons remains in the early phases. While we aim to develop and use AI responsibly and atempt to mitgate ethical and legal issues presented by its use, we may ultmately be unsuccessful in identfying or resolving issues before they arise. AI technologies are complex and rapidly evolving, and the technologies that we develop or use may ultmately be fawed and may not provide the benefts sought to be achieved by the implementaton of AI. Moreover, AI technology is subject to rapidly evolving domestc and internatonal laws and regulatons, which could impose signifcant costs and obligatons on us. This includes actual and pending orders and laws by the U.S. federal government, the European Union and other jurisdictons in which we operate. Emerging regulatons may also pertain to data privacy, data protecton, and the ethical use of AI, as well as clarifying intellectual property consideratons. Our use of AI could give rise to legal or regulatory acton or increased scrutny or liability, and may damage our reputaton or otherwise materially harm our business.</w:t>
      </w:r>
    </w:p>
    <w:p>
      <w:pPr>
        <w:spacing w:after="0" w:line="223" w:lineRule="exact"/>
        <w:rPr>
          <w:sz w:val="20"/>
          <w:szCs w:val="20"/>
          <w:color w:val="auto"/>
        </w:rPr>
      </w:pPr>
    </w:p>
    <w:p>
      <w:pPr>
        <w:ind w:right="440"/>
        <w:spacing w:after="0" w:line="235" w:lineRule="auto"/>
        <w:rPr>
          <w:sz w:val="20"/>
          <w:szCs w:val="20"/>
          <w:color w:val="auto"/>
        </w:rPr>
      </w:pPr>
      <w:r>
        <w:rPr>
          <w:rFonts w:ascii="Calibri" w:cs="Calibri" w:eastAsia="Calibri" w:hAnsi="Calibri"/>
          <w:sz w:val="18"/>
          <w:szCs w:val="18"/>
          <w:b w:val="1"/>
          <w:bCs w:val="1"/>
          <w:i w:val="1"/>
          <w:iCs w:val="1"/>
          <w:color w:val="auto"/>
        </w:rPr>
        <w:t>Kodak</w:t>
      </w:r>
      <w:r>
        <w:rPr>
          <w:rFonts w:ascii="Calibri" w:cs="Calibri" w:eastAsia="Calibri" w:hAnsi="Calibri"/>
          <w:sz w:val="18"/>
          <w:szCs w:val="18"/>
          <w:color w:val="auto"/>
        </w:rPr>
        <w:t>’</w:t>
      </w:r>
      <w:r>
        <w:rPr>
          <w:rFonts w:ascii="Calibri" w:cs="Calibri" w:eastAsia="Calibri" w:hAnsi="Calibri"/>
          <w:sz w:val="18"/>
          <w:szCs w:val="18"/>
          <w:b w:val="1"/>
          <w:bCs w:val="1"/>
          <w:i w:val="1"/>
          <w:iCs w:val="1"/>
          <w:color w:val="auto"/>
        </w:rPr>
        <w:t>s inability to efectvely complete and manage strategic transactons could adversely impact our business performance, including our fnancial results.</w:t>
      </w:r>
    </w:p>
    <w:p>
      <w:pPr>
        <w:spacing w:after="0" w:line="177"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color w:val="auto"/>
        </w:rPr>
        <w:t>From tme to tme, Kodak may be engaged in discussions with third partes regarding possible investments, acquisitons, strategic alliances, joint ventures, divesttures, asset sales, spin-ofs and outsourcing transactons and may enter into agreements relatng to such transactons in order to further our business objectves.</w:t>
      </w:r>
    </w:p>
    <w:p>
      <w:pPr>
        <w:spacing w:after="0" w:line="192" w:lineRule="exact"/>
        <w:rPr>
          <w:sz w:val="20"/>
          <w:szCs w:val="20"/>
          <w:color w:val="auto"/>
        </w:rPr>
      </w:pPr>
    </w:p>
    <w:p>
      <w:pPr>
        <w:jc w:val="both"/>
        <w:ind w:right="80"/>
        <w:spacing w:after="0" w:line="235" w:lineRule="auto"/>
        <w:rPr>
          <w:sz w:val="20"/>
          <w:szCs w:val="20"/>
          <w:color w:val="auto"/>
        </w:rPr>
      </w:pPr>
      <w:r>
        <w:rPr>
          <w:rFonts w:ascii="Calibri" w:cs="Calibri" w:eastAsia="Calibri" w:hAnsi="Calibri"/>
          <w:sz w:val="18"/>
          <w:szCs w:val="18"/>
          <w:color w:val="auto"/>
        </w:rPr>
        <w:t>In order to successfully pursue strategic transactons, Kodak must identfy suitable sellers, buyers and partners and successfully complete transactons, some of which may be large and complex, and manage post-closing issues such as the eliminaton of any remaining post-sale costs related to divested businesses. Transacton risk can be more pronounced for larger and more complicated transactons or when multple transactons are pursued simultaneously. Strategic transactons may involve the following risks and challenges that could negatvely impact our results of operatons and cash fows:</w:t>
      </w:r>
    </w:p>
    <w:p>
      <w:pPr>
        <w:spacing w:after="0" w:line="188" w:lineRule="exact"/>
        <w:rPr>
          <w:sz w:val="20"/>
          <w:szCs w:val="20"/>
          <w:color w:val="auto"/>
        </w:rPr>
      </w:pPr>
    </w:p>
    <w:p>
      <w:pPr>
        <w:ind w:left="1020" w:hanging="263"/>
        <w:spacing w:after="0"/>
        <w:tabs>
          <w:tab w:leader="none" w:pos="1020" w:val="left"/>
        </w:tabs>
        <w:numPr>
          <w:ilvl w:val="0"/>
          <w:numId w:val="16"/>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need to obtain required regulatory and other approvals;</w:t>
      </w:r>
    </w:p>
    <w:p>
      <w:pPr>
        <w:spacing w:after="0" w:line="172"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6" w:name="page17"/>
    <w:bookmarkEnd w:id="16"/>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020" w:hanging="263"/>
        <w:spacing w:after="0"/>
        <w:tabs>
          <w:tab w:leader="none" w:pos="1020" w:val="left"/>
        </w:tabs>
        <w:numPr>
          <w:ilvl w:val="0"/>
          <w:numId w:val="17"/>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need to integrate acquired or combined operatons with our business;</w:t>
      </w:r>
    </w:p>
    <w:p>
      <w:pPr>
        <w:spacing w:after="0" w:line="185"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17"/>
        </w:numPr>
        <w:rPr>
          <w:rFonts w:ascii="Times New Roman" w:cs="Times New Roman" w:eastAsia="Times New Roman" w:hAnsi="Times New Roman"/>
          <w:sz w:val="18"/>
          <w:szCs w:val="18"/>
          <w:color w:val="auto"/>
        </w:rPr>
      </w:pPr>
      <w:r>
        <w:rPr>
          <w:rFonts w:ascii="Calibri" w:cs="Calibri" w:eastAsia="Calibri" w:hAnsi="Calibri"/>
          <w:sz w:val="18"/>
          <w:szCs w:val="18"/>
          <w:color w:val="auto"/>
        </w:rPr>
        <w:t>potental loss of key employees;</w:t>
      </w:r>
    </w:p>
    <w:p>
      <w:pPr>
        <w:spacing w:after="0" w:line="185"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17"/>
        </w:numPr>
        <w:rPr>
          <w:rFonts w:ascii="Times New Roman" w:cs="Times New Roman" w:eastAsia="Times New Roman" w:hAnsi="Times New Roman"/>
          <w:sz w:val="18"/>
          <w:szCs w:val="18"/>
          <w:color w:val="auto"/>
        </w:rPr>
      </w:pPr>
      <w:r>
        <w:rPr>
          <w:rFonts w:ascii="Calibri" w:cs="Calibri" w:eastAsia="Calibri" w:hAnsi="Calibri"/>
          <w:sz w:val="18"/>
          <w:szCs w:val="18"/>
          <w:color w:val="auto"/>
        </w:rPr>
        <w:t>difculty in evaluatng operatng costs, infrastructure requirements, environmental and other liabilites, and other factors beyond our control;</w:t>
      </w:r>
    </w:p>
    <w:p>
      <w:pPr>
        <w:spacing w:after="0" w:line="198"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17"/>
        </w:numPr>
        <w:rPr>
          <w:rFonts w:ascii="Times New Roman" w:cs="Times New Roman" w:eastAsia="Times New Roman" w:hAnsi="Times New Roman"/>
          <w:sz w:val="18"/>
          <w:szCs w:val="18"/>
          <w:color w:val="auto"/>
        </w:rPr>
      </w:pPr>
      <w:r>
        <w:rPr>
          <w:rFonts w:ascii="Calibri" w:cs="Calibri" w:eastAsia="Calibri" w:hAnsi="Calibri"/>
          <w:sz w:val="18"/>
          <w:szCs w:val="18"/>
          <w:color w:val="auto"/>
        </w:rPr>
        <w:t>wrong, inaccurate, or changing business assumptons on which such acquisitons or combinatons are predicated;</w:t>
      </w:r>
    </w:p>
    <w:p>
      <w:pPr>
        <w:spacing w:after="0" w:line="185"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17"/>
        </w:numPr>
        <w:rPr>
          <w:rFonts w:ascii="Times New Roman" w:cs="Times New Roman" w:eastAsia="Times New Roman" w:hAnsi="Times New Roman"/>
          <w:sz w:val="18"/>
          <w:szCs w:val="18"/>
          <w:color w:val="auto"/>
        </w:rPr>
      </w:pPr>
      <w:r>
        <w:rPr>
          <w:rFonts w:ascii="Calibri" w:cs="Calibri" w:eastAsia="Calibri" w:hAnsi="Calibri"/>
          <w:sz w:val="18"/>
          <w:szCs w:val="18"/>
          <w:color w:val="auto"/>
        </w:rPr>
        <w:t>potental lack of operatng experience in new business or geographic areas;</w:t>
      </w:r>
    </w:p>
    <w:p>
      <w:pPr>
        <w:spacing w:after="0" w:line="185"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17"/>
        </w:numPr>
        <w:rPr>
          <w:rFonts w:ascii="Times New Roman" w:cs="Times New Roman" w:eastAsia="Times New Roman" w:hAnsi="Times New Roman"/>
          <w:sz w:val="18"/>
          <w:szCs w:val="18"/>
          <w:color w:val="auto"/>
        </w:rPr>
      </w:pPr>
      <w:r>
        <w:rPr>
          <w:rFonts w:ascii="Calibri" w:cs="Calibri" w:eastAsia="Calibri" w:hAnsi="Calibri"/>
          <w:sz w:val="18"/>
          <w:szCs w:val="18"/>
          <w:color w:val="auto"/>
        </w:rPr>
        <w:t>an increase in our expenses and working capital requirements;</w:t>
      </w:r>
    </w:p>
    <w:p>
      <w:pPr>
        <w:spacing w:after="0" w:line="198"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17"/>
        </w:numPr>
        <w:rPr>
          <w:rFonts w:ascii="Times New Roman" w:cs="Times New Roman" w:eastAsia="Times New Roman" w:hAnsi="Times New Roman"/>
          <w:sz w:val="18"/>
          <w:szCs w:val="18"/>
          <w:color w:val="auto"/>
        </w:rPr>
      </w:pPr>
      <w:r>
        <w:rPr>
          <w:rFonts w:ascii="Calibri" w:cs="Calibri" w:eastAsia="Calibri" w:hAnsi="Calibri"/>
          <w:sz w:val="18"/>
          <w:szCs w:val="18"/>
          <w:color w:val="auto"/>
        </w:rPr>
        <w:t>competton for strategic transactons, which may increase transacton costs and the ability to identfy opportunites;</w:t>
      </w:r>
    </w:p>
    <w:p>
      <w:pPr>
        <w:spacing w:after="0" w:line="185"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17"/>
        </w:numPr>
        <w:rPr>
          <w:rFonts w:ascii="Times New Roman" w:cs="Times New Roman" w:eastAsia="Times New Roman" w:hAnsi="Times New Roman"/>
          <w:sz w:val="18"/>
          <w:szCs w:val="18"/>
          <w:color w:val="auto"/>
        </w:rPr>
      </w:pPr>
      <w:r>
        <w:rPr>
          <w:rFonts w:ascii="Calibri" w:cs="Calibri" w:eastAsia="Calibri" w:hAnsi="Calibri"/>
          <w:sz w:val="18"/>
          <w:szCs w:val="18"/>
          <w:color w:val="auto"/>
        </w:rPr>
        <w:t>management’s atenton may be temporarily diverted; and</w:t>
      </w:r>
    </w:p>
    <w:p>
      <w:pPr>
        <w:spacing w:after="0" w:line="190" w:lineRule="exact"/>
        <w:rPr>
          <w:rFonts w:ascii="Times New Roman" w:cs="Times New Roman" w:eastAsia="Times New Roman" w:hAnsi="Times New Roman"/>
          <w:sz w:val="18"/>
          <w:szCs w:val="18"/>
          <w:color w:val="auto"/>
        </w:rPr>
      </w:pPr>
    </w:p>
    <w:p>
      <w:pPr>
        <w:ind w:left="1020" w:hanging="263"/>
        <w:spacing w:after="0" w:line="235" w:lineRule="auto"/>
        <w:tabs>
          <w:tab w:leader="none" w:pos="1020" w:val="left"/>
        </w:tabs>
        <w:numPr>
          <w:ilvl w:val="0"/>
          <w:numId w:val="17"/>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possibility we may be required to issue a substantal amount of additonal equity or debt securites or assume additonal debt in connecton with any such transactons.</w:t>
      </w:r>
    </w:p>
    <w:p>
      <w:pPr>
        <w:spacing w:after="0" w:line="191"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color w:val="auto"/>
        </w:rPr>
        <w:t>There are no assurances Kodak will be able to consummate any strategic transactons which we undertake or, if consummated, Kodak will achieve the antcipated levels of cash fows or realize synergies or other antcipated benefts from a strategic transacton. If Kodak fails to identfy and successfully complete transactons that further our strategic objectves, we may be required to expend resources to develop products and technology internally, we may be at a compettve disadvantage or we may be adversely afected by negatve market perceptons. Any of these factors could have an adverse efect on Kodak’s revenue, gross margins and proftability.</w:t>
      </w:r>
    </w:p>
    <w:p>
      <w:pPr>
        <w:spacing w:after="0" w:line="17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If the reputaton of Kodak or its brand erodes signifcantly, it could have a material impact on our fnancial results.</w:t>
      </w:r>
    </w:p>
    <w:p>
      <w:pPr>
        <w:spacing w:after="0" w:line="177"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Kodak’s products and brand have worldwide recogniton. Kodak’s reputaton, and the reputaton of our brand, form the foundaton of our relatonships with key stakeholders and other consttuencies, including customers, suppliers, distributors, channel partners, consumers and investors. Any harm to the reputaton of Kodak or our brand could have a material adverse impact on our results of operatons, business and fnancial conditon. The value of Kodak’s brand is refected, in part, in our Brand segment, which licenses the Kodak brand for use by third partes in a wide range of products. Consumers and the public may view the products and actvites of brand licensees as the products and actvites of Kodak. The measures Kodak undertakes to research and manage licensee relatonships and assess the quality of their products may not be sufcient to protect against legal proceedings and reputatonal harm in the event that licensed products and services do not meet consumer expectatons for quality and safety. Other factors that could dilute or damage the reputaton of Kodak and our brand include the failure of products and services to meet customer expectatons, litgaton and government investgatons, negatve or inaccurate comments in the media, including social media, and failure to meet and manage customer and industry expectatons regarding the impact of our business on maters of social responsibility and environmental sustainability.</w:t>
      </w:r>
    </w:p>
    <w:p>
      <w:pPr>
        <w:spacing w:after="0" w:line="197" w:lineRule="exact"/>
        <w:rPr>
          <w:sz w:val="20"/>
          <w:szCs w:val="20"/>
          <w:color w:val="auto"/>
        </w:rPr>
      </w:pPr>
    </w:p>
    <w:p>
      <w:pPr>
        <w:spacing w:after="0"/>
        <w:rPr>
          <w:sz w:val="20"/>
          <w:szCs w:val="20"/>
          <w:color w:val="auto"/>
        </w:rPr>
      </w:pPr>
      <w:r>
        <w:rPr>
          <w:rFonts w:ascii="Calibri" w:cs="Calibri" w:eastAsia="Calibri" w:hAnsi="Calibri"/>
          <w:sz w:val="17"/>
          <w:szCs w:val="17"/>
          <w:b w:val="1"/>
          <w:bCs w:val="1"/>
          <w:i w:val="1"/>
          <w:iCs w:val="1"/>
          <w:color w:val="auto"/>
        </w:rPr>
        <w:t>Increased competton, including price competton, could have a material adverse impact on Kodak</w:t>
      </w:r>
      <w:r>
        <w:rPr>
          <w:rFonts w:ascii="Calibri" w:cs="Calibri" w:eastAsia="Calibri" w:hAnsi="Calibri"/>
          <w:sz w:val="17"/>
          <w:szCs w:val="17"/>
          <w:color w:val="auto"/>
        </w:rPr>
        <w:t>’</w:t>
      </w:r>
      <w:r>
        <w:rPr>
          <w:rFonts w:ascii="Calibri" w:cs="Calibri" w:eastAsia="Calibri" w:hAnsi="Calibri"/>
          <w:sz w:val="17"/>
          <w:szCs w:val="17"/>
          <w:b w:val="1"/>
          <w:bCs w:val="1"/>
          <w:i w:val="1"/>
          <w:iCs w:val="1"/>
          <w:color w:val="auto"/>
        </w:rPr>
        <w:t>s revenue, gross margins, cash fow and market share.</w:t>
      </w:r>
    </w:p>
    <w:p>
      <w:pPr>
        <w:spacing w:after="0" w:line="184" w:lineRule="exact"/>
        <w:rPr>
          <w:sz w:val="20"/>
          <w:szCs w:val="20"/>
          <w:color w:val="auto"/>
        </w:rPr>
      </w:pPr>
    </w:p>
    <w:p>
      <w:pPr>
        <w:jc w:val="both"/>
        <w:ind w:right="200"/>
        <w:spacing w:after="0" w:line="235" w:lineRule="auto"/>
        <w:rPr>
          <w:sz w:val="20"/>
          <w:szCs w:val="20"/>
          <w:color w:val="auto"/>
        </w:rPr>
      </w:pPr>
      <w:r>
        <w:rPr>
          <w:rFonts w:ascii="Calibri" w:cs="Calibri" w:eastAsia="Calibri" w:hAnsi="Calibri"/>
          <w:sz w:val="18"/>
          <w:szCs w:val="18"/>
          <w:color w:val="auto"/>
        </w:rPr>
        <w:t>The markets in which Kodak does business are highly compettve with large, entrenched, and well fnanced industry partcipants, many of which are larger than Kodak. In additon, we encounter aggressive price competton for many of our products and services from numerous companies globally. Any of our compettors may:</w:t>
      </w:r>
    </w:p>
    <w:p>
      <w:pPr>
        <w:spacing w:after="0" w:line="187" w:lineRule="exact"/>
        <w:rPr>
          <w:sz w:val="20"/>
          <w:szCs w:val="20"/>
          <w:color w:val="auto"/>
        </w:rPr>
      </w:pPr>
    </w:p>
    <w:p>
      <w:pPr>
        <w:ind w:left="1020" w:hanging="263"/>
        <w:spacing w:after="0"/>
        <w:tabs>
          <w:tab w:leader="none" w:pos="1020" w:val="left"/>
        </w:tabs>
        <w:numPr>
          <w:ilvl w:val="0"/>
          <w:numId w:val="18"/>
        </w:numPr>
        <w:rPr>
          <w:rFonts w:ascii="Times New Roman" w:cs="Times New Roman" w:eastAsia="Times New Roman" w:hAnsi="Times New Roman"/>
          <w:sz w:val="18"/>
          <w:szCs w:val="18"/>
          <w:color w:val="auto"/>
        </w:rPr>
      </w:pPr>
      <w:r>
        <w:rPr>
          <w:rFonts w:ascii="Calibri" w:cs="Calibri" w:eastAsia="Calibri" w:hAnsi="Calibri"/>
          <w:sz w:val="18"/>
          <w:szCs w:val="18"/>
          <w:color w:val="auto"/>
        </w:rPr>
        <w:t>foresee the course of market developments more accurately than Kodak does;</w:t>
      </w:r>
    </w:p>
    <w:p>
      <w:pPr>
        <w:spacing w:after="0" w:line="198"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18"/>
        </w:numPr>
        <w:rPr>
          <w:rFonts w:ascii="Times New Roman" w:cs="Times New Roman" w:eastAsia="Times New Roman" w:hAnsi="Times New Roman"/>
          <w:sz w:val="18"/>
          <w:szCs w:val="18"/>
          <w:color w:val="auto"/>
        </w:rPr>
      </w:pPr>
      <w:r>
        <w:rPr>
          <w:rFonts w:ascii="Calibri" w:cs="Calibri" w:eastAsia="Calibri" w:hAnsi="Calibri"/>
          <w:sz w:val="18"/>
          <w:szCs w:val="18"/>
          <w:color w:val="auto"/>
        </w:rPr>
        <w:t>sell superior products and provide superior services or ofer a broader variety of products and services;</w:t>
      </w:r>
    </w:p>
    <w:p>
      <w:pPr>
        <w:spacing w:after="0" w:line="185"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18"/>
        </w:numPr>
        <w:rPr>
          <w:rFonts w:ascii="Times New Roman" w:cs="Times New Roman" w:eastAsia="Times New Roman" w:hAnsi="Times New Roman"/>
          <w:sz w:val="18"/>
          <w:szCs w:val="18"/>
          <w:color w:val="auto"/>
        </w:rPr>
      </w:pPr>
      <w:r>
        <w:rPr>
          <w:rFonts w:ascii="Calibri" w:cs="Calibri" w:eastAsia="Calibri" w:hAnsi="Calibri"/>
          <w:sz w:val="18"/>
          <w:szCs w:val="18"/>
          <w:color w:val="auto"/>
        </w:rPr>
        <w:t>have the ability to produce or supply similar products and services at a lower cost;</w:t>
      </w:r>
    </w:p>
    <w:p>
      <w:pPr>
        <w:spacing w:after="0" w:line="185"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18"/>
        </w:numPr>
        <w:rPr>
          <w:rFonts w:ascii="Times New Roman" w:cs="Times New Roman" w:eastAsia="Times New Roman" w:hAnsi="Times New Roman"/>
          <w:sz w:val="18"/>
          <w:szCs w:val="18"/>
          <w:color w:val="auto"/>
        </w:rPr>
      </w:pPr>
      <w:r>
        <w:rPr>
          <w:rFonts w:ascii="Calibri" w:cs="Calibri" w:eastAsia="Calibri" w:hAnsi="Calibri"/>
          <w:sz w:val="18"/>
          <w:szCs w:val="18"/>
          <w:color w:val="auto"/>
        </w:rPr>
        <w:t>have beter access to materials and supplies and the ability to acquire materials and supplies at a lower cost;</w:t>
      </w:r>
    </w:p>
    <w:p>
      <w:pPr>
        <w:spacing w:after="0" w:line="198"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18"/>
        </w:numPr>
        <w:rPr>
          <w:rFonts w:ascii="Times New Roman" w:cs="Times New Roman" w:eastAsia="Times New Roman" w:hAnsi="Times New Roman"/>
          <w:sz w:val="18"/>
          <w:szCs w:val="18"/>
          <w:color w:val="auto"/>
        </w:rPr>
      </w:pPr>
      <w:r>
        <w:rPr>
          <w:rFonts w:ascii="Calibri" w:cs="Calibri" w:eastAsia="Calibri" w:hAnsi="Calibri"/>
          <w:sz w:val="18"/>
          <w:szCs w:val="18"/>
          <w:color w:val="auto"/>
        </w:rPr>
        <w:t>develop stronger relatonships with our suppliers or customers;</w:t>
      </w:r>
    </w:p>
    <w:p>
      <w:pPr>
        <w:spacing w:after="0" w:line="185"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18"/>
        </w:numPr>
        <w:rPr>
          <w:rFonts w:ascii="Times New Roman" w:cs="Times New Roman" w:eastAsia="Times New Roman" w:hAnsi="Times New Roman"/>
          <w:sz w:val="18"/>
          <w:szCs w:val="18"/>
          <w:color w:val="auto"/>
        </w:rPr>
      </w:pPr>
      <w:r>
        <w:rPr>
          <w:rFonts w:ascii="Calibri" w:cs="Calibri" w:eastAsia="Calibri" w:hAnsi="Calibri"/>
          <w:sz w:val="18"/>
          <w:szCs w:val="18"/>
          <w:color w:val="auto"/>
        </w:rPr>
        <w:t>adapt more quickly to new technologies or evolving customer requirements; or</w:t>
      </w:r>
    </w:p>
    <w:p>
      <w:pPr>
        <w:spacing w:after="0" w:line="172"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7" w:name="page18"/>
    <w:bookmarkEnd w:id="17"/>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020" w:hanging="263"/>
        <w:spacing w:after="0"/>
        <w:tabs>
          <w:tab w:leader="none" w:pos="1020" w:val="left"/>
        </w:tabs>
        <w:numPr>
          <w:ilvl w:val="0"/>
          <w:numId w:val="19"/>
        </w:numPr>
        <w:rPr>
          <w:rFonts w:ascii="Times New Roman" w:cs="Times New Roman" w:eastAsia="Times New Roman" w:hAnsi="Times New Roman"/>
          <w:sz w:val="18"/>
          <w:szCs w:val="18"/>
          <w:color w:val="auto"/>
        </w:rPr>
      </w:pPr>
      <w:r>
        <w:rPr>
          <w:rFonts w:ascii="Calibri" w:cs="Calibri" w:eastAsia="Calibri" w:hAnsi="Calibri"/>
          <w:sz w:val="18"/>
          <w:szCs w:val="18"/>
          <w:color w:val="auto"/>
        </w:rPr>
        <w:t>have access to capital markets or other fnancing sources on more favorable terms.</w:t>
      </w:r>
    </w:p>
    <w:p>
      <w:pPr>
        <w:spacing w:after="0" w:line="177" w:lineRule="exact"/>
        <w:rPr>
          <w:sz w:val="20"/>
          <w:szCs w:val="20"/>
          <w:color w:val="auto"/>
        </w:rPr>
      </w:pPr>
    </w:p>
    <w:p>
      <w:pPr>
        <w:ind w:right="100"/>
        <w:spacing w:after="0" w:line="235" w:lineRule="auto"/>
        <w:rPr>
          <w:sz w:val="20"/>
          <w:szCs w:val="20"/>
          <w:color w:val="auto"/>
        </w:rPr>
      </w:pPr>
      <w:r>
        <w:rPr>
          <w:rFonts w:ascii="Calibri" w:cs="Calibri" w:eastAsia="Calibri" w:hAnsi="Calibri"/>
          <w:sz w:val="18"/>
          <w:szCs w:val="18"/>
          <w:color w:val="auto"/>
        </w:rPr>
        <w:t>As a result, Kodak may not be able to compete successfully with our compettors. Finally, we may not be able to maintain our operatng costs or prices at levels which would allow us to compete efectvely. Kodak’s results of operatons and fnancial conditon may be adversely afected by these and other industry-wide pricing pressures. If our products, services and pricing are not sufciently compettve with current and future compettors, we could also lose market share, adversely afectng our revenue, gross margins and cash fow.</w:t>
      </w:r>
    </w:p>
    <w:p>
      <w:pPr>
        <w:spacing w:after="0" w:line="17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Business disruptons could seriously harm Kodak</w:t>
      </w:r>
      <w:r>
        <w:rPr>
          <w:rFonts w:ascii="Calibri" w:cs="Calibri" w:eastAsia="Calibri" w:hAnsi="Calibri"/>
          <w:sz w:val="18"/>
          <w:szCs w:val="18"/>
          <w:color w:val="auto"/>
        </w:rPr>
        <w:t>’</w:t>
      </w:r>
      <w:r>
        <w:rPr>
          <w:rFonts w:ascii="Calibri" w:cs="Calibri" w:eastAsia="Calibri" w:hAnsi="Calibri"/>
          <w:sz w:val="18"/>
          <w:szCs w:val="18"/>
          <w:b w:val="1"/>
          <w:bCs w:val="1"/>
          <w:i w:val="1"/>
          <w:iCs w:val="1"/>
          <w:color w:val="auto"/>
        </w:rPr>
        <w:t>s future revenue and fnancial conditon.</w:t>
      </w:r>
    </w:p>
    <w:p>
      <w:pPr>
        <w:spacing w:after="0" w:line="190"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Worldwide operatons could be subject to earthquakes, power shortages or outages, internet, systems and telecommunicatons failures, cyber-atacks, terrorism and other physical security threats, water shortages, tsunamis, foods, hurricanes, typhoons, fres, extreme weather conditons, failure of critcal infrastructure, medical epidemics, politcal or economic instability, including war and protests, and other natural or manmade disasters or business interruptons, for which Kodak is predominantly self-insured. The occurrence of any of these business disruptons could cause disruptons to Kodak’s operatons or the operatons of our suppliers, distributors and resellers, or customers and have a material adverse efect on Kodak’s results of operatons and fnancial conditon.</w:t>
      </w:r>
    </w:p>
    <w:p>
      <w:pPr>
        <w:spacing w:after="0" w:line="181" w:lineRule="exact"/>
        <w:rPr>
          <w:sz w:val="20"/>
          <w:szCs w:val="20"/>
          <w:color w:val="auto"/>
        </w:rPr>
      </w:pPr>
    </w:p>
    <w:p>
      <w:pPr>
        <w:ind w:right="180"/>
        <w:spacing w:after="0" w:line="258" w:lineRule="auto"/>
        <w:rPr>
          <w:sz w:val="20"/>
          <w:szCs w:val="20"/>
          <w:color w:val="auto"/>
        </w:rPr>
      </w:pPr>
      <w:r>
        <w:rPr>
          <w:rFonts w:ascii="Calibri" w:cs="Calibri" w:eastAsia="Calibri" w:hAnsi="Calibri"/>
          <w:sz w:val="17"/>
          <w:szCs w:val="17"/>
          <w:color w:val="auto"/>
        </w:rPr>
        <w:t>Certain of Kodak’s critcal business functons, including our manufacturing and feld service operatons, cannot be performed remotely, and an inability of Kodak’s employees to physically work at our or our customers’ locatons due to disruptons in service could harm Kodak’s operatons, perhaps signifcantly.</w:t>
      </w:r>
    </w:p>
    <w:p>
      <w:pPr>
        <w:spacing w:after="0" w:line="161"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The impact of these risks is greater in areas where products are manufactured at a sole or limited number of locaton(s), and where the sourcing of materials is limited to a sole or limited base of suppliers, since any material interrupton in operatons in such locatons or suppliers could impact Kodak’s ability to provide a partcular product or service for a period of tme.</w:t>
      </w:r>
    </w:p>
    <w:p>
      <w:pPr>
        <w:spacing w:after="0" w:line="192"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If our systems are disrupted or fail for any reason, both Kodak and our customers could experience data loss, fnancial loss, harm to reputaton, or signifcant business interrupton. Any delays or failures caused by network outages, sofware or hardware failures, or other data processing disruptons, could result in our inability to provide services in a tmely fashion or at all. We may be required to incur signifcant costs to protect against damage caused by disruptons or security breaches in the future. Such events may expose us to unexpected liability, litgaton, regulatory investgaton and penaltes, loss of customers’ business, and unfavorable impact to business reputaton, as a result of which there could be a material adverse efect on our business and results of operatons.</w:t>
      </w:r>
    </w:p>
    <w:p>
      <w:pPr>
        <w:spacing w:after="0" w:line="181"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b w:val="1"/>
          <w:bCs w:val="1"/>
          <w:i w:val="1"/>
          <w:iCs w:val="1"/>
          <w:color w:val="auto"/>
        </w:rPr>
        <w:t>Kodak relies on third-party suppliers and service providers to support our manufacturing, logistcs, and business operatons and faces the risks associated with reliance on external business partners.</w:t>
      </w:r>
    </w:p>
    <w:p>
      <w:pPr>
        <w:spacing w:after="0" w:line="177" w:lineRule="exact"/>
        <w:rPr>
          <w:sz w:val="20"/>
          <w:szCs w:val="20"/>
          <w:color w:val="auto"/>
        </w:rPr>
      </w:pPr>
    </w:p>
    <w:p>
      <w:pPr>
        <w:ind w:right="140"/>
        <w:spacing w:after="0" w:line="235" w:lineRule="auto"/>
        <w:rPr>
          <w:sz w:val="20"/>
          <w:szCs w:val="20"/>
          <w:color w:val="auto"/>
        </w:rPr>
      </w:pPr>
      <w:r>
        <w:rPr>
          <w:rFonts w:ascii="Calibri" w:cs="Calibri" w:eastAsia="Calibri" w:hAnsi="Calibri"/>
          <w:sz w:val="18"/>
          <w:szCs w:val="18"/>
          <w:color w:val="auto"/>
        </w:rPr>
        <w:t>Kodak relies on third-party suppliers for goods and services, many of which are unique, to support our manufacturing, logistcs, and business operatons. To the extent we rely on third partes, we face the risks that those third partes may not be able to:</w:t>
      </w:r>
    </w:p>
    <w:p>
      <w:pPr>
        <w:spacing w:after="0" w:line="199" w:lineRule="exact"/>
        <w:rPr>
          <w:sz w:val="20"/>
          <w:szCs w:val="20"/>
          <w:color w:val="auto"/>
        </w:rPr>
      </w:pPr>
    </w:p>
    <w:p>
      <w:pPr>
        <w:ind w:left="1020" w:hanging="263"/>
        <w:spacing w:after="0"/>
        <w:tabs>
          <w:tab w:leader="none" w:pos="1020" w:val="left"/>
        </w:tabs>
        <w:numPr>
          <w:ilvl w:val="0"/>
          <w:numId w:val="20"/>
        </w:numPr>
        <w:rPr>
          <w:rFonts w:ascii="Times New Roman" w:cs="Times New Roman" w:eastAsia="Times New Roman" w:hAnsi="Times New Roman"/>
          <w:sz w:val="18"/>
          <w:szCs w:val="18"/>
          <w:color w:val="auto"/>
        </w:rPr>
      </w:pPr>
      <w:r>
        <w:rPr>
          <w:rFonts w:ascii="Calibri" w:cs="Calibri" w:eastAsia="Calibri" w:hAnsi="Calibri"/>
          <w:sz w:val="18"/>
          <w:szCs w:val="18"/>
          <w:color w:val="auto"/>
        </w:rPr>
        <w:t>Obtain supplies and materials necessary to deliver goods or services to Kodak;</w:t>
      </w:r>
    </w:p>
    <w:p>
      <w:pPr>
        <w:spacing w:after="0" w:line="185"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20"/>
        </w:numPr>
        <w:rPr>
          <w:rFonts w:ascii="Times New Roman" w:cs="Times New Roman" w:eastAsia="Times New Roman" w:hAnsi="Times New Roman"/>
          <w:sz w:val="18"/>
          <w:szCs w:val="18"/>
          <w:color w:val="auto"/>
        </w:rPr>
      </w:pPr>
      <w:r>
        <w:rPr>
          <w:rFonts w:ascii="Calibri" w:cs="Calibri" w:eastAsia="Calibri" w:hAnsi="Calibri"/>
          <w:sz w:val="18"/>
          <w:szCs w:val="18"/>
          <w:color w:val="auto"/>
        </w:rPr>
        <w:t>Mitgate the impact of labor shortages and/or other disruptons;</w:t>
      </w:r>
    </w:p>
    <w:p>
      <w:pPr>
        <w:spacing w:after="0" w:line="185"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20"/>
        </w:numPr>
        <w:rPr>
          <w:rFonts w:ascii="Times New Roman" w:cs="Times New Roman" w:eastAsia="Times New Roman" w:hAnsi="Times New Roman"/>
          <w:sz w:val="18"/>
          <w:szCs w:val="18"/>
          <w:color w:val="auto"/>
        </w:rPr>
      </w:pPr>
      <w:r>
        <w:rPr>
          <w:rFonts w:ascii="Calibri" w:cs="Calibri" w:eastAsia="Calibri" w:hAnsi="Calibri"/>
          <w:sz w:val="18"/>
          <w:szCs w:val="18"/>
          <w:color w:val="auto"/>
        </w:rPr>
        <w:t>Develop manufacturing methods appropriate to Kodak’s products;</w:t>
      </w:r>
    </w:p>
    <w:p>
      <w:pPr>
        <w:spacing w:after="0" w:line="198"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20"/>
        </w:numPr>
        <w:rPr>
          <w:rFonts w:ascii="Times New Roman" w:cs="Times New Roman" w:eastAsia="Times New Roman" w:hAnsi="Times New Roman"/>
          <w:sz w:val="18"/>
          <w:szCs w:val="18"/>
          <w:color w:val="auto"/>
        </w:rPr>
      </w:pPr>
      <w:r>
        <w:rPr>
          <w:rFonts w:ascii="Calibri" w:cs="Calibri" w:eastAsia="Calibri" w:hAnsi="Calibri"/>
          <w:sz w:val="18"/>
          <w:szCs w:val="18"/>
          <w:color w:val="auto"/>
        </w:rPr>
        <w:t>Maintain an adequate control environment; and</w:t>
      </w:r>
    </w:p>
    <w:p>
      <w:pPr>
        <w:spacing w:after="0" w:line="185"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20"/>
        </w:numPr>
        <w:rPr>
          <w:rFonts w:ascii="Times New Roman" w:cs="Times New Roman" w:eastAsia="Times New Roman" w:hAnsi="Times New Roman"/>
          <w:sz w:val="18"/>
          <w:szCs w:val="18"/>
          <w:color w:val="auto"/>
        </w:rPr>
      </w:pPr>
      <w:r>
        <w:rPr>
          <w:rFonts w:ascii="Calibri" w:cs="Calibri" w:eastAsia="Calibri" w:hAnsi="Calibri"/>
          <w:sz w:val="18"/>
          <w:szCs w:val="18"/>
          <w:color w:val="auto"/>
        </w:rPr>
        <w:t>Quickly respond to changes in customer demand for Kodak’s products.</w:t>
      </w:r>
    </w:p>
    <w:p>
      <w:pPr>
        <w:spacing w:after="0" w:line="177"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Suppliers may choose to unilaterally withhold products, components or services. In additon, Kodak may experience shortages in supply and disruptons in service and supply as a result of unexpected demand, product obsolescence, transportaton and logistcal limitatons, and/or disruptons or producton difcultes at our suppliers, such as disruptons due to fres, medical epidemics, other natural disasters or events outside of a supplier’s control. In additon, disruptons could result from a reducton in the number of our suppliers due to their own fnancial difcultes or a reducton in the products ofered by such suppliers. As a result of the loss of any supplier, or a substantal decrease in the availability of products from our suppliers, Kodak may be unable to meet our customer commitments, our costs could be higher than planned, and our cash fows and the reliability of our products could be negatvely impacted. Kodak will vigorously enforce our contractual rights under such circumstances, but there is no guarantee we will be successful in preventng or mitgatng the efects of unilateral actons by our suppliers.</w:t>
      </w:r>
    </w:p>
    <w:p>
      <w:pPr>
        <w:spacing w:after="0" w:line="196" w:lineRule="exact"/>
        <w:rPr>
          <w:sz w:val="20"/>
          <w:szCs w:val="20"/>
          <w:color w:val="auto"/>
        </w:rPr>
      </w:pPr>
    </w:p>
    <w:p>
      <w:pPr>
        <w:jc w:val="both"/>
        <w:ind w:right="240"/>
        <w:spacing w:after="0" w:line="235" w:lineRule="auto"/>
        <w:rPr>
          <w:sz w:val="20"/>
          <w:szCs w:val="20"/>
          <w:color w:val="auto"/>
        </w:rPr>
      </w:pPr>
      <w:r>
        <w:rPr>
          <w:rFonts w:ascii="Calibri" w:cs="Calibri" w:eastAsia="Calibri" w:hAnsi="Calibri"/>
          <w:sz w:val="18"/>
          <w:szCs w:val="18"/>
          <w:color w:val="auto"/>
        </w:rPr>
        <w:t>Other supplier problems that Kodak could encounter include electronic component shortages, interrupton of IT services, risks related to the duraton and terminaton of our contracts with suppliers for components and materials, non-compettve pricing due to tarifs, and risks related to the ability to obtain products, components or services from single source suppliers on favorable terms</w:t>
      </w:r>
    </w:p>
    <w:p>
      <w:pPr>
        <w:spacing w:after="0" w:line="17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18" w:name="page19"/>
    <w:bookmarkEnd w:id="18"/>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160"/>
        <w:spacing w:after="0" w:line="235" w:lineRule="auto"/>
        <w:rPr>
          <w:sz w:val="20"/>
          <w:szCs w:val="20"/>
          <w:color w:val="auto"/>
        </w:rPr>
      </w:pPr>
      <w:r>
        <w:rPr>
          <w:rFonts w:ascii="Calibri" w:cs="Calibri" w:eastAsia="Calibri" w:hAnsi="Calibri"/>
          <w:sz w:val="18"/>
          <w:szCs w:val="18"/>
          <w:color w:val="auto"/>
        </w:rPr>
        <w:t>or at all. Hardware, applicatons and services, including cloud-based services, that we develop or procure from third-party suppliers may contain defects in design or other problems that could compromise the integrity and availability of our services. The realizaton of any of these risks, should alternatve third-party relatonships not be available or established, could cause interruptons in supply or increases in costs which might result in Kodak’s inability to meet customer demand for our products, damage to our relatonships with our customers, and reduced market share, all of which could adversely afect Kodak’s results of operatons and fnancial conditon.</w:t>
      </w:r>
    </w:p>
    <w:p>
      <w:pPr>
        <w:spacing w:after="0" w:line="180"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color w:val="auto"/>
        </w:rPr>
        <w:t>Any signifcant negatve change in the payment terms that Kodak has with our suppliers could adversely afect our liquidity. There is a risk that Kodak’s key suppliers could respond to any actual or apparent decrease in or any concern with our fnancial results or liquidity by requiring or conditoning their sale of goods or services to Kodak on more stringent or more costly payment terms, such as by requiring standby leters of credit, earlier or advance payment of invoices, payment upon delivery, or shorter payment terms. Kodak’s need for additonal liquidity could signifcantly increase and our supply could be materially disrupted if a signifcant porton of our key suppliers took one or more of the actons described above, which could have a material adverse efect on our sales, customer satsfacton, cash fows, liquidity and fnancial positon.</w:t>
      </w:r>
    </w:p>
    <w:p>
      <w:pPr>
        <w:spacing w:after="0" w:line="181"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b w:val="1"/>
          <w:bCs w:val="1"/>
          <w:i w:val="1"/>
          <w:iCs w:val="1"/>
          <w:color w:val="auto"/>
        </w:rPr>
        <w:t>Due to the nature of the products we sell and Kodak</w:t>
      </w:r>
      <w:r>
        <w:rPr>
          <w:rFonts w:ascii="Calibri" w:cs="Calibri" w:eastAsia="Calibri" w:hAnsi="Calibri"/>
          <w:sz w:val="18"/>
          <w:szCs w:val="18"/>
          <w:color w:val="auto"/>
        </w:rPr>
        <w:t>’</w:t>
      </w:r>
      <w:r>
        <w:rPr>
          <w:rFonts w:ascii="Calibri" w:cs="Calibri" w:eastAsia="Calibri" w:hAnsi="Calibri"/>
          <w:sz w:val="18"/>
          <w:szCs w:val="18"/>
          <w:b w:val="1"/>
          <w:bCs w:val="1"/>
          <w:i w:val="1"/>
          <w:iCs w:val="1"/>
          <w:color w:val="auto"/>
        </w:rPr>
        <w:t>s worldwide distributon, Kodak is exposed to fuctuatons in foreign currency exchange rates, interest rates and commodity costs which, together with the impacts of changes in trade policies, including tarifs or other trade restrictons or the threat of such actons, may adversely impact our results of operatons and fnancial positon.</w:t>
      </w:r>
    </w:p>
    <w:p>
      <w:pPr>
        <w:spacing w:after="0" w:line="192"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As a result of Kodak’s global operatng and fnancing actvites, we are exposed to changes in currency exchange rates and interest rates, which may adversely afect our results of operatons and fnancial positon.</w:t>
      </w:r>
    </w:p>
    <w:p>
      <w:pPr>
        <w:spacing w:after="0" w:line="177" w:lineRule="exact"/>
        <w:rPr>
          <w:sz w:val="20"/>
          <w:szCs w:val="20"/>
          <w:color w:val="auto"/>
        </w:rPr>
      </w:pPr>
    </w:p>
    <w:p>
      <w:pPr>
        <w:ind w:right="100"/>
        <w:spacing w:after="0" w:line="251" w:lineRule="auto"/>
        <w:rPr>
          <w:sz w:val="20"/>
          <w:szCs w:val="20"/>
          <w:color w:val="auto"/>
        </w:rPr>
      </w:pPr>
      <w:r>
        <w:rPr>
          <w:rFonts w:ascii="Calibri" w:cs="Calibri" w:eastAsia="Calibri" w:hAnsi="Calibri"/>
          <w:sz w:val="17"/>
          <w:szCs w:val="17"/>
          <w:color w:val="auto"/>
        </w:rPr>
        <w:t>Exchange rates and interest rates in markets in which we do business tend to be volatle and, at tmes, our sales and proftability can be negatvely impacted across all of our segments depending upon the value of the U.S. dollar and other major currencies such as the euro, the Japanese yen, the Britsh pound and the Chinese yuan. Tarifs or dutes may also be imposed on exported products produced by Kodak, making such products less compettve in jurisdictons imposing such tarifs or dutes. If the global economic situaton remains uncertain or worsens, there could be further volatlity in changes in currency exchange rates, interest rates and commodity prices, which could have negatve efects on Kodak’s business, fnancial conditon and results of operatons.</w:t>
      </w:r>
    </w:p>
    <w:p>
      <w:pPr>
        <w:spacing w:after="0" w:line="16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Kodak faces additonal costs and risks associated with our worldwide business operatons.</w:t>
      </w:r>
    </w:p>
    <w:p>
      <w:pPr>
        <w:spacing w:after="0" w:line="185" w:lineRule="exact"/>
        <w:rPr>
          <w:sz w:val="20"/>
          <w:szCs w:val="20"/>
          <w:color w:val="auto"/>
        </w:rPr>
      </w:pPr>
    </w:p>
    <w:p>
      <w:pPr>
        <w:spacing w:after="0"/>
        <w:rPr>
          <w:sz w:val="20"/>
          <w:szCs w:val="20"/>
          <w:color w:val="auto"/>
        </w:rPr>
      </w:pPr>
      <w:r>
        <w:rPr>
          <w:rFonts w:ascii="Calibri" w:cs="Calibri" w:eastAsia="Calibri" w:hAnsi="Calibri"/>
          <w:sz w:val="18"/>
          <w:szCs w:val="18"/>
          <w:color w:val="auto"/>
        </w:rPr>
        <w:t>Kodak’s business is subject to additonal costs and risks associated with doing business internatonally, such as:</w:t>
      </w:r>
    </w:p>
    <w:p>
      <w:pPr>
        <w:spacing w:after="0" w:line="185" w:lineRule="exact"/>
        <w:rPr>
          <w:sz w:val="20"/>
          <w:szCs w:val="20"/>
          <w:color w:val="auto"/>
        </w:rPr>
      </w:pPr>
    </w:p>
    <w:p>
      <w:pPr>
        <w:ind w:left="1020" w:hanging="263"/>
        <w:spacing w:after="0"/>
        <w:tabs>
          <w:tab w:leader="none" w:pos="1020" w:val="left"/>
        </w:tabs>
        <w:numPr>
          <w:ilvl w:val="0"/>
          <w:numId w:val="21"/>
        </w:numPr>
        <w:rPr>
          <w:rFonts w:ascii="Times New Roman" w:cs="Times New Roman" w:eastAsia="Times New Roman" w:hAnsi="Times New Roman"/>
          <w:sz w:val="18"/>
          <w:szCs w:val="18"/>
          <w:color w:val="auto"/>
        </w:rPr>
      </w:pPr>
      <w:r>
        <w:rPr>
          <w:rFonts w:ascii="Calibri" w:cs="Calibri" w:eastAsia="Calibri" w:hAnsi="Calibri"/>
          <w:sz w:val="18"/>
          <w:szCs w:val="18"/>
          <w:color w:val="auto"/>
        </w:rPr>
        <w:t>support of multple languages;</w:t>
      </w:r>
    </w:p>
    <w:p>
      <w:pPr>
        <w:spacing w:after="0" w:line="185"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21"/>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recruitment of sales and technical support personnel with the skills to design, manufacture, sell and supply products;</w:t>
      </w:r>
    </w:p>
    <w:p>
      <w:pPr>
        <w:spacing w:after="0" w:line="198"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21"/>
        </w:numPr>
        <w:rPr>
          <w:rFonts w:ascii="Times New Roman" w:cs="Times New Roman" w:eastAsia="Times New Roman" w:hAnsi="Times New Roman"/>
          <w:sz w:val="18"/>
          <w:szCs w:val="18"/>
          <w:color w:val="auto"/>
        </w:rPr>
      </w:pPr>
      <w:r>
        <w:rPr>
          <w:rFonts w:ascii="Calibri" w:cs="Calibri" w:eastAsia="Calibri" w:hAnsi="Calibri"/>
          <w:sz w:val="18"/>
          <w:szCs w:val="18"/>
          <w:color w:val="auto"/>
        </w:rPr>
        <w:t>compliance with governmental regulaton of imports and exports, including obtaining required import or export approval for our products;</w:t>
      </w:r>
    </w:p>
    <w:p>
      <w:pPr>
        <w:spacing w:after="0" w:line="185"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21"/>
        </w:numPr>
        <w:rPr>
          <w:rFonts w:ascii="Times New Roman" w:cs="Times New Roman" w:eastAsia="Times New Roman" w:hAnsi="Times New Roman"/>
          <w:sz w:val="18"/>
          <w:szCs w:val="18"/>
          <w:color w:val="auto"/>
        </w:rPr>
      </w:pPr>
      <w:r>
        <w:rPr>
          <w:rFonts w:ascii="Calibri" w:cs="Calibri" w:eastAsia="Calibri" w:hAnsi="Calibri"/>
          <w:sz w:val="18"/>
          <w:szCs w:val="18"/>
          <w:color w:val="auto"/>
        </w:rPr>
        <w:t>complexity of managing internatonal operatons;</w:t>
      </w:r>
    </w:p>
    <w:p>
      <w:pPr>
        <w:spacing w:after="0" w:line="185"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21"/>
        </w:numPr>
        <w:rPr>
          <w:rFonts w:ascii="Times New Roman" w:cs="Times New Roman" w:eastAsia="Times New Roman" w:hAnsi="Times New Roman"/>
          <w:sz w:val="18"/>
          <w:szCs w:val="18"/>
          <w:color w:val="auto"/>
        </w:rPr>
      </w:pPr>
      <w:r>
        <w:rPr>
          <w:rFonts w:ascii="Calibri" w:cs="Calibri" w:eastAsia="Calibri" w:hAnsi="Calibri"/>
          <w:sz w:val="18"/>
          <w:szCs w:val="18"/>
          <w:color w:val="auto"/>
        </w:rPr>
        <w:t>exposure to foreign currency exchange rate fuctuatons;</w:t>
      </w:r>
    </w:p>
    <w:p>
      <w:pPr>
        <w:spacing w:after="0" w:line="203" w:lineRule="exact"/>
        <w:rPr>
          <w:rFonts w:ascii="Times New Roman" w:cs="Times New Roman" w:eastAsia="Times New Roman" w:hAnsi="Times New Roman"/>
          <w:sz w:val="18"/>
          <w:szCs w:val="18"/>
          <w:color w:val="auto"/>
        </w:rPr>
      </w:pPr>
    </w:p>
    <w:p>
      <w:pPr>
        <w:ind w:left="1020" w:right="60" w:hanging="263"/>
        <w:spacing w:after="0" w:line="235" w:lineRule="auto"/>
        <w:tabs>
          <w:tab w:leader="none" w:pos="1020" w:val="left"/>
        </w:tabs>
        <w:numPr>
          <w:ilvl w:val="0"/>
          <w:numId w:val="21"/>
        </w:numPr>
        <w:rPr>
          <w:rFonts w:ascii="Times New Roman" w:cs="Times New Roman" w:eastAsia="Times New Roman" w:hAnsi="Times New Roman"/>
          <w:sz w:val="18"/>
          <w:szCs w:val="18"/>
          <w:color w:val="auto"/>
        </w:rPr>
      </w:pPr>
      <w:r>
        <w:rPr>
          <w:rFonts w:ascii="Calibri" w:cs="Calibri" w:eastAsia="Calibri" w:hAnsi="Calibri"/>
          <w:sz w:val="18"/>
          <w:szCs w:val="18"/>
          <w:color w:val="auto"/>
        </w:rPr>
        <w:t>commercial laws and business practces which may favor local competton and the impositon of tarifs on products or raw materials imported into or exported from the U.S.;</w:t>
      </w:r>
    </w:p>
    <w:p>
      <w:pPr>
        <w:spacing w:after="0" w:line="190" w:lineRule="exact"/>
        <w:rPr>
          <w:rFonts w:ascii="Times New Roman" w:cs="Times New Roman" w:eastAsia="Times New Roman" w:hAnsi="Times New Roman"/>
          <w:sz w:val="18"/>
          <w:szCs w:val="18"/>
          <w:color w:val="auto"/>
        </w:rPr>
      </w:pPr>
    </w:p>
    <w:p>
      <w:pPr>
        <w:ind w:left="1020" w:right="540" w:hanging="263"/>
        <w:spacing w:after="0" w:line="235" w:lineRule="auto"/>
        <w:tabs>
          <w:tab w:leader="none" w:pos="1020" w:val="left"/>
        </w:tabs>
        <w:numPr>
          <w:ilvl w:val="0"/>
          <w:numId w:val="21"/>
        </w:numPr>
        <w:rPr>
          <w:rFonts w:ascii="Times New Roman" w:cs="Times New Roman" w:eastAsia="Times New Roman" w:hAnsi="Times New Roman"/>
          <w:sz w:val="18"/>
          <w:szCs w:val="18"/>
          <w:color w:val="auto"/>
        </w:rPr>
      </w:pPr>
      <w:r>
        <w:rPr>
          <w:rFonts w:ascii="Calibri" w:cs="Calibri" w:eastAsia="Calibri" w:hAnsi="Calibri"/>
          <w:sz w:val="18"/>
          <w:szCs w:val="18"/>
          <w:color w:val="auto"/>
        </w:rPr>
        <w:t>multple, potentally confictng, and changing governmental laws, regulatons and practces, including difering export, import, tax, ant-corrupton, ant-dumping, economic sancton, labor, and employment laws;</w:t>
      </w:r>
    </w:p>
    <w:p>
      <w:pPr>
        <w:spacing w:after="0" w:line="185"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21"/>
        </w:numPr>
        <w:rPr>
          <w:rFonts w:ascii="Times New Roman" w:cs="Times New Roman" w:eastAsia="Times New Roman" w:hAnsi="Times New Roman"/>
          <w:sz w:val="18"/>
          <w:szCs w:val="18"/>
          <w:color w:val="auto"/>
        </w:rPr>
      </w:pPr>
      <w:r>
        <w:rPr>
          <w:rFonts w:ascii="Calibri" w:cs="Calibri" w:eastAsia="Calibri" w:hAnsi="Calibri"/>
          <w:sz w:val="18"/>
          <w:szCs w:val="18"/>
          <w:color w:val="auto"/>
        </w:rPr>
        <w:t>difcultes in collectng accounts receivable;</w:t>
      </w:r>
    </w:p>
    <w:p>
      <w:pPr>
        <w:spacing w:after="0" w:line="198"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21"/>
        </w:numPr>
        <w:rPr>
          <w:rFonts w:ascii="Times New Roman" w:cs="Times New Roman" w:eastAsia="Times New Roman" w:hAnsi="Times New Roman"/>
          <w:sz w:val="18"/>
          <w:szCs w:val="18"/>
          <w:color w:val="auto"/>
        </w:rPr>
      </w:pPr>
      <w:r>
        <w:rPr>
          <w:rFonts w:ascii="Calibri" w:cs="Calibri" w:eastAsia="Calibri" w:hAnsi="Calibri"/>
          <w:sz w:val="18"/>
          <w:szCs w:val="18"/>
          <w:color w:val="auto"/>
        </w:rPr>
        <w:t>limitatons or restrictons on the repatriaton of cash and the potental obligaton to move cash to locatons limitng or restrictng repatriaton;</w:t>
      </w:r>
    </w:p>
    <w:p>
      <w:pPr>
        <w:spacing w:after="0" w:line="185"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21"/>
        </w:numPr>
        <w:rPr>
          <w:rFonts w:ascii="Times New Roman" w:cs="Times New Roman" w:eastAsia="Times New Roman" w:hAnsi="Times New Roman"/>
          <w:sz w:val="18"/>
          <w:szCs w:val="18"/>
          <w:color w:val="auto"/>
        </w:rPr>
      </w:pPr>
      <w:r>
        <w:rPr>
          <w:rFonts w:ascii="Calibri" w:cs="Calibri" w:eastAsia="Calibri" w:hAnsi="Calibri"/>
          <w:sz w:val="18"/>
          <w:szCs w:val="18"/>
          <w:color w:val="auto"/>
        </w:rPr>
        <w:t>limitatons or reductons in protecton of intellectual property rights;</w:t>
      </w:r>
    </w:p>
    <w:p>
      <w:pPr>
        <w:spacing w:after="0" w:line="185"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21"/>
        </w:numPr>
        <w:rPr>
          <w:rFonts w:ascii="Times New Roman" w:cs="Times New Roman" w:eastAsia="Times New Roman" w:hAnsi="Times New Roman"/>
          <w:sz w:val="18"/>
          <w:szCs w:val="18"/>
          <w:color w:val="auto"/>
        </w:rPr>
      </w:pPr>
      <w:r>
        <w:rPr>
          <w:rFonts w:ascii="Calibri" w:cs="Calibri" w:eastAsia="Calibri" w:hAnsi="Calibri"/>
          <w:sz w:val="18"/>
          <w:szCs w:val="18"/>
          <w:color w:val="auto"/>
        </w:rPr>
        <w:t>complicatons in logistcs and distributon arrangements; and</w:t>
      </w:r>
    </w:p>
    <w:p>
      <w:pPr>
        <w:spacing w:after="0" w:line="198"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21"/>
        </w:numPr>
        <w:rPr>
          <w:rFonts w:ascii="Times New Roman" w:cs="Times New Roman" w:eastAsia="Times New Roman" w:hAnsi="Times New Roman"/>
          <w:sz w:val="18"/>
          <w:szCs w:val="18"/>
          <w:color w:val="auto"/>
        </w:rPr>
      </w:pPr>
      <w:r>
        <w:rPr>
          <w:rFonts w:ascii="Calibri" w:cs="Calibri" w:eastAsia="Calibri" w:hAnsi="Calibri"/>
          <w:sz w:val="18"/>
          <w:szCs w:val="18"/>
          <w:color w:val="auto"/>
        </w:rPr>
        <w:t>politcal or economic instability.</w:t>
      </w:r>
    </w:p>
    <w:p>
      <w:pPr>
        <w:spacing w:after="0" w:line="172"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9" w:name="page20"/>
    <w:bookmarkEnd w:id="19"/>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260"/>
        <w:spacing w:after="0" w:line="235" w:lineRule="auto"/>
        <w:rPr>
          <w:sz w:val="20"/>
          <w:szCs w:val="20"/>
          <w:color w:val="auto"/>
        </w:rPr>
      </w:pPr>
      <w:r>
        <w:rPr>
          <w:rFonts w:ascii="Calibri" w:cs="Calibri" w:eastAsia="Calibri" w:hAnsi="Calibri"/>
          <w:sz w:val="18"/>
          <w:szCs w:val="18"/>
          <w:color w:val="auto"/>
        </w:rPr>
        <w:t>As a global company, Kodak is subject to regulatory requirements and laws in the jurisdictons in which we operate, and any alleged non-compliance with these requirements or laws could result in an adverse fnancial or reputatonal impact.</w:t>
      </w:r>
    </w:p>
    <w:p>
      <w:pPr>
        <w:spacing w:after="0" w:line="177"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b w:val="1"/>
          <w:bCs w:val="1"/>
          <w:i w:val="1"/>
          <w:iCs w:val="1"/>
          <w:color w:val="auto"/>
        </w:rPr>
        <w:t>An inability to provide compettve fnancing arrangements to Kodak</w:t>
      </w:r>
      <w:r>
        <w:rPr>
          <w:rFonts w:ascii="Calibri" w:cs="Calibri" w:eastAsia="Calibri" w:hAnsi="Calibri"/>
          <w:sz w:val="18"/>
          <w:szCs w:val="18"/>
          <w:color w:val="auto"/>
        </w:rPr>
        <w:t>’</w:t>
      </w:r>
      <w:r>
        <w:rPr>
          <w:rFonts w:ascii="Calibri" w:cs="Calibri" w:eastAsia="Calibri" w:hAnsi="Calibri"/>
          <w:sz w:val="18"/>
          <w:szCs w:val="18"/>
          <w:b w:val="1"/>
          <w:bCs w:val="1"/>
          <w:i w:val="1"/>
          <w:iCs w:val="1"/>
          <w:color w:val="auto"/>
        </w:rPr>
        <w:t>s customers or extension of credit to customers whose creditworthiness deteriorates could adversely impact our revenue, proftability and fnancial positon.</w:t>
      </w:r>
    </w:p>
    <w:p>
      <w:pPr>
        <w:spacing w:after="0" w:line="177" w:lineRule="exact"/>
        <w:rPr>
          <w:sz w:val="20"/>
          <w:szCs w:val="20"/>
          <w:color w:val="auto"/>
        </w:rPr>
      </w:pPr>
    </w:p>
    <w:p>
      <w:pPr>
        <w:ind w:right="100"/>
        <w:spacing w:after="0" w:line="235" w:lineRule="auto"/>
        <w:rPr>
          <w:sz w:val="20"/>
          <w:szCs w:val="20"/>
          <w:color w:val="auto"/>
        </w:rPr>
      </w:pPr>
      <w:r>
        <w:rPr>
          <w:rFonts w:ascii="Calibri" w:cs="Calibri" w:eastAsia="Calibri" w:hAnsi="Calibri"/>
          <w:sz w:val="18"/>
          <w:szCs w:val="18"/>
          <w:color w:val="auto"/>
        </w:rPr>
        <w:t>The compettve environment in which Kodak operates may require us to facilitate or provide fnancing to our customers. Customer fnancing arrangements may cover all or a porton of the purchase price for our products and services. We may also assist customers in obtaining fnancing from banks and other sources. Our success may be dependent, in part, upon our ability to provide customer fnancing on compettve terms and on our customers’ creditworthiness. Tightening of credit in the global fnancial markets can adversely afect the ability of Kodak’s customers to obtain fnancing for signifcant purchases, which may result in a decrease in, or cancellaton of, orders for our products and services. If Kodak is unable to provide compettve fnancing solutons to our customers or if we extend credit to customers whose creditworthiness deteriorates, our revenues, proftability and fnancial positon could be adversely impacted.</w:t>
      </w:r>
    </w:p>
    <w:p>
      <w:pPr>
        <w:spacing w:after="0" w:line="19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Risks Related to Kodak</w:t>
      </w:r>
      <w:r>
        <w:rPr>
          <w:rFonts w:ascii="Calibri" w:cs="Calibri" w:eastAsia="Calibri" w:hAnsi="Calibri"/>
          <w:sz w:val="18"/>
          <w:szCs w:val="18"/>
          <w:color w:val="auto"/>
        </w:rPr>
        <w:t>’</w:t>
      </w:r>
      <w:r>
        <w:rPr>
          <w:rFonts w:ascii="Calibri" w:cs="Calibri" w:eastAsia="Calibri" w:hAnsi="Calibri"/>
          <w:sz w:val="18"/>
          <w:szCs w:val="18"/>
          <w:b w:val="1"/>
          <w:bCs w:val="1"/>
          <w:color w:val="auto"/>
        </w:rPr>
        <w:t>s Indebtedness and Access to Capital Markets</w:t>
      </w:r>
    </w:p>
    <w:p>
      <w:pPr>
        <w:spacing w:after="0" w:line="177" w:lineRule="exact"/>
        <w:rPr>
          <w:sz w:val="20"/>
          <w:szCs w:val="20"/>
          <w:color w:val="auto"/>
        </w:rPr>
      </w:pPr>
    </w:p>
    <w:p>
      <w:pPr>
        <w:ind w:right="320"/>
        <w:spacing w:after="0" w:line="235" w:lineRule="auto"/>
        <w:rPr>
          <w:sz w:val="20"/>
          <w:szCs w:val="20"/>
          <w:color w:val="auto"/>
        </w:rPr>
      </w:pPr>
      <w:r>
        <w:rPr>
          <w:rFonts w:ascii="Calibri" w:cs="Calibri" w:eastAsia="Calibri" w:hAnsi="Calibri"/>
          <w:sz w:val="18"/>
          <w:szCs w:val="18"/>
          <w:b w:val="1"/>
          <w:bCs w:val="1"/>
          <w:i w:val="1"/>
          <w:iCs w:val="1"/>
          <w:color w:val="auto"/>
        </w:rPr>
        <w:t>The Company</w:t>
      </w:r>
      <w:r>
        <w:rPr>
          <w:rFonts w:ascii="Calibri" w:cs="Calibri" w:eastAsia="Calibri" w:hAnsi="Calibri"/>
          <w:sz w:val="18"/>
          <w:szCs w:val="18"/>
          <w:color w:val="auto"/>
        </w:rPr>
        <w:t>’</w:t>
      </w:r>
      <w:r>
        <w:rPr>
          <w:rFonts w:ascii="Calibri" w:cs="Calibri" w:eastAsia="Calibri" w:hAnsi="Calibri"/>
          <w:sz w:val="18"/>
          <w:szCs w:val="18"/>
          <w:b w:val="1"/>
          <w:bCs w:val="1"/>
          <w:i w:val="1"/>
          <w:iCs w:val="1"/>
          <w:color w:val="auto"/>
        </w:rPr>
        <w:t>s substantal monetary obligatons require a porton of our cash fow to be used to fund other obligatons rather than be invested in the business and could adversely afect our ability to fund our operatons.</w:t>
      </w:r>
    </w:p>
    <w:p>
      <w:pPr>
        <w:spacing w:after="0" w:line="177" w:lineRule="exact"/>
        <w:rPr>
          <w:sz w:val="20"/>
          <w:szCs w:val="20"/>
          <w:color w:val="auto"/>
        </w:rPr>
      </w:pPr>
    </w:p>
    <w:p>
      <w:pPr>
        <w:ind w:right="100"/>
        <w:spacing w:after="0" w:line="235" w:lineRule="auto"/>
        <w:rPr>
          <w:sz w:val="20"/>
          <w:szCs w:val="20"/>
          <w:color w:val="auto"/>
        </w:rPr>
      </w:pPr>
      <w:r>
        <w:rPr>
          <w:rFonts w:ascii="Calibri" w:cs="Calibri" w:eastAsia="Calibri" w:hAnsi="Calibri"/>
          <w:sz w:val="18"/>
          <w:szCs w:val="18"/>
          <w:color w:val="auto"/>
        </w:rPr>
        <w:t>The Company has obligatons for borrowed money or in connecton with leters of credit under the Term Loan Credit Agreement and the cash collateralized Amended and Restated L/C Facility Agreement (together, the “Credit Agreements”).</w:t>
      </w:r>
    </w:p>
    <w:p>
      <w:pPr>
        <w:spacing w:after="0" w:line="191" w:lineRule="exact"/>
        <w:rPr>
          <w:sz w:val="20"/>
          <w:szCs w:val="20"/>
          <w:color w:val="auto"/>
        </w:rPr>
      </w:pPr>
    </w:p>
    <w:p>
      <w:pPr>
        <w:ind w:right="360"/>
        <w:spacing w:after="0" w:line="235" w:lineRule="auto"/>
        <w:rPr>
          <w:sz w:val="20"/>
          <w:szCs w:val="20"/>
          <w:color w:val="auto"/>
        </w:rPr>
      </w:pPr>
      <w:r>
        <w:rPr>
          <w:rFonts w:ascii="Calibri" w:cs="Calibri" w:eastAsia="Calibri" w:hAnsi="Calibri"/>
          <w:sz w:val="18"/>
          <w:szCs w:val="18"/>
          <w:color w:val="auto"/>
        </w:rPr>
        <w:t>The Company’s indebtedness under the Credit Agreements and our other obligatons could have important negatve consequences to the Company and investors in our securites. These include the following:</w:t>
      </w:r>
    </w:p>
    <w:p>
      <w:pPr>
        <w:spacing w:after="0" w:line="191" w:lineRule="exact"/>
        <w:rPr>
          <w:sz w:val="20"/>
          <w:szCs w:val="20"/>
          <w:color w:val="auto"/>
        </w:rPr>
      </w:pPr>
    </w:p>
    <w:p>
      <w:pPr>
        <w:ind w:left="1020" w:right="160" w:hanging="263"/>
        <w:spacing w:after="0" w:line="235" w:lineRule="auto"/>
        <w:tabs>
          <w:tab w:leader="none" w:pos="1020" w:val="left"/>
        </w:tabs>
        <w:numPr>
          <w:ilvl w:val="0"/>
          <w:numId w:val="22"/>
        </w:numPr>
        <w:rPr>
          <w:rFonts w:ascii="Times New Roman" w:cs="Times New Roman" w:eastAsia="Times New Roman" w:hAnsi="Times New Roman"/>
          <w:sz w:val="18"/>
          <w:szCs w:val="18"/>
          <w:color w:val="auto"/>
        </w:rPr>
      </w:pPr>
      <w:r>
        <w:rPr>
          <w:rFonts w:ascii="Calibri" w:cs="Calibri" w:eastAsia="Calibri" w:hAnsi="Calibri"/>
          <w:sz w:val="18"/>
          <w:szCs w:val="18"/>
          <w:color w:val="auto"/>
        </w:rPr>
        <w:t>Kodak may not be able to satsfy all of our obligatons, including, but not limited to, our obligatons under the Credit Agreements, which may cause a cross-default or cross-acceleraton on other debt Kodak may have incurred;</w:t>
      </w:r>
    </w:p>
    <w:p>
      <w:pPr>
        <w:spacing w:after="0" w:line="190" w:lineRule="exact"/>
        <w:rPr>
          <w:rFonts w:ascii="Times New Roman" w:cs="Times New Roman" w:eastAsia="Times New Roman" w:hAnsi="Times New Roman"/>
          <w:sz w:val="18"/>
          <w:szCs w:val="18"/>
          <w:color w:val="auto"/>
        </w:rPr>
      </w:pPr>
    </w:p>
    <w:p>
      <w:pPr>
        <w:ind w:left="1020" w:right="340" w:hanging="263"/>
        <w:spacing w:after="0" w:line="235" w:lineRule="auto"/>
        <w:tabs>
          <w:tab w:leader="none" w:pos="1020" w:val="left"/>
        </w:tabs>
        <w:numPr>
          <w:ilvl w:val="0"/>
          <w:numId w:val="22"/>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could have difcultes obtaining necessary fnancing in the future for working capital, capital expenditures, debt service requirements, collateral requirements, refnancing or other purposes;</w:t>
      </w:r>
    </w:p>
    <w:p>
      <w:pPr>
        <w:spacing w:after="0" w:line="204" w:lineRule="exact"/>
        <w:rPr>
          <w:rFonts w:ascii="Times New Roman" w:cs="Times New Roman" w:eastAsia="Times New Roman" w:hAnsi="Times New Roman"/>
          <w:sz w:val="18"/>
          <w:szCs w:val="18"/>
          <w:color w:val="auto"/>
        </w:rPr>
      </w:pPr>
    </w:p>
    <w:p>
      <w:pPr>
        <w:ind w:left="1020" w:right="80" w:hanging="263"/>
        <w:spacing w:after="0" w:line="235" w:lineRule="auto"/>
        <w:tabs>
          <w:tab w:leader="none" w:pos="1020" w:val="left"/>
        </w:tabs>
        <w:numPr>
          <w:ilvl w:val="0"/>
          <w:numId w:val="22"/>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will have to use a signifcant part of our cash fow or cash balances to make payments on our debt and the Series B Preferred Stock and to satsfy the other obligatons set forth above, which may reduce the capital available for operatons and expansion; and</w:t>
      </w:r>
    </w:p>
    <w:p>
      <w:pPr>
        <w:spacing w:after="0" w:line="185"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22"/>
        </w:numPr>
        <w:rPr>
          <w:rFonts w:ascii="Times New Roman" w:cs="Times New Roman" w:eastAsia="Times New Roman" w:hAnsi="Times New Roman"/>
          <w:sz w:val="18"/>
          <w:szCs w:val="18"/>
          <w:color w:val="auto"/>
        </w:rPr>
      </w:pPr>
      <w:r>
        <w:rPr>
          <w:rFonts w:ascii="Calibri" w:cs="Calibri" w:eastAsia="Calibri" w:hAnsi="Calibri"/>
          <w:sz w:val="18"/>
          <w:szCs w:val="18"/>
          <w:color w:val="auto"/>
        </w:rPr>
        <w:t>Adverse economic or industry conditons may have more of a negatve impact.</w:t>
      </w:r>
    </w:p>
    <w:p>
      <w:pPr>
        <w:spacing w:after="0" w:line="17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cannot be sure cash generated from our businesses will be as high as we expect, or our expenses will not be higher than we expect. Because a porton of our expenses are fxed in any given year, our operatng cash fow margins are highly dependent on revenues, which are largely driven by customer demand. A lower amount of cash generated from our businesses or higher than expected expenses, when coupled with our debt obligatons, could adversely afect Kodak’s ability to fund our operatons.</w:t>
      </w:r>
    </w:p>
    <w:p>
      <w:pPr>
        <w:spacing w:after="0" w:line="18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The availability of leters of credit under the Amended and Restated L/C Facility Agreement is limited by the amount of cash on deposit.</w:t>
      </w:r>
    </w:p>
    <w:p>
      <w:pPr>
        <w:spacing w:after="0" w:line="177" w:lineRule="exact"/>
        <w:rPr>
          <w:sz w:val="20"/>
          <w:szCs w:val="20"/>
          <w:color w:val="auto"/>
        </w:rPr>
      </w:pPr>
    </w:p>
    <w:p>
      <w:pPr>
        <w:ind w:right="220"/>
        <w:spacing w:after="0" w:line="235" w:lineRule="auto"/>
        <w:rPr>
          <w:sz w:val="20"/>
          <w:szCs w:val="20"/>
          <w:color w:val="auto"/>
        </w:rPr>
      </w:pPr>
      <w:r>
        <w:rPr>
          <w:rFonts w:ascii="Calibri" w:cs="Calibri" w:eastAsia="Calibri" w:hAnsi="Calibri"/>
          <w:sz w:val="18"/>
          <w:szCs w:val="18"/>
          <w:color w:val="auto"/>
        </w:rPr>
        <w:t>Availability under the Company’s Amended and Restated L/C Facility Agreement is based on cash collateral in an amount greater than or equal to 104% of the aggregate amount of leters of credit issued and outstanding at any given tme (the “L/C Cash Collateral”).</w:t>
      </w:r>
    </w:p>
    <w:p>
      <w:pPr>
        <w:spacing w:after="0" w:line="177" w:lineRule="exact"/>
        <w:rPr>
          <w:sz w:val="20"/>
          <w:szCs w:val="20"/>
          <w:color w:val="auto"/>
        </w:rPr>
      </w:pPr>
    </w:p>
    <w:p>
      <w:pPr>
        <w:ind w:right="100"/>
        <w:spacing w:after="0" w:line="235" w:lineRule="auto"/>
        <w:rPr>
          <w:sz w:val="20"/>
          <w:szCs w:val="20"/>
          <w:color w:val="auto"/>
        </w:rPr>
      </w:pPr>
      <w:r>
        <w:rPr>
          <w:rFonts w:ascii="Calibri" w:cs="Calibri" w:eastAsia="Calibri" w:hAnsi="Calibri"/>
          <w:sz w:val="18"/>
          <w:szCs w:val="18"/>
          <w:color w:val="auto"/>
        </w:rPr>
        <w:t>If L/C Cash Collateral is not maintained to support 104% of the leters of credit outstanding, $27 million as of December 31, 2024, under the Amended and Restated L/C Facility Agreement, the Company would be required to place additonal cash on deposit with the administratve agent within one business day of a demand. Additonal cash would also be required to be deposited if Kodak desires to have additonal leters of credit issued.</w:t>
      </w:r>
    </w:p>
    <w:p>
      <w:pPr>
        <w:spacing w:after="0" w:line="187" w:lineRule="exact"/>
        <w:rPr>
          <w:sz w:val="20"/>
          <w:szCs w:val="20"/>
          <w:color w:val="auto"/>
        </w:rPr>
      </w:pPr>
    </w:p>
    <w:p>
      <w:pPr>
        <w:spacing w:after="0"/>
        <w:rPr>
          <w:sz w:val="20"/>
          <w:szCs w:val="20"/>
          <w:color w:val="auto"/>
        </w:rPr>
      </w:pPr>
      <w:r>
        <w:rPr>
          <w:rFonts w:ascii="Calibri" w:cs="Calibri" w:eastAsia="Calibri" w:hAnsi="Calibri"/>
          <w:sz w:val="18"/>
          <w:szCs w:val="18"/>
          <w:color w:val="auto"/>
        </w:rPr>
        <w:t>Additonal L/C Cash Collateral would be classifed as restricted cash and would not be available to support ongoing working capital and investment needs.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59"/>
        <w:spacing w:after="0"/>
        <w:rPr>
          <w:sz w:val="20"/>
          <w:szCs w:val="20"/>
          <w:color w:val="auto"/>
        </w:rPr>
      </w:pPr>
      <w:r>
        <w:rPr>
          <w:rFonts w:ascii="Calibri" w:cs="Calibri" w:eastAsia="Calibri" w:hAnsi="Calibri"/>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sectPr>
      </w:pPr>
    </w:p>
    <w:bookmarkStart w:id="20" w:name="page21"/>
    <w:bookmarkEnd w:id="20"/>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Kodak may desire additonal capital funding and such capital may not be available to us and/or may be limited.</w:t>
      </w:r>
    </w:p>
    <w:p>
      <w:pPr>
        <w:spacing w:after="0" w:line="177" w:lineRule="exact"/>
        <w:rPr>
          <w:sz w:val="20"/>
          <w:szCs w:val="20"/>
          <w:color w:val="auto"/>
        </w:rPr>
      </w:pPr>
    </w:p>
    <w:p>
      <w:pPr>
        <w:ind w:right="240"/>
        <w:spacing w:after="0" w:line="235" w:lineRule="auto"/>
        <w:rPr>
          <w:sz w:val="20"/>
          <w:szCs w:val="20"/>
          <w:color w:val="auto"/>
        </w:rPr>
      </w:pPr>
      <w:r>
        <w:rPr>
          <w:rFonts w:ascii="Calibri" w:cs="Calibri" w:eastAsia="Calibri" w:hAnsi="Calibri"/>
          <w:sz w:val="18"/>
          <w:szCs w:val="18"/>
          <w:color w:val="auto"/>
        </w:rPr>
        <w:t>Kodak may desire to raise additonal capital, including to support on-going operatons, pursue additonal growth opportunites, strategic transactons or additonal reorganizaton initatves or refnance or redeem outstanding debt or preferred stock. Because of Kodak’s current non-investment grade credit ratng and fnancial conditon, and/or the current volatlity and tghtening in the fnancial and credit markets, Kodak’s access to the capital markets may be limited.</w:t>
      </w:r>
    </w:p>
    <w:p>
      <w:pPr>
        <w:spacing w:after="0" w:line="174" w:lineRule="exact"/>
        <w:rPr>
          <w:sz w:val="20"/>
          <w:szCs w:val="20"/>
          <w:color w:val="auto"/>
        </w:rPr>
      </w:pPr>
    </w:p>
    <w:p>
      <w:pPr>
        <w:spacing w:after="0"/>
        <w:rPr>
          <w:sz w:val="20"/>
          <w:szCs w:val="20"/>
          <w:color w:val="auto"/>
        </w:rPr>
      </w:pPr>
      <w:r>
        <w:rPr>
          <w:rFonts w:ascii="Calibri" w:cs="Calibri" w:eastAsia="Calibri" w:hAnsi="Calibri"/>
          <w:sz w:val="18"/>
          <w:szCs w:val="18"/>
          <w:color w:val="auto"/>
        </w:rPr>
        <w:t>Kodak’s ability to obtain capital and the costs of such capital are dependent on numerous factors, including:</w:t>
      </w:r>
    </w:p>
    <w:p>
      <w:pPr>
        <w:spacing w:after="0" w:line="199" w:lineRule="exact"/>
        <w:rPr>
          <w:sz w:val="20"/>
          <w:szCs w:val="20"/>
          <w:color w:val="auto"/>
        </w:rPr>
      </w:pPr>
    </w:p>
    <w:p>
      <w:pPr>
        <w:ind w:left="1020" w:hanging="263"/>
        <w:spacing w:after="0"/>
        <w:tabs>
          <w:tab w:leader="none" w:pos="1020" w:val="left"/>
        </w:tabs>
        <w:numPr>
          <w:ilvl w:val="0"/>
          <w:numId w:val="23"/>
        </w:numPr>
        <w:rPr>
          <w:rFonts w:ascii="Times New Roman" w:cs="Times New Roman" w:eastAsia="Times New Roman" w:hAnsi="Times New Roman"/>
          <w:sz w:val="18"/>
          <w:szCs w:val="18"/>
          <w:color w:val="auto"/>
        </w:rPr>
      </w:pPr>
      <w:r>
        <w:rPr>
          <w:rFonts w:ascii="Calibri" w:cs="Calibri" w:eastAsia="Calibri" w:hAnsi="Calibri"/>
          <w:sz w:val="18"/>
          <w:szCs w:val="18"/>
          <w:color w:val="auto"/>
        </w:rPr>
        <w:t>Covenants in the Credit Agreements;</w:t>
      </w:r>
    </w:p>
    <w:p>
      <w:pPr>
        <w:spacing w:after="0" w:line="190" w:lineRule="exact"/>
        <w:rPr>
          <w:rFonts w:ascii="Times New Roman" w:cs="Times New Roman" w:eastAsia="Times New Roman" w:hAnsi="Times New Roman"/>
          <w:sz w:val="18"/>
          <w:szCs w:val="18"/>
          <w:color w:val="auto"/>
        </w:rPr>
      </w:pPr>
    </w:p>
    <w:p>
      <w:pPr>
        <w:ind w:left="1020" w:right="20" w:hanging="263"/>
        <w:spacing w:after="0" w:line="235" w:lineRule="auto"/>
        <w:tabs>
          <w:tab w:leader="none" w:pos="1020" w:val="left"/>
        </w:tabs>
        <w:numPr>
          <w:ilvl w:val="0"/>
          <w:numId w:val="23"/>
        </w:numPr>
        <w:rPr>
          <w:rFonts w:ascii="Times New Roman" w:cs="Times New Roman" w:eastAsia="Times New Roman" w:hAnsi="Times New Roman"/>
          <w:sz w:val="18"/>
          <w:szCs w:val="18"/>
          <w:color w:val="auto"/>
        </w:rPr>
      </w:pPr>
      <w:r>
        <w:rPr>
          <w:rFonts w:ascii="Calibri" w:cs="Calibri" w:eastAsia="Calibri" w:hAnsi="Calibri"/>
          <w:sz w:val="18"/>
          <w:szCs w:val="18"/>
          <w:color w:val="auto"/>
        </w:rPr>
        <w:t xml:space="preserve">Obtaining a consent from the holders of Series B and C Preferred Stock for the issuance of additonal preferred shares which rank senior or </w:t>
      </w:r>
      <w:r>
        <w:rPr>
          <w:rFonts w:ascii="Calibri" w:cs="Calibri" w:eastAsia="Calibri" w:hAnsi="Calibri"/>
          <w:sz w:val="18"/>
          <w:szCs w:val="18"/>
          <w:i w:val="1"/>
          <w:iCs w:val="1"/>
          <w:color w:val="auto"/>
        </w:rPr>
        <w:t>pari</w:t>
      </w:r>
      <w:r>
        <w:rPr>
          <w:rFonts w:ascii="Calibri" w:cs="Calibri" w:eastAsia="Calibri" w:hAnsi="Calibri"/>
          <w:sz w:val="18"/>
          <w:szCs w:val="18"/>
          <w:color w:val="auto"/>
        </w:rPr>
        <w:t xml:space="preserve"> </w:t>
      </w:r>
      <w:r>
        <w:rPr>
          <w:rFonts w:ascii="Calibri" w:cs="Calibri" w:eastAsia="Calibri" w:hAnsi="Calibri"/>
          <w:sz w:val="18"/>
          <w:szCs w:val="18"/>
          <w:i w:val="1"/>
          <w:iCs w:val="1"/>
          <w:color w:val="auto"/>
        </w:rPr>
        <w:t xml:space="preserve">passu </w:t>
      </w:r>
      <w:r>
        <w:rPr>
          <w:rFonts w:ascii="Calibri" w:cs="Calibri" w:eastAsia="Calibri" w:hAnsi="Calibri"/>
          <w:sz w:val="18"/>
          <w:szCs w:val="18"/>
          <w:color w:val="auto"/>
        </w:rPr>
        <w:t>to the Series B and C Preferred Stock;</w:t>
      </w:r>
    </w:p>
    <w:p>
      <w:pPr>
        <w:spacing w:after="0" w:line="185"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23"/>
        </w:numPr>
        <w:rPr>
          <w:rFonts w:ascii="Times New Roman" w:cs="Times New Roman" w:eastAsia="Times New Roman" w:hAnsi="Times New Roman"/>
          <w:sz w:val="18"/>
          <w:szCs w:val="18"/>
          <w:color w:val="auto"/>
        </w:rPr>
      </w:pPr>
      <w:r>
        <w:rPr>
          <w:rFonts w:ascii="Calibri" w:cs="Calibri" w:eastAsia="Calibri" w:hAnsi="Calibri"/>
          <w:sz w:val="18"/>
          <w:szCs w:val="18"/>
          <w:color w:val="auto"/>
        </w:rPr>
        <w:t>Investor confdence in Kodak and the markets in which we operate;</w:t>
      </w:r>
    </w:p>
    <w:p>
      <w:pPr>
        <w:spacing w:after="0" w:line="203" w:lineRule="exact"/>
        <w:rPr>
          <w:rFonts w:ascii="Times New Roman" w:cs="Times New Roman" w:eastAsia="Times New Roman" w:hAnsi="Times New Roman"/>
          <w:sz w:val="18"/>
          <w:szCs w:val="18"/>
          <w:color w:val="auto"/>
        </w:rPr>
      </w:pPr>
    </w:p>
    <w:p>
      <w:pPr>
        <w:ind w:left="1020" w:right="400" w:hanging="263"/>
        <w:spacing w:after="0" w:line="235" w:lineRule="auto"/>
        <w:tabs>
          <w:tab w:leader="none" w:pos="1020" w:val="left"/>
        </w:tabs>
        <w:numPr>
          <w:ilvl w:val="0"/>
          <w:numId w:val="23"/>
        </w:numPr>
        <w:rPr>
          <w:rFonts w:ascii="Times New Roman" w:cs="Times New Roman" w:eastAsia="Times New Roman" w:hAnsi="Times New Roman"/>
          <w:sz w:val="18"/>
          <w:szCs w:val="18"/>
          <w:color w:val="auto"/>
        </w:rPr>
      </w:pPr>
      <w:r>
        <w:rPr>
          <w:rFonts w:ascii="Calibri" w:cs="Calibri" w:eastAsia="Calibri" w:hAnsi="Calibri"/>
          <w:sz w:val="18"/>
          <w:szCs w:val="18"/>
          <w:color w:val="auto"/>
        </w:rPr>
        <w:t>Our fnancial performance and projected fnancial performance and the fnancial performance and projected fnancial performance of our subsidiaries;</w:t>
      </w:r>
    </w:p>
    <w:p>
      <w:pPr>
        <w:spacing w:after="0" w:line="185"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23"/>
        </w:numPr>
        <w:rPr>
          <w:rFonts w:ascii="Times New Roman" w:cs="Times New Roman" w:eastAsia="Times New Roman" w:hAnsi="Times New Roman"/>
          <w:sz w:val="18"/>
          <w:szCs w:val="18"/>
          <w:color w:val="auto"/>
        </w:rPr>
      </w:pPr>
      <w:r>
        <w:rPr>
          <w:rFonts w:ascii="Calibri" w:cs="Calibri" w:eastAsia="Calibri" w:hAnsi="Calibri"/>
          <w:sz w:val="18"/>
          <w:szCs w:val="18"/>
          <w:color w:val="auto"/>
        </w:rPr>
        <w:t>Our levels of debt and redempton obligatons;</w:t>
      </w:r>
    </w:p>
    <w:p>
      <w:pPr>
        <w:spacing w:after="0" w:line="185"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23"/>
        </w:numPr>
        <w:rPr>
          <w:rFonts w:ascii="Times New Roman" w:cs="Times New Roman" w:eastAsia="Times New Roman" w:hAnsi="Times New Roman"/>
          <w:sz w:val="18"/>
          <w:szCs w:val="18"/>
          <w:color w:val="auto"/>
        </w:rPr>
      </w:pPr>
      <w:r>
        <w:rPr>
          <w:rFonts w:ascii="Calibri" w:cs="Calibri" w:eastAsia="Calibri" w:hAnsi="Calibri"/>
          <w:sz w:val="18"/>
          <w:szCs w:val="18"/>
          <w:color w:val="auto"/>
        </w:rPr>
        <w:t>Our ability to generate positve cash fow;</w:t>
      </w:r>
    </w:p>
    <w:p>
      <w:pPr>
        <w:spacing w:after="0" w:line="198"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23"/>
        </w:numPr>
        <w:rPr>
          <w:rFonts w:ascii="Times New Roman" w:cs="Times New Roman" w:eastAsia="Times New Roman" w:hAnsi="Times New Roman"/>
          <w:sz w:val="18"/>
          <w:szCs w:val="18"/>
          <w:color w:val="auto"/>
        </w:rPr>
      </w:pPr>
      <w:r>
        <w:rPr>
          <w:rFonts w:ascii="Calibri" w:cs="Calibri" w:eastAsia="Calibri" w:hAnsi="Calibri"/>
          <w:sz w:val="18"/>
          <w:szCs w:val="18"/>
          <w:color w:val="auto"/>
        </w:rPr>
        <w:t>Our ability to consummate monetzaton transactons including asset sales;</w:t>
      </w:r>
    </w:p>
    <w:p>
      <w:pPr>
        <w:spacing w:after="0" w:line="185"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23"/>
        </w:numPr>
        <w:rPr>
          <w:rFonts w:ascii="Times New Roman" w:cs="Times New Roman" w:eastAsia="Times New Roman" w:hAnsi="Times New Roman"/>
          <w:sz w:val="18"/>
          <w:szCs w:val="18"/>
          <w:color w:val="auto"/>
        </w:rPr>
      </w:pPr>
      <w:r>
        <w:rPr>
          <w:rFonts w:ascii="Calibri" w:cs="Calibri" w:eastAsia="Calibri" w:hAnsi="Calibri"/>
          <w:sz w:val="18"/>
          <w:szCs w:val="18"/>
          <w:color w:val="auto"/>
        </w:rPr>
        <w:t>Our requirements for postng collateral under various commercial agreements;</w:t>
      </w:r>
    </w:p>
    <w:p>
      <w:pPr>
        <w:spacing w:after="0" w:line="185"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23"/>
        </w:numPr>
        <w:rPr>
          <w:rFonts w:ascii="Times New Roman" w:cs="Times New Roman" w:eastAsia="Times New Roman" w:hAnsi="Times New Roman"/>
          <w:sz w:val="18"/>
          <w:szCs w:val="18"/>
          <w:color w:val="auto"/>
        </w:rPr>
      </w:pPr>
      <w:r>
        <w:rPr>
          <w:rFonts w:ascii="Calibri" w:cs="Calibri" w:eastAsia="Calibri" w:hAnsi="Calibri"/>
          <w:sz w:val="18"/>
          <w:szCs w:val="18"/>
          <w:color w:val="auto"/>
        </w:rPr>
        <w:t>Our current non-investment grade credit ratng;</w:t>
      </w:r>
    </w:p>
    <w:p>
      <w:pPr>
        <w:spacing w:after="0" w:line="198"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23"/>
        </w:numPr>
        <w:rPr>
          <w:rFonts w:ascii="Times New Roman" w:cs="Times New Roman" w:eastAsia="Times New Roman" w:hAnsi="Times New Roman"/>
          <w:sz w:val="18"/>
          <w:szCs w:val="18"/>
          <w:color w:val="auto"/>
        </w:rPr>
      </w:pPr>
      <w:r>
        <w:rPr>
          <w:rFonts w:ascii="Calibri" w:cs="Calibri" w:eastAsia="Calibri" w:hAnsi="Calibri"/>
          <w:sz w:val="18"/>
          <w:szCs w:val="18"/>
          <w:color w:val="auto"/>
        </w:rPr>
        <w:t>Our long-term business prospects; and</w:t>
      </w:r>
    </w:p>
    <w:p>
      <w:pPr>
        <w:spacing w:after="0" w:line="185"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23"/>
        </w:numPr>
        <w:rPr>
          <w:rFonts w:ascii="Times New Roman" w:cs="Times New Roman" w:eastAsia="Times New Roman" w:hAnsi="Times New Roman"/>
          <w:sz w:val="18"/>
          <w:szCs w:val="18"/>
          <w:color w:val="auto"/>
        </w:rPr>
      </w:pPr>
      <w:r>
        <w:rPr>
          <w:rFonts w:ascii="Calibri" w:cs="Calibri" w:eastAsia="Calibri" w:hAnsi="Calibri"/>
          <w:sz w:val="18"/>
          <w:szCs w:val="18"/>
          <w:color w:val="auto"/>
        </w:rPr>
        <w:t>General economic and capital market conditons.</w:t>
      </w:r>
    </w:p>
    <w:p>
      <w:pPr>
        <w:spacing w:after="0" w:line="177" w:lineRule="exact"/>
        <w:rPr>
          <w:sz w:val="20"/>
          <w:szCs w:val="20"/>
          <w:color w:val="auto"/>
        </w:rPr>
      </w:pPr>
    </w:p>
    <w:p>
      <w:pPr>
        <w:ind w:right="460"/>
        <w:spacing w:after="0" w:line="235" w:lineRule="auto"/>
        <w:rPr>
          <w:sz w:val="20"/>
          <w:szCs w:val="20"/>
          <w:color w:val="auto"/>
        </w:rPr>
      </w:pPr>
      <w:r>
        <w:rPr>
          <w:rFonts w:ascii="Calibri" w:cs="Calibri" w:eastAsia="Calibri" w:hAnsi="Calibri"/>
          <w:sz w:val="18"/>
          <w:szCs w:val="18"/>
          <w:color w:val="auto"/>
        </w:rPr>
        <w:t>Kodak may not be successful in obtaining additonal capital for these or other reasons. An inability to access capital may limit our ability to capitalize on growth or efciency opportunites or refnancings we would otherwise like to pursue.</w:t>
      </w:r>
    </w:p>
    <w:p>
      <w:pPr>
        <w:spacing w:after="0" w:line="18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There can be no assurance the Company will be able to comply with the terms of our various credit facilites.</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color w:val="auto"/>
        </w:rPr>
        <w:t>A breach of any of the covenants contained in the Credit Agreements could result in an event of default under these facilites.</w:t>
      </w:r>
    </w:p>
    <w:p>
      <w:pPr>
        <w:spacing w:after="0" w:line="177"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If any default or event of default occurs under the Amended and Restated L/C Facility Agreement and the Company is not able to either cure it or obtain a waiver from the requisite lenders under the Amended and Restated L/C Facility Agreement, the administratve agent under the Amended and Restated L/C Facility Agreement may, and at the request of the requisite lenders for that facility must, declare all of the Company’s outstanding obligatons under the Amended and Restated L/C Facility Agreement, together with accrued interest and fees, to be immediately due and payable. In additon, the agent under the Amended and Restated L/C Facility Agreement may, and at the request of the requisite lenders must, terminate the lenders’ commitments under that facility and cease making further loans. If any default or event of default occurs under the Term Loan Credit Agreement and the Company is not able to either cure it or obtain a waiver from the holders of the Term Loan Credit Agreement, such holders may declare all of the Company’s outstanding obligatons under the Term Loan Credit Agreement, together with accrued interest and fees, to be immediately due and payable. If applicable, the administratve agent under the Amended and Restated L/C Facility Agreement and the holders of the Term Loan Credit Agreement could insttute foreclosure proceedings against the pledged assets. Any of these outcomes would likely have an adverse efect on the Company’s operatons and our ability to satsfy our obligatons as they come due.</w:t>
      </w:r>
    </w:p>
    <w:p>
      <w:pPr>
        <w:spacing w:after="0" w:line="198" w:lineRule="exact"/>
        <w:rPr>
          <w:sz w:val="20"/>
          <w:szCs w:val="20"/>
          <w:color w:val="auto"/>
        </w:rPr>
      </w:pPr>
    </w:p>
    <w:p>
      <w:pPr>
        <w:ind w:right="240"/>
        <w:spacing w:after="0" w:line="258" w:lineRule="auto"/>
        <w:rPr>
          <w:sz w:val="20"/>
          <w:szCs w:val="20"/>
          <w:color w:val="auto"/>
        </w:rPr>
      </w:pPr>
      <w:r>
        <w:rPr>
          <w:rFonts w:ascii="Calibri" w:cs="Calibri" w:eastAsia="Calibri" w:hAnsi="Calibri"/>
          <w:sz w:val="17"/>
          <w:szCs w:val="17"/>
          <w:b w:val="1"/>
          <w:bCs w:val="1"/>
          <w:i w:val="1"/>
          <w:iCs w:val="1"/>
          <w:color w:val="auto"/>
        </w:rPr>
        <w:t>The current non-investment grade status and Kodak</w:t>
      </w:r>
      <w:r>
        <w:rPr>
          <w:rFonts w:ascii="Calibri" w:cs="Calibri" w:eastAsia="Calibri" w:hAnsi="Calibri"/>
          <w:sz w:val="17"/>
          <w:szCs w:val="17"/>
          <w:color w:val="auto"/>
        </w:rPr>
        <w:t>’</w:t>
      </w:r>
      <w:r>
        <w:rPr>
          <w:rFonts w:ascii="Calibri" w:cs="Calibri" w:eastAsia="Calibri" w:hAnsi="Calibri"/>
          <w:sz w:val="17"/>
          <w:szCs w:val="17"/>
          <w:b w:val="1"/>
          <w:bCs w:val="1"/>
          <w:i w:val="1"/>
          <w:iCs w:val="1"/>
          <w:color w:val="auto"/>
        </w:rPr>
        <w:t>s fnancial conditon may adversely impact Kodak</w:t>
      </w:r>
      <w:r>
        <w:rPr>
          <w:rFonts w:ascii="Calibri" w:cs="Calibri" w:eastAsia="Calibri" w:hAnsi="Calibri"/>
          <w:sz w:val="17"/>
          <w:szCs w:val="17"/>
          <w:color w:val="auto"/>
        </w:rPr>
        <w:t>’</w:t>
      </w:r>
      <w:r>
        <w:rPr>
          <w:rFonts w:ascii="Calibri" w:cs="Calibri" w:eastAsia="Calibri" w:hAnsi="Calibri"/>
          <w:sz w:val="17"/>
          <w:szCs w:val="17"/>
          <w:b w:val="1"/>
          <w:bCs w:val="1"/>
          <w:i w:val="1"/>
          <w:iCs w:val="1"/>
          <w:color w:val="auto"/>
        </w:rPr>
        <w:t>s commercial operatons, increase our liquidity requirements and increase the cost of refnancing opportunites. We may not have adequate liquidity to post required amounts of additonal collateral.</w:t>
      </w:r>
    </w:p>
    <w:p>
      <w:pPr>
        <w:spacing w:after="0" w:line="161"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The Company’s corporate family credit ratng is currently below investment grade and there are no assurances our credit ratngs will improve, or they will not decline, in the future. In additon, the Company may not contnue to maintain credit ratngs from the recognized ratng agencies.</w:t>
      </w:r>
    </w:p>
    <w:p>
      <w:pPr>
        <w:spacing w:after="0" w:line="172"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1" w:name="page22"/>
    <w:bookmarkEnd w:id="21"/>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300"/>
        <w:spacing w:after="0" w:line="235" w:lineRule="auto"/>
        <w:rPr>
          <w:sz w:val="20"/>
          <w:szCs w:val="20"/>
          <w:color w:val="auto"/>
        </w:rPr>
      </w:pPr>
      <w:r>
        <w:rPr>
          <w:rFonts w:ascii="Calibri" w:cs="Calibri" w:eastAsia="Calibri" w:hAnsi="Calibri"/>
          <w:sz w:val="18"/>
          <w:szCs w:val="18"/>
          <w:color w:val="auto"/>
        </w:rPr>
        <w:t>Our credit ratngs and fnancial conditon may afect the evaluaton of our creditworthiness by trading counterpartes and lenders, which could put us at a disadvantage to compettors with higher or investment grade ratngs.</w:t>
      </w:r>
    </w:p>
    <w:p>
      <w:pPr>
        <w:spacing w:after="0" w:line="177" w:lineRule="exact"/>
        <w:rPr>
          <w:sz w:val="20"/>
          <w:szCs w:val="20"/>
          <w:color w:val="auto"/>
        </w:rPr>
      </w:pPr>
    </w:p>
    <w:p>
      <w:pPr>
        <w:ind w:right="780"/>
        <w:spacing w:after="0" w:line="235" w:lineRule="auto"/>
        <w:rPr>
          <w:sz w:val="20"/>
          <w:szCs w:val="20"/>
          <w:color w:val="auto"/>
        </w:rPr>
      </w:pPr>
      <w:r>
        <w:rPr>
          <w:rFonts w:ascii="Calibri" w:cs="Calibri" w:eastAsia="Calibri" w:hAnsi="Calibri"/>
          <w:sz w:val="18"/>
          <w:szCs w:val="18"/>
          <w:color w:val="auto"/>
        </w:rPr>
        <w:t>In carrying out our commercial business strategy, the current non-investment grade credit ratngs have resulted and will likely contnue to result in requirements that Kodak either prepay obligatons or post signifcant amounts of collateral to support our business.</w:t>
      </w:r>
    </w:p>
    <w:p>
      <w:pPr>
        <w:spacing w:after="0" w:line="177" w:lineRule="exact"/>
        <w:rPr>
          <w:sz w:val="20"/>
          <w:szCs w:val="20"/>
          <w:color w:val="auto"/>
        </w:rPr>
      </w:pPr>
    </w:p>
    <w:p>
      <w:pPr>
        <w:ind w:right="140"/>
        <w:spacing w:after="0" w:line="235" w:lineRule="auto"/>
        <w:rPr>
          <w:sz w:val="20"/>
          <w:szCs w:val="20"/>
          <w:color w:val="auto"/>
        </w:rPr>
      </w:pPr>
      <w:r>
        <w:rPr>
          <w:rFonts w:ascii="Calibri" w:cs="Calibri" w:eastAsia="Calibri" w:hAnsi="Calibri"/>
          <w:sz w:val="18"/>
          <w:szCs w:val="18"/>
          <w:color w:val="auto"/>
        </w:rPr>
        <w:t>Should our ratngs contnue at their current levels, or should our ratngs be further downgraded, we would expect these negatve efects to contnue and, in the case of a downgrade, become more pronounced.</w:t>
      </w:r>
    </w:p>
    <w:p>
      <w:pPr>
        <w:spacing w:after="0" w:line="18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Legal, Regulatory and Compliance Risks</w:t>
      </w:r>
    </w:p>
    <w:p>
      <w:pPr>
        <w:spacing w:after="0" w:line="177" w:lineRule="exact"/>
        <w:rPr>
          <w:sz w:val="20"/>
          <w:szCs w:val="20"/>
          <w:color w:val="auto"/>
        </w:rPr>
      </w:pPr>
    </w:p>
    <w:p>
      <w:pPr>
        <w:ind w:right="180"/>
        <w:spacing w:after="0" w:line="235" w:lineRule="auto"/>
        <w:rPr>
          <w:sz w:val="20"/>
          <w:szCs w:val="20"/>
          <w:color w:val="auto"/>
        </w:rPr>
      </w:pPr>
      <w:r>
        <w:rPr>
          <w:rFonts w:ascii="Calibri" w:cs="Calibri" w:eastAsia="Calibri" w:hAnsi="Calibri"/>
          <w:sz w:val="18"/>
          <w:szCs w:val="18"/>
          <w:b w:val="1"/>
          <w:bCs w:val="1"/>
          <w:i w:val="1"/>
          <w:iCs w:val="1"/>
          <w:color w:val="auto"/>
        </w:rPr>
        <w:t>Legal proceedings and governmental investgatons could have a material adverse efect on our business operatons and prospects, reputaton, fnancial conditon, results of operatons and stock price.</w:t>
      </w:r>
    </w:p>
    <w:p>
      <w:pPr>
        <w:spacing w:after="0" w:line="177"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color w:val="auto"/>
        </w:rPr>
        <w:t>Legal proceedings in general, and securites, class acton and patent infringement litgaton and regulatory investgatons in partcular, can be expensive and disruptve. Kodak has been and contnues to be subject to litgaton and other proceedings that have diverted, and may contnue to divert, the atenton of Kodak’s employees, management and board of directors. In additon, such proceedings have resulted in, and may contnue to result in, signifcant legal expense and related costs. Kodak’s insurance, to the extent maintained, may not cover ongoing or future legal or other proceedings. We are unable to predict how long the legal proceedings to which we are currently subject will contnue. See Note 11, “Commitments and Contngencies” in the Notes to the Financial Statements included in Part II, Item 8, “Financial Statements and Supplementary Data” for informaton regarding certain legal proceedings in which Kodak is involved. An unfavorable outcome of any legal proceeding may have an adverse impact on our reputaton, business, fnancial conditon and results of operatons, prospects, or stock price.</w:t>
      </w:r>
    </w:p>
    <w:p>
      <w:pPr>
        <w:spacing w:after="0" w:line="191"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Our business and fnancial conditon can be impaired by improper conduct by any of our employees, agents, or business partners.</w:t>
      </w:r>
    </w:p>
    <w:p>
      <w:pPr>
        <w:spacing w:after="0" w:line="177"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Regulators worldwide are exercising heightened scrutny with respect to ant-corrupton, economic and trade sanctons, and ant-money laundering laws and regulatons. Such heightened scrutny has resulted in more aggressive investgatons and enforcement of such laws and more burdensome regulatons, any of which could adversely impact Kodak’s business. Such laws govern payments to government ofcials, bribery, fraud, kickbacks and false claims, pricing, sales and marketng practces, conficts of interest, competton, employment practces and workplace behavior, export and import compliance, economic and trade sanctons, money laundering and data privacy. In partcular, the U.S. Foreign Corrupt Practces Act, the UK Bribery Act and similar ant-bribery laws in other jurisdictons generally prohibit companies and their intermediaries from making improper payments to government ofcials for the purpose of obtaining or retaining business, and we operate in many parts of the world that have experienced governmental corrupton to some degree.</w:t>
      </w:r>
    </w:p>
    <w:p>
      <w:pPr>
        <w:spacing w:after="0" w:line="181"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Kodak has implemented policies and procedures designed to ensure compliance with applicable laws and regulatons, including worldwide system screening of all customers, suppliers and vendors, banking enttes, sales orders, and purchase orders. Kodak periodically reviews, upgrades and enhances certain of our policies and procedures, including sanctoned partes listngs used in screening its master and transactonal data as well as export license and license excepton determinaton routnes. However, there can be no assurance that our employees, agents or business partners will not take actons in violaton of our policies for which we may be ultmately deemed responsible, or that our policies and procedures will be adequate or will be determined to be adequate by regulators. Any such improper actons or allegatons of such acts could damage our reputaton and subject us to civil or criminal investgatons and related shareholder lawsuits, could lead to substantal civil and criminal, monetary and non-monetary penaltes and could cause us to incur signifcant losses as a victm and legal and investgatory fees. In additon, the government may seek to hold us liable for violatons commited by companies in which we invest or that we acquire. If Kodak is found to have violated laws and regulatons, it could materially adversely afect our business, reputaton, results of operatons and fnancial conditon.</w:t>
      </w:r>
    </w:p>
    <w:p>
      <w:pPr>
        <w:spacing w:after="0" w:line="197" w:lineRule="exact"/>
        <w:rPr>
          <w:sz w:val="20"/>
          <w:szCs w:val="20"/>
          <w:color w:val="auto"/>
        </w:rPr>
      </w:pPr>
    </w:p>
    <w:p>
      <w:pPr>
        <w:ind w:right="400"/>
        <w:spacing w:after="0" w:line="235" w:lineRule="auto"/>
        <w:rPr>
          <w:sz w:val="20"/>
          <w:szCs w:val="20"/>
          <w:color w:val="auto"/>
        </w:rPr>
      </w:pPr>
      <w:r>
        <w:rPr>
          <w:rFonts w:ascii="Calibri" w:cs="Calibri" w:eastAsia="Calibri" w:hAnsi="Calibri"/>
          <w:sz w:val="18"/>
          <w:szCs w:val="18"/>
          <w:b w:val="1"/>
          <w:bCs w:val="1"/>
          <w:i w:val="1"/>
          <w:iCs w:val="1"/>
          <w:color w:val="auto"/>
        </w:rPr>
        <w:t>Failure to comply with privacy, data protecton and cyber security laws and regulatons could have a materially adverse efect on Kodak</w:t>
      </w:r>
      <w:r>
        <w:rPr>
          <w:rFonts w:ascii="Calibri" w:cs="Calibri" w:eastAsia="Calibri" w:hAnsi="Calibri"/>
          <w:sz w:val="18"/>
          <w:szCs w:val="18"/>
          <w:color w:val="auto"/>
        </w:rPr>
        <w:t>’</w:t>
      </w:r>
      <w:r>
        <w:rPr>
          <w:rFonts w:ascii="Calibri" w:cs="Calibri" w:eastAsia="Calibri" w:hAnsi="Calibri"/>
          <w:sz w:val="18"/>
          <w:szCs w:val="18"/>
          <w:b w:val="1"/>
          <w:bCs w:val="1"/>
          <w:i w:val="1"/>
          <w:iCs w:val="1"/>
          <w:color w:val="auto"/>
        </w:rPr>
        <w:t>s reputaton, results of operatons or fnancial conditon.</w:t>
      </w:r>
    </w:p>
    <w:p>
      <w:pPr>
        <w:spacing w:after="0" w:line="177" w:lineRule="exact"/>
        <w:rPr>
          <w:sz w:val="20"/>
          <w:szCs w:val="20"/>
          <w:color w:val="auto"/>
        </w:rPr>
      </w:pPr>
    </w:p>
    <w:p>
      <w:pPr>
        <w:ind w:right="540"/>
        <w:spacing w:after="0" w:line="235" w:lineRule="auto"/>
        <w:rPr>
          <w:sz w:val="20"/>
          <w:szCs w:val="20"/>
          <w:color w:val="auto"/>
        </w:rPr>
      </w:pPr>
      <w:r>
        <w:rPr>
          <w:rFonts w:ascii="Calibri" w:cs="Calibri" w:eastAsia="Calibri" w:hAnsi="Calibri"/>
          <w:sz w:val="18"/>
          <w:szCs w:val="18"/>
          <w:color w:val="auto"/>
        </w:rPr>
        <w:t>Kodak receives, processes, transmits and stores informaton relatng to identfable individuals (personal informaton), both in our role as a technology provider and as an employer. As a result, Kodak is subject to numerous U.S. federal and state and foreign laws and regulatons relatng to personal informaton.</w:t>
      </w:r>
    </w:p>
    <w:p>
      <w:pPr>
        <w:spacing w:after="0" w:line="178"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Examples of data privacy laws include (but are not limited to) the EU’s General Data Protecton Regulaton (“GDPR”) and ePrivacy laws, California’s Consumer Privacy Act (“CCPA”) and other U.S. state privacy laws, China’s Personal Informaton Protecton Law (“PIPL”), and Brazil’s General Data Protecton Law (“LGPD”). These laws have been subject to frequent changes, and new legislaton</w:t>
      </w:r>
    </w:p>
    <w:p>
      <w:pPr>
        <w:spacing w:after="0" w:line="187"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311150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2" w:name="page23"/>
    <w:bookmarkEnd w:id="22"/>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220"/>
        <w:spacing w:after="0" w:line="235" w:lineRule="auto"/>
        <w:rPr>
          <w:sz w:val="20"/>
          <w:szCs w:val="20"/>
          <w:color w:val="auto"/>
        </w:rPr>
      </w:pPr>
      <w:r>
        <w:rPr>
          <w:rFonts w:ascii="Calibri" w:cs="Calibri" w:eastAsia="Calibri" w:hAnsi="Calibri"/>
          <w:sz w:val="18"/>
          <w:szCs w:val="18"/>
          <w:color w:val="auto"/>
        </w:rPr>
        <w:t>in this area may be enacted at any tme. Additonally, the applicaton of existng and new laws in the areas of cloud services and AI is evolving, and we may face challenges monitoring and complying with these requirements.</w:t>
      </w:r>
    </w:p>
    <w:p>
      <w:pPr>
        <w:spacing w:after="0" w:line="177"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color w:val="auto"/>
        </w:rPr>
        <w:t>Failure to comply with existng and newly enacted laws and regulatons that are applicable, may subject Kodak to, among other things, additonal costs or changes to our business practces, liability for monetary damages, fnes and/or criminal prosecuton, unfavorable publicity, restrictons on our ability to obtain and process informaton and allegatons by our customers and clients that we have not performed our contractual obligatons. We may also face risk (including loss of substantal business) if our customers and other stakeholders are not confdent that our products and service can be used in a manner that is compliant with applicable data protecton laws.</w:t>
      </w:r>
    </w:p>
    <w:p>
      <w:pPr>
        <w:spacing w:after="0" w:line="180"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Recent developments in the regulaton of cross-border data transfers from the European Economic Area and countries with similar regimes, including enforcement decisions and regulatory guidance issued by key supervisory authorites, creates uncertainty as to our and our customers’ ability to use platorms and processing services located in the U.S. and other non-adequate jurisdictons. While existng data transfer mechanisms, such as standard contractual clauses, remain valid, Kodak’s use of these transfer mechanisms is subject to legal, regulatory and politcal pressure. Kodak antcipates spending additonal tme and expense to enable contnued cross-border transfers as needed to operate our business, which may have a material adverse efect on our business and results of operatons.</w:t>
      </w:r>
    </w:p>
    <w:p>
      <w:pPr>
        <w:spacing w:after="0" w:line="194"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This environment demands Kodak contnuously improve our design and coordinaton of privacy and security controls (including within our products, websites and business processes) and contractual arrangements across our businesses and geographies. While Kodak has taken steps to comply with applicable data protecton laws and the regulatons and guidance published by applicable regulators, our eforts to achieve and remain in compliance may not be sufcient or fully successful. Despite Kodak’s security controls over personal data, Kodak, may not prevent the improper disclosure of personal informaton. Improper disclosure of this informaton could harm our reputaton or subject us to liability under laws which protect personal data, resultng in increased costs or loss of revenue.</w:t>
      </w:r>
    </w:p>
    <w:p>
      <w:pPr>
        <w:spacing w:after="0" w:line="181" w:lineRule="exact"/>
        <w:rPr>
          <w:sz w:val="20"/>
          <w:szCs w:val="20"/>
          <w:color w:val="auto"/>
        </w:rPr>
      </w:pPr>
    </w:p>
    <w:p>
      <w:pPr>
        <w:ind w:right="300"/>
        <w:spacing w:after="0" w:line="235" w:lineRule="auto"/>
        <w:rPr>
          <w:sz w:val="20"/>
          <w:szCs w:val="20"/>
          <w:color w:val="auto"/>
        </w:rPr>
      </w:pPr>
      <w:r>
        <w:rPr>
          <w:rFonts w:ascii="Calibri" w:cs="Calibri" w:eastAsia="Calibri" w:hAnsi="Calibri"/>
          <w:sz w:val="18"/>
          <w:szCs w:val="18"/>
          <w:b w:val="1"/>
          <w:bCs w:val="1"/>
          <w:i w:val="1"/>
          <w:iCs w:val="1"/>
          <w:color w:val="auto"/>
        </w:rPr>
        <w:t>Kodak is subject to environmental laws and regulatons. Failure to comply with such laws and regulatons or liabilites imposed as a result of such laws and regulatons could have an adverse efect on our business, results of operatons and fnancial conditon.</w:t>
      </w:r>
    </w:p>
    <w:p>
      <w:pPr>
        <w:spacing w:after="0" w:line="177" w:lineRule="exact"/>
        <w:rPr>
          <w:sz w:val="20"/>
          <w:szCs w:val="20"/>
          <w:color w:val="auto"/>
        </w:rPr>
      </w:pPr>
    </w:p>
    <w:p>
      <w:pPr>
        <w:ind w:right="100"/>
        <w:spacing w:after="0" w:line="235" w:lineRule="auto"/>
        <w:rPr>
          <w:sz w:val="20"/>
          <w:szCs w:val="20"/>
          <w:color w:val="auto"/>
        </w:rPr>
      </w:pPr>
      <w:r>
        <w:rPr>
          <w:rFonts w:ascii="Calibri" w:cs="Calibri" w:eastAsia="Calibri" w:hAnsi="Calibri"/>
          <w:sz w:val="18"/>
          <w:szCs w:val="18"/>
          <w:color w:val="auto"/>
        </w:rPr>
        <w:t>Kodak is subject to environmental laws and regulatons world-wide that govern, for example, the discharge of pollutants, the management of hazardous materials, the cleanup of contaminated sites, and the compositon and end-of-life management of our products. Changes to such laws and regulatons could increase our cost of doing business, limit the sale of certain of our products in certain jurisdictons or require modifcatons to our products that may be costly, tme consuming or infeasible.</w:t>
      </w:r>
    </w:p>
    <w:p>
      <w:pPr>
        <w:spacing w:after="0" w:line="192" w:lineRule="exact"/>
        <w:rPr>
          <w:sz w:val="20"/>
          <w:szCs w:val="20"/>
          <w:color w:val="auto"/>
        </w:rPr>
      </w:pPr>
    </w:p>
    <w:p>
      <w:pPr>
        <w:ind w:right="180"/>
        <w:spacing w:after="0" w:line="235" w:lineRule="auto"/>
        <w:rPr>
          <w:sz w:val="20"/>
          <w:szCs w:val="20"/>
          <w:color w:val="auto"/>
        </w:rPr>
      </w:pPr>
      <w:r>
        <w:rPr>
          <w:rFonts w:ascii="Calibri" w:cs="Calibri" w:eastAsia="Calibri" w:hAnsi="Calibri"/>
          <w:sz w:val="18"/>
          <w:szCs w:val="18"/>
          <w:color w:val="auto"/>
        </w:rPr>
        <w:t>Non-compliance with applicable laws or liability incurred without regard to fault could have a material adverse efect on our business, results of operatons and fnancial conditon. The cost of complying with such laws could have a material adverse efect on our business, results of operatons and fnancial conditon. Any uncertaintes related to environmental conditons or obligatons at Kodak’s propertes may impact our ability to further develop or sell such propertes.</w:t>
      </w:r>
    </w:p>
    <w:p>
      <w:pPr>
        <w:spacing w:after="0" w:line="17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Failure to efectvely manage ESG-related expectatons could impact Kodak's operatonal success, fnancial performance and investor confdence.</w:t>
      </w:r>
    </w:p>
    <w:p>
      <w:pPr>
        <w:spacing w:after="0" w:line="177"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Expectatons regarding Environmental, Social and Governance (ESG)-related maters are intensifying, evolving, and may vary, presentng both challenges and opportunites for Kodak. Inadequate management of ESG-related maters—such as greenhouse gas emissions, responsible sourcing, human rights, and corporate governance—could undermine our operatonal efciency. Evolving regulatons and increasing scrutny from investors and authorites could lead to legal issues, loss of customers and talent, and higher operatonal costs. Non-compliance with ESG standards, including reportng standards, stakeholder expectatons or failure to achieve ESG goals, could damage our market reputaton, erode investor confdence, and reduce demand for our products and services. This, in turn, could negatvely impact our fnancial stability and necessitate additonal resources to rebuild our reputaton.</w:t>
      </w:r>
    </w:p>
    <w:p>
      <w:pPr>
        <w:spacing w:after="0" w:line="194" w:lineRule="exact"/>
        <w:rPr>
          <w:sz w:val="20"/>
          <w:szCs w:val="20"/>
          <w:color w:val="auto"/>
        </w:rPr>
      </w:pPr>
    </w:p>
    <w:p>
      <w:pPr>
        <w:ind w:right="320"/>
        <w:spacing w:after="0" w:line="235" w:lineRule="auto"/>
        <w:rPr>
          <w:sz w:val="20"/>
          <w:szCs w:val="20"/>
          <w:color w:val="auto"/>
        </w:rPr>
      </w:pPr>
      <w:r>
        <w:rPr>
          <w:rFonts w:ascii="Calibri" w:cs="Calibri" w:eastAsia="Calibri" w:hAnsi="Calibri"/>
          <w:sz w:val="18"/>
          <w:szCs w:val="18"/>
          <w:b w:val="1"/>
          <w:bCs w:val="1"/>
          <w:i w:val="1"/>
          <w:iCs w:val="1"/>
          <w:color w:val="auto"/>
        </w:rPr>
        <w:t>If Kodak fails to maintain efectve internal controls over fnancial reportng, we may not be able to accurately report our fnancial results, which could have a material adverse efect on Kodak</w:t>
      </w:r>
      <w:r>
        <w:rPr>
          <w:rFonts w:ascii="Calibri" w:cs="Calibri" w:eastAsia="Calibri" w:hAnsi="Calibri"/>
          <w:sz w:val="18"/>
          <w:szCs w:val="18"/>
          <w:color w:val="auto"/>
        </w:rPr>
        <w:t>’</w:t>
      </w:r>
      <w:r>
        <w:rPr>
          <w:rFonts w:ascii="Calibri" w:cs="Calibri" w:eastAsia="Calibri" w:hAnsi="Calibri"/>
          <w:sz w:val="18"/>
          <w:szCs w:val="18"/>
          <w:b w:val="1"/>
          <w:bCs w:val="1"/>
          <w:i w:val="1"/>
          <w:iCs w:val="1"/>
          <w:color w:val="auto"/>
        </w:rPr>
        <w:t>s operatons, investor confdence in our business and the trading prices of our securites.</w:t>
      </w:r>
    </w:p>
    <w:p>
      <w:pPr>
        <w:spacing w:after="0" w:line="177" w:lineRule="exact"/>
        <w:rPr>
          <w:sz w:val="20"/>
          <w:szCs w:val="20"/>
          <w:color w:val="auto"/>
        </w:rPr>
      </w:pPr>
    </w:p>
    <w:p>
      <w:pPr>
        <w:ind w:right="140"/>
        <w:spacing w:after="0" w:line="235" w:lineRule="auto"/>
        <w:rPr>
          <w:sz w:val="20"/>
          <w:szCs w:val="20"/>
          <w:color w:val="auto"/>
        </w:rPr>
      </w:pPr>
      <w:r>
        <w:rPr>
          <w:rFonts w:ascii="Calibri" w:cs="Calibri" w:eastAsia="Calibri" w:hAnsi="Calibri"/>
          <w:sz w:val="18"/>
          <w:szCs w:val="18"/>
          <w:color w:val="auto"/>
        </w:rPr>
        <w:t>Kodak is required to maintain disclosure controls and procedures and internal controls over fnancial reportng that are efectve for the purposes described in Item 9A, “Controls and Procedures.” The existence of a material weakness in Kodak’s internal controls may adversely afect our ability to record, process, summarize and report fnancial informaton tmely and accurately and, as a result, our fnancial statements may contain material misstatements or omissions, which could result in regulatory scrutny, cause investors to lose confdence in our reported fnancial conditon and otherwise have a material adverse efect on Kodak’s business, fnancial conditon, cash fow results of operatons or the trading price of Kodak’s stock.</w:t>
      </w:r>
    </w:p>
    <w:p>
      <w:pPr>
        <w:spacing w:after="0" w:line="175"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3" w:name="page24"/>
    <w:bookmarkEnd w:id="23"/>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Kodak may have additonal tax liabilites.</w:t>
      </w:r>
    </w:p>
    <w:p>
      <w:pPr>
        <w:spacing w:after="0" w:line="177"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We earn our income in both in the U.S. and abroad and, as such, are subject to the tax laws in the U.S. and numerous foreign jurisdictons. Current economic and politcal conditons can impact these tax laws. Proposals to reform U.S. and foreign tax laws could signifcantly impact how Kodak is taxed on its global earnings. In August 2022, the Infaton Reducton Act was enacted in the U.S. and introduced a 15% alternatve minimum tax based on the fnancial statement income of certain large corporatons (“CAMT”). This became efectve January 1, 2023. There was no impact on our provision for income taxes from the CAMT for the year ended December 31, 2024.</w:t>
      </w:r>
    </w:p>
    <w:p>
      <w:pPr>
        <w:spacing w:after="0" w:line="180"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Additonally, The Organizaton for Economic Co-operaton and Development ("OECD") has led eforts to devise, and to permanently implement, a two-pillar soluton to global tax challenges. These pillars focus on global proft allocatons and provide for a global minimum efectve corporate tax rate of 15%. A number of countries have enacted or are proposing to enact legislaton that aligns with the directves set forth in the two-pillar soluton; many of which were efectve for the 2024 year. While the efects of the legislaton enacted in 2024 did not have a material efect on our efectve tax rate or cash fows, future changes could increase tax uncertainty and have an adverse impact on our efectve tax rate and cash fow.</w:t>
      </w:r>
    </w:p>
    <w:p>
      <w:pPr>
        <w:spacing w:after="0" w:line="220" w:lineRule="exact"/>
        <w:rPr>
          <w:sz w:val="20"/>
          <w:szCs w:val="20"/>
          <w:color w:val="auto"/>
        </w:rPr>
      </w:pPr>
    </w:p>
    <w:p>
      <w:pPr>
        <w:ind w:right="440"/>
        <w:spacing w:after="0" w:line="235" w:lineRule="auto"/>
        <w:rPr>
          <w:sz w:val="20"/>
          <w:szCs w:val="20"/>
          <w:color w:val="auto"/>
        </w:rPr>
      </w:pPr>
      <w:r>
        <w:rPr>
          <w:rFonts w:ascii="Calibri" w:cs="Calibri" w:eastAsia="Calibri" w:hAnsi="Calibri"/>
          <w:sz w:val="18"/>
          <w:szCs w:val="18"/>
          <w:color w:val="auto"/>
        </w:rPr>
        <w:t>Management reviews regularly the adequacy of the provisions for taxes as they relate to Kodak’s income and transactons. In order to assess uncertain tax positons, Kodak applies a more likely than not threshold and a two-step approach for tax positon measurement and fnancial statement recogniton. Although we believe our tax provisions are adequate, the fnal determinaton of tax audits and any related disputes could be materially diferent from our historical income tax provisions and accruals. The results of audits or related disputes could have an adverse efect on our fnancial statements for the period or periods for which the applicable fnal determinatons are made.</w:t>
      </w:r>
    </w:p>
    <w:p>
      <w:pPr>
        <w:spacing w:after="0" w:line="220" w:lineRule="exact"/>
        <w:rPr>
          <w:sz w:val="20"/>
          <w:szCs w:val="20"/>
          <w:color w:val="auto"/>
        </w:rPr>
      </w:pPr>
    </w:p>
    <w:p>
      <w:pPr>
        <w:ind w:right="320"/>
        <w:spacing w:after="0" w:line="235" w:lineRule="auto"/>
        <w:rPr>
          <w:sz w:val="20"/>
          <w:szCs w:val="20"/>
          <w:color w:val="auto"/>
        </w:rPr>
      </w:pPr>
      <w:r>
        <w:rPr>
          <w:rFonts w:ascii="Calibri" w:cs="Calibri" w:eastAsia="Calibri" w:hAnsi="Calibri"/>
          <w:sz w:val="18"/>
          <w:szCs w:val="18"/>
          <w:b w:val="1"/>
          <w:bCs w:val="1"/>
          <w:i w:val="1"/>
          <w:iCs w:val="1"/>
          <w:color w:val="auto"/>
        </w:rPr>
        <w:t>Changes in trade policies, including tarifs or other trade restrictons or the threat of such actons, may have a material adverse efect on our business, fnancial conditon and results of operatons.</w:t>
      </w:r>
    </w:p>
    <w:p>
      <w:pPr>
        <w:spacing w:after="0" w:line="150"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While limited in specifcity, the U.S. federal government administraton has recently announced changes in trade policies and imposed or increased tarifs on imports into the country. There is signifcant uncertainty about the future relatonship between the U.S. and other countries impacted by such trade policies and tarifs. We cannot predict what further acton may be taken with respect to trade policies, tarifs or trade relatons between the U.S. and other governments, and any further changes in U.S. or internatonal trade policy. These developments, or the percepton that any of them could occur, may have a material adverse efect on global economic conditons and the stability of global fnancial markets, and may signifcantly reduce global trade between the impacted natons and the U.S. and could have an adverse efect on Kodak's operatons or fnancial positon.</w:t>
      </w:r>
    </w:p>
    <w:p>
      <w:pPr>
        <w:spacing w:after="0" w:line="181"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b w:val="1"/>
          <w:bCs w:val="1"/>
          <w:i w:val="1"/>
          <w:iCs w:val="1"/>
          <w:color w:val="auto"/>
        </w:rPr>
        <w:t>Kodak</w:t>
      </w:r>
      <w:r>
        <w:rPr>
          <w:rFonts w:ascii="Calibri" w:cs="Calibri" w:eastAsia="Calibri" w:hAnsi="Calibri"/>
          <w:sz w:val="18"/>
          <w:szCs w:val="18"/>
          <w:color w:val="auto"/>
        </w:rPr>
        <w:t>’</w:t>
      </w:r>
      <w:r>
        <w:rPr>
          <w:rFonts w:ascii="Calibri" w:cs="Calibri" w:eastAsia="Calibri" w:hAnsi="Calibri"/>
          <w:sz w:val="18"/>
          <w:szCs w:val="18"/>
          <w:b w:val="1"/>
          <w:bCs w:val="1"/>
          <w:i w:val="1"/>
          <w:iCs w:val="1"/>
          <w:color w:val="auto"/>
        </w:rPr>
        <w:t>s future pension and other postretrement beneft plan costs and required level of contributons could be unfavorably impacted by changes in actuarial assumptons, market performance of plan assets and obligatons imposed by legislaton or pension authorites which could adversely afect our fnancial positon, results of operatons, and cash fow.</w:t>
      </w:r>
    </w:p>
    <w:p>
      <w:pPr>
        <w:spacing w:after="0" w:line="187" w:lineRule="exact"/>
        <w:rPr>
          <w:sz w:val="20"/>
          <w:szCs w:val="20"/>
          <w:color w:val="auto"/>
        </w:rPr>
      </w:pPr>
    </w:p>
    <w:p>
      <w:pPr>
        <w:spacing w:after="0"/>
        <w:rPr>
          <w:sz w:val="20"/>
          <w:szCs w:val="20"/>
          <w:color w:val="auto"/>
        </w:rPr>
      </w:pPr>
      <w:r>
        <w:rPr>
          <w:rFonts w:ascii="Calibri" w:cs="Calibri" w:eastAsia="Calibri" w:hAnsi="Calibri"/>
          <w:sz w:val="18"/>
          <w:szCs w:val="18"/>
          <w:color w:val="auto"/>
        </w:rPr>
        <w:t>Kodak has signifcant defned beneft pension and other postretrement beneft obligatons.</w:t>
      </w:r>
    </w:p>
    <w:p>
      <w:pPr>
        <w:spacing w:after="0" w:line="177"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The funded status of our U.S. and non-U.S. defned beneft pension plans (and other postretrement beneft plans), and the related cost refected in our fnancial statements, are afected by various factors subject to an inherent degree of uncertainty. Key assumptons used to value these beneft obligatons, funded status and expense recogniton include the discount rate for future payment obligatons, the long term expected rate of return on plan assets, salary growth, mortality trends, and other economic and demographic factors. Signifcant diferences in actual experience, or signifcant changes in future assumptons or obligatons imposed by legislaton or pension authorites, could lead to a potental future need to contribute cash or assets to Kodak’s plans in excess of currently estmated contributons and beneft payments and could have an adverse efect on Kodak’s consolidated results of operatons, fnancial positon or liquidity.</w:t>
      </w:r>
    </w:p>
    <w:p>
      <w:pPr>
        <w:spacing w:after="0" w:line="181"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In past years, Kodak has experienced variability in the costs of these defned beneft pension and postretrement beneft obligatons as a result of macro-economic factors beyond our control, including variability in investment returns on pension plan assets, and changes in discount rates and mortality rates used to calculate pension and related liabilites. At least some of these macro-economic factors may again put pressure on the cost of providing pension and benefts. Actons designed to mitgate this risk were taken with respect to KRIP, which included increasing the liquid nature of KRIP’s assets and hedging KRIP’s liabilites; however, these actons may not fully achieve the desired objectves. Similarly, there can be no assurance we will succeed in limitng cost increases with respect to other obligatons.</w:t>
      </w: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24" w:name="page25"/>
    <w:bookmarkEnd w:id="24"/>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b w:val="1"/>
          <w:bCs w:val="1"/>
          <w:i w:val="1"/>
          <w:iCs w:val="1"/>
          <w:color w:val="auto"/>
        </w:rPr>
        <w:t>Kodak may be required to recognize impairments in the value of our trade name and/or other long-lived assets which could adversely afect our results of operatons.</w:t>
      </w:r>
    </w:p>
    <w:p>
      <w:pPr>
        <w:spacing w:after="0" w:line="177" w:lineRule="exact"/>
        <w:rPr>
          <w:sz w:val="20"/>
          <w:szCs w:val="20"/>
          <w:color w:val="auto"/>
        </w:rPr>
      </w:pPr>
    </w:p>
    <w:p>
      <w:pPr>
        <w:ind w:right="320"/>
        <w:spacing w:after="0" w:line="252" w:lineRule="auto"/>
        <w:rPr>
          <w:sz w:val="20"/>
          <w:szCs w:val="20"/>
          <w:color w:val="auto"/>
        </w:rPr>
      </w:pPr>
      <w:r>
        <w:rPr>
          <w:rFonts w:ascii="Calibri" w:cs="Calibri" w:eastAsia="Calibri" w:hAnsi="Calibri"/>
          <w:sz w:val="17"/>
          <w:szCs w:val="17"/>
          <w:color w:val="auto"/>
        </w:rPr>
        <w:t>Kodak tests indefnite-lived intangible assets for impairment annually or whenever events occur or circumstances change that would more likely than not reduce the fair value below its carrying amount. Kodak evaluates other long-lived assets for impairments whenever events or changes in circumstances indicate the carrying value may not be recoverable. Impairments could occur in the future if Kodak’s expected future cash fows decline, if there are signifcant changes in the discount rate or royalty rates, or if carrying values change materially compared with changes in their respectve fair values.</w:t>
      </w:r>
    </w:p>
    <w:p>
      <w:pPr>
        <w:spacing w:after="0" w:line="16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Risks Related to the Company</w:t>
      </w:r>
      <w:r>
        <w:rPr>
          <w:rFonts w:ascii="Calibri" w:cs="Calibri" w:eastAsia="Calibri" w:hAnsi="Calibri"/>
          <w:sz w:val="18"/>
          <w:szCs w:val="18"/>
          <w:color w:val="auto"/>
        </w:rPr>
        <w:t>’</w:t>
      </w:r>
      <w:r>
        <w:rPr>
          <w:rFonts w:ascii="Calibri" w:cs="Calibri" w:eastAsia="Calibri" w:hAnsi="Calibri"/>
          <w:sz w:val="18"/>
          <w:szCs w:val="18"/>
          <w:b w:val="1"/>
          <w:bCs w:val="1"/>
          <w:color w:val="auto"/>
        </w:rPr>
        <w:t>s Common Stock</w:t>
      </w:r>
    </w:p>
    <w:p>
      <w:pPr>
        <w:spacing w:after="0" w:line="190" w:lineRule="exact"/>
        <w:rPr>
          <w:sz w:val="20"/>
          <w:szCs w:val="20"/>
          <w:color w:val="auto"/>
        </w:rPr>
      </w:pPr>
    </w:p>
    <w:p>
      <w:pPr>
        <w:ind w:right="540"/>
        <w:spacing w:after="0" w:line="235" w:lineRule="auto"/>
        <w:rPr>
          <w:sz w:val="20"/>
          <w:szCs w:val="20"/>
          <w:color w:val="auto"/>
        </w:rPr>
      </w:pPr>
      <w:r>
        <w:rPr>
          <w:rFonts w:ascii="Calibri" w:cs="Calibri" w:eastAsia="Calibri" w:hAnsi="Calibri"/>
          <w:sz w:val="18"/>
          <w:szCs w:val="18"/>
          <w:b w:val="1"/>
          <w:bCs w:val="1"/>
          <w:i w:val="1"/>
          <w:iCs w:val="1"/>
          <w:color w:val="auto"/>
        </w:rPr>
        <w:t>The conversion of the Series B Preferred Stock and Series C Preferred Stock into shares of the Company</w:t>
      </w:r>
      <w:r>
        <w:rPr>
          <w:rFonts w:ascii="Calibri" w:cs="Calibri" w:eastAsia="Calibri" w:hAnsi="Calibri"/>
          <w:sz w:val="18"/>
          <w:szCs w:val="18"/>
          <w:color w:val="auto"/>
        </w:rPr>
        <w:t>’</w:t>
      </w:r>
      <w:r>
        <w:rPr>
          <w:rFonts w:ascii="Calibri" w:cs="Calibri" w:eastAsia="Calibri" w:hAnsi="Calibri"/>
          <w:sz w:val="18"/>
          <w:szCs w:val="18"/>
          <w:b w:val="1"/>
          <w:bCs w:val="1"/>
          <w:i w:val="1"/>
          <w:iCs w:val="1"/>
          <w:color w:val="auto"/>
        </w:rPr>
        <w:t>s common stock may dilute the value for the current holders of the Company</w:t>
      </w:r>
      <w:r>
        <w:rPr>
          <w:rFonts w:ascii="Calibri" w:cs="Calibri" w:eastAsia="Calibri" w:hAnsi="Calibri"/>
          <w:sz w:val="18"/>
          <w:szCs w:val="18"/>
          <w:color w:val="auto"/>
        </w:rPr>
        <w:t>’</w:t>
      </w:r>
      <w:r>
        <w:rPr>
          <w:rFonts w:ascii="Calibri" w:cs="Calibri" w:eastAsia="Calibri" w:hAnsi="Calibri"/>
          <w:sz w:val="18"/>
          <w:szCs w:val="18"/>
          <w:b w:val="1"/>
          <w:bCs w:val="1"/>
          <w:i w:val="1"/>
          <w:iCs w:val="1"/>
          <w:color w:val="auto"/>
        </w:rPr>
        <w:t>s common stock.</w:t>
      </w:r>
    </w:p>
    <w:p>
      <w:pPr>
        <w:spacing w:after="0" w:line="177"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The 1,000,000 outstanding shares of the Company’s Series B Preferred Stock are convertble into shares of the Company’s common stock at a conversion rate of 9.5238 shares of common stock per share of Series B Preferred Stock and the 1,196,441 outstanding shares of the Company’s Series C Preferred Stock are convertble into shares of the Company’s common stock at a conversion rate of 10 shares of common stock per share of Series C Preferred Stock. The outstanding shares of Series C Preferred Stock are expected to increase as a result of the payment of dividends. As a result of the conversion of any issued and outstanding Series B Preferred Stock or Series C Preferred Stock (collectvely, the “Convertble Securites”), the Company’s existng shareholders will own a smaller percentage of our outstanding common stock. Based on the capitalizaton of the Company as of December 31, 2024, the conversion of all Convertble Securites would result in the issuance to holders thereof of approximately 21% of the outstanding common stock afer giving efect to such conversion. Further, additonal shares of common stock may be issuable pursuant to certain other features of the Convertble Securites, with such issuances being further dilutve to existng holders of common stock.</w:t>
      </w:r>
    </w:p>
    <w:p>
      <w:pPr>
        <w:spacing w:after="0" w:line="183" w:lineRule="exact"/>
        <w:rPr>
          <w:sz w:val="20"/>
          <w:szCs w:val="20"/>
          <w:color w:val="auto"/>
        </w:rPr>
      </w:pPr>
    </w:p>
    <w:p>
      <w:pPr>
        <w:ind w:right="100"/>
        <w:spacing w:after="0" w:line="235" w:lineRule="auto"/>
        <w:rPr>
          <w:sz w:val="20"/>
          <w:szCs w:val="20"/>
          <w:color w:val="auto"/>
        </w:rPr>
      </w:pPr>
      <w:r>
        <w:rPr>
          <w:rFonts w:ascii="Calibri" w:cs="Calibri" w:eastAsia="Calibri" w:hAnsi="Calibri"/>
          <w:sz w:val="18"/>
          <w:szCs w:val="18"/>
          <w:color w:val="auto"/>
        </w:rPr>
        <w:t>If Convertble Securites are converted into common stock, holders of such converted common stock will be enttled to the same dividend and distributon rights as holders of the common stock currently authorized and outstanding. As such, another dilutve efect resultng from the conversion of any issued and outstanding Convertble Securites will be a diluton to dividends and distributons.</w:t>
      </w:r>
    </w:p>
    <w:p>
      <w:pPr>
        <w:spacing w:after="0" w:line="192"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Holders of the Company’s common stock will not realize any diluton in their ownership, dividend or distributon rights solely as a result of the reservaton of any shares of common stock for issuance upon conversion of the Convertble Securites or for issuance of additonal shares of common stock pursuant to certain other features of the Convertble Securites, but will experience such diluton to the extent additonal shares of common stock are issued in the future as described above.</w:t>
      </w:r>
    </w:p>
    <w:p>
      <w:pPr>
        <w:spacing w:after="0" w:line="179"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b w:val="1"/>
          <w:bCs w:val="1"/>
          <w:i w:val="1"/>
          <w:iCs w:val="1"/>
          <w:color w:val="auto"/>
        </w:rPr>
        <w:t>The holder of the Series C Preferred Stock owns a large porton of the votng power of the Company</w:t>
      </w:r>
      <w:r>
        <w:rPr>
          <w:rFonts w:ascii="Calibri" w:cs="Calibri" w:eastAsia="Calibri" w:hAnsi="Calibri"/>
          <w:sz w:val="18"/>
          <w:szCs w:val="18"/>
          <w:color w:val="auto"/>
        </w:rPr>
        <w:t>’</w:t>
      </w:r>
      <w:r>
        <w:rPr>
          <w:rFonts w:ascii="Calibri" w:cs="Calibri" w:eastAsia="Calibri" w:hAnsi="Calibri"/>
          <w:sz w:val="18"/>
          <w:szCs w:val="18"/>
          <w:b w:val="1"/>
          <w:bCs w:val="1"/>
          <w:i w:val="1"/>
          <w:iCs w:val="1"/>
          <w:color w:val="auto"/>
        </w:rPr>
        <w:t>s outstanding securites and has nominated one member of the Company</w:t>
      </w:r>
      <w:r>
        <w:rPr>
          <w:rFonts w:ascii="Calibri" w:cs="Calibri" w:eastAsia="Calibri" w:hAnsi="Calibri"/>
          <w:sz w:val="18"/>
          <w:szCs w:val="18"/>
          <w:color w:val="auto"/>
        </w:rPr>
        <w:t>’</w:t>
      </w:r>
      <w:r>
        <w:rPr>
          <w:rFonts w:ascii="Calibri" w:cs="Calibri" w:eastAsia="Calibri" w:hAnsi="Calibri"/>
          <w:sz w:val="18"/>
          <w:szCs w:val="18"/>
          <w:b w:val="1"/>
          <w:bCs w:val="1"/>
          <w:i w:val="1"/>
          <w:iCs w:val="1"/>
          <w:color w:val="auto"/>
        </w:rPr>
        <w:t>s Board. An afliate of the Term Loan Lenders has the right to nominate one member for electon to the Company</w:t>
      </w:r>
      <w:r>
        <w:rPr>
          <w:rFonts w:ascii="Calibri" w:cs="Calibri" w:eastAsia="Calibri" w:hAnsi="Calibri"/>
          <w:sz w:val="18"/>
          <w:szCs w:val="18"/>
          <w:color w:val="auto"/>
        </w:rPr>
        <w:t>’</w:t>
      </w:r>
      <w:r>
        <w:rPr>
          <w:rFonts w:ascii="Calibri" w:cs="Calibri" w:eastAsia="Calibri" w:hAnsi="Calibri"/>
          <w:sz w:val="18"/>
          <w:szCs w:val="18"/>
          <w:b w:val="1"/>
          <w:bCs w:val="1"/>
          <w:i w:val="1"/>
          <w:iCs w:val="1"/>
          <w:color w:val="auto"/>
        </w:rPr>
        <w:t>s Board and holders of the Series B Preferred Stock and Series C Preferred Stock will have such right in the event dividends are in arrears. As a result, these partes may infuence the compositon of the Board and future actons taken by the Board.</w:t>
      </w:r>
    </w:p>
    <w:p>
      <w:pPr>
        <w:spacing w:after="0" w:line="179"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auto"/>
        </w:rPr>
        <w:t>The holder of the Company’s Series C Preferred Stock is enttled to vote upon all maters upon which holders of the Company’s common stock have the right to vote and is enttled to the number of votes equal to the number of full shares of common stock into which such shares of Series C Preferred Stock could be converted at the then applicable conversion rate.</w:t>
      </w:r>
    </w:p>
    <w:p>
      <w:pPr>
        <w:spacing w:after="0" w:line="192" w:lineRule="exact"/>
        <w:rPr>
          <w:sz w:val="20"/>
          <w:szCs w:val="20"/>
          <w:color w:val="auto"/>
        </w:rPr>
      </w:pPr>
    </w:p>
    <w:p>
      <w:pPr>
        <w:spacing w:after="0"/>
        <w:rPr>
          <w:sz w:val="20"/>
          <w:szCs w:val="20"/>
          <w:color w:val="auto"/>
        </w:rPr>
      </w:pPr>
      <w:r>
        <w:rPr>
          <w:rFonts w:ascii="Calibri" w:cs="Calibri" w:eastAsia="Calibri" w:hAnsi="Calibri"/>
          <w:sz w:val="17"/>
          <w:szCs w:val="17"/>
          <w:color w:val="auto"/>
        </w:rPr>
        <w:t>As of December 31, 2024, the holder of the Series C Preferred Stock holds approximately 13% of the votng power of the Company on an as-converted basis.</w:t>
      </w:r>
    </w:p>
    <w:p>
      <w:pPr>
        <w:spacing w:after="0" w:line="4" w:lineRule="exact"/>
        <w:rPr>
          <w:sz w:val="20"/>
          <w:szCs w:val="20"/>
          <w:color w:val="auto"/>
        </w:rPr>
      </w:pPr>
    </w:p>
    <w:p>
      <w:pPr>
        <w:spacing w:after="0"/>
        <w:rPr>
          <w:sz w:val="20"/>
          <w:szCs w:val="20"/>
          <w:color w:val="auto"/>
        </w:rPr>
      </w:pPr>
      <w:r>
        <w:rPr>
          <w:rFonts w:ascii="Calibri" w:cs="Calibri" w:eastAsia="Calibri" w:hAnsi="Calibri"/>
          <w:sz w:val="18"/>
          <w:szCs w:val="18"/>
          <w:color w:val="auto"/>
        </w:rPr>
        <w:t>As a result, this holder may have the ability to infuence future actons by the Company requiring shareholder approval.</w:t>
      </w:r>
    </w:p>
    <w:p>
      <w:pPr>
        <w:spacing w:after="0" w:line="177"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The holder of the Series C Preferred Stock had the right to nominate one member for electon to the Company’s board of directors (the “Board”), which right has expired; however, the individual nominated by the holder of the Series C Preferred Stock pursuant to this right contnues to serve as a member of the Board. If dividends on the Series C Preferred Stock are in arrears for six or more consecutve or non-consecutve dividend periods, the holder of the Series C Preferred Stock will be enttled to nominate one additonal director at the next annual shareholder meetng and all subsequent shareholder meetngs untl all accumulated dividends on the Series C Preferred Stock have been paid or declared. This nominaton right expires if the holder ceases to directly or indirectly hold at least a majority of the shares of Series C Preferred Stock purchased or the common stock received upon the conversion of such shares and is exclusive to the inital holder and does not transfer with the Series C Preferred Stock.</w:t>
      </w:r>
    </w:p>
    <w:p>
      <w:pPr>
        <w:spacing w:after="0" w:line="181" w:lineRule="exact"/>
        <w:rPr>
          <w:sz w:val="20"/>
          <w:szCs w:val="20"/>
          <w:color w:val="auto"/>
        </w:rPr>
      </w:pPr>
    </w:p>
    <w:p>
      <w:pPr>
        <w:ind w:right="260"/>
        <w:spacing w:after="0" w:line="235" w:lineRule="auto"/>
        <w:rPr>
          <w:sz w:val="20"/>
          <w:szCs w:val="20"/>
          <w:color w:val="auto"/>
        </w:rPr>
      </w:pPr>
      <w:r>
        <w:rPr>
          <w:rFonts w:ascii="Calibri" w:cs="Calibri" w:eastAsia="Calibri" w:hAnsi="Calibri"/>
          <w:sz w:val="18"/>
          <w:szCs w:val="18"/>
          <w:color w:val="auto"/>
        </w:rPr>
        <w:t>Also, an afliate of the Term Loan Lenders has the right to nominate one member for electon to the Board untl the date on which the Term Loan Lenders cease to hold at least $200 million of the original principal amount of the Term Loans.</w:t>
      </w:r>
    </w:p>
    <w:p>
      <w:pPr>
        <w:spacing w:after="0" w:line="186"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311150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5" w:name="page26"/>
    <w:bookmarkEnd w:id="25"/>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200"/>
        <w:spacing w:after="0" w:line="235" w:lineRule="auto"/>
        <w:rPr>
          <w:sz w:val="20"/>
          <w:szCs w:val="20"/>
          <w:color w:val="auto"/>
        </w:rPr>
      </w:pPr>
      <w:r>
        <w:rPr>
          <w:rFonts w:ascii="Calibri" w:cs="Calibri" w:eastAsia="Calibri" w:hAnsi="Calibri"/>
          <w:sz w:val="18"/>
          <w:szCs w:val="18"/>
          <w:color w:val="auto"/>
        </w:rPr>
        <w:t>Also, if dividends on the Series B Preferred Stock are in arrears for six or more consecutve or non-consecutve dividend periods, the holders of the Series B Preferred Stock will be enttled to nominate one director at the next annual shareholder meetng and all subsequent shareholder meetngs untl all accumulated dividends on the Series B Preferred Stock have been paid or set aside. As a result, the presence of directors on the Board nominated by the current holder of Series C Preferred Stock or an afliate of the Term Loan Lenders or nominated in the future by the holders of Series B Preferred Stock would enable such holders and lenders to infuence the compositon of the Board and, in turn, potentally infuence and impact future actons taken by the Board.</w:t>
      </w:r>
    </w:p>
    <w:p>
      <w:pPr>
        <w:spacing w:after="0" w:line="181" w:lineRule="exact"/>
        <w:rPr>
          <w:sz w:val="20"/>
          <w:szCs w:val="20"/>
          <w:color w:val="auto"/>
        </w:rPr>
      </w:pPr>
    </w:p>
    <w:p>
      <w:pPr>
        <w:ind w:right="180"/>
        <w:spacing w:after="0" w:line="235" w:lineRule="auto"/>
        <w:rPr>
          <w:sz w:val="20"/>
          <w:szCs w:val="20"/>
          <w:color w:val="auto"/>
        </w:rPr>
      </w:pPr>
      <w:r>
        <w:rPr>
          <w:rFonts w:ascii="Calibri" w:cs="Calibri" w:eastAsia="Calibri" w:hAnsi="Calibri"/>
          <w:sz w:val="18"/>
          <w:szCs w:val="18"/>
          <w:b w:val="1"/>
          <w:bCs w:val="1"/>
          <w:i w:val="1"/>
          <w:iCs w:val="1"/>
          <w:color w:val="auto"/>
        </w:rPr>
        <w:t>The Company has registered, and has a duty to register, the resale of a large porton of our outstanding securites. The resale of the Company</w:t>
      </w:r>
      <w:r>
        <w:rPr>
          <w:rFonts w:ascii="Calibri" w:cs="Calibri" w:eastAsia="Calibri" w:hAnsi="Calibri"/>
          <w:sz w:val="18"/>
          <w:szCs w:val="18"/>
          <w:color w:val="auto"/>
        </w:rPr>
        <w:t>’</w:t>
      </w:r>
      <w:r>
        <w:rPr>
          <w:rFonts w:ascii="Calibri" w:cs="Calibri" w:eastAsia="Calibri" w:hAnsi="Calibri"/>
          <w:sz w:val="18"/>
          <w:szCs w:val="18"/>
          <w:b w:val="1"/>
          <w:bCs w:val="1"/>
          <w:i w:val="1"/>
          <w:iCs w:val="1"/>
          <w:color w:val="auto"/>
        </w:rPr>
        <w:t>s common stock, or the percepton that such resale may occur, may adversely afect the price of our common stock.</w:t>
      </w:r>
    </w:p>
    <w:p>
      <w:pPr>
        <w:spacing w:after="0" w:line="177"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In compliance with certain agreements to which the Company is a party, we have registered the resale of an aggregate of up to 41,333,435 shares of common stock that are either outstanding or issuable upon conversion of Preferred Stock. The resale of a substantal number of shares of common stock in the public market, or the percepton that such resale might occur, could cause the market price of the Company’s common stock to decline. Under the terms of the certain agreements to which the Company is subject, certain of the counterpartes to such agreements can, in certain circumstances, require the Company to partcipate in an underwriten public ofering of the registered securites. Any shares sold in a registered resale will be freely tradable without restricton under the Securites Act. While the Company cannot predict the size of future resales or distributons of our common stock, if there is a percepton that such resales or distributons could occur, or if the holders of the Company’s securites registered for resale sell a large number of the registered securites, the market price for the Company’s common stock could be adversely afected.</w:t>
      </w:r>
    </w:p>
    <w:p>
      <w:pPr>
        <w:spacing w:after="0" w:line="196"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b w:val="1"/>
          <w:bCs w:val="1"/>
          <w:i w:val="1"/>
          <w:iCs w:val="1"/>
          <w:color w:val="auto"/>
        </w:rPr>
        <w:t>The resale of a signifcant porton of the Company</w:t>
      </w:r>
      <w:r>
        <w:rPr>
          <w:rFonts w:ascii="Calibri" w:cs="Calibri" w:eastAsia="Calibri" w:hAnsi="Calibri"/>
          <w:sz w:val="18"/>
          <w:szCs w:val="18"/>
          <w:color w:val="auto"/>
        </w:rPr>
        <w:t>’</w:t>
      </w:r>
      <w:r>
        <w:rPr>
          <w:rFonts w:ascii="Calibri" w:cs="Calibri" w:eastAsia="Calibri" w:hAnsi="Calibri"/>
          <w:sz w:val="18"/>
          <w:szCs w:val="18"/>
          <w:b w:val="1"/>
          <w:bCs w:val="1"/>
          <w:i w:val="1"/>
          <w:iCs w:val="1"/>
          <w:color w:val="auto"/>
        </w:rPr>
        <w:t>s securites or certain accumulatons or transfers of the Company</w:t>
      </w:r>
      <w:r>
        <w:rPr>
          <w:rFonts w:ascii="Calibri" w:cs="Calibri" w:eastAsia="Calibri" w:hAnsi="Calibri"/>
          <w:sz w:val="18"/>
          <w:szCs w:val="18"/>
          <w:color w:val="auto"/>
        </w:rPr>
        <w:t>’</w:t>
      </w:r>
      <w:r>
        <w:rPr>
          <w:rFonts w:ascii="Calibri" w:cs="Calibri" w:eastAsia="Calibri" w:hAnsi="Calibri"/>
          <w:sz w:val="18"/>
          <w:szCs w:val="18"/>
          <w:b w:val="1"/>
          <w:bCs w:val="1"/>
          <w:i w:val="1"/>
          <w:iCs w:val="1"/>
          <w:color w:val="auto"/>
        </w:rPr>
        <w:t>s securites could result in a change of control of the Company and the loss of favorable tax atributes.</w:t>
      </w:r>
    </w:p>
    <w:p>
      <w:pPr>
        <w:spacing w:after="0" w:line="177"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Holders of the Convertble Securites and holders of large blocks of the Company’s common stock collectvely have a signifcant infuence over maters presented to the Company’s shareholders for approval, including electon of members to the Board and change of control transactons. In additon, the holders of such securites collectvely would be able to cause a signifcant change in the ownership of the Company by selling a sufcient porton of the Company’s securites held by them. If such a transacton, in combinaton with other transactons in securites of the Company which have already occurred or future issuances of securites by the Company, were to result in an “ownership change” as determined under Secton 382 of the Internal Revenue Code of 1986, as amended, then the Company’s ability to ofset taxable income with tax atributes generated prior to the ownership change date could be limited, possibly substantally. Certain accumulatons or transfers of the Company’s outstanding securites not involving these holders, could also cause such an “ownership change.” For more informaton on the Company’s tax atributes refer to Note 17, “Income Taxes” in the Notes to Financial Statements included in Part II, Item 8, “Financial Statements and Supplementary Data.” The interests of the holders of the Convertble Securites and holders of large blocks of the Company’s common stock may not always coincide with the interests of the other holders of our common stock.</w:t>
      </w:r>
    </w:p>
    <w:p>
      <w:pPr>
        <w:spacing w:after="0" w:line="179"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The Company</w:t>
      </w:r>
      <w:r>
        <w:rPr>
          <w:rFonts w:ascii="Calibri" w:cs="Calibri" w:eastAsia="Calibri" w:hAnsi="Calibri"/>
          <w:sz w:val="18"/>
          <w:szCs w:val="18"/>
          <w:color w:val="auto"/>
        </w:rPr>
        <w:t>’</w:t>
      </w:r>
      <w:r>
        <w:rPr>
          <w:rFonts w:ascii="Calibri" w:cs="Calibri" w:eastAsia="Calibri" w:hAnsi="Calibri"/>
          <w:sz w:val="18"/>
          <w:szCs w:val="18"/>
          <w:b w:val="1"/>
          <w:bCs w:val="1"/>
          <w:i w:val="1"/>
          <w:iCs w:val="1"/>
          <w:color w:val="auto"/>
        </w:rPr>
        <w:t>s stock price has been and may contnue to be volatle.</w:t>
      </w:r>
    </w:p>
    <w:p>
      <w:pPr>
        <w:spacing w:after="0" w:line="190"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The market price of the Company’s common stock experienced extreme volatlity in recent years. Future announcements or disclosures concerning the Company, our strategic initatves, our sales and proftability, quarterly variatons in actual or antcipated operatng results or comparable sales, any failure to meet analysts’ expectatons and sales of large blocks of our common stock, among other factors, could cause the market price of our common stock to fuctuate substantally.</w:t>
      </w:r>
    </w:p>
    <w:p>
      <w:pPr>
        <w:spacing w:after="0" w:line="17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1B. UNRESOLVED STAFF COMMENTS</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color w:val="auto"/>
        </w:rPr>
        <w:t>None.</w:t>
      </w:r>
    </w:p>
    <w:p>
      <w:pPr>
        <w:spacing w:after="0" w:line="18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1C. CYBERSECURITY</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Risk Management and Strategy</w:t>
      </w:r>
    </w:p>
    <w:p>
      <w:pPr>
        <w:spacing w:after="0" w:line="177" w:lineRule="exact"/>
        <w:rPr>
          <w:sz w:val="20"/>
          <w:szCs w:val="20"/>
          <w:color w:val="auto"/>
        </w:rPr>
      </w:pPr>
    </w:p>
    <w:p>
      <w:pPr>
        <w:ind w:right="200"/>
        <w:spacing w:after="0" w:line="235" w:lineRule="auto"/>
        <w:rPr>
          <w:sz w:val="20"/>
          <w:szCs w:val="20"/>
          <w:color w:val="auto"/>
        </w:rPr>
      </w:pPr>
      <w:r>
        <w:rPr>
          <w:rFonts w:ascii="Calibri" w:cs="Calibri" w:eastAsia="Calibri" w:hAnsi="Calibri"/>
          <w:sz w:val="18"/>
          <w:szCs w:val="18"/>
          <w:color w:val="auto"/>
        </w:rPr>
        <w:t>Kodak has implemented various processes designed to help assess, identfy and manage risk from cybersecurity threats. Kodak's cybersecurity program follows the structure and objectves of the U.S. Natonal Insttute of Standards and Technology (“NIST”) Cybersecurity Framework and is designed to satsfy mult-jurisdictonal regulatory requirements. Key areas of Kodak's cybersecurity risk management processes and strategy currently include:</w:t>
      </w:r>
    </w:p>
    <w:p>
      <w:pPr>
        <w:spacing w:after="0" w:line="205" w:lineRule="exact"/>
        <w:rPr>
          <w:sz w:val="20"/>
          <w:szCs w:val="20"/>
          <w:color w:val="auto"/>
        </w:rPr>
      </w:pPr>
    </w:p>
    <w:p>
      <w:pPr>
        <w:jc w:val="both"/>
        <w:ind w:left="540" w:right="640" w:hanging="263"/>
        <w:spacing w:after="0" w:line="254" w:lineRule="auto"/>
        <w:tabs>
          <w:tab w:leader="none" w:pos="540" w:val="left"/>
        </w:tabs>
        <w:numPr>
          <w:ilvl w:val="0"/>
          <w:numId w:val="24"/>
        </w:numPr>
        <w:rPr>
          <w:rFonts w:ascii="Times New Roman" w:cs="Times New Roman" w:eastAsia="Times New Roman" w:hAnsi="Times New Roman"/>
          <w:sz w:val="17"/>
          <w:szCs w:val="17"/>
          <w:color w:val="auto"/>
        </w:rPr>
      </w:pPr>
      <w:r>
        <w:rPr>
          <w:rFonts w:ascii="Calibri" w:cs="Calibri" w:eastAsia="Calibri" w:hAnsi="Calibri"/>
          <w:sz w:val="17"/>
          <w:szCs w:val="17"/>
          <w:i w:val="1"/>
          <w:iCs w:val="1"/>
          <w:color w:val="auto"/>
        </w:rPr>
        <w:t>Cross-Functonal Collaboraton and Coordinaton</w:t>
      </w:r>
      <w:r>
        <w:rPr>
          <w:rFonts w:ascii="Calibri" w:cs="Calibri" w:eastAsia="Calibri" w:hAnsi="Calibri"/>
          <w:sz w:val="17"/>
          <w:szCs w:val="17"/>
          <w:color w:val="auto"/>
        </w:rPr>
        <w:t>. Our IT security operatons and risk management team (“IT Security Team”), led by our Chief</w:t>
      </w:r>
      <w:r>
        <w:rPr>
          <w:rFonts w:ascii="Calibri" w:cs="Calibri" w:eastAsia="Calibri" w:hAnsi="Calibri"/>
          <w:sz w:val="17"/>
          <w:szCs w:val="17"/>
          <w:i w:val="1"/>
          <w:iCs w:val="1"/>
          <w:color w:val="auto"/>
        </w:rPr>
        <w:t xml:space="preserve"> </w:t>
      </w:r>
      <w:r>
        <w:rPr>
          <w:rFonts w:ascii="Calibri" w:cs="Calibri" w:eastAsia="Calibri" w:hAnsi="Calibri"/>
          <w:sz w:val="17"/>
          <w:szCs w:val="17"/>
          <w:color w:val="auto"/>
        </w:rPr>
        <w:t>Informaton Security Ofcer (“CISO”), has frst line responsibility for the implementaton and operaton of our cybersecurity risk management processes. However, this team works together with other internal teams to coordinate eforts, priorites and oversight. These include:</w:t>
      </w:r>
    </w:p>
    <w:p>
      <w:pPr>
        <w:spacing w:after="0" w:line="160"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6" w:name="page27"/>
    <w:bookmarkEnd w:id="26"/>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020" w:right="160" w:hanging="263"/>
        <w:spacing w:after="0" w:line="235" w:lineRule="auto"/>
        <w:tabs>
          <w:tab w:leader="none" w:pos="1020" w:val="left"/>
        </w:tabs>
        <w:numPr>
          <w:ilvl w:val="1"/>
          <w:numId w:val="25"/>
        </w:numPr>
        <w:rPr>
          <w:rFonts w:ascii="Times New Roman" w:cs="Times New Roman" w:eastAsia="Times New Roman" w:hAnsi="Times New Roman"/>
          <w:sz w:val="18"/>
          <w:szCs w:val="18"/>
          <w:color w:val="auto"/>
        </w:rPr>
      </w:pPr>
      <w:r>
        <w:rPr>
          <w:rFonts w:ascii="Calibri" w:cs="Calibri" w:eastAsia="Calibri" w:hAnsi="Calibri"/>
          <w:sz w:val="18"/>
          <w:szCs w:val="18"/>
          <w:color w:val="auto"/>
        </w:rPr>
        <w:t>our IT Risk Council (the “Council”), which is comprised of key leaders from stakeholder groups throughout the Company and led by our CISO, and meets monthly to review metrics and discuss risks and recent events;</w:t>
      </w:r>
    </w:p>
    <w:p>
      <w:pPr>
        <w:spacing w:after="0" w:line="190" w:lineRule="exact"/>
        <w:rPr>
          <w:rFonts w:ascii="Times New Roman" w:cs="Times New Roman" w:eastAsia="Times New Roman" w:hAnsi="Times New Roman"/>
          <w:sz w:val="18"/>
          <w:szCs w:val="18"/>
          <w:color w:val="auto"/>
        </w:rPr>
      </w:pPr>
    </w:p>
    <w:p>
      <w:pPr>
        <w:ind w:left="1020" w:right="40" w:hanging="263"/>
        <w:spacing w:after="0" w:line="235" w:lineRule="auto"/>
        <w:tabs>
          <w:tab w:leader="none" w:pos="1020" w:val="left"/>
        </w:tabs>
        <w:numPr>
          <w:ilvl w:val="1"/>
          <w:numId w:val="25"/>
        </w:numPr>
        <w:rPr>
          <w:rFonts w:ascii="Times New Roman" w:cs="Times New Roman" w:eastAsia="Times New Roman" w:hAnsi="Times New Roman"/>
          <w:sz w:val="18"/>
          <w:szCs w:val="18"/>
          <w:color w:val="auto"/>
        </w:rPr>
      </w:pPr>
      <w:r>
        <w:rPr>
          <w:rFonts w:ascii="Calibri" w:cs="Calibri" w:eastAsia="Calibri" w:hAnsi="Calibri"/>
          <w:sz w:val="18"/>
          <w:szCs w:val="18"/>
          <w:color w:val="auto"/>
        </w:rPr>
        <w:t>our Risk Management and Compliance Commitee (the “Risk Commitee”), which is responsible for evaluatng and assessing overall enterprise risk, including cybersecurity risk;</w:t>
      </w:r>
    </w:p>
    <w:p>
      <w:pPr>
        <w:spacing w:after="0" w:line="190" w:lineRule="exact"/>
        <w:rPr>
          <w:rFonts w:ascii="Times New Roman" w:cs="Times New Roman" w:eastAsia="Times New Roman" w:hAnsi="Times New Roman"/>
          <w:sz w:val="18"/>
          <w:szCs w:val="18"/>
          <w:color w:val="auto"/>
        </w:rPr>
      </w:pPr>
    </w:p>
    <w:p>
      <w:pPr>
        <w:ind w:left="1020" w:right="720" w:hanging="263"/>
        <w:spacing w:after="0" w:line="235" w:lineRule="auto"/>
        <w:tabs>
          <w:tab w:leader="none" w:pos="1020" w:val="left"/>
        </w:tabs>
        <w:numPr>
          <w:ilvl w:val="1"/>
          <w:numId w:val="25"/>
        </w:numPr>
        <w:rPr>
          <w:rFonts w:ascii="Times New Roman" w:cs="Times New Roman" w:eastAsia="Times New Roman" w:hAnsi="Times New Roman"/>
          <w:sz w:val="18"/>
          <w:szCs w:val="18"/>
          <w:color w:val="auto"/>
        </w:rPr>
      </w:pPr>
      <w:r>
        <w:rPr>
          <w:rFonts w:ascii="Calibri" w:cs="Calibri" w:eastAsia="Calibri" w:hAnsi="Calibri"/>
          <w:sz w:val="18"/>
          <w:szCs w:val="18"/>
          <w:color w:val="auto"/>
        </w:rPr>
        <w:t>our Internal Audit Department, which monitors certain IT systems controls that are integrated into our larger Sarbanes-Oxley control environment;</w:t>
      </w:r>
    </w:p>
    <w:p>
      <w:pPr>
        <w:spacing w:after="0" w:line="199"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1"/>
          <w:numId w:val="25"/>
        </w:numPr>
        <w:rPr>
          <w:rFonts w:ascii="Times New Roman" w:cs="Times New Roman" w:eastAsia="Times New Roman" w:hAnsi="Times New Roman"/>
          <w:sz w:val="18"/>
          <w:szCs w:val="18"/>
          <w:color w:val="auto"/>
        </w:rPr>
      </w:pPr>
      <w:r>
        <w:rPr>
          <w:rFonts w:ascii="Calibri" w:cs="Calibri" w:eastAsia="Calibri" w:hAnsi="Calibri"/>
          <w:sz w:val="18"/>
          <w:szCs w:val="18"/>
          <w:color w:val="auto"/>
        </w:rPr>
        <w:t>our Chief Privacy Ofcer; and</w:t>
      </w:r>
    </w:p>
    <w:p>
      <w:pPr>
        <w:spacing w:after="0" w:line="190" w:lineRule="exact"/>
        <w:rPr>
          <w:rFonts w:ascii="Times New Roman" w:cs="Times New Roman" w:eastAsia="Times New Roman" w:hAnsi="Times New Roman"/>
          <w:sz w:val="18"/>
          <w:szCs w:val="18"/>
          <w:color w:val="auto"/>
        </w:rPr>
      </w:pPr>
    </w:p>
    <w:p>
      <w:pPr>
        <w:ind w:left="1020" w:right="40" w:hanging="263"/>
        <w:spacing w:after="0" w:line="235" w:lineRule="auto"/>
        <w:tabs>
          <w:tab w:leader="none" w:pos="1020" w:val="left"/>
        </w:tabs>
        <w:numPr>
          <w:ilvl w:val="1"/>
          <w:numId w:val="25"/>
        </w:numPr>
        <w:rPr>
          <w:rFonts w:ascii="Times New Roman" w:cs="Times New Roman" w:eastAsia="Times New Roman" w:hAnsi="Times New Roman"/>
          <w:sz w:val="18"/>
          <w:szCs w:val="18"/>
          <w:color w:val="auto"/>
        </w:rPr>
      </w:pPr>
      <w:r>
        <w:rPr>
          <w:rFonts w:ascii="Calibri" w:cs="Calibri" w:eastAsia="Calibri" w:hAnsi="Calibri"/>
          <w:sz w:val="18"/>
          <w:szCs w:val="18"/>
          <w:color w:val="auto"/>
        </w:rPr>
        <w:t>our crisis management team, a cross-functonal team of senior management and subject mater experts from across the Company established to be ready to respond to crisis events, including those arising from cybersecurity incidents.</w:t>
      </w:r>
    </w:p>
    <w:p>
      <w:pPr>
        <w:spacing w:after="0" w:line="190" w:lineRule="exact"/>
        <w:rPr>
          <w:rFonts w:ascii="Times New Roman" w:cs="Times New Roman" w:eastAsia="Times New Roman" w:hAnsi="Times New Roman"/>
          <w:sz w:val="18"/>
          <w:szCs w:val="18"/>
          <w:color w:val="auto"/>
        </w:rPr>
      </w:pPr>
    </w:p>
    <w:p>
      <w:pPr>
        <w:ind w:left="540" w:hanging="263"/>
        <w:spacing w:after="0" w:line="235" w:lineRule="auto"/>
        <w:tabs>
          <w:tab w:leader="none" w:pos="540" w:val="left"/>
        </w:tabs>
        <w:numPr>
          <w:ilvl w:val="0"/>
          <w:numId w:val="25"/>
        </w:numPr>
        <w:rPr>
          <w:rFonts w:ascii="Times New Roman" w:cs="Times New Roman" w:eastAsia="Times New Roman" w:hAnsi="Times New Roman"/>
          <w:sz w:val="18"/>
          <w:szCs w:val="18"/>
          <w:color w:val="auto"/>
        </w:rPr>
      </w:pPr>
      <w:r>
        <w:rPr>
          <w:rFonts w:ascii="Calibri" w:cs="Calibri" w:eastAsia="Calibri" w:hAnsi="Calibri"/>
          <w:sz w:val="18"/>
          <w:szCs w:val="18"/>
          <w:i w:val="1"/>
          <w:iCs w:val="1"/>
          <w:color w:val="auto"/>
        </w:rPr>
        <w:t>Routne Evaluaton and Assessment of Systems and Processes</w:t>
      </w:r>
      <w:r>
        <w:rPr>
          <w:rFonts w:ascii="Calibri" w:cs="Calibri" w:eastAsia="Calibri" w:hAnsi="Calibri"/>
          <w:sz w:val="18"/>
          <w:szCs w:val="18"/>
          <w:color w:val="auto"/>
        </w:rPr>
        <w:t>. We routnely evaluate our IT systems and infrastructure, including with respect to</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system security, and regularly implement upgrades to improve system functonality and performance as well as to enhance security. Security controls are routnely assessed by our annual general controls audit and other audits and assessments as well as a thorough assessment performed during the annual cyber insurance applicaton process. In additon to periodic in-depth evaluatons of our systems and processes, we monitor our IT systems and processes on a regular basis with the goal of identfying and remediatng real and potental threats as they arise.</w:t>
      </w:r>
    </w:p>
    <w:p>
      <w:pPr>
        <w:spacing w:after="0" w:line="206" w:lineRule="exact"/>
        <w:rPr>
          <w:rFonts w:ascii="Times New Roman" w:cs="Times New Roman" w:eastAsia="Times New Roman" w:hAnsi="Times New Roman"/>
          <w:sz w:val="18"/>
          <w:szCs w:val="18"/>
          <w:color w:val="auto"/>
        </w:rPr>
      </w:pPr>
    </w:p>
    <w:p>
      <w:pPr>
        <w:ind w:left="540" w:right="240" w:hanging="263"/>
        <w:spacing w:after="0" w:line="235" w:lineRule="auto"/>
        <w:tabs>
          <w:tab w:leader="none" w:pos="540" w:val="left"/>
        </w:tabs>
        <w:numPr>
          <w:ilvl w:val="0"/>
          <w:numId w:val="25"/>
        </w:numPr>
        <w:rPr>
          <w:rFonts w:ascii="Times New Roman" w:cs="Times New Roman" w:eastAsia="Times New Roman" w:hAnsi="Times New Roman"/>
          <w:sz w:val="18"/>
          <w:szCs w:val="18"/>
          <w:color w:val="auto"/>
        </w:rPr>
      </w:pPr>
      <w:r>
        <w:rPr>
          <w:rFonts w:ascii="Calibri" w:cs="Calibri" w:eastAsia="Calibri" w:hAnsi="Calibri"/>
          <w:sz w:val="18"/>
          <w:szCs w:val="18"/>
          <w:i w:val="1"/>
          <w:iCs w:val="1"/>
          <w:color w:val="auto"/>
        </w:rPr>
        <w:t>Security Awareness Program to Train and Test Personnel</w:t>
      </w:r>
      <w:r>
        <w:rPr>
          <w:rFonts w:ascii="Calibri" w:cs="Calibri" w:eastAsia="Calibri" w:hAnsi="Calibri"/>
          <w:sz w:val="18"/>
          <w:szCs w:val="18"/>
          <w:color w:val="auto"/>
        </w:rPr>
        <w:t>. We operate a security awareness program that includes regular, mandatory trainings for</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relevant personnel on data protecton and malware detecton, policy and process awareness, periodic phishing simulatons and other kinds of preparedness testng.</w:t>
      </w:r>
    </w:p>
    <w:p>
      <w:pPr>
        <w:spacing w:after="0" w:line="191" w:lineRule="exact"/>
        <w:rPr>
          <w:rFonts w:ascii="Times New Roman" w:cs="Times New Roman" w:eastAsia="Times New Roman" w:hAnsi="Times New Roman"/>
          <w:sz w:val="18"/>
          <w:szCs w:val="18"/>
          <w:color w:val="auto"/>
        </w:rPr>
      </w:pPr>
    </w:p>
    <w:p>
      <w:pPr>
        <w:ind w:left="540" w:right="40" w:hanging="263"/>
        <w:spacing w:after="0" w:line="235" w:lineRule="auto"/>
        <w:tabs>
          <w:tab w:leader="none" w:pos="540" w:val="left"/>
        </w:tabs>
        <w:numPr>
          <w:ilvl w:val="0"/>
          <w:numId w:val="25"/>
        </w:numPr>
        <w:rPr>
          <w:rFonts w:ascii="Times New Roman" w:cs="Times New Roman" w:eastAsia="Times New Roman" w:hAnsi="Times New Roman"/>
          <w:sz w:val="18"/>
          <w:szCs w:val="18"/>
          <w:color w:val="auto"/>
        </w:rPr>
      </w:pPr>
      <w:r>
        <w:rPr>
          <w:rFonts w:ascii="Calibri" w:cs="Calibri" w:eastAsia="Calibri" w:hAnsi="Calibri"/>
          <w:sz w:val="18"/>
          <w:szCs w:val="18"/>
          <w:i w:val="1"/>
          <w:iCs w:val="1"/>
          <w:color w:val="auto"/>
        </w:rPr>
        <w:t>Incident Response Process and Team</w:t>
      </w:r>
      <w:r>
        <w:rPr>
          <w:rFonts w:ascii="Calibri" w:cs="Calibri" w:eastAsia="Calibri" w:hAnsi="Calibri"/>
          <w:sz w:val="18"/>
          <w:szCs w:val="18"/>
          <w:color w:val="auto"/>
        </w:rPr>
        <w:t>. We maintain an incident response process with defned roles, responsibilites and reportng protocols. This</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process focuses on responding to and recovering from any signifcant breach as well as mitgatng any impact to our business. Generally, when a breach or suspected breach is identfed, the IT Security Team would escalate the issue to the Council for inital analysis and guidance. In the event of a serious IT incident, the crisis management team would be notfed and the incident response team would typically be tasked with preparing an inital response. The incident response team, in consultaton with others regarding impact and materiality, would be responsible for determining whether a partcular incident (alone or in combinaton with other factors) triggers any reportng or notfcaton responsibilites.</w:t>
      </w:r>
    </w:p>
    <w:p>
      <w:pPr>
        <w:spacing w:after="0" w:line="194" w:lineRule="exact"/>
        <w:rPr>
          <w:rFonts w:ascii="Times New Roman" w:cs="Times New Roman" w:eastAsia="Times New Roman" w:hAnsi="Times New Roman"/>
          <w:sz w:val="18"/>
          <w:szCs w:val="18"/>
          <w:color w:val="auto"/>
        </w:rPr>
      </w:pPr>
    </w:p>
    <w:p>
      <w:pPr>
        <w:ind w:left="540" w:right="100" w:hanging="263"/>
        <w:spacing w:after="0" w:line="235" w:lineRule="auto"/>
        <w:tabs>
          <w:tab w:leader="none" w:pos="540" w:val="left"/>
        </w:tabs>
        <w:numPr>
          <w:ilvl w:val="0"/>
          <w:numId w:val="25"/>
        </w:numPr>
        <w:rPr>
          <w:rFonts w:ascii="Times New Roman" w:cs="Times New Roman" w:eastAsia="Times New Roman" w:hAnsi="Times New Roman"/>
          <w:sz w:val="18"/>
          <w:szCs w:val="18"/>
          <w:color w:val="auto"/>
        </w:rPr>
      </w:pPr>
      <w:r>
        <w:rPr>
          <w:rFonts w:ascii="Calibri" w:cs="Calibri" w:eastAsia="Calibri" w:hAnsi="Calibri"/>
          <w:sz w:val="18"/>
          <w:szCs w:val="18"/>
          <w:i w:val="1"/>
          <w:iCs w:val="1"/>
          <w:color w:val="auto"/>
        </w:rPr>
        <w:t>Regular Evaluaton of Initatves, Results and Priorites</w:t>
      </w:r>
      <w:r>
        <w:rPr>
          <w:rFonts w:ascii="Calibri" w:cs="Calibri" w:eastAsia="Calibri" w:hAnsi="Calibri"/>
          <w:sz w:val="18"/>
          <w:szCs w:val="18"/>
          <w:color w:val="auto"/>
        </w:rPr>
        <w:t>. The IT Security Team, in consultaton with the Council and other members of senior</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management, updates its strategy at least annually to account for changes in our business strategy, legal and regulatory developments, and further developments in the cybersecurity threat landscape. In additon, we periodically engage a third-party provider to conduct an external assessment of our security program. The results of this assessment, which are reported to the Audit and Finance Commitee (and the Board, as appropriate), assist us in determining whether any further changes to our existng policies and practces are warranted.</w:t>
      </w:r>
    </w:p>
    <w:p>
      <w:pPr>
        <w:spacing w:after="0" w:line="188" w:lineRule="exact"/>
        <w:rPr>
          <w:sz w:val="20"/>
          <w:szCs w:val="20"/>
          <w:color w:val="auto"/>
        </w:rPr>
      </w:pPr>
    </w:p>
    <w:p>
      <w:pPr>
        <w:spacing w:after="0"/>
        <w:rPr>
          <w:sz w:val="20"/>
          <w:szCs w:val="20"/>
          <w:color w:val="auto"/>
        </w:rPr>
      </w:pPr>
      <w:r>
        <w:rPr>
          <w:rFonts w:ascii="Calibri" w:cs="Calibri" w:eastAsia="Calibri" w:hAnsi="Calibri"/>
          <w:sz w:val="18"/>
          <w:szCs w:val="18"/>
          <w:color w:val="auto"/>
        </w:rPr>
        <w:t>We expect that our cybersecurity risk management processes and strategy will contnue to evolve as the cybersecurity threat landscape evolves.</w:t>
      </w:r>
    </w:p>
    <w:p>
      <w:pPr>
        <w:spacing w:after="0" w:line="177" w:lineRule="exact"/>
        <w:rPr>
          <w:sz w:val="20"/>
          <w:szCs w:val="20"/>
          <w:color w:val="auto"/>
        </w:rPr>
      </w:pPr>
    </w:p>
    <w:p>
      <w:pPr>
        <w:ind w:right="280"/>
        <w:spacing w:after="0" w:line="235" w:lineRule="auto"/>
        <w:rPr>
          <w:sz w:val="20"/>
          <w:szCs w:val="20"/>
          <w:color w:val="auto"/>
        </w:rPr>
      </w:pPr>
      <w:r>
        <w:rPr>
          <w:rFonts w:ascii="Calibri" w:cs="Calibri" w:eastAsia="Calibri" w:hAnsi="Calibri"/>
          <w:sz w:val="18"/>
          <w:szCs w:val="18"/>
          <w:color w:val="auto"/>
        </w:rPr>
        <w:t>We engage third-party providers to assist us with our cybersecurity risk management and strategy. Examples of services provided by these third-party providers include threat monitoring, incident response support, testng, mitgaton strategies, updates on emerging trends and developments and policy guidance. Prior to exchanging any sensitve data or integratng with key third-party providers, we assess their security ftness against our risk posture and request changes as we deem necessary. Security controls are imposed through comprehensive standard terms and conditons that include privacy and incident reportng requirements, and third partes are periodically re-evaluated for security risk.</w:t>
      </w:r>
    </w:p>
    <w:p>
      <w:pPr>
        <w:spacing w:after="0" w:line="180"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Since the beginning of the last fscal year, we have not identfed any risks from cybersecurity threats (including any previous cybersecurity incidents) that have materially afected the Company, our business strategy, our results of operatons or our fnancial conditon. For a discussion of risks from cybersecurity threats that could be reasonably likely to materially afect us, please see our Risk Factors discussion under the heading, “Risks Related to Kodak’s Business and Operatons—Cyber-atacks or other data security incidents that disrupt Kodak’s operatons or result in the breach or other compromise of proprietary of confdental informaton about our workforce, our customers, or other third partes could disrupt our business, harm our reputaton, cause us to lose customers, and expose us to costly regulatory enforcement and litgaton, any of which could lead to material adverse efects on Kodak’s results of operatons, business and fnancial conditon” in this Form 10-K.</w:t>
      </w: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sectPr>
      </w:pPr>
    </w:p>
    <w:bookmarkStart w:id="27" w:name="page28"/>
    <w:bookmarkEnd w:id="27"/>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Governance</w:t>
      </w:r>
    </w:p>
    <w:p>
      <w:pPr>
        <w:spacing w:after="0" w:line="177" w:lineRule="exact"/>
        <w:rPr>
          <w:sz w:val="20"/>
          <w:szCs w:val="20"/>
          <w:color w:val="auto"/>
        </w:rPr>
      </w:pPr>
    </w:p>
    <w:p>
      <w:pPr>
        <w:ind w:right="200"/>
        <w:spacing w:after="0" w:line="235" w:lineRule="auto"/>
        <w:rPr>
          <w:sz w:val="20"/>
          <w:szCs w:val="20"/>
          <w:color w:val="auto"/>
        </w:rPr>
      </w:pPr>
      <w:r>
        <w:rPr>
          <w:rFonts w:ascii="Calibri" w:cs="Calibri" w:eastAsia="Calibri" w:hAnsi="Calibri"/>
          <w:sz w:val="18"/>
          <w:szCs w:val="18"/>
          <w:color w:val="auto"/>
        </w:rPr>
        <w:t>Consistent with the overall risk management governance structure, management is responsible for the day-to-day management of cybersecurity risk while the Board and its Audit and Finance Commitee perform an oversight functon.</w:t>
      </w:r>
    </w:p>
    <w:p>
      <w:pPr>
        <w:spacing w:after="0" w:line="177" w:lineRule="exact"/>
        <w:rPr>
          <w:sz w:val="20"/>
          <w:szCs w:val="20"/>
          <w:color w:val="auto"/>
        </w:rPr>
      </w:pPr>
    </w:p>
    <w:p>
      <w:pPr>
        <w:spacing w:after="0" w:line="235" w:lineRule="auto"/>
        <w:rPr>
          <w:sz w:val="20"/>
          <w:szCs w:val="20"/>
          <w:color w:val="auto"/>
        </w:rPr>
      </w:pPr>
      <w:r>
        <w:rPr>
          <w:rFonts w:ascii="Calibri" w:cs="Calibri" w:eastAsia="Calibri" w:hAnsi="Calibri"/>
          <w:sz w:val="18"/>
          <w:szCs w:val="18"/>
          <w:i w:val="1"/>
          <w:iCs w:val="1"/>
          <w:color w:val="auto"/>
        </w:rPr>
        <w:t>Board Oversight</w:t>
      </w:r>
      <w:r>
        <w:rPr>
          <w:rFonts w:ascii="Calibri" w:cs="Calibri" w:eastAsia="Calibri" w:hAnsi="Calibri"/>
          <w:sz w:val="18"/>
          <w:szCs w:val="18"/>
          <w:color w:val="auto"/>
        </w:rPr>
        <w:t>. The Board has delegated to its Audit and Finance Commitee the responsibility for overseeing cybersecurity risk exposures in additon to our</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broader risk management program. Management (including the Chief Informaton Ofcer (“CIO”) and the CISO) reports at least annually to the Audit and Finance Commitee on informaton security and data privacy and protecton. These presentatons address a wide range of topics, including trends in cyber threats and the status of initatves intended to bolster security systems and the cyber readiness of personnel.</w:t>
      </w:r>
    </w:p>
    <w:p>
      <w:pPr>
        <w:spacing w:after="0" w:line="192" w:lineRule="exact"/>
        <w:rPr>
          <w:sz w:val="20"/>
          <w:szCs w:val="20"/>
          <w:color w:val="auto"/>
        </w:rPr>
      </w:pPr>
    </w:p>
    <w:p>
      <w:pPr>
        <w:ind w:right="220"/>
        <w:spacing w:after="0" w:line="235" w:lineRule="auto"/>
        <w:rPr>
          <w:sz w:val="20"/>
          <w:szCs w:val="20"/>
          <w:color w:val="auto"/>
        </w:rPr>
      </w:pPr>
      <w:r>
        <w:rPr>
          <w:rFonts w:ascii="Calibri" w:cs="Calibri" w:eastAsia="Calibri" w:hAnsi="Calibri"/>
          <w:sz w:val="18"/>
          <w:szCs w:val="18"/>
          <w:i w:val="1"/>
          <w:iCs w:val="1"/>
          <w:color w:val="auto"/>
        </w:rPr>
        <w:t>Management</w:t>
      </w:r>
      <w:r>
        <w:rPr>
          <w:rFonts w:ascii="Calibri" w:cs="Calibri" w:eastAsia="Calibri" w:hAnsi="Calibri"/>
          <w:sz w:val="18"/>
          <w:szCs w:val="18"/>
          <w:color w:val="auto"/>
        </w:rPr>
        <w:t>’</w:t>
      </w:r>
      <w:r>
        <w:rPr>
          <w:rFonts w:ascii="Calibri" w:cs="Calibri" w:eastAsia="Calibri" w:hAnsi="Calibri"/>
          <w:sz w:val="18"/>
          <w:szCs w:val="18"/>
          <w:i w:val="1"/>
          <w:iCs w:val="1"/>
          <w:color w:val="auto"/>
        </w:rPr>
        <w:t>s Role</w:t>
      </w:r>
      <w:r>
        <w:rPr>
          <w:rFonts w:ascii="Calibri" w:cs="Calibri" w:eastAsia="Calibri" w:hAnsi="Calibri"/>
          <w:sz w:val="18"/>
          <w:szCs w:val="18"/>
          <w:color w:val="auto"/>
        </w:rPr>
        <w:t>. The IT Security Team addresses and responds to cyber risk, including cyber risks related to security architecture and engineering,</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identty and access management and security operatons. The team oversees compliance with the cybersecurity framework within the organizaton and facilitates cybersecurity risk management actvites throughout the organizaton. The IT Security Team also assists with the review and approval of policies, completes benchmarking against applicable standards, and oversees the security awareness program.</w:t>
      </w:r>
    </w:p>
    <w:p>
      <w:pPr>
        <w:spacing w:after="0" w:line="179"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auto"/>
        </w:rPr>
        <w:t>The IT Security team is led by the CISO. The CISO reports to the CIO who, in turn, reports to the Executve Chairman and Chief Executve Ofcer. The CISO has 40 years of IT experience, with over 20 of those focused on IT security functons and strategies. Collectvely, the other members of the IT Security Team have decades of relevant educaton and experience and maintain a wide range of industry certfcatons. Cybersecurity training is provided for the IT Security Team upon joining the IT Security Team, on an annual basis and more frequently when necessary.</w:t>
      </w:r>
    </w:p>
    <w:p>
      <w:pPr>
        <w:spacing w:after="0" w:line="179" w:lineRule="exact"/>
        <w:rPr>
          <w:sz w:val="20"/>
          <w:szCs w:val="20"/>
          <w:color w:val="auto"/>
        </w:rPr>
      </w:pPr>
    </w:p>
    <w:p>
      <w:pPr>
        <w:ind w:right="360"/>
        <w:spacing w:after="0" w:line="235" w:lineRule="auto"/>
        <w:rPr>
          <w:sz w:val="20"/>
          <w:szCs w:val="20"/>
          <w:color w:val="auto"/>
        </w:rPr>
      </w:pPr>
      <w:r>
        <w:rPr>
          <w:rFonts w:ascii="Calibri" w:cs="Calibri" w:eastAsia="Calibri" w:hAnsi="Calibri"/>
          <w:sz w:val="18"/>
          <w:szCs w:val="18"/>
          <w:color w:val="auto"/>
        </w:rPr>
        <w:t>As noted previously, the CISO is a member of the Council, which meets monthly to provide operatonal directon to the IT Security Team considering the evolving risk landscape. The IT Security Team and the Council, through ongoing communicaton, help monitor the preventon, detecton, mitgaton and remediaton of cybersecurity threats and incidents. The CISO or CIO, in consultaton with the Council and other members of senior management, reports such threats and incidents to the Audit and Finance Commitee, as appropriate. These reports may be included in, or in additon to, the regular annual reports to the Audit and Finance Commitee.</w:t>
      </w:r>
    </w:p>
    <w:p>
      <w:pPr>
        <w:spacing w:after="0" w:line="18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2. PROPERTIES</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color w:val="auto"/>
        </w:rPr>
        <w:t>Kodak's worldwide headquarters is located in Rochester, New York.</w:t>
      </w:r>
    </w:p>
    <w:p>
      <w:pPr>
        <w:spacing w:after="0" w:line="177" w:lineRule="exact"/>
        <w:rPr>
          <w:sz w:val="20"/>
          <w:szCs w:val="20"/>
          <w:color w:val="auto"/>
        </w:rPr>
      </w:pPr>
    </w:p>
    <w:p>
      <w:pPr>
        <w:ind w:right="500"/>
        <w:spacing w:after="0" w:line="235" w:lineRule="auto"/>
        <w:rPr>
          <w:sz w:val="20"/>
          <w:szCs w:val="20"/>
          <w:color w:val="auto"/>
        </w:rPr>
      </w:pPr>
      <w:r>
        <w:rPr>
          <w:rFonts w:ascii="Calibri" w:cs="Calibri" w:eastAsia="Calibri" w:hAnsi="Calibri"/>
          <w:sz w:val="18"/>
          <w:szCs w:val="18"/>
          <w:color w:val="auto"/>
        </w:rPr>
        <w:t>Kodak owns 11 million square feet and leases, as a lessee, approximately 4 million square feet of space that includes administratve, research and development, manufacturing and marketng facilites in several worldwide locatons. Out of the owned space, Kodak leases out approximately 800,000 square feet to third-party tenants. The leases are for various periods and are generally renewable.</w:t>
      </w:r>
    </w:p>
    <w:p>
      <w:pPr>
        <w:spacing w:after="0" w:line="187" w:lineRule="exact"/>
        <w:rPr>
          <w:sz w:val="20"/>
          <w:szCs w:val="20"/>
          <w:color w:val="auto"/>
        </w:rPr>
      </w:pPr>
    </w:p>
    <w:p>
      <w:pPr>
        <w:spacing w:after="0"/>
        <w:rPr>
          <w:sz w:val="20"/>
          <w:szCs w:val="20"/>
          <w:color w:val="auto"/>
        </w:rPr>
      </w:pPr>
      <w:r>
        <w:rPr>
          <w:rFonts w:ascii="Calibri" w:cs="Calibri" w:eastAsia="Calibri" w:hAnsi="Calibri"/>
          <w:sz w:val="18"/>
          <w:szCs w:val="18"/>
          <w:color w:val="auto"/>
        </w:rPr>
        <w:t>Kodak’s principal manufacturing facilites, by segment, are listed below. Propertes in a locaton may be shared by all segments operatng in that locaton.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200" w:type="dxa"/>
            <w:vAlign w:val="bottom"/>
          </w:tcPr>
          <w:p>
            <w:pPr>
              <w:jc w:val="center"/>
              <w:spacing w:after="0"/>
              <w:rPr>
                <w:sz w:val="20"/>
                <w:szCs w:val="20"/>
                <w:color w:val="auto"/>
              </w:rPr>
            </w:pPr>
            <w:r>
              <w:rPr>
                <w:rFonts w:ascii="Calibri" w:cs="Calibri" w:eastAsia="Calibri" w:hAnsi="Calibri"/>
                <w:sz w:val="18"/>
                <w:szCs w:val="18"/>
                <w:b w:val="1"/>
                <w:bCs w:val="1"/>
                <w:i w:val="1"/>
                <w:iCs w:val="1"/>
                <w:color w:val="auto"/>
                <w:w w:val="99"/>
              </w:rPr>
              <w:t>Print</w:t>
            </w:r>
          </w:p>
        </w:tc>
        <w:tc>
          <w:tcPr>
            <w:tcW w:w="320" w:type="dxa"/>
            <w:vAlign w:val="bottom"/>
          </w:tcPr>
          <w:p>
            <w:pPr>
              <w:spacing w:after="0"/>
              <w:rPr>
                <w:sz w:val="19"/>
                <w:szCs w:val="19"/>
                <w:color w:val="auto"/>
              </w:rPr>
            </w:pPr>
          </w:p>
        </w:tc>
        <w:tc>
          <w:tcPr>
            <w:tcW w:w="5600" w:type="dxa"/>
            <w:vAlign w:val="bottom"/>
          </w:tcPr>
          <w:p>
            <w:pPr>
              <w:jc w:val="center"/>
              <w:spacing w:after="0"/>
              <w:rPr>
                <w:sz w:val="20"/>
                <w:szCs w:val="20"/>
                <w:color w:val="auto"/>
              </w:rPr>
            </w:pPr>
            <w:r>
              <w:rPr>
                <w:rFonts w:ascii="Calibri" w:cs="Calibri" w:eastAsia="Calibri" w:hAnsi="Calibri"/>
                <w:sz w:val="18"/>
                <w:szCs w:val="18"/>
                <w:b w:val="1"/>
                <w:bCs w:val="1"/>
                <w:i w:val="1"/>
                <w:iCs w:val="1"/>
                <w:color w:val="auto"/>
                <w:w w:val="97"/>
              </w:rPr>
              <w:t>Advanced Materials and Chemicals</w:t>
            </w:r>
          </w:p>
        </w:tc>
      </w:tr>
      <w:tr>
        <w:trPr>
          <w:trHeight w:val="23"/>
        </w:trPr>
        <w:tc>
          <w:tcPr>
            <w:tcW w:w="52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5600" w:type="dxa"/>
            <w:vAlign w:val="bottom"/>
            <w:tcBorders>
              <w:bottom w:val="single" w:sz="8" w:color="auto"/>
            </w:tcBorders>
          </w:tcPr>
          <w:p>
            <w:pPr>
              <w:spacing w:after="0"/>
              <w:rPr>
                <w:sz w:val="2"/>
                <w:szCs w:val="2"/>
                <w:color w:val="auto"/>
              </w:rPr>
            </w:pPr>
          </w:p>
        </w:tc>
      </w:tr>
      <w:tr>
        <w:trPr>
          <w:trHeight w:val="209"/>
        </w:trPr>
        <w:tc>
          <w:tcPr>
            <w:tcW w:w="5200" w:type="dxa"/>
            <w:vAlign w:val="bottom"/>
            <w:shd w:val="clear" w:color="auto" w:fill="CFF0FC"/>
          </w:tcPr>
          <w:p>
            <w:pPr>
              <w:jc w:val="center"/>
              <w:spacing w:after="0" w:line="209" w:lineRule="exact"/>
              <w:rPr>
                <w:sz w:val="20"/>
                <w:szCs w:val="20"/>
                <w:color w:val="auto"/>
              </w:rPr>
            </w:pPr>
            <w:r>
              <w:rPr>
                <w:rFonts w:ascii="Calibri" w:cs="Calibri" w:eastAsia="Calibri" w:hAnsi="Calibri"/>
                <w:sz w:val="18"/>
                <w:szCs w:val="18"/>
                <w:color w:val="auto"/>
                <w:w w:val="98"/>
              </w:rPr>
              <w:t>Rochester, New York, USA</w:t>
            </w:r>
          </w:p>
        </w:tc>
        <w:tc>
          <w:tcPr>
            <w:tcW w:w="320" w:type="dxa"/>
            <w:vAlign w:val="bottom"/>
            <w:shd w:val="clear" w:color="auto" w:fill="CFF0FC"/>
          </w:tcPr>
          <w:p>
            <w:pPr>
              <w:spacing w:after="0"/>
              <w:rPr>
                <w:sz w:val="18"/>
                <w:szCs w:val="18"/>
                <w:color w:val="auto"/>
              </w:rPr>
            </w:pPr>
          </w:p>
        </w:tc>
        <w:tc>
          <w:tcPr>
            <w:tcW w:w="5600" w:type="dxa"/>
            <w:vAlign w:val="bottom"/>
            <w:shd w:val="clear" w:color="auto" w:fill="CFF0FC"/>
          </w:tcPr>
          <w:p>
            <w:pPr>
              <w:jc w:val="center"/>
              <w:spacing w:after="0" w:line="209" w:lineRule="exact"/>
              <w:rPr>
                <w:sz w:val="20"/>
                <w:szCs w:val="20"/>
                <w:color w:val="auto"/>
              </w:rPr>
            </w:pPr>
            <w:r>
              <w:rPr>
                <w:rFonts w:ascii="Calibri" w:cs="Calibri" w:eastAsia="Calibri" w:hAnsi="Calibri"/>
                <w:sz w:val="18"/>
                <w:szCs w:val="18"/>
                <w:color w:val="auto"/>
                <w:w w:val="97"/>
              </w:rPr>
              <w:t>Rochester, New York, USA</w:t>
            </w:r>
          </w:p>
        </w:tc>
      </w:tr>
      <w:tr>
        <w:trPr>
          <w:trHeight w:val="215"/>
        </w:trPr>
        <w:tc>
          <w:tcPr>
            <w:tcW w:w="5200" w:type="dxa"/>
            <w:vAlign w:val="bottom"/>
          </w:tcPr>
          <w:p>
            <w:pPr>
              <w:jc w:val="center"/>
              <w:spacing w:after="0" w:line="215" w:lineRule="exact"/>
              <w:rPr>
                <w:sz w:val="20"/>
                <w:szCs w:val="20"/>
                <w:color w:val="auto"/>
              </w:rPr>
            </w:pPr>
            <w:r>
              <w:rPr>
                <w:rFonts w:ascii="Calibri" w:cs="Calibri" w:eastAsia="Calibri" w:hAnsi="Calibri"/>
                <w:sz w:val="18"/>
                <w:szCs w:val="18"/>
                <w:color w:val="auto"/>
                <w:w w:val="96"/>
              </w:rPr>
              <w:t>Columbus, Georgia, USA</w:t>
            </w:r>
          </w:p>
        </w:tc>
        <w:tc>
          <w:tcPr>
            <w:tcW w:w="320" w:type="dxa"/>
            <w:vAlign w:val="bottom"/>
          </w:tcPr>
          <w:p>
            <w:pPr>
              <w:spacing w:after="0"/>
              <w:rPr>
                <w:sz w:val="18"/>
                <w:szCs w:val="18"/>
                <w:color w:val="auto"/>
              </w:rPr>
            </w:pPr>
          </w:p>
        </w:tc>
        <w:tc>
          <w:tcPr>
            <w:tcW w:w="5600" w:type="dxa"/>
            <w:vAlign w:val="bottom"/>
          </w:tcPr>
          <w:p>
            <w:pPr>
              <w:jc w:val="center"/>
              <w:spacing w:after="0" w:line="215" w:lineRule="exact"/>
              <w:rPr>
                <w:sz w:val="20"/>
                <w:szCs w:val="20"/>
                <w:color w:val="auto"/>
              </w:rPr>
            </w:pPr>
            <w:r>
              <w:rPr>
                <w:rFonts w:ascii="Calibri" w:cs="Calibri" w:eastAsia="Calibri" w:hAnsi="Calibri"/>
                <w:sz w:val="18"/>
                <w:szCs w:val="18"/>
                <w:color w:val="auto"/>
                <w:w w:val="97"/>
              </w:rPr>
              <w:t>Xiamen, China</w:t>
            </w:r>
          </w:p>
        </w:tc>
      </w:tr>
      <w:tr>
        <w:trPr>
          <w:trHeight w:val="217"/>
        </w:trPr>
        <w:tc>
          <w:tcPr>
            <w:tcW w:w="5200" w:type="dxa"/>
            <w:vAlign w:val="bottom"/>
            <w:shd w:val="clear" w:color="auto" w:fill="CFF0FC"/>
          </w:tcPr>
          <w:p>
            <w:pPr>
              <w:jc w:val="center"/>
              <w:spacing w:after="0" w:line="216" w:lineRule="exact"/>
              <w:rPr>
                <w:sz w:val="20"/>
                <w:szCs w:val="20"/>
                <w:color w:val="auto"/>
              </w:rPr>
            </w:pPr>
            <w:r>
              <w:rPr>
                <w:rFonts w:ascii="Calibri" w:cs="Calibri" w:eastAsia="Calibri" w:hAnsi="Calibri"/>
                <w:sz w:val="18"/>
                <w:szCs w:val="18"/>
                <w:color w:val="auto"/>
                <w:w w:val="97"/>
              </w:rPr>
              <w:t>Dayton, Ohio, USA</w:t>
            </w:r>
          </w:p>
        </w:tc>
        <w:tc>
          <w:tcPr>
            <w:tcW w:w="320" w:type="dxa"/>
            <w:vAlign w:val="bottom"/>
            <w:shd w:val="clear" w:color="auto" w:fill="CFF0FC"/>
          </w:tcPr>
          <w:p>
            <w:pPr>
              <w:spacing w:after="0"/>
              <w:rPr>
                <w:sz w:val="18"/>
                <w:szCs w:val="18"/>
                <w:color w:val="auto"/>
              </w:rPr>
            </w:pPr>
          </w:p>
        </w:tc>
        <w:tc>
          <w:tcPr>
            <w:tcW w:w="5600" w:type="dxa"/>
            <w:vAlign w:val="bottom"/>
            <w:shd w:val="clear" w:color="auto" w:fill="CFF0FC"/>
          </w:tcPr>
          <w:p>
            <w:pPr>
              <w:jc w:val="center"/>
              <w:spacing w:after="0" w:line="216" w:lineRule="exact"/>
              <w:rPr>
                <w:sz w:val="20"/>
                <w:szCs w:val="20"/>
                <w:color w:val="auto"/>
              </w:rPr>
            </w:pPr>
            <w:r>
              <w:rPr>
                <w:rFonts w:ascii="Calibri" w:cs="Calibri" w:eastAsia="Calibri" w:hAnsi="Calibri"/>
                <w:sz w:val="18"/>
                <w:szCs w:val="18"/>
                <w:color w:val="auto"/>
                <w:w w:val="97"/>
              </w:rPr>
              <w:t>Vancouver, Canada</w:t>
            </w:r>
          </w:p>
        </w:tc>
      </w:tr>
      <w:tr>
        <w:trPr>
          <w:trHeight w:val="215"/>
        </w:trPr>
        <w:tc>
          <w:tcPr>
            <w:tcW w:w="5200" w:type="dxa"/>
            <w:vAlign w:val="bottom"/>
          </w:tcPr>
          <w:p>
            <w:pPr>
              <w:jc w:val="center"/>
              <w:spacing w:after="0" w:line="215" w:lineRule="exact"/>
              <w:rPr>
                <w:sz w:val="20"/>
                <w:szCs w:val="20"/>
                <w:color w:val="auto"/>
              </w:rPr>
            </w:pPr>
            <w:r>
              <w:rPr>
                <w:rFonts w:ascii="Calibri" w:cs="Calibri" w:eastAsia="Calibri" w:hAnsi="Calibri"/>
                <w:sz w:val="18"/>
                <w:szCs w:val="18"/>
                <w:color w:val="auto"/>
                <w:w w:val="97"/>
              </w:rPr>
              <w:t>Osterode, Germany</w:t>
            </w:r>
          </w:p>
        </w:tc>
        <w:tc>
          <w:tcPr>
            <w:tcW w:w="320" w:type="dxa"/>
            <w:vAlign w:val="bottom"/>
          </w:tcPr>
          <w:p>
            <w:pPr>
              <w:spacing w:after="0"/>
              <w:rPr>
                <w:sz w:val="18"/>
                <w:szCs w:val="18"/>
                <w:color w:val="auto"/>
              </w:rPr>
            </w:pPr>
          </w:p>
        </w:tc>
        <w:tc>
          <w:tcPr>
            <w:tcW w:w="5600" w:type="dxa"/>
            <w:vAlign w:val="bottom"/>
          </w:tcPr>
          <w:p>
            <w:pPr>
              <w:spacing w:after="0"/>
              <w:rPr>
                <w:sz w:val="18"/>
                <w:szCs w:val="18"/>
                <w:color w:val="auto"/>
              </w:rPr>
            </w:pPr>
          </w:p>
        </w:tc>
      </w:tr>
      <w:tr>
        <w:trPr>
          <w:trHeight w:val="217"/>
        </w:trPr>
        <w:tc>
          <w:tcPr>
            <w:tcW w:w="5200" w:type="dxa"/>
            <w:vAlign w:val="bottom"/>
            <w:shd w:val="clear" w:color="auto" w:fill="CFF0FC"/>
          </w:tcPr>
          <w:p>
            <w:pPr>
              <w:jc w:val="center"/>
              <w:spacing w:after="0" w:line="216" w:lineRule="exact"/>
              <w:rPr>
                <w:sz w:val="20"/>
                <w:szCs w:val="20"/>
                <w:color w:val="auto"/>
              </w:rPr>
            </w:pPr>
            <w:r>
              <w:rPr>
                <w:rFonts w:ascii="Calibri" w:cs="Calibri" w:eastAsia="Calibri" w:hAnsi="Calibri"/>
                <w:sz w:val="18"/>
                <w:szCs w:val="18"/>
                <w:color w:val="auto"/>
                <w:w w:val="97"/>
              </w:rPr>
              <w:t>Vancouver, Canada</w:t>
            </w:r>
          </w:p>
        </w:tc>
        <w:tc>
          <w:tcPr>
            <w:tcW w:w="320" w:type="dxa"/>
            <w:vAlign w:val="bottom"/>
            <w:shd w:val="clear" w:color="auto" w:fill="CFF0FC"/>
          </w:tcPr>
          <w:p>
            <w:pPr>
              <w:spacing w:after="0"/>
              <w:rPr>
                <w:sz w:val="18"/>
                <w:szCs w:val="18"/>
                <w:color w:val="auto"/>
              </w:rPr>
            </w:pPr>
          </w:p>
        </w:tc>
        <w:tc>
          <w:tcPr>
            <w:tcW w:w="5600" w:type="dxa"/>
            <w:vAlign w:val="bottom"/>
            <w:shd w:val="clear" w:color="auto" w:fill="CFF0FC"/>
          </w:tcPr>
          <w:p>
            <w:pPr>
              <w:spacing w:after="0"/>
              <w:rPr>
                <w:sz w:val="18"/>
                <w:szCs w:val="18"/>
                <w:color w:val="auto"/>
              </w:rPr>
            </w:pPr>
          </w:p>
        </w:tc>
      </w:tr>
      <w:tr>
        <w:trPr>
          <w:trHeight w:val="215"/>
        </w:trPr>
        <w:tc>
          <w:tcPr>
            <w:tcW w:w="5200" w:type="dxa"/>
            <w:vAlign w:val="bottom"/>
          </w:tcPr>
          <w:p>
            <w:pPr>
              <w:jc w:val="center"/>
              <w:spacing w:after="0" w:line="215" w:lineRule="exact"/>
              <w:rPr>
                <w:sz w:val="20"/>
                <w:szCs w:val="20"/>
                <w:color w:val="auto"/>
              </w:rPr>
            </w:pPr>
            <w:r>
              <w:rPr>
                <w:rFonts w:ascii="Calibri" w:cs="Calibri" w:eastAsia="Calibri" w:hAnsi="Calibri"/>
                <w:sz w:val="18"/>
                <w:szCs w:val="18"/>
                <w:color w:val="auto"/>
                <w:w w:val="96"/>
              </w:rPr>
              <w:t>Gunma, Japan</w:t>
            </w:r>
          </w:p>
        </w:tc>
        <w:tc>
          <w:tcPr>
            <w:tcW w:w="320" w:type="dxa"/>
            <w:vAlign w:val="bottom"/>
          </w:tcPr>
          <w:p>
            <w:pPr>
              <w:spacing w:after="0"/>
              <w:rPr>
                <w:sz w:val="18"/>
                <w:szCs w:val="18"/>
                <w:color w:val="auto"/>
              </w:rPr>
            </w:pPr>
          </w:p>
        </w:tc>
        <w:tc>
          <w:tcPr>
            <w:tcW w:w="5600" w:type="dxa"/>
            <w:vAlign w:val="bottom"/>
          </w:tcPr>
          <w:p>
            <w:pPr>
              <w:spacing w:after="0"/>
              <w:rPr>
                <w:sz w:val="18"/>
                <w:szCs w:val="18"/>
                <w:color w:val="auto"/>
              </w:rPr>
            </w:pPr>
          </w:p>
        </w:tc>
      </w:tr>
      <w:tr>
        <w:trPr>
          <w:trHeight w:val="217"/>
        </w:trPr>
        <w:tc>
          <w:tcPr>
            <w:tcW w:w="5200" w:type="dxa"/>
            <w:vAlign w:val="bottom"/>
            <w:shd w:val="clear" w:color="auto" w:fill="CFF0FC"/>
          </w:tcPr>
          <w:p>
            <w:pPr>
              <w:jc w:val="center"/>
              <w:spacing w:after="0" w:line="216" w:lineRule="exact"/>
              <w:rPr>
                <w:sz w:val="20"/>
                <w:szCs w:val="20"/>
                <w:color w:val="auto"/>
              </w:rPr>
            </w:pPr>
            <w:r>
              <w:rPr>
                <w:rFonts w:ascii="Calibri" w:cs="Calibri" w:eastAsia="Calibri" w:hAnsi="Calibri"/>
                <w:sz w:val="18"/>
                <w:szCs w:val="18"/>
                <w:color w:val="auto"/>
                <w:w w:val="96"/>
              </w:rPr>
              <w:t>Shanghai, China</w:t>
            </w:r>
          </w:p>
        </w:tc>
        <w:tc>
          <w:tcPr>
            <w:tcW w:w="320" w:type="dxa"/>
            <w:vAlign w:val="bottom"/>
            <w:shd w:val="clear" w:color="auto" w:fill="CFF0FC"/>
          </w:tcPr>
          <w:p>
            <w:pPr>
              <w:spacing w:after="0"/>
              <w:rPr>
                <w:sz w:val="18"/>
                <w:szCs w:val="18"/>
                <w:color w:val="auto"/>
              </w:rPr>
            </w:pPr>
          </w:p>
        </w:tc>
        <w:tc>
          <w:tcPr>
            <w:tcW w:w="5600" w:type="dxa"/>
            <w:vAlign w:val="bottom"/>
            <w:shd w:val="clear" w:color="auto" w:fill="CFF0FC"/>
          </w:tcPr>
          <w:p>
            <w:pPr>
              <w:spacing w:after="0"/>
              <w:rPr>
                <w:sz w:val="18"/>
                <w:szCs w:val="18"/>
                <w:color w:val="auto"/>
              </w:rPr>
            </w:pPr>
          </w:p>
        </w:tc>
      </w:tr>
    </w:tbl>
    <w:p>
      <w:pPr>
        <w:spacing w:after="0" w:line="189" w:lineRule="exact"/>
        <w:rPr>
          <w:sz w:val="20"/>
          <w:szCs w:val="20"/>
          <w:color w:val="auto"/>
        </w:rPr>
      </w:pPr>
    </w:p>
    <w:p>
      <w:pPr>
        <w:spacing w:after="0"/>
        <w:rPr>
          <w:sz w:val="20"/>
          <w:szCs w:val="20"/>
          <w:color w:val="auto"/>
        </w:rPr>
      </w:pPr>
      <w:r>
        <w:rPr>
          <w:rFonts w:ascii="Calibri" w:cs="Calibri" w:eastAsia="Calibri" w:hAnsi="Calibri"/>
          <w:sz w:val="18"/>
          <w:szCs w:val="18"/>
          <w:color w:val="auto"/>
        </w:rPr>
        <w:t>Regional distributon centers are located in various places within and outside of the United States.</w:t>
      </w:r>
    </w:p>
    <w:p>
      <w:pPr>
        <w:spacing w:after="0" w:line="177"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Research and development is headquartered at the Kodak Research Laboratories which is part of the Eastman Business Park in Rochester, New York, where Kodak conducts research and fles patent applicatons for fundamental inventons. Eastman Business Park is a more than 1,200-acre innovaton and manufacturing hub, which features a comprehensive set of technology, transportaton and utlity infrastructure assets. The complex features an on-site rail and wastewater treatment facility and manufacturing, distributon, lab and ofce space. Kodak owns over 600 acres of Eastman Business Park with the other 600 acres owned by unrelated third partes. Kodak uses and leases out its space at Eastman Business Park as part of its strategy of adaptve and efectve reuse of infrastructure, services, buildings and land.</w:t>
      </w:r>
    </w:p>
    <w:p>
      <w:pPr>
        <w:spacing w:after="0" w:line="176"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8" w:name="page29"/>
    <w:bookmarkEnd w:id="28"/>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280"/>
        <w:spacing w:after="0" w:line="235" w:lineRule="auto"/>
        <w:rPr>
          <w:sz w:val="20"/>
          <w:szCs w:val="20"/>
          <w:color w:val="auto"/>
        </w:rPr>
      </w:pPr>
      <w:r>
        <w:rPr>
          <w:rFonts w:ascii="Calibri" w:cs="Calibri" w:eastAsia="Calibri" w:hAnsi="Calibri"/>
          <w:sz w:val="18"/>
          <w:szCs w:val="18"/>
          <w:color w:val="auto"/>
        </w:rPr>
        <w:t>Other U.S. research and development groups are located in Dayton, Ohio and Columbus, Georgia. Outside the U.S., research and development groups are located in Canada, Israel, Germany, Japan and China. The research and development groups work in close cooperaton with manufacturing units and marketng organizatons to develop new products and applicatons to serve both existng and new markets.</w:t>
      </w:r>
    </w:p>
    <w:p>
      <w:pPr>
        <w:spacing w:after="0" w:line="173" w:lineRule="exact"/>
        <w:rPr>
          <w:sz w:val="20"/>
          <w:szCs w:val="20"/>
          <w:color w:val="auto"/>
        </w:rPr>
      </w:pPr>
    </w:p>
    <w:p>
      <w:pPr>
        <w:spacing w:after="0"/>
        <w:rPr>
          <w:sz w:val="20"/>
          <w:szCs w:val="20"/>
          <w:color w:val="auto"/>
        </w:rPr>
      </w:pPr>
      <w:r>
        <w:rPr>
          <w:rFonts w:ascii="Calibri" w:cs="Calibri" w:eastAsia="Calibri" w:hAnsi="Calibri"/>
          <w:sz w:val="18"/>
          <w:szCs w:val="18"/>
          <w:color w:val="auto"/>
        </w:rPr>
        <w:t>Kodak has excess capacity in some locatons. Kodak is pursuing the monetzaton of its excess capacity by selling or leasing the associated propertes.</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3. LEGAL PROCEEDINGS</w:t>
      </w:r>
    </w:p>
    <w:p>
      <w:pPr>
        <w:spacing w:after="0" w:line="190" w:lineRule="exact"/>
        <w:rPr>
          <w:sz w:val="20"/>
          <w:szCs w:val="20"/>
          <w:color w:val="auto"/>
        </w:rPr>
      </w:pPr>
    </w:p>
    <w:p>
      <w:pPr>
        <w:ind w:right="1100"/>
        <w:spacing w:after="0" w:line="235" w:lineRule="auto"/>
        <w:rPr>
          <w:sz w:val="20"/>
          <w:szCs w:val="20"/>
          <w:color w:val="auto"/>
        </w:rPr>
      </w:pPr>
      <w:r>
        <w:rPr>
          <w:rFonts w:ascii="Calibri" w:cs="Calibri" w:eastAsia="Calibri" w:hAnsi="Calibri"/>
          <w:sz w:val="18"/>
          <w:szCs w:val="18"/>
          <w:color w:val="auto"/>
        </w:rPr>
        <w:t>See Note 11, “Commitments and Contngencies” in the Notes to the Financial Statements included in Part II, Item 8, “Financial Statements and Supplementary Data” for informaton regarding certain legal proceedings in which Kodak is involved.</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4. MINE SAFETY DISCLOSURES</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color w:val="auto"/>
        </w:rPr>
        <w:t>None.</w:t>
      </w:r>
    </w:p>
    <w:p>
      <w:pPr>
        <w:spacing w:after="0" w:line="18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INFORMATION ABOUT OUR EXECUTIVE OFFICERS</w:t>
      </w:r>
    </w:p>
    <w:p>
      <w:pPr>
        <w:spacing w:after="0" w:line="177" w:lineRule="exact"/>
        <w:rPr>
          <w:sz w:val="20"/>
          <w:szCs w:val="20"/>
          <w:color w:val="auto"/>
        </w:rPr>
      </w:pPr>
    </w:p>
    <w:p>
      <w:pPr>
        <w:ind w:right="280"/>
        <w:spacing w:after="0" w:line="235" w:lineRule="auto"/>
        <w:rPr>
          <w:sz w:val="20"/>
          <w:szCs w:val="20"/>
          <w:color w:val="auto"/>
        </w:rPr>
      </w:pPr>
      <w:r>
        <w:rPr>
          <w:rFonts w:ascii="Calibri" w:cs="Calibri" w:eastAsia="Calibri" w:hAnsi="Calibri"/>
          <w:sz w:val="18"/>
          <w:szCs w:val="18"/>
          <w:color w:val="auto"/>
        </w:rPr>
        <w:t>Pursuant to General Instructons G (3) of Form 10-K, the following list is included as an unnumbered item in Part I of this report in lieu of being included in the Proxy Statement for the Annual Meetng of Shareholders.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520" w:type="dxa"/>
            <w:vAlign w:val="bottom"/>
          </w:tcPr>
          <w:p>
            <w:pPr>
              <w:ind w:left="20"/>
              <w:spacing w:after="0"/>
              <w:rPr>
                <w:sz w:val="20"/>
                <w:szCs w:val="20"/>
                <w:color w:val="auto"/>
              </w:rPr>
            </w:pPr>
            <w:r>
              <w:rPr>
                <w:rFonts w:ascii="Calibri" w:cs="Calibri" w:eastAsia="Calibri" w:hAnsi="Calibri"/>
                <w:sz w:val="18"/>
                <w:szCs w:val="18"/>
                <w:b w:val="1"/>
                <w:bCs w:val="1"/>
                <w:color w:val="auto"/>
              </w:rPr>
              <w:t>Name</w:t>
            </w:r>
          </w:p>
        </w:tc>
        <w:tc>
          <w:tcPr>
            <w:tcW w:w="1680" w:type="dxa"/>
            <w:vAlign w:val="bottom"/>
          </w:tcPr>
          <w:p>
            <w:pPr>
              <w:jc w:val="center"/>
              <w:ind w:left="590"/>
              <w:spacing w:after="0"/>
              <w:rPr>
                <w:sz w:val="20"/>
                <w:szCs w:val="20"/>
                <w:color w:val="auto"/>
              </w:rPr>
            </w:pPr>
            <w:r>
              <w:rPr>
                <w:rFonts w:ascii="Calibri" w:cs="Calibri" w:eastAsia="Calibri" w:hAnsi="Calibri"/>
                <w:sz w:val="18"/>
                <w:szCs w:val="18"/>
                <w:b w:val="1"/>
                <w:bCs w:val="1"/>
                <w:color w:val="auto"/>
                <w:w w:val="98"/>
              </w:rPr>
              <w:t>Age</w:t>
            </w:r>
          </w:p>
        </w:tc>
        <w:tc>
          <w:tcPr>
            <w:tcW w:w="7040" w:type="dxa"/>
            <w:vAlign w:val="bottom"/>
          </w:tcPr>
          <w:p>
            <w:pPr>
              <w:ind w:left="3160"/>
              <w:spacing w:after="0"/>
              <w:rPr>
                <w:sz w:val="20"/>
                <w:szCs w:val="20"/>
                <w:color w:val="auto"/>
              </w:rPr>
            </w:pPr>
            <w:r>
              <w:rPr>
                <w:rFonts w:ascii="Calibri" w:cs="Calibri" w:eastAsia="Calibri" w:hAnsi="Calibri"/>
                <w:sz w:val="18"/>
                <w:szCs w:val="18"/>
                <w:b w:val="1"/>
                <w:bCs w:val="1"/>
                <w:color w:val="auto"/>
              </w:rPr>
              <w:t>Positons Held</w:t>
            </w:r>
          </w:p>
        </w:tc>
      </w:tr>
      <w:tr>
        <w:trPr>
          <w:trHeight w:val="23"/>
        </w:trPr>
        <w:tc>
          <w:tcPr>
            <w:tcW w:w="25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7040" w:type="dxa"/>
            <w:vAlign w:val="bottom"/>
          </w:tcPr>
          <w:p>
            <w:pPr>
              <w:spacing w:after="0"/>
              <w:rPr>
                <w:sz w:val="2"/>
                <w:szCs w:val="2"/>
                <w:color w:val="auto"/>
              </w:rPr>
            </w:pPr>
          </w:p>
        </w:tc>
      </w:tr>
      <w:tr>
        <w:trPr>
          <w:trHeight w:val="216"/>
        </w:trPr>
        <w:tc>
          <w:tcPr>
            <w:tcW w:w="2520" w:type="dxa"/>
            <w:vAlign w:val="bottom"/>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James V. Contnenza</w:t>
            </w:r>
          </w:p>
        </w:tc>
        <w:tc>
          <w:tcPr>
            <w:tcW w:w="1680" w:type="dxa"/>
            <w:vAlign w:val="bottom"/>
            <w:shd w:val="clear" w:color="auto" w:fill="CFF0FC"/>
          </w:tcPr>
          <w:p>
            <w:pPr>
              <w:jc w:val="center"/>
              <w:ind w:left="610"/>
              <w:spacing w:after="0" w:line="215" w:lineRule="exact"/>
              <w:rPr>
                <w:sz w:val="20"/>
                <w:szCs w:val="20"/>
                <w:color w:val="auto"/>
              </w:rPr>
            </w:pPr>
            <w:r>
              <w:rPr>
                <w:rFonts w:ascii="Calibri" w:cs="Calibri" w:eastAsia="Calibri" w:hAnsi="Calibri"/>
                <w:sz w:val="18"/>
                <w:szCs w:val="18"/>
                <w:color w:val="auto"/>
                <w:w w:val="98"/>
              </w:rPr>
              <w:t>62</w:t>
            </w:r>
          </w:p>
        </w:tc>
        <w:tc>
          <w:tcPr>
            <w:tcW w:w="7040" w:type="dxa"/>
            <w:vAlign w:val="bottom"/>
            <w:shd w:val="clear" w:color="auto" w:fill="CFF0FC"/>
          </w:tcPr>
          <w:p>
            <w:pPr>
              <w:ind w:left="340"/>
              <w:spacing w:after="0" w:line="215" w:lineRule="exact"/>
              <w:rPr>
                <w:sz w:val="20"/>
                <w:szCs w:val="20"/>
                <w:color w:val="auto"/>
              </w:rPr>
            </w:pPr>
            <w:r>
              <w:rPr>
                <w:rFonts w:ascii="Calibri" w:cs="Calibri" w:eastAsia="Calibri" w:hAnsi="Calibri"/>
                <w:sz w:val="18"/>
                <w:szCs w:val="18"/>
                <w:color w:val="auto"/>
              </w:rPr>
              <w:t>Executve Chairman and Chief Executve Ofcer</w:t>
            </w:r>
          </w:p>
        </w:tc>
      </w:tr>
      <w:tr>
        <w:trPr>
          <w:trHeight w:val="215"/>
        </w:trPr>
        <w:tc>
          <w:tcPr>
            <w:tcW w:w="2520" w:type="dxa"/>
            <w:vAlign w:val="bottom"/>
          </w:tcPr>
          <w:p>
            <w:pPr>
              <w:ind w:left="20"/>
              <w:spacing w:after="0" w:line="215" w:lineRule="exact"/>
              <w:rPr>
                <w:sz w:val="20"/>
                <w:szCs w:val="20"/>
                <w:color w:val="auto"/>
              </w:rPr>
            </w:pPr>
            <w:r>
              <w:rPr>
                <w:rFonts w:ascii="Calibri" w:cs="Calibri" w:eastAsia="Calibri" w:hAnsi="Calibri"/>
                <w:sz w:val="18"/>
                <w:szCs w:val="18"/>
                <w:color w:val="auto"/>
              </w:rPr>
              <w:t>David E. Bullwinkle</w:t>
            </w:r>
          </w:p>
        </w:tc>
        <w:tc>
          <w:tcPr>
            <w:tcW w:w="1680" w:type="dxa"/>
            <w:vAlign w:val="bottom"/>
          </w:tcPr>
          <w:p>
            <w:pPr>
              <w:jc w:val="center"/>
              <w:ind w:left="610"/>
              <w:spacing w:after="0" w:line="215" w:lineRule="exact"/>
              <w:rPr>
                <w:sz w:val="20"/>
                <w:szCs w:val="20"/>
                <w:color w:val="auto"/>
              </w:rPr>
            </w:pPr>
            <w:r>
              <w:rPr>
                <w:rFonts w:ascii="Calibri" w:cs="Calibri" w:eastAsia="Calibri" w:hAnsi="Calibri"/>
                <w:sz w:val="18"/>
                <w:szCs w:val="18"/>
                <w:color w:val="auto"/>
                <w:w w:val="98"/>
              </w:rPr>
              <w:t>50</w:t>
            </w:r>
          </w:p>
        </w:tc>
        <w:tc>
          <w:tcPr>
            <w:tcW w:w="7040" w:type="dxa"/>
            <w:vAlign w:val="bottom"/>
          </w:tcPr>
          <w:p>
            <w:pPr>
              <w:ind w:left="340"/>
              <w:spacing w:after="0" w:line="215" w:lineRule="exact"/>
              <w:rPr>
                <w:sz w:val="20"/>
                <w:szCs w:val="20"/>
                <w:color w:val="auto"/>
              </w:rPr>
            </w:pPr>
            <w:r>
              <w:rPr>
                <w:rFonts w:ascii="Calibri" w:cs="Calibri" w:eastAsia="Calibri" w:hAnsi="Calibri"/>
                <w:sz w:val="18"/>
                <w:szCs w:val="18"/>
                <w:color w:val="auto"/>
              </w:rPr>
              <w:t>Chief Financial Ofcer and Senior Vice President</w:t>
            </w:r>
          </w:p>
        </w:tc>
      </w:tr>
      <w:tr>
        <w:trPr>
          <w:trHeight w:val="217"/>
        </w:trPr>
        <w:tc>
          <w:tcPr>
            <w:tcW w:w="252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Roger W. Byrd</w:t>
            </w:r>
          </w:p>
        </w:tc>
        <w:tc>
          <w:tcPr>
            <w:tcW w:w="1680" w:type="dxa"/>
            <w:vAlign w:val="bottom"/>
            <w:shd w:val="clear" w:color="auto" w:fill="CFF0FC"/>
          </w:tcPr>
          <w:p>
            <w:pPr>
              <w:jc w:val="center"/>
              <w:ind w:left="610"/>
              <w:spacing w:after="0" w:line="216" w:lineRule="exact"/>
              <w:rPr>
                <w:sz w:val="20"/>
                <w:szCs w:val="20"/>
                <w:color w:val="auto"/>
              </w:rPr>
            </w:pPr>
            <w:r>
              <w:rPr>
                <w:rFonts w:ascii="Calibri" w:cs="Calibri" w:eastAsia="Calibri" w:hAnsi="Calibri"/>
                <w:sz w:val="18"/>
                <w:szCs w:val="18"/>
                <w:color w:val="auto"/>
                <w:w w:val="98"/>
              </w:rPr>
              <w:t>59</w:t>
            </w:r>
          </w:p>
        </w:tc>
        <w:tc>
          <w:tcPr>
            <w:tcW w:w="7040" w:type="dxa"/>
            <w:vAlign w:val="bottom"/>
            <w:shd w:val="clear" w:color="auto" w:fill="CFF0FC"/>
          </w:tcPr>
          <w:p>
            <w:pPr>
              <w:ind w:left="340"/>
              <w:spacing w:after="0" w:line="216" w:lineRule="exact"/>
              <w:rPr>
                <w:sz w:val="20"/>
                <w:szCs w:val="20"/>
                <w:color w:val="auto"/>
              </w:rPr>
            </w:pPr>
            <w:r>
              <w:rPr>
                <w:rFonts w:ascii="Calibri" w:cs="Calibri" w:eastAsia="Calibri" w:hAnsi="Calibri"/>
                <w:sz w:val="18"/>
                <w:szCs w:val="18"/>
                <w:color w:val="auto"/>
              </w:rPr>
              <w:t>General Counsel, Secretary and Senior Vice President</w:t>
            </w:r>
          </w:p>
        </w:tc>
      </w:tr>
      <w:tr>
        <w:trPr>
          <w:trHeight w:val="215"/>
        </w:trPr>
        <w:tc>
          <w:tcPr>
            <w:tcW w:w="2520" w:type="dxa"/>
            <w:vAlign w:val="bottom"/>
          </w:tcPr>
          <w:p>
            <w:pPr>
              <w:ind w:left="20"/>
              <w:spacing w:after="0" w:line="215" w:lineRule="exact"/>
              <w:rPr>
                <w:sz w:val="20"/>
                <w:szCs w:val="20"/>
                <w:color w:val="auto"/>
              </w:rPr>
            </w:pPr>
            <w:r>
              <w:rPr>
                <w:rFonts w:ascii="Calibri" w:cs="Calibri" w:eastAsia="Calibri" w:hAnsi="Calibri"/>
                <w:sz w:val="18"/>
                <w:szCs w:val="18"/>
                <w:color w:val="auto"/>
              </w:rPr>
              <w:t>Richard T. Michaels</w:t>
            </w:r>
          </w:p>
        </w:tc>
        <w:tc>
          <w:tcPr>
            <w:tcW w:w="1680" w:type="dxa"/>
            <w:vAlign w:val="bottom"/>
          </w:tcPr>
          <w:p>
            <w:pPr>
              <w:jc w:val="center"/>
              <w:ind w:left="610"/>
              <w:spacing w:after="0" w:line="215" w:lineRule="exact"/>
              <w:rPr>
                <w:sz w:val="20"/>
                <w:szCs w:val="20"/>
                <w:color w:val="auto"/>
              </w:rPr>
            </w:pPr>
            <w:r>
              <w:rPr>
                <w:rFonts w:ascii="Calibri" w:cs="Calibri" w:eastAsia="Calibri" w:hAnsi="Calibri"/>
                <w:sz w:val="18"/>
                <w:szCs w:val="18"/>
                <w:color w:val="auto"/>
                <w:w w:val="98"/>
              </w:rPr>
              <w:t>51</w:t>
            </w:r>
          </w:p>
        </w:tc>
        <w:tc>
          <w:tcPr>
            <w:tcW w:w="7040" w:type="dxa"/>
            <w:vAlign w:val="bottom"/>
          </w:tcPr>
          <w:p>
            <w:pPr>
              <w:ind w:left="340"/>
              <w:spacing w:after="0" w:line="215" w:lineRule="exact"/>
              <w:rPr>
                <w:sz w:val="20"/>
                <w:szCs w:val="20"/>
                <w:color w:val="auto"/>
              </w:rPr>
            </w:pPr>
            <w:r>
              <w:rPr>
                <w:rFonts w:ascii="Calibri" w:cs="Calibri" w:eastAsia="Calibri" w:hAnsi="Calibri"/>
                <w:sz w:val="18"/>
                <w:szCs w:val="18"/>
                <w:color w:val="auto"/>
              </w:rPr>
              <w:t>Chief Accountng Ofcer and Corporate Controller</w:t>
            </w:r>
          </w:p>
        </w:tc>
      </w:tr>
      <w:tr>
        <w:trPr>
          <w:trHeight w:val="194"/>
        </w:trPr>
        <w:tc>
          <w:tcPr>
            <w:tcW w:w="2520" w:type="dxa"/>
            <w:vAlign w:val="bottom"/>
            <w:shd w:val="clear" w:color="auto" w:fill="CFF0FC"/>
          </w:tcPr>
          <w:p>
            <w:pPr>
              <w:spacing w:after="0"/>
              <w:rPr>
                <w:sz w:val="16"/>
                <w:szCs w:val="16"/>
                <w:color w:val="auto"/>
              </w:rPr>
            </w:pPr>
          </w:p>
        </w:tc>
        <w:tc>
          <w:tcPr>
            <w:tcW w:w="1680" w:type="dxa"/>
            <w:vAlign w:val="bottom"/>
            <w:shd w:val="clear" w:color="auto" w:fill="CFF0FC"/>
          </w:tcPr>
          <w:p>
            <w:pPr>
              <w:spacing w:after="0"/>
              <w:rPr>
                <w:sz w:val="16"/>
                <w:szCs w:val="16"/>
                <w:color w:val="auto"/>
              </w:rPr>
            </w:pPr>
          </w:p>
        </w:tc>
        <w:tc>
          <w:tcPr>
            <w:tcW w:w="7040" w:type="dxa"/>
            <w:vAlign w:val="bottom"/>
            <w:shd w:val="clear" w:color="auto" w:fill="CFF0FC"/>
          </w:tcPr>
          <w:p>
            <w:pPr>
              <w:ind w:left="340"/>
              <w:spacing w:after="0" w:line="194" w:lineRule="exact"/>
              <w:rPr>
                <w:sz w:val="20"/>
                <w:szCs w:val="20"/>
                <w:color w:val="auto"/>
              </w:rPr>
            </w:pPr>
            <w:r>
              <w:rPr>
                <w:rFonts w:ascii="Calibri" w:cs="Calibri" w:eastAsia="Calibri" w:hAnsi="Calibri"/>
                <w:sz w:val="18"/>
                <w:szCs w:val="18"/>
                <w:color w:val="auto"/>
              </w:rPr>
              <w:t>Chief Technical Ofcer, Vice President,</w:t>
            </w:r>
          </w:p>
        </w:tc>
      </w:tr>
      <w:tr>
        <w:trPr>
          <w:trHeight w:val="215"/>
        </w:trPr>
        <w:tc>
          <w:tcPr>
            <w:tcW w:w="2520" w:type="dxa"/>
            <w:vAlign w:val="bottom"/>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Terry R. Taber</w:t>
            </w:r>
          </w:p>
        </w:tc>
        <w:tc>
          <w:tcPr>
            <w:tcW w:w="1680" w:type="dxa"/>
            <w:vAlign w:val="bottom"/>
            <w:shd w:val="clear" w:color="auto" w:fill="CFF0FC"/>
          </w:tcPr>
          <w:p>
            <w:pPr>
              <w:jc w:val="center"/>
              <w:ind w:left="610"/>
              <w:spacing w:after="0" w:line="215" w:lineRule="exact"/>
              <w:rPr>
                <w:sz w:val="20"/>
                <w:szCs w:val="20"/>
                <w:color w:val="auto"/>
              </w:rPr>
            </w:pPr>
            <w:r>
              <w:rPr>
                <w:rFonts w:ascii="Calibri" w:cs="Calibri" w:eastAsia="Calibri" w:hAnsi="Calibri"/>
                <w:sz w:val="18"/>
                <w:szCs w:val="18"/>
                <w:color w:val="auto"/>
                <w:w w:val="98"/>
              </w:rPr>
              <w:t>70</w:t>
            </w:r>
          </w:p>
        </w:tc>
        <w:tc>
          <w:tcPr>
            <w:tcW w:w="7040" w:type="dxa"/>
            <w:vAlign w:val="bottom"/>
            <w:shd w:val="clear" w:color="auto" w:fill="CFF0FC"/>
          </w:tcPr>
          <w:p>
            <w:pPr>
              <w:ind w:left="340"/>
              <w:spacing w:after="0" w:line="215" w:lineRule="exact"/>
              <w:rPr>
                <w:sz w:val="20"/>
                <w:szCs w:val="20"/>
                <w:color w:val="auto"/>
              </w:rPr>
            </w:pPr>
            <w:r>
              <w:rPr>
                <w:rFonts w:ascii="Calibri" w:cs="Calibri" w:eastAsia="Calibri" w:hAnsi="Calibri"/>
                <w:sz w:val="18"/>
                <w:szCs w:val="18"/>
                <w:color w:val="auto"/>
              </w:rPr>
              <w:t>Senior Vice President Advanced Materials and Chemicals</w:t>
            </w:r>
          </w:p>
        </w:tc>
      </w:tr>
      <w:tr>
        <w:trPr>
          <w:trHeight w:val="23"/>
        </w:trPr>
        <w:tc>
          <w:tcPr>
            <w:tcW w:w="2520" w:type="dxa"/>
            <w:vAlign w:val="bottom"/>
            <w:shd w:val="clear" w:color="auto" w:fill="CFF0FC"/>
          </w:tcPr>
          <w:p>
            <w:pPr>
              <w:spacing w:after="0"/>
              <w:rPr>
                <w:sz w:val="2"/>
                <w:szCs w:val="2"/>
                <w:color w:val="auto"/>
              </w:rPr>
            </w:pPr>
          </w:p>
        </w:tc>
        <w:tc>
          <w:tcPr>
            <w:tcW w:w="1680" w:type="dxa"/>
            <w:vAlign w:val="bottom"/>
            <w:shd w:val="clear" w:color="auto" w:fill="CFF0FC"/>
          </w:tcPr>
          <w:p>
            <w:pPr>
              <w:spacing w:after="0"/>
              <w:rPr>
                <w:sz w:val="2"/>
                <w:szCs w:val="2"/>
                <w:color w:val="auto"/>
              </w:rPr>
            </w:pPr>
          </w:p>
        </w:tc>
        <w:tc>
          <w:tcPr>
            <w:tcW w:w="7040" w:type="dxa"/>
            <w:vAlign w:val="bottom"/>
            <w:shd w:val="clear" w:color="auto" w:fill="CFF0FC"/>
          </w:tcPr>
          <w:p>
            <w:pPr>
              <w:spacing w:after="0"/>
              <w:rPr>
                <w:sz w:val="2"/>
                <w:szCs w:val="2"/>
                <w:color w:val="auto"/>
              </w:rPr>
            </w:pPr>
          </w:p>
        </w:tc>
      </w:tr>
    </w:tbl>
    <w:p>
      <w:pPr>
        <w:spacing w:after="0" w:line="189" w:lineRule="exact"/>
        <w:rPr>
          <w:sz w:val="20"/>
          <w:szCs w:val="20"/>
          <w:color w:val="auto"/>
        </w:rPr>
      </w:pPr>
    </w:p>
    <w:p>
      <w:pPr>
        <w:spacing w:after="0"/>
        <w:rPr>
          <w:sz w:val="20"/>
          <w:szCs w:val="20"/>
          <w:color w:val="auto"/>
        </w:rPr>
      </w:pPr>
      <w:r>
        <w:rPr>
          <w:rFonts w:ascii="Calibri" w:cs="Calibri" w:eastAsia="Calibri" w:hAnsi="Calibri"/>
          <w:sz w:val="18"/>
          <w:szCs w:val="18"/>
          <w:color w:val="auto"/>
        </w:rPr>
        <w:t>The executve ofcers' biographies follow:</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James V. Contnenza</w:t>
      </w:r>
    </w:p>
    <w:p>
      <w:pPr>
        <w:spacing w:after="0" w:line="190" w:lineRule="exact"/>
        <w:rPr>
          <w:sz w:val="20"/>
          <w:szCs w:val="20"/>
          <w:color w:val="auto"/>
        </w:rPr>
      </w:pPr>
    </w:p>
    <w:p>
      <w:pPr>
        <w:ind w:right="320"/>
        <w:spacing w:after="0" w:line="235" w:lineRule="auto"/>
        <w:rPr>
          <w:sz w:val="20"/>
          <w:szCs w:val="20"/>
          <w:color w:val="auto"/>
        </w:rPr>
      </w:pPr>
      <w:r>
        <w:rPr>
          <w:rFonts w:ascii="Calibri" w:cs="Calibri" w:eastAsia="Calibri" w:hAnsi="Calibri"/>
          <w:sz w:val="18"/>
          <w:szCs w:val="18"/>
          <w:color w:val="auto"/>
        </w:rPr>
        <w:t>James V. Contnenza leads the transformaton of Kodak as Executve Chairman and Chief Executve Ofcer. He was appointed by the Board as Executve Chairman in February 2019 and as Chief Executve Ofcer in July 2020. Contnenza joined the Board of Kodak in April 2013 and became Chairman of the Board in September 2013. Contnenza served as the Chairman and Chief Executve Ofcer of Vivial Inc., a privately held marketng technology and communicatons company from September 2012 through June 2021, and served as Chairman and Chief Executve Ofcer of Vivial Media LLC, a porton of Vivial Inc. remaining afer a partal sale, from June 2021 to January 2022.</w:t>
      </w:r>
    </w:p>
    <w:p>
      <w:pPr>
        <w:spacing w:after="0" w:line="180" w:lineRule="exact"/>
        <w:rPr>
          <w:sz w:val="20"/>
          <w:szCs w:val="20"/>
          <w:color w:val="auto"/>
        </w:rPr>
      </w:pPr>
    </w:p>
    <w:p>
      <w:pPr>
        <w:ind w:right="60"/>
        <w:spacing w:after="0" w:line="251" w:lineRule="auto"/>
        <w:rPr>
          <w:sz w:val="20"/>
          <w:szCs w:val="20"/>
          <w:color w:val="auto"/>
        </w:rPr>
      </w:pPr>
      <w:r>
        <w:rPr>
          <w:rFonts w:ascii="Calibri" w:cs="Calibri" w:eastAsia="Calibri" w:hAnsi="Calibri"/>
          <w:sz w:val="17"/>
          <w:szCs w:val="17"/>
          <w:color w:val="auto"/>
        </w:rPr>
        <w:t>In additon to his management experience, Contnenza serves and has served on the boards of directors of a number of public and private companies. Contnenza served on the board of directors of NII Holdings, Inc. (Nasdaq: NIHD), the holding company for Nextel Brazil, a wireless communicaton services provider, from August 2015 to August 2019. Among other private company boards, Contnenza currently serves on the board of directors of Wildcat Discovery Technologies, Inc. (“Wildcat”), a private technology company that uses proprietary methods to research and develop new batery materials. Contnenza was appointed to the board of Wildcat as the Company’s designee in connecton with the Company’s purchase of preferred securites of Wildcat.</w:t>
      </w:r>
    </w:p>
    <w:p>
      <w:pPr>
        <w:spacing w:after="0" w:line="170" w:lineRule="exact"/>
        <w:rPr>
          <w:sz w:val="20"/>
          <w:szCs w:val="20"/>
          <w:color w:val="auto"/>
        </w:rPr>
      </w:pPr>
    </w:p>
    <w:p>
      <w:pPr>
        <w:ind w:right="440"/>
        <w:spacing w:after="0" w:line="235" w:lineRule="auto"/>
        <w:rPr>
          <w:sz w:val="20"/>
          <w:szCs w:val="20"/>
          <w:color w:val="auto"/>
        </w:rPr>
      </w:pPr>
      <w:r>
        <w:rPr>
          <w:rFonts w:ascii="Calibri" w:cs="Calibri" w:eastAsia="Calibri" w:hAnsi="Calibri"/>
          <w:sz w:val="18"/>
          <w:szCs w:val="18"/>
          <w:color w:val="auto"/>
        </w:rPr>
        <w:t>Previously, Contnenza served on the boards of directors of Datasite LLC (formerly known as Merrill Corporaton) from July 2013 to December 2020 and Cenveo Corporaton, an industry leader in transformatve publishing solutons, from September 2018 to September 2022.</w:t>
      </w:r>
    </w:p>
    <w:p>
      <w:pPr>
        <w:spacing w:after="0" w:line="18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David E. Bullwinkle</w:t>
      </w:r>
    </w:p>
    <w:p>
      <w:pPr>
        <w:spacing w:after="0" w:line="177" w:lineRule="exact"/>
        <w:rPr>
          <w:sz w:val="20"/>
          <w:szCs w:val="20"/>
          <w:color w:val="auto"/>
        </w:rPr>
      </w:pPr>
    </w:p>
    <w:p>
      <w:pPr>
        <w:ind w:right="540"/>
        <w:spacing w:after="0" w:line="235" w:lineRule="auto"/>
        <w:rPr>
          <w:sz w:val="20"/>
          <w:szCs w:val="20"/>
          <w:color w:val="auto"/>
        </w:rPr>
      </w:pPr>
      <w:r>
        <w:rPr>
          <w:rFonts w:ascii="Calibri" w:cs="Calibri" w:eastAsia="Calibri" w:hAnsi="Calibri"/>
          <w:sz w:val="18"/>
          <w:szCs w:val="18"/>
          <w:color w:val="auto"/>
        </w:rPr>
        <w:t>Dave Bullwinkle has been the Chief Financial Ofcer and Senior Vice President of Kodak since July 2016. Bullwinkle is responsible for leading Kodak's worldwide treasury, internal audit, controller and tax teams. Between November 2018 and July 2023, Bullwinkle held the role of President of Eastman Business Park where he was responsible for advancing the growth strategy for that business.</w:t>
      </w:r>
    </w:p>
    <w:p>
      <w:pPr>
        <w:spacing w:after="0" w:line="178" w:lineRule="exact"/>
        <w:rPr>
          <w:sz w:val="20"/>
          <w:szCs w:val="20"/>
          <w:color w:val="auto"/>
        </w:rPr>
      </w:pPr>
    </w:p>
    <w:p>
      <w:pPr>
        <w:ind w:right="380"/>
        <w:spacing w:after="0" w:line="235" w:lineRule="auto"/>
        <w:rPr>
          <w:sz w:val="20"/>
          <w:szCs w:val="20"/>
          <w:color w:val="auto"/>
        </w:rPr>
      </w:pPr>
      <w:r>
        <w:rPr>
          <w:rFonts w:ascii="Calibri" w:cs="Calibri" w:eastAsia="Calibri" w:hAnsi="Calibri"/>
          <w:sz w:val="18"/>
          <w:szCs w:val="18"/>
          <w:color w:val="auto"/>
        </w:rPr>
        <w:t>Bullwinkle joined Kodak in 2004 and has worked in several fnancial management roles at Kodak including Worldwide BU Controller, Assistant Corporate Controller and External Reportng Manager. He served as the Director of Corporate Financial Planning and</w:t>
      </w:r>
    </w:p>
    <w:p>
      <w:pPr>
        <w:spacing w:after="0" w:line="186"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311150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9" w:name="page30"/>
    <w:bookmarkEnd w:id="29"/>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alibri" w:cs="Calibri" w:eastAsia="Calibri" w:hAnsi="Calibri"/>
          <w:sz w:val="18"/>
          <w:szCs w:val="18"/>
          <w:color w:val="auto"/>
        </w:rPr>
        <w:t>Analysis and Vice President, Finance at Kodak from November 2010 to June 2016, and as Director of Investor Relatons from August 2013 to June 2016.</w:t>
      </w:r>
    </w:p>
    <w:p>
      <w:pPr>
        <w:spacing w:after="0" w:line="177" w:lineRule="exact"/>
        <w:rPr>
          <w:sz w:val="20"/>
          <w:szCs w:val="20"/>
          <w:color w:val="auto"/>
        </w:rPr>
      </w:pPr>
    </w:p>
    <w:p>
      <w:pPr>
        <w:ind w:right="360"/>
        <w:spacing w:after="0" w:line="235" w:lineRule="auto"/>
        <w:rPr>
          <w:sz w:val="20"/>
          <w:szCs w:val="20"/>
          <w:color w:val="auto"/>
        </w:rPr>
      </w:pPr>
      <w:r>
        <w:rPr>
          <w:rFonts w:ascii="Calibri" w:cs="Calibri" w:eastAsia="Calibri" w:hAnsi="Calibri"/>
          <w:sz w:val="18"/>
          <w:szCs w:val="18"/>
          <w:color w:val="auto"/>
        </w:rPr>
        <w:t>Prior to joining Kodak, Bullwinkle worked as the Manager of Financial Reportng at Birds Eye Foods, Inc. and previously at PricewaterhouseCoopers from 1996 to 2002 in various roles including serving as an Assurance Manager. Bullwinkle is a Certfed Public Accountant in the State of New York.</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Roger W. Byrd</w:t>
      </w:r>
    </w:p>
    <w:p>
      <w:pPr>
        <w:spacing w:after="0" w:line="190"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Roger Byrd was appointed General Counsel, Secretary and Senior Vice President of Kodak in January 2019. He is responsible for leading the Company's global legal functon and for providing legal guidance to senior leadership and the Board of Directors. Byrd also supports the Company with credit agreement compliance, securites reportng, corporate governance, M&amp;A and fnancing transactons, joint ventures, and other strategic initatves. Byrd joined Kodak in 2015 as Assistant General Counsel and Vice President, Legal Department.</w:t>
      </w:r>
    </w:p>
    <w:p>
      <w:pPr>
        <w:spacing w:after="0" w:line="179" w:lineRule="exact"/>
        <w:rPr>
          <w:sz w:val="20"/>
          <w:szCs w:val="20"/>
          <w:color w:val="auto"/>
        </w:rPr>
      </w:pPr>
    </w:p>
    <w:p>
      <w:pPr>
        <w:ind w:right="220"/>
        <w:spacing w:after="0" w:line="235" w:lineRule="auto"/>
        <w:rPr>
          <w:sz w:val="20"/>
          <w:szCs w:val="20"/>
          <w:color w:val="auto"/>
        </w:rPr>
      </w:pPr>
      <w:r>
        <w:rPr>
          <w:rFonts w:ascii="Calibri" w:cs="Calibri" w:eastAsia="Calibri" w:hAnsi="Calibri"/>
          <w:sz w:val="18"/>
          <w:szCs w:val="18"/>
          <w:color w:val="auto"/>
        </w:rPr>
        <w:t>Prior to joining Kodak, Byrd was a Partner at Nixon Peabody LLP. During his 23-year career at Nixon Peabody, he represented a broad range of clients in connecton with a variety of M&amp;A, fnancing and other corporate transactons. Byrd also served as General Counsel at Choice One Communicatons, Inc., a compettve local exchange carrier from 2005 – 2006.</w:t>
      </w:r>
    </w:p>
    <w:p>
      <w:pPr>
        <w:spacing w:after="0" w:line="17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Richard T. Michaels</w:t>
      </w:r>
    </w:p>
    <w:p>
      <w:pPr>
        <w:spacing w:after="0" w:line="190" w:lineRule="exact"/>
        <w:rPr>
          <w:sz w:val="20"/>
          <w:szCs w:val="20"/>
          <w:color w:val="auto"/>
        </w:rPr>
      </w:pPr>
    </w:p>
    <w:p>
      <w:pPr>
        <w:ind w:right="260"/>
        <w:spacing w:after="0" w:line="235" w:lineRule="auto"/>
        <w:rPr>
          <w:sz w:val="20"/>
          <w:szCs w:val="20"/>
          <w:color w:val="auto"/>
        </w:rPr>
      </w:pPr>
      <w:r>
        <w:rPr>
          <w:rFonts w:ascii="Calibri" w:cs="Calibri" w:eastAsia="Calibri" w:hAnsi="Calibri"/>
          <w:sz w:val="18"/>
          <w:szCs w:val="18"/>
          <w:color w:val="auto"/>
        </w:rPr>
        <w:t>Richard Michaels was appointed Chief Accountng Ofcer and Corporate Controller of Kodak in April 2021. From 2011 untl April 2021 Michaels served as Kodak’s Assistant Corporate Controller. Michaels joined Kodak in 2004 as Controller for the Graphics Communicatons Group and held several other controller positons at the Company prior to becoming the Assistant Corporate Controller.</w:t>
      </w:r>
    </w:p>
    <w:p>
      <w:pPr>
        <w:spacing w:after="0" w:line="178"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color w:val="auto"/>
        </w:rPr>
        <w:t>Prior to joining Kodak, Michaels held various positons at PricewaterhouseCoopers from 1995 to 2004. Michaels is a Certfed Public Accountant in the State of New York.</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Terry R. Taber, PhD</w:t>
      </w:r>
    </w:p>
    <w:p>
      <w:pPr>
        <w:spacing w:after="0" w:line="190"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Terry Taber has served as Kodak's Chief Technical Ofcer since January 2009. Efectve January 2020, he is a Senior Vice President of Advanced Materials and Chemicals.</w:t>
      </w:r>
    </w:p>
    <w:p>
      <w:pPr>
        <w:spacing w:after="0" w:line="177" w:lineRule="exact"/>
        <w:rPr>
          <w:sz w:val="20"/>
          <w:szCs w:val="20"/>
          <w:color w:val="auto"/>
        </w:rPr>
      </w:pPr>
    </w:p>
    <w:p>
      <w:pPr>
        <w:ind w:right="440"/>
        <w:spacing w:after="0" w:line="235" w:lineRule="auto"/>
        <w:rPr>
          <w:sz w:val="20"/>
          <w:szCs w:val="20"/>
          <w:color w:val="auto"/>
        </w:rPr>
      </w:pPr>
      <w:r>
        <w:rPr>
          <w:rFonts w:ascii="Calibri" w:cs="Calibri" w:eastAsia="Calibri" w:hAnsi="Calibri"/>
          <w:sz w:val="18"/>
          <w:szCs w:val="18"/>
          <w:color w:val="auto"/>
        </w:rPr>
        <w:t>From May 1, 2017 to January 2020, Taber was named President of the Advanced Materials and 3D Printng Technology Division, which contained the research laboratories and included licensing as well as new business development actvites related to Kodak's patents and proprietary technology, and focused on opportunites in smart material applicatons, printed electronics markets and 3D printng materials.</w:t>
      </w:r>
    </w:p>
    <w:p>
      <w:pPr>
        <w:spacing w:after="0" w:line="178" w:lineRule="exact"/>
        <w:rPr>
          <w:sz w:val="20"/>
          <w:szCs w:val="20"/>
          <w:color w:val="auto"/>
        </w:rPr>
      </w:pPr>
    </w:p>
    <w:p>
      <w:pPr>
        <w:ind w:right="140"/>
        <w:spacing w:after="0" w:line="252" w:lineRule="auto"/>
        <w:rPr>
          <w:sz w:val="20"/>
          <w:szCs w:val="20"/>
          <w:color w:val="auto"/>
        </w:rPr>
      </w:pPr>
      <w:r>
        <w:rPr>
          <w:rFonts w:ascii="Calibri" w:cs="Calibri" w:eastAsia="Calibri" w:hAnsi="Calibri"/>
          <w:sz w:val="17"/>
          <w:szCs w:val="17"/>
          <w:color w:val="auto"/>
        </w:rPr>
        <w:t>From January 1, 2015 to May 1, 2017, Taber was President of the Intellectual Property Solutons Division. From January 2007 to December 2008 he was the Chief Operatng Ofcer of Kodak's Image Sensor Solutons ("ISS") business, a leading developer of advanced CCD and CMOS sensors serving imaging and industrial markets. Prior to Taber’s role with ISS, he held a series of senior positons in Kodak's research and development and product organizatons. Taber has served as a corporate vice president since December 2008, including as a senior vice president from December 2010 through February 2020.</w:t>
      </w:r>
    </w:p>
    <w:p>
      <w:pPr>
        <w:spacing w:after="0" w:line="181" w:lineRule="exact"/>
        <w:rPr>
          <w:sz w:val="20"/>
          <w:szCs w:val="20"/>
          <w:color w:val="auto"/>
        </w:rPr>
      </w:pPr>
    </w:p>
    <w:p>
      <w:pPr>
        <w:ind w:right="220"/>
        <w:spacing w:after="0" w:line="235" w:lineRule="auto"/>
        <w:rPr>
          <w:sz w:val="20"/>
          <w:szCs w:val="20"/>
          <w:color w:val="auto"/>
        </w:rPr>
      </w:pPr>
      <w:r>
        <w:rPr>
          <w:rFonts w:ascii="Calibri" w:cs="Calibri" w:eastAsia="Calibri" w:hAnsi="Calibri"/>
          <w:sz w:val="18"/>
          <w:szCs w:val="18"/>
          <w:color w:val="auto"/>
        </w:rPr>
        <w:t>During his more than 40 years at Kodak, Taber has been involved in new materials research, product development and commercializaton, manufacturing, and executve positons in R&amp;D and business management.</w:t>
      </w:r>
    </w:p>
    <w:p>
      <w:pPr>
        <w:spacing w:after="0" w:line="177" w:lineRule="exact"/>
        <w:rPr>
          <w:sz w:val="20"/>
          <w:szCs w:val="20"/>
          <w:color w:val="auto"/>
        </w:rPr>
      </w:pPr>
    </w:p>
    <w:p>
      <w:pPr>
        <w:ind w:right="400"/>
        <w:spacing w:after="0" w:line="235" w:lineRule="auto"/>
        <w:rPr>
          <w:sz w:val="20"/>
          <w:szCs w:val="20"/>
          <w:color w:val="auto"/>
        </w:rPr>
      </w:pPr>
      <w:r>
        <w:rPr>
          <w:rFonts w:ascii="Calibri" w:cs="Calibri" w:eastAsia="Calibri" w:hAnsi="Calibri"/>
          <w:sz w:val="18"/>
          <w:szCs w:val="18"/>
          <w:color w:val="auto"/>
        </w:rPr>
        <w:t>Taber's early responsibilites included research on new synthetc materials, an area in which he holds several patents, program manager for several flm products, worldwide consumer flm business product manager, Associate Director of R&amp;D and Director of Materials &amp; Media R&amp;D.</w:t>
      </w:r>
    </w:p>
    <w:p>
      <w:pPr>
        <w:spacing w:after="0" w:line="177" w:lineRule="exact"/>
        <w:rPr>
          <w:sz w:val="20"/>
          <w:szCs w:val="20"/>
          <w:color w:val="auto"/>
        </w:rPr>
      </w:pPr>
    </w:p>
    <w:p>
      <w:pPr>
        <w:jc w:val="both"/>
        <w:ind w:right="60"/>
        <w:spacing w:after="0" w:line="235" w:lineRule="auto"/>
        <w:rPr>
          <w:sz w:val="20"/>
          <w:szCs w:val="20"/>
          <w:color w:val="auto"/>
        </w:rPr>
      </w:pPr>
      <w:r>
        <w:rPr>
          <w:rFonts w:ascii="Calibri" w:cs="Calibri" w:eastAsia="Calibri" w:hAnsi="Calibri"/>
          <w:sz w:val="18"/>
          <w:szCs w:val="18"/>
          <w:color w:val="auto"/>
        </w:rPr>
        <w:t>In past board service, he was a founding Board Member of the Innovaton &amp; Material Sciences Insttute and served on the Executve Advisory Board of FIRST Rochester (For Inspiraton and Recogniton of Science and Technology). Taber currently serves on the George Eastman Museum Board, efectve June 2018. He also serves on the Board of the Greater Rochester Chamber of Commerce and on the Board of Trustees for Roberts Wesleyan University.</w:t>
      </w:r>
    </w:p>
    <w:p>
      <w:pPr>
        <w:spacing w:after="0" w:line="187"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sectPr>
      </w:pPr>
    </w:p>
    <w:bookmarkStart w:id="30" w:name="page31"/>
    <w:bookmarkEnd w:id="30"/>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309" w:lineRule="exact"/>
        <w:rPr>
          <w:sz w:val="20"/>
          <w:szCs w:val="20"/>
          <w:color w:val="auto"/>
        </w:rPr>
      </w:pPr>
    </w:p>
    <w:p>
      <w:pPr>
        <w:jc w:val="center"/>
        <w:ind w:right="-79"/>
        <w:spacing w:after="0"/>
        <w:rPr>
          <w:sz w:val="20"/>
          <w:szCs w:val="20"/>
          <w:color w:val="auto"/>
        </w:rPr>
      </w:pPr>
      <w:r>
        <w:rPr>
          <w:rFonts w:ascii="Calibri" w:cs="Calibri" w:eastAsia="Calibri" w:hAnsi="Calibri"/>
          <w:sz w:val="18"/>
          <w:szCs w:val="18"/>
          <w:b w:val="1"/>
          <w:bCs w:val="1"/>
          <w:u w:val="single" w:color="auto"/>
          <w:color w:val="auto"/>
        </w:rPr>
        <w:t>PART II</w:t>
      </w:r>
    </w:p>
    <w:p>
      <w:pPr>
        <w:spacing w:after="0" w:line="18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5.  MARKET FOR REGISTRANT</w:t>
      </w:r>
      <w:r>
        <w:rPr>
          <w:rFonts w:ascii="Calibri" w:cs="Calibri" w:eastAsia="Calibri" w:hAnsi="Calibri"/>
          <w:sz w:val="18"/>
          <w:szCs w:val="18"/>
          <w:color w:val="auto"/>
        </w:rPr>
        <w:t>’</w:t>
      </w:r>
      <w:r>
        <w:rPr>
          <w:rFonts w:ascii="Calibri" w:cs="Calibri" w:eastAsia="Calibri" w:hAnsi="Calibri"/>
          <w:sz w:val="18"/>
          <w:szCs w:val="18"/>
          <w:b w:val="1"/>
          <w:bCs w:val="1"/>
          <w:color w:val="auto"/>
        </w:rPr>
        <w:t>S COMMON EQUITY, RELATED STOCKHOLDER MATTERS AND ISSUER PURCHASES OF EQUITY SECURITIES</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color w:val="auto"/>
        </w:rPr>
        <w:t>The Company’s common stock is listed on the New York Stock Exchange (NYSE) under the symbol “KODK.”</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color w:val="auto"/>
        </w:rPr>
        <w:t>There were 594 shareholders of record of common stock on March 6, 2025.</w:t>
      </w:r>
    </w:p>
    <w:p>
      <w:pPr>
        <w:spacing w:after="0" w:line="190" w:lineRule="exact"/>
        <w:rPr>
          <w:sz w:val="20"/>
          <w:szCs w:val="20"/>
          <w:color w:val="auto"/>
        </w:rPr>
      </w:pPr>
    </w:p>
    <w:p>
      <w:pPr>
        <w:spacing w:after="0" w:line="258" w:lineRule="auto"/>
        <w:rPr>
          <w:sz w:val="20"/>
          <w:szCs w:val="20"/>
          <w:color w:val="auto"/>
        </w:rPr>
      </w:pPr>
      <w:r>
        <w:rPr>
          <w:rFonts w:ascii="Calibri" w:cs="Calibri" w:eastAsia="Calibri" w:hAnsi="Calibri"/>
          <w:sz w:val="17"/>
          <w:szCs w:val="17"/>
          <w:color w:val="auto"/>
        </w:rPr>
        <w:t>Informaton regarding securites authorized for issuance under equity compensaton plans is included in Item 12. “Security Ownership of Certain Benefcial Owners and Management and Related Stockholder Maters” in this Annual Report on Form 10-K under the capton “Equity Compensaton Plan Informaton.”</w:t>
      </w:r>
    </w:p>
    <w:p>
      <w:pPr>
        <w:spacing w:after="0" w:line="15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DIVIDEND INFORMATION</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color w:val="auto"/>
        </w:rPr>
        <w:t>No dividends on common stock were declared or paid during 2024 or 2023.</w:t>
      </w:r>
    </w:p>
    <w:p>
      <w:pPr>
        <w:spacing w:after="0" w:line="185" w:lineRule="exact"/>
        <w:rPr>
          <w:sz w:val="20"/>
          <w:szCs w:val="20"/>
          <w:color w:val="auto"/>
        </w:rPr>
      </w:pPr>
    </w:p>
    <w:p>
      <w:pPr>
        <w:spacing w:after="0"/>
        <w:rPr>
          <w:sz w:val="20"/>
          <w:szCs w:val="20"/>
          <w:color w:val="auto"/>
        </w:rPr>
      </w:pPr>
      <w:r>
        <w:rPr>
          <w:rFonts w:ascii="Calibri" w:cs="Calibri" w:eastAsia="Calibri" w:hAnsi="Calibri"/>
          <w:sz w:val="18"/>
          <w:szCs w:val="18"/>
          <w:color w:val="auto"/>
        </w:rPr>
        <w:t>Dividends for common shareholders may be restricted under Kodak’s debt and preferred stock agreements.</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PERFORMANCE GRAPH</w:t>
      </w:r>
    </w:p>
    <w:p>
      <w:pPr>
        <w:spacing w:after="0" w:line="177"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The following is not deemed “fled” with the SEC and shall not be incorporated by reference into any fling Kodak makes under the Exchange Act or the Securites Act of 1933, as amended, whether made before or afer the date hereof and irrespectve of any general incorporaton by reference language in such fling. The graph below shows Eastman Kodak Company's cumulatve 5-Year total shareholder return on common stock, the cumulatve total returns of the Russell 2000 index and the S&amp;P 600 Informaton Technology index. The graph tracks the performance of a $100 investment in our common stock and in each index (with the reinvestment of all dividends) from December 31, 2019 to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154305</wp:posOffset>
            </wp:positionV>
            <wp:extent cx="5186045" cy="37630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86045" cy="3763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79"/>
        <w:spacing w:after="0"/>
        <w:rPr>
          <w:sz w:val="20"/>
          <w:szCs w:val="20"/>
          <w:color w:val="auto"/>
        </w:rPr>
      </w:pPr>
      <w:r>
        <w:rPr>
          <w:rFonts w:ascii="Calibri" w:cs="Calibri" w:eastAsia="Calibri" w:hAnsi="Calibri"/>
          <w:sz w:val="18"/>
          <w:szCs w:val="18"/>
          <w:i w:val="1"/>
          <w:iCs w:val="1"/>
          <w:color w:val="auto"/>
        </w:rPr>
        <w:t>The stock price performance included in this graph is not indicatve of, or intended to forecast, future stock price performance.</w:t>
      </w:r>
    </w:p>
    <w:p>
      <w:pPr>
        <w:spacing w:after="0" w:line="172" w:lineRule="exact"/>
        <w:rPr>
          <w:sz w:val="20"/>
          <w:szCs w:val="20"/>
          <w:color w:val="auto"/>
        </w:rPr>
      </w:pPr>
    </w:p>
    <w:p>
      <w:pPr>
        <w:jc w:val="center"/>
        <w:ind w:right="-79"/>
        <w:spacing w:after="0"/>
        <w:rPr>
          <w:sz w:val="20"/>
          <w:szCs w:val="20"/>
          <w:color w:val="auto"/>
        </w:rPr>
      </w:pPr>
      <w:r>
        <w:rPr>
          <w:rFonts w:ascii="Calibri" w:cs="Calibri" w:eastAsia="Calibri" w:hAnsi="Calibri"/>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2" w:right="399" w:bottom="1440" w:gutter="0" w:footer="0" w:header="0"/>
        </w:sectPr>
      </w:pPr>
    </w:p>
    <w:bookmarkStart w:id="31" w:name="page32"/>
    <w:bookmarkEnd w:id="31"/>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SALES OF UNREGISTERED SECURITIES DURING THE YEAR ENDED DECEMBER 31, 2024</w:t>
      </w:r>
    </w:p>
    <w:p>
      <w:pPr>
        <w:spacing w:after="0" w:line="185" w:lineRule="exact"/>
        <w:rPr>
          <w:sz w:val="20"/>
          <w:szCs w:val="20"/>
          <w:color w:val="auto"/>
        </w:rPr>
      </w:pPr>
    </w:p>
    <w:p>
      <w:pPr>
        <w:spacing w:after="0"/>
        <w:rPr>
          <w:sz w:val="20"/>
          <w:szCs w:val="20"/>
          <w:color w:val="auto"/>
        </w:rPr>
      </w:pPr>
      <w:r>
        <w:rPr>
          <w:rFonts w:ascii="Calibri" w:cs="Calibri" w:eastAsia="Calibri" w:hAnsi="Calibri"/>
          <w:sz w:val="18"/>
          <w:szCs w:val="18"/>
          <w:color w:val="auto"/>
        </w:rPr>
        <w:t>None.</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320" w:type="dxa"/>
            <w:vAlign w:val="bottom"/>
            <w:gridSpan w:val="5"/>
          </w:tcPr>
          <w:p>
            <w:pPr>
              <w:spacing w:after="0"/>
              <w:rPr>
                <w:sz w:val="20"/>
                <w:szCs w:val="20"/>
                <w:color w:val="auto"/>
              </w:rPr>
            </w:pPr>
            <w:r>
              <w:rPr>
                <w:rFonts w:ascii="Calibri" w:cs="Calibri" w:eastAsia="Calibri" w:hAnsi="Calibri"/>
                <w:sz w:val="18"/>
                <w:szCs w:val="18"/>
                <w:b w:val="1"/>
                <w:bCs w:val="1"/>
                <w:color w:val="auto"/>
              </w:rPr>
              <w:t>ISSUER PURCHASES OF EQUITY SECURITIES DURING THE QUARTER ENDED DECEMBER 31, 2024</w:t>
            </w:r>
          </w:p>
        </w:tc>
        <w:tc>
          <w:tcPr>
            <w:tcW w:w="2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432"/>
        </w:trPr>
        <w:tc>
          <w:tcPr>
            <w:tcW w:w="4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Calibri" w:cs="Calibri" w:eastAsia="Calibri" w:hAnsi="Calibri"/>
                <w:sz w:val="18"/>
                <w:szCs w:val="18"/>
                <w:b w:val="1"/>
                <w:bCs w:val="1"/>
                <w:color w:val="auto"/>
                <w:w w:val="98"/>
              </w:rPr>
              <w:t>Total Number</w:t>
            </w:r>
          </w:p>
        </w:tc>
        <w:tc>
          <w:tcPr>
            <w:tcW w:w="14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Calibri" w:cs="Calibri" w:eastAsia="Calibri" w:hAnsi="Calibri"/>
                <w:sz w:val="18"/>
                <w:szCs w:val="18"/>
                <w:b w:val="1"/>
                <w:bCs w:val="1"/>
                <w:color w:val="auto"/>
                <w:w w:val="96"/>
              </w:rPr>
              <w:t>Maximum Number of</w:t>
            </w:r>
          </w:p>
        </w:tc>
      </w:tr>
      <w:tr>
        <w:trPr>
          <w:trHeight w:val="216"/>
        </w:trPr>
        <w:tc>
          <w:tcPr>
            <w:tcW w:w="4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8"/>
              </w:rPr>
              <w:t>of Shares</w:t>
            </w:r>
          </w:p>
        </w:tc>
        <w:tc>
          <w:tcPr>
            <w:tcW w:w="140" w:type="dxa"/>
            <w:vAlign w:val="bottom"/>
          </w:tcPr>
          <w:p>
            <w:pPr>
              <w:spacing w:after="0"/>
              <w:rPr>
                <w:sz w:val="18"/>
                <w:szCs w:val="18"/>
                <w:color w:val="auto"/>
              </w:rPr>
            </w:pPr>
          </w:p>
        </w:tc>
        <w:tc>
          <w:tcPr>
            <w:tcW w:w="172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6"/>
              </w:rPr>
              <w:t>Shares</w:t>
            </w:r>
          </w:p>
        </w:tc>
      </w:tr>
      <w:tr>
        <w:trPr>
          <w:trHeight w:val="216"/>
        </w:trPr>
        <w:tc>
          <w:tcPr>
            <w:tcW w:w="4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8"/>
              </w:rPr>
              <w:t>Purchased as</w:t>
            </w:r>
          </w:p>
        </w:tc>
        <w:tc>
          <w:tcPr>
            <w:tcW w:w="140" w:type="dxa"/>
            <w:vAlign w:val="bottom"/>
          </w:tcPr>
          <w:p>
            <w:pPr>
              <w:spacing w:after="0"/>
              <w:rPr>
                <w:sz w:val="18"/>
                <w:szCs w:val="18"/>
                <w:color w:val="auto"/>
              </w:rPr>
            </w:pPr>
          </w:p>
        </w:tc>
        <w:tc>
          <w:tcPr>
            <w:tcW w:w="172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6"/>
              </w:rPr>
              <w:t>That May Yet</w:t>
            </w:r>
          </w:p>
        </w:tc>
      </w:tr>
      <w:tr>
        <w:trPr>
          <w:trHeight w:val="216"/>
        </w:trPr>
        <w:tc>
          <w:tcPr>
            <w:tcW w:w="4360" w:type="dxa"/>
            <w:vAlign w:val="bottom"/>
          </w:tcPr>
          <w:p>
            <w:pPr>
              <w:spacing w:after="0"/>
              <w:rPr>
                <w:sz w:val="18"/>
                <w:szCs w:val="18"/>
                <w:color w:val="auto"/>
              </w:rPr>
            </w:pPr>
          </w:p>
        </w:tc>
        <w:tc>
          <w:tcPr>
            <w:tcW w:w="150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6"/>
              </w:rPr>
              <w:t>Total Number</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center"/>
              <w:ind w:right="90"/>
              <w:spacing w:after="0" w:line="216" w:lineRule="exact"/>
              <w:rPr>
                <w:sz w:val="20"/>
                <w:szCs w:val="20"/>
                <w:color w:val="auto"/>
              </w:rPr>
            </w:pPr>
            <w:r>
              <w:rPr>
                <w:rFonts w:ascii="Calibri" w:cs="Calibri" w:eastAsia="Calibri" w:hAnsi="Calibri"/>
                <w:sz w:val="18"/>
                <w:szCs w:val="18"/>
                <w:b w:val="1"/>
                <w:bCs w:val="1"/>
                <w:color w:val="auto"/>
                <w:w w:val="97"/>
              </w:rPr>
              <w:t>Average</w:t>
            </w:r>
          </w:p>
        </w:tc>
        <w:tc>
          <w:tcPr>
            <w:tcW w:w="240" w:type="dxa"/>
            <w:vAlign w:val="bottom"/>
          </w:tcPr>
          <w:p>
            <w:pPr>
              <w:spacing w:after="0"/>
              <w:rPr>
                <w:sz w:val="18"/>
                <w:szCs w:val="18"/>
                <w:color w:val="auto"/>
              </w:rPr>
            </w:pPr>
          </w:p>
        </w:tc>
        <w:tc>
          <w:tcPr>
            <w:tcW w:w="182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7"/>
              </w:rPr>
              <w:t>Part of Publicly</w:t>
            </w:r>
          </w:p>
        </w:tc>
        <w:tc>
          <w:tcPr>
            <w:tcW w:w="140" w:type="dxa"/>
            <w:vAlign w:val="bottom"/>
          </w:tcPr>
          <w:p>
            <w:pPr>
              <w:spacing w:after="0"/>
              <w:rPr>
                <w:sz w:val="18"/>
                <w:szCs w:val="18"/>
                <w:color w:val="auto"/>
              </w:rPr>
            </w:pPr>
          </w:p>
        </w:tc>
        <w:tc>
          <w:tcPr>
            <w:tcW w:w="172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9"/>
              </w:rPr>
              <w:t>Be Purchased</w:t>
            </w:r>
          </w:p>
        </w:tc>
      </w:tr>
      <w:tr>
        <w:trPr>
          <w:trHeight w:val="193"/>
        </w:trPr>
        <w:tc>
          <w:tcPr>
            <w:tcW w:w="4360" w:type="dxa"/>
            <w:vAlign w:val="bottom"/>
          </w:tcPr>
          <w:p>
            <w:pPr>
              <w:spacing w:after="0"/>
              <w:rPr>
                <w:sz w:val="16"/>
                <w:szCs w:val="16"/>
                <w:color w:val="auto"/>
              </w:rPr>
            </w:pPr>
          </w:p>
        </w:tc>
        <w:tc>
          <w:tcPr>
            <w:tcW w:w="1500" w:type="dxa"/>
            <w:vAlign w:val="bottom"/>
          </w:tcPr>
          <w:p>
            <w:pPr>
              <w:jc w:val="center"/>
              <w:spacing w:after="0" w:line="193" w:lineRule="exact"/>
              <w:rPr>
                <w:sz w:val="20"/>
                <w:szCs w:val="20"/>
                <w:color w:val="auto"/>
              </w:rPr>
            </w:pPr>
            <w:r>
              <w:rPr>
                <w:rFonts w:ascii="Calibri" w:cs="Calibri" w:eastAsia="Calibri" w:hAnsi="Calibri"/>
                <w:sz w:val="18"/>
                <w:szCs w:val="18"/>
                <w:b w:val="1"/>
                <w:bCs w:val="1"/>
                <w:color w:val="auto"/>
                <w:w w:val="98"/>
              </w:rPr>
              <w:t>of Shares</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center"/>
              <w:ind w:right="90"/>
              <w:spacing w:after="0" w:line="193" w:lineRule="exact"/>
              <w:rPr>
                <w:sz w:val="20"/>
                <w:szCs w:val="20"/>
                <w:color w:val="auto"/>
              </w:rPr>
            </w:pPr>
            <w:r>
              <w:rPr>
                <w:rFonts w:ascii="Calibri" w:cs="Calibri" w:eastAsia="Calibri" w:hAnsi="Calibri"/>
                <w:sz w:val="18"/>
                <w:szCs w:val="18"/>
                <w:b w:val="1"/>
                <w:bCs w:val="1"/>
                <w:color w:val="auto"/>
                <w:w w:val="97"/>
              </w:rPr>
              <w:t>Price Paid</w:t>
            </w:r>
          </w:p>
        </w:tc>
        <w:tc>
          <w:tcPr>
            <w:tcW w:w="240" w:type="dxa"/>
            <w:vAlign w:val="bottom"/>
          </w:tcPr>
          <w:p>
            <w:pPr>
              <w:spacing w:after="0"/>
              <w:rPr>
                <w:sz w:val="16"/>
                <w:szCs w:val="16"/>
                <w:color w:val="auto"/>
              </w:rPr>
            </w:pPr>
          </w:p>
        </w:tc>
        <w:tc>
          <w:tcPr>
            <w:tcW w:w="1820" w:type="dxa"/>
            <w:vAlign w:val="bottom"/>
          </w:tcPr>
          <w:p>
            <w:pPr>
              <w:jc w:val="center"/>
              <w:spacing w:after="0" w:line="193" w:lineRule="exact"/>
              <w:rPr>
                <w:sz w:val="20"/>
                <w:szCs w:val="20"/>
                <w:color w:val="auto"/>
              </w:rPr>
            </w:pPr>
            <w:r>
              <w:rPr>
                <w:rFonts w:ascii="Calibri" w:cs="Calibri" w:eastAsia="Calibri" w:hAnsi="Calibri"/>
                <w:sz w:val="18"/>
                <w:szCs w:val="18"/>
                <w:b w:val="1"/>
                <w:bCs w:val="1"/>
                <w:color w:val="auto"/>
                <w:w w:val="97"/>
              </w:rPr>
              <w:t>Announced Plans</w:t>
            </w:r>
          </w:p>
        </w:tc>
        <w:tc>
          <w:tcPr>
            <w:tcW w:w="140" w:type="dxa"/>
            <w:vAlign w:val="bottom"/>
          </w:tcPr>
          <w:p>
            <w:pPr>
              <w:spacing w:after="0"/>
              <w:rPr>
                <w:sz w:val="16"/>
                <w:szCs w:val="16"/>
                <w:color w:val="auto"/>
              </w:rPr>
            </w:pPr>
          </w:p>
        </w:tc>
        <w:tc>
          <w:tcPr>
            <w:tcW w:w="1720" w:type="dxa"/>
            <w:vAlign w:val="bottom"/>
          </w:tcPr>
          <w:p>
            <w:pPr>
              <w:jc w:val="center"/>
              <w:spacing w:after="0" w:line="193" w:lineRule="exact"/>
              <w:rPr>
                <w:sz w:val="20"/>
                <w:szCs w:val="20"/>
                <w:color w:val="auto"/>
              </w:rPr>
            </w:pPr>
            <w:r>
              <w:rPr>
                <w:rFonts w:ascii="Calibri" w:cs="Calibri" w:eastAsia="Calibri" w:hAnsi="Calibri"/>
                <w:sz w:val="18"/>
                <w:szCs w:val="18"/>
                <w:b w:val="1"/>
                <w:bCs w:val="1"/>
                <w:color w:val="auto"/>
                <w:w w:val="97"/>
              </w:rPr>
              <w:t>under the Plans</w:t>
            </w:r>
          </w:p>
        </w:tc>
      </w:tr>
      <w:tr>
        <w:trPr>
          <w:trHeight w:val="263"/>
        </w:trPr>
        <w:tc>
          <w:tcPr>
            <w:tcW w:w="4360" w:type="dxa"/>
            <w:vAlign w:val="bottom"/>
          </w:tcPr>
          <w:p>
            <w:pPr>
              <w:spacing w:after="0"/>
              <w:rPr>
                <w:sz w:val="22"/>
                <w:szCs w:val="22"/>
                <w:color w:val="auto"/>
              </w:rPr>
            </w:pPr>
          </w:p>
        </w:tc>
        <w:tc>
          <w:tcPr>
            <w:tcW w:w="1500" w:type="dxa"/>
            <w:vAlign w:val="bottom"/>
            <w:tcBorders>
              <w:bottom w:val="single" w:sz="8" w:color="auto"/>
            </w:tcBorders>
          </w:tcPr>
          <w:p>
            <w:pPr>
              <w:jc w:val="center"/>
              <w:spacing w:after="0" w:line="263" w:lineRule="exact"/>
              <w:rPr>
                <w:sz w:val="20"/>
                <w:szCs w:val="20"/>
                <w:color w:val="auto"/>
              </w:rPr>
            </w:pPr>
            <w:r>
              <w:rPr>
                <w:rFonts w:ascii="Calibri" w:cs="Calibri" w:eastAsia="Calibri" w:hAnsi="Calibri"/>
                <w:sz w:val="18"/>
                <w:szCs w:val="18"/>
                <w:b w:val="1"/>
                <w:bCs w:val="1"/>
                <w:color w:val="auto"/>
                <w:w w:val="92"/>
              </w:rPr>
              <w:t xml:space="preserve">Purchased </w:t>
            </w:r>
            <w:r>
              <w:rPr>
                <w:rFonts w:ascii="Calibri" w:cs="Calibri" w:eastAsia="Calibri" w:hAnsi="Calibri"/>
                <w:sz w:val="24"/>
                <w:szCs w:val="24"/>
                <w:b w:val="1"/>
                <w:bCs w:val="1"/>
                <w:color w:val="auto"/>
                <w:w w:val="92"/>
                <w:vertAlign w:val="superscript"/>
              </w:rPr>
              <w:t>(1)</w:t>
            </w:r>
          </w:p>
        </w:tc>
        <w:tc>
          <w:tcPr>
            <w:tcW w:w="2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70"/>
              <w:spacing w:after="0"/>
              <w:rPr>
                <w:sz w:val="20"/>
                <w:szCs w:val="20"/>
                <w:color w:val="auto"/>
              </w:rPr>
            </w:pPr>
            <w:r>
              <w:rPr>
                <w:rFonts w:ascii="Calibri" w:cs="Calibri" w:eastAsia="Calibri" w:hAnsi="Calibri"/>
                <w:sz w:val="18"/>
                <w:szCs w:val="18"/>
                <w:b w:val="1"/>
                <w:bCs w:val="1"/>
                <w:color w:val="auto"/>
                <w:w w:val="97"/>
              </w:rPr>
              <w:t>per Share</w:t>
            </w:r>
          </w:p>
        </w:tc>
        <w:tc>
          <w:tcPr>
            <w:tcW w:w="240" w:type="dxa"/>
            <w:vAlign w:val="bottom"/>
          </w:tcPr>
          <w:p>
            <w:pPr>
              <w:spacing w:after="0"/>
              <w:rPr>
                <w:sz w:val="22"/>
                <w:szCs w:val="22"/>
                <w:color w:val="auto"/>
              </w:rPr>
            </w:pPr>
          </w:p>
        </w:tc>
        <w:tc>
          <w:tcPr>
            <w:tcW w:w="1820" w:type="dxa"/>
            <w:vAlign w:val="bottom"/>
            <w:tcBorders>
              <w:bottom w:val="single" w:sz="8" w:color="auto"/>
            </w:tcBorders>
          </w:tcPr>
          <w:p>
            <w:pPr>
              <w:jc w:val="center"/>
              <w:spacing w:after="0" w:line="263" w:lineRule="exact"/>
              <w:rPr>
                <w:sz w:val="20"/>
                <w:szCs w:val="20"/>
                <w:color w:val="auto"/>
              </w:rPr>
            </w:pPr>
            <w:r>
              <w:rPr>
                <w:rFonts w:ascii="Calibri" w:cs="Calibri" w:eastAsia="Calibri" w:hAnsi="Calibri"/>
                <w:sz w:val="18"/>
                <w:szCs w:val="18"/>
                <w:b w:val="1"/>
                <w:bCs w:val="1"/>
                <w:color w:val="auto"/>
                <w:w w:val="93"/>
              </w:rPr>
              <w:t xml:space="preserve">or Programs </w:t>
            </w:r>
            <w:r>
              <w:rPr>
                <w:rFonts w:ascii="Calibri" w:cs="Calibri" w:eastAsia="Calibri" w:hAnsi="Calibri"/>
                <w:sz w:val="24"/>
                <w:szCs w:val="24"/>
                <w:b w:val="1"/>
                <w:bCs w:val="1"/>
                <w:color w:val="auto"/>
                <w:w w:val="93"/>
                <w:vertAlign w:val="superscript"/>
              </w:rPr>
              <w:t>(2)</w:t>
            </w:r>
          </w:p>
        </w:tc>
        <w:tc>
          <w:tcPr>
            <w:tcW w:w="140" w:type="dxa"/>
            <w:vAlign w:val="bottom"/>
          </w:tcPr>
          <w:p>
            <w:pPr>
              <w:spacing w:after="0"/>
              <w:rPr>
                <w:sz w:val="22"/>
                <w:szCs w:val="22"/>
                <w:color w:val="auto"/>
              </w:rPr>
            </w:pPr>
          </w:p>
        </w:tc>
        <w:tc>
          <w:tcPr>
            <w:tcW w:w="1720" w:type="dxa"/>
            <w:vAlign w:val="bottom"/>
            <w:tcBorders>
              <w:bottom w:val="single" w:sz="8" w:color="auto"/>
            </w:tcBorders>
          </w:tcPr>
          <w:p>
            <w:pPr>
              <w:jc w:val="center"/>
              <w:spacing w:after="0" w:line="263" w:lineRule="exact"/>
              <w:rPr>
                <w:sz w:val="20"/>
                <w:szCs w:val="20"/>
                <w:color w:val="auto"/>
              </w:rPr>
            </w:pPr>
            <w:r>
              <w:rPr>
                <w:rFonts w:ascii="Calibri" w:cs="Calibri" w:eastAsia="Calibri" w:hAnsi="Calibri"/>
                <w:sz w:val="18"/>
                <w:szCs w:val="18"/>
                <w:b w:val="1"/>
                <w:bCs w:val="1"/>
                <w:color w:val="auto"/>
                <w:w w:val="93"/>
              </w:rPr>
              <w:t xml:space="preserve">or Programs </w:t>
            </w:r>
            <w:r>
              <w:rPr>
                <w:rFonts w:ascii="Calibri" w:cs="Calibri" w:eastAsia="Calibri" w:hAnsi="Calibri"/>
                <w:sz w:val="24"/>
                <w:szCs w:val="24"/>
                <w:b w:val="1"/>
                <w:bCs w:val="1"/>
                <w:color w:val="auto"/>
                <w:w w:val="93"/>
                <w:vertAlign w:val="superscript"/>
              </w:rPr>
              <w:t>(2)</w:t>
            </w:r>
          </w:p>
        </w:tc>
      </w:tr>
      <w:tr>
        <w:trPr>
          <w:trHeight w:val="209"/>
        </w:trPr>
        <w:tc>
          <w:tcPr>
            <w:tcW w:w="4360" w:type="dxa"/>
            <w:vAlign w:val="bottom"/>
            <w:shd w:val="clear" w:color="auto" w:fill="CFF0FC"/>
          </w:tcPr>
          <w:p>
            <w:pPr>
              <w:ind w:left="20"/>
              <w:spacing w:after="0" w:line="209" w:lineRule="exact"/>
              <w:rPr>
                <w:sz w:val="20"/>
                <w:szCs w:val="20"/>
                <w:color w:val="auto"/>
              </w:rPr>
            </w:pPr>
            <w:r>
              <w:rPr>
                <w:rFonts w:ascii="Calibri" w:cs="Calibri" w:eastAsia="Calibri" w:hAnsi="Calibri"/>
                <w:sz w:val="18"/>
                <w:szCs w:val="18"/>
                <w:color w:val="auto"/>
              </w:rPr>
              <w:t>October 1 through 31, 2024</w:t>
            </w:r>
          </w:p>
        </w:tc>
        <w:tc>
          <w:tcPr>
            <w:tcW w:w="150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4,461</w:t>
            </w:r>
          </w:p>
        </w:tc>
        <w:tc>
          <w:tcPr>
            <w:tcW w:w="440" w:type="dxa"/>
            <w:vAlign w:val="bottom"/>
            <w:gridSpan w:val="2"/>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w:t>
            </w:r>
          </w:p>
        </w:tc>
        <w:tc>
          <w:tcPr>
            <w:tcW w:w="102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4.77</w:t>
            </w:r>
          </w:p>
        </w:tc>
        <w:tc>
          <w:tcPr>
            <w:tcW w:w="240" w:type="dxa"/>
            <w:vAlign w:val="bottom"/>
            <w:shd w:val="clear" w:color="auto" w:fill="CFF0FC"/>
          </w:tcPr>
          <w:p>
            <w:pPr>
              <w:spacing w:after="0"/>
              <w:rPr>
                <w:sz w:val="18"/>
                <w:szCs w:val="18"/>
                <w:color w:val="auto"/>
              </w:rPr>
            </w:pPr>
          </w:p>
        </w:tc>
        <w:tc>
          <w:tcPr>
            <w:tcW w:w="1820" w:type="dxa"/>
            <w:vAlign w:val="bottom"/>
            <w:shd w:val="clear" w:color="auto" w:fill="CFF0FC"/>
          </w:tcPr>
          <w:p>
            <w:pPr>
              <w:jc w:val="center"/>
              <w:spacing w:after="0" w:line="209" w:lineRule="exact"/>
              <w:rPr>
                <w:sz w:val="20"/>
                <w:szCs w:val="20"/>
                <w:color w:val="auto"/>
              </w:rPr>
            </w:pPr>
            <w:r>
              <w:rPr>
                <w:rFonts w:ascii="Calibri" w:cs="Calibri" w:eastAsia="Calibri" w:hAnsi="Calibri"/>
                <w:sz w:val="18"/>
                <w:szCs w:val="18"/>
                <w:color w:val="auto"/>
                <w:w w:val="96"/>
              </w:rPr>
              <w:t>N/A</w:t>
            </w:r>
          </w:p>
        </w:tc>
        <w:tc>
          <w:tcPr>
            <w:tcW w:w="140" w:type="dxa"/>
            <w:vAlign w:val="bottom"/>
            <w:shd w:val="clear" w:color="auto" w:fill="CFF0FC"/>
          </w:tcPr>
          <w:p>
            <w:pPr>
              <w:spacing w:after="0"/>
              <w:rPr>
                <w:sz w:val="18"/>
                <w:szCs w:val="18"/>
                <w:color w:val="auto"/>
              </w:rPr>
            </w:pPr>
          </w:p>
        </w:tc>
        <w:tc>
          <w:tcPr>
            <w:tcW w:w="1720" w:type="dxa"/>
            <w:vAlign w:val="bottom"/>
            <w:shd w:val="clear" w:color="auto" w:fill="CFF0FC"/>
          </w:tcPr>
          <w:p>
            <w:pPr>
              <w:jc w:val="center"/>
              <w:spacing w:after="0" w:line="209" w:lineRule="exact"/>
              <w:rPr>
                <w:sz w:val="20"/>
                <w:szCs w:val="20"/>
                <w:color w:val="auto"/>
              </w:rPr>
            </w:pPr>
            <w:r>
              <w:rPr>
                <w:rFonts w:ascii="Calibri" w:cs="Calibri" w:eastAsia="Calibri" w:hAnsi="Calibri"/>
                <w:sz w:val="18"/>
                <w:szCs w:val="18"/>
                <w:color w:val="auto"/>
                <w:w w:val="96"/>
              </w:rPr>
              <w:t>N/A</w:t>
            </w:r>
          </w:p>
        </w:tc>
      </w:tr>
      <w:tr>
        <w:trPr>
          <w:trHeight w:val="215"/>
        </w:trPr>
        <w:tc>
          <w:tcPr>
            <w:tcW w:w="4360" w:type="dxa"/>
            <w:vAlign w:val="bottom"/>
          </w:tcPr>
          <w:p>
            <w:pPr>
              <w:ind w:left="20"/>
              <w:spacing w:after="0" w:line="215" w:lineRule="exact"/>
              <w:rPr>
                <w:sz w:val="20"/>
                <w:szCs w:val="20"/>
                <w:color w:val="auto"/>
              </w:rPr>
            </w:pPr>
            <w:r>
              <w:rPr>
                <w:rFonts w:ascii="Calibri" w:cs="Calibri" w:eastAsia="Calibri" w:hAnsi="Calibri"/>
                <w:sz w:val="18"/>
                <w:szCs w:val="18"/>
                <w:color w:val="auto"/>
              </w:rPr>
              <w:t>November 1 through 30, 2024</w:t>
            </w:r>
          </w:p>
        </w:tc>
        <w:tc>
          <w:tcPr>
            <w:tcW w:w="1500" w:type="dxa"/>
            <w:vAlign w:val="bottom"/>
          </w:tcPr>
          <w:p>
            <w:pPr>
              <w:jc w:val="right"/>
              <w:spacing w:after="0" w:line="215" w:lineRule="exact"/>
              <w:rPr>
                <w:sz w:val="20"/>
                <w:szCs w:val="20"/>
                <w:color w:val="auto"/>
              </w:rPr>
            </w:pPr>
            <w:r>
              <w:rPr>
                <w:rFonts w:ascii="Calibri" w:cs="Calibri" w:eastAsia="Calibri" w:hAnsi="Calibri"/>
                <w:sz w:val="18"/>
                <w:szCs w:val="18"/>
                <w:color w:val="auto"/>
              </w:rPr>
              <w:t>78,637</w:t>
            </w:r>
          </w:p>
        </w:tc>
        <w:tc>
          <w:tcPr>
            <w:tcW w:w="44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w:t>
            </w: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7.22</w:t>
            </w:r>
          </w:p>
        </w:tc>
        <w:tc>
          <w:tcPr>
            <w:tcW w:w="240" w:type="dxa"/>
            <w:vAlign w:val="bottom"/>
          </w:tcPr>
          <w:p>
            <w:pPr>
              <w:spacing w:after="0"/>
              <w:rPr>
                <w:sz w:val="18"/>
                <w:szCs w:val="18"/>
                <w:color w:val="auto"/>
              </w:rPr>
            </w:pPr>
          </w:p>
        </w:tc>
        <w:tc>
          <w:tcPr>
            <w:tcW w:w="1820" w:type="dxa"/>
            <w:vAlign w:val="bottom"/>
          </w:tcPr>
          <w:p>
            <w:pPr>
              <w:jc w:val="center"/>
              <w:spacing w:after="0" w:line="215" w:lineRule="exact"/>
              <w:rPr>
                <w:sz w:val="20"/>
                <w:szCs w:val="20"/>
                <w:color w:val="auto"/>
              </w:rPr>
            </w:pPr>
            <w:r>
              <w:rPr>
                <w:rFonts w:ascii="Calibri" w:cs="Calibri" w:eastAsia="Calibri" w:hAnsi="Calibri"/>
                <w:sz w:val="18"/>
                <w:szCs w:val="18"/>
                <w:color w:val="auto"/>
                <w:w w:val="96"/>
              </w:rPr>
              <w:t>N/A</w:t>
            </w:r>
          </w:p>
        </w:tc>
        <w:tc>
          <w:tcPr>
            <w:tcW w:w="140" w:type="dxa"/>
            <w:vAlign w:val="bottom"/>
          </w:tcPr>
          <w:p>
            <w:pPr>
              <w:spacing w:after="0"/>
              <w:rPr>
                <w:sz w:val="18"/>
                <w:szCs w:val="18"/>
                <w:color w:val="auto"/>
              </w:rPr>
            </w:pPr>
          </w:p>
        </w:tc>
        <w:tc>
          <w:tcPr>
            <w:tcW w:w="1720" w:type="dxa"/>
            <w:vAlign w:val="bottom"/>
          </w:tcPr>
          <w:p>
            <w:pPr>
              <w:jc w:val="center"/>
              <w:spacing w:after="0" w:line="215" w:lineRule="exact"/>
              <w:rPr>
                <w:sz w:val="20"/>
                <w:szCs w:val="20"/>
                <w:color w:val="auto"/>
              </w:rPr>
            </w:pPr>
            <w:r>
              <w:rPr>
                <w:rFonts w:ascii="Calibri" w:cs="Calibri" w:eastAsia="Calibri" w:hAnsi="Calibri"/>
                <w:sz w:val="18"/>
                <w:szCs w:val="18"/>
                <w:color w:val="auto"/>
                <w:w w:val="96"/>
              </w:rPr>
              <w:t>N/A</w:t>
            </w:r>
          </w:p>
        </w:tc>
      </w:tr>
      <w:tr>
        <w:trPr>
          <w:trHeight w:val="216"/>
        </w:trPr>
        <w:tc>
          <w:tcPr>
            <w:tcW w:w="4360" w:type="dxa"/>
            <w:vAlign w:val="bottom"/>
            <w:tcBorders>
              <w:bottom w:val="single" w:sz="8" w:color="CFF0FC"/>
            </w:tcBorders>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December 1 through 31, 2024</w:t>
            </w:r>
          </w:p>
        </w:tc>
        <w:tc>
          <w:tcPr>
            <w:tcW w:w="150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w w:val="87"/>
              </w:rPr>
              <w:t>$</w:t>
            </w:r>
          </w:p>
        </w:tc>
        <w:tc>
          <w:tcPr>
            <w:tcW w:w="102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820" w:type="dxa"/>
            <w:vAlign w:val="bottom"/>
            <w:tcBorders>
              <w:bottom w:val="single" w:sz="8" w:color="CFF0FC"/>
            </w:tcBorders>
            <w:shd w:val="clear" w:color="auto" w:fill="CFF0FC"/>
          </w:tcPr>
          <w:p>
            <w:pPr>
              <w:jc w:val="center"/>
              <w:spacing w:after="0" w:line="216" w:lineRule="exact"/>
              <w:rPr>
                <w:sz w:val="20"/>
                <w:szCs w:val="20"/>
                <w:color w:val="auto"/>
              </w:rPr>
            </w:pPr>
            <w:r>
              <w:rPr>
                <w:rFonts w:ascii="Calibri" w:cs="Calibri" w:eastAsia="Calibri" w:hAnsi="Calibri"/>
                <w:sz w:val="18"/>
                <w:szCs w:val="18"/>
                <w:color w:val="auto"/>
                <w:w w:val="96"/>
              </w:rPr>
              <w:t>N/A</w:t>
            </w:r>
          </w:p>
        </w:tc>
        <w:tc>
          <w:tcPr>
            <w:tcW w:w="140" w:type="dxa"/>
            <w:vAlign w:val="bottom"/>
            <w:tcBorders>
              <w:bottom w:val="single" w:sz="8" w:color="CFF0FC"/>
            </w:tcBorders>
            <w:shd w:val="clear" w:color="auto" w:fill="CFF0FC"/>
          </w:tcPr>
          <w:p>
            <w:pPr>
              <w:spacing w:after="0"/>
              <w:rPr>
                <w:sz w:val="18"/>
                <w:szCs w:val="18"/>
                <w:color w:val="auto"/>
              </w:rPr>
            </w:pPr>
          </w:p>
        </w:tc>
        <w:tc>
          <w:tcPr>
            <w:tcW w:w="1720" w:type="dxa"/>
            <w:vAlign w:val="bottom"/>
            <w:tcBorders>
              <w:bottom w:val="single" w:sz="8" w:color="CFF0FC"/>
            </w:tcBorders>
            <w:shd w:val="clear" w:color="auto" w:fill="CFF0FC"/>
          </w:tcPr>
          <w:p>
            <w:pPr>
              <w:jc w:val="center"/>
              <w:spacing w:after="0" w:line="216" w:lineRule="exact"/>
              <w:rPr>
                <w:sz w:val="20"/>
                <w:szCs w:val="20"/>
                <w:color w:val="auto"/>
              </w:rPr>
            </w:pPr>
            <w:r>
              <w:rPr>
                <w:rFonts w:ascii="Calibri" w:cs="Calibri" w:eastAsia="Calibri" w:hAnsi="Calibri"/>
                <w:sz w:val="18"/>
                <w:szCs w:val="18"/>
                <w:color w:val="auto"/>
                <w:w w:val="96"/>
              </w:rPr>
              <w:t>N/A</w:t>
            </w:r>
          </w:p>
        </w:tc>
      </w:tr>
      <w:tr>
        <w:trPr>
          <w:trHeight w:val="209"/>
        </w:trPr>
        <w:tc>
          <w:tcPr>
            <w:tcW w:w="4360" w:type="dxa"/>
            <w:vAlign w:val="bottom"/>
          </w:tcPr>
          <w:p>
            <w:pPr>
              <w:ind w:left="20"/>
              <w:spacing w:after="0" w:line="209" w:lineRule="exact"/>
              <w:rPr>
                <w:sz w:val="20"/>
                <w:szCs w:val="20"/>
                <w:color w:val="auto"/>
              </w:rPr>
            </w:pPr>
            <w:r>
              <w:rPr>
                <w:rFonts w:ascii="Calibri" w:cs="Calibri" w:eastAsia="Calibri" w:hAnsi="Calibri"/>
                <w:sz w:val="18"/>
                <w:szCs w:val="18"/>
                <w:color w:val="auto"/>
              </w:rPr>
              <w:t>Total</w:t>
            </w:r>
          </w:p>
        </w:tc>
        <w:tc>
          <w:tcPr>
            <w:tcW w:w="1500" w:type="dxa"/>
            <w:vAlign w:val="bottom"/>
          </w:tcPr>
          <w:p>
            <w:pPr>
              <w:jc w:val="right"/>
              <w:spacing w:after="0" w:line="209" w:lineRule="exact"/>
              <w:rPr>
                <w:sz w:val="20"/>
                <w:szCs w:val="20"/>
                <w:color w:val="auto"/>
              </w:rPr>
            </w:pPr>
            <w:r>
              <w:rPr>
                <w:rFonts w:ascii="Calibri" w:cs="Calibri" w:eastAsia="Calibri" w:hAnsi="Calibri"/>
                <w:sz w:val="18"/>
                <w:szCs w:val="18"/>
                <w:color w:val="auto"/>
              </w:rPr>
              <w:t>83,098</w:t>
            </w:r>
          </w:p>
        </w:tc>
        <w:tc>
          <w:tcPr>
            <w:tcW w:w="440" w:type="dxa"/>
            <w:vAlign w:val="bottom"/>
            <w:gridSpan w:val="2"/>
          </w:tcPr>
          <w:p>
            <w:pPr>
              <w:jc w:val="right"/>
              <w:spacing w:after="0" w:line="209" w:lineRule="exact"/>
              <w:rPr>
                <w:sz w:val="20"/>
                <w:szCs w:val="20"/>
                <w:color w:val="auto"/>
              </w:rPr>
            </w:pPr>
            <w:r>
              <w:rPr>
                <w:rFonts w:ascii="Calibri" w:cs="Calibri" w:eastAsia="Calibri" w:hAnsi="Calibri"/>
                <w:sz w:val="18"/>
                <w:szCs w:val="18"/>
                <w:color w:val="auto"/>
              </w:rPr>
              <w:t>$</w:t>
            </w:r>
          </w:p>
        </w:tc>
        <w:tc>
          <w:tcPr>
            <w:tcW w:w="1020" w:type="dxa"/>
            <w:vAlign w:val="bottom"/>
          </w:tcPr>
          <w:p>
            <w:pPr>
              <w:jc w:val="right"/>
              <w:spacing w:after="0" w:line="209" w:lineRule="exact"/>
              <w:rPr>
                <w:sz w:val="20"/>
                <w:szCs w:val="20"/>
                <w:color w:val="auto"/>
              </w:rPr>
            </w:pPr>
            <w:r>
              <w:rPr>
                <w:rFonts w:ascii="Calibri" w:cs="Calibri" w:eastAsia="Calibri" w:hAnsi="Calibri"/>
                <w:sz w:val="18"/>
                <w:szCs w:val="18"/>
                <w:color w:val="auto"/>
              </w:rPr>
              <w:t>7.09</w:t>
            </w:r>
          </w:p>
        </w:tc>
        <w:tc>
          <w:tcPr>
            <w:tcW w:w="2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-144145</wp:posOffset>
            </wp:positionV>
            <wp:extent cx="768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-144145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635</wp:posOffset>
            </wp:positionV>
            <wp:extent cx="18770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ind w:left="280" w:hanging="272"/>
        <w:spacing w:after="0" w:line="191" w:lineRule="auto"/>
        <w:tabs>
          <w:tab w:leader="none" w:pos="280" w:val="left"/>
        </w:tabs>
        <w:numPr>
          <w:ilvl w:val="0"/>
          <w:numId w:val="26"/>
        </w:numPr>
        <w:rPr>
          <w:rFonts w:ascii="Calibri" w:cs="Calibri" w:eastAsia="Calibri" w:hAnsi="Calibri"/>
          <w:sz w:val="24"/>
          <w:szCs w:val="24"/>
          <w:color w:val="auto"/>
          <w:vertAlign w:val="superscript"/>
        </w:rPr>
      </w:pPr>
      <w:r>
        <w:rPr>
          <w:rFonts w:ascii="Calibri" w:cs="Calibri" w:eastAsia="Calibri" w:hAnsi="Calibri"/>
          <w:sz w:val="18"/>
          <w:szCs w:val="18"/>
          <w:color w:val="auto"/>
        </w:rPr>
        <w:t>These purchases were made to satsfy tax withholding obligatons in connecton with the vestng of restricted stock units issued to employees.</w:t>
      </w:r>
    </w:p>
    <w:p>
      <w:pPr>
        <w:spacing w:after="0" w:line="37" w:lineRule="exact"/>
        <w:rPr>
          <w:rFonts w:ascii="Calibri" w:cs="Calibri" w:eastAsia="Calibri" w:hAnsi="Calibri"/>
          <w:sz w:val="24"/>
          <w:szCs w:val="24"/>
          <w:color w:val="auto"/>
          <w:vertAlign w:val="superscript"/>
        </w:rPr>
      </w:pPr>
    </w:p>
    <w:p>
      <w:pPr>
        <w:ind w:left="280" w:hanging="272"/>
        <w:spacing w:after="0" w:line="185" w:lineRule="auto"/>
        <w:tabs>
          <w:tab w:leader="none" w:pos="280" w:val="left"/>
        </w:tabs>
        <w:numPr>
          <w:ilvl w:val="0"/>
          <w:numId w:val="26"/>
        </w:numPr>
        <w:rPr>
          <w:rFonts w:ascii="Calibri" w:cs="Calibri" w:eastAsia="Calibri" w:hAnsi="Calibri"/>
          <w:sz w:val="19"/>
          <w:szCs w:val="19"/>
          <w:color w:val="auto"/>
          <w:vertAlign w:val="superscript"/>
        </w:rPr>
      </w:pPr>
      <w:r>
        <w:rPr>
          <w:rFonts w:ascii="Calibri" w:cs="Calibri" w:eastAsia="Calibri" w:hAnsi="Calibri"/>
          <w:sz w:val="15"/>
          <w:szCs w:val="15"/>
          <w:color w:val="auto"/>
        </w:rPr>
        <w:t>Kodak does not have a publicly announced repurchase plan or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2773680</wp:posOffset>
            </wp:positionH>
            <wp:positionV relativeFrom="paragraph">
              <wp:posOffset>-267335</wp:posOffset>
            </wp:positionV>
            <wp:extent cx="187706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877060" cy="889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6. [RESERVED]</w:t>
      </w:r>
    </w:p>
    <w:p>
      <w:pPr>
        <w:spacing w:after="0" w:line="388"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32" w:name="page33"/>
    <w:bookmarkEnd w:id="32"/>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7. MANAGEMENT</w:t>
      </w:r>
      <w:r>
        <w:rPr>
          <w:rFonts w:ascii="Calibri" w:cs="Calibri" w:eastAsia="Calibri" w:hAnsi="Calibri"/>
          <w:sz w:val="18"/>
          <w:szCs w:val="18"/>
          <w:color w:val="auto"/>
        </w:rPr>
        <w:t>’</w:t>
      </w:r>
      <w:r>
        <w:rPr>
          <w:rFonts w:ascii="Calibri" w:cs="Calibri" w:eastAsia="Calibri" w:hAnsi="Calibri"/>
          <w:sz w:val="18"/>
          <w:szCs w:val="18"/>
          <w:b w:val="1"/>
          <w:bCs w:val="1"/>
          <w:color w:val="auto"/>
        </w:rPr>
        <w:t>S DISCUSSION AND ANALYSIS OF FINANCIAL CONDITION AND RESULTS OF OPERATIONS</w:t>
      </w:r>
    </w:p>
    <w:p>
      <w:pPr>
        <w:spacing w:after="0" w:line="190" w:lineRule="exact"/>
        <w:rPr>
          <w:sz w:val="20"/>
          <w:szCs w:val="20"/>
          <w:color w:val="auto"/>
        </w:rPr>
      </w:pPr>
    </w:p>
    <w:p>
      <w:pPr>
        <w:ind w:right="180"/>
        <w:spacing w:after="0" w:line="235" w:lineRule="auto"/>
        <w:rPr>
          <w:sz w:val="20"/>
          <w:szCs w:val="20"/>
          <w:color w:val="auto"/>
        </w:rPr>
      </w:pPr>
      <w:r>
        <w:rPr>
          <w:rFonts w:ascii="Calibri" w:cs="Calibri" w:eastAsia="Calibri" w:hAnsi="Calibri"/>
          <w:sz w:val="18"/>
          <w:szCs w:val="18"/>
          <w:color w:val="auto"/>
        </w:rPr>
        <w:t>The following Management’s Discussion and Analysis of Financial Conditon and Results of Operatons (“MD&amp;A”) is intended to help the reader understand the results of operatons and fnancial conditon of Kodak and should be read in conjuncton with the consolidated fnancial statements and notes thereto included in Part II, Item 8. “Financial Statements and Supplementary Data” (“Item 8”) of this Annual Report on Form 10-K. All references to Notes relate to Notes to the Financial Statements in Item 8.</w:t>
      </w:r>
    </w:p>
    <w:p>
      <w:pPr>
        <w:spacing w:after="0" w:line="17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CAUTIONARY STATEMENT PURSUANT TO SAFE HARBOR PROVISIONS OF THE PRIVATE SECURITIES LITIGATION REFORM ACT OF 1995</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color w:val="auto"/>
        </w:rPr>
        <w:t>This report on Form 10-K includes "forward–looking statements" as that term is defned under the Private Securites Litgaton Reform Act of 1995.</w:t>
      </w:r>
    </w:p>
    <w:p>
      <w:pPr>
        <w:spacing w:after="0" w:line="190"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Forward–looking statements include statements concerning Kodak’s plans, objectves, goals, strategies, future events, future revenue or performance, capital expenditures, liquidity, investments, fnancing needs and business trends and other informaton that is not historical informaton. When used in this document, the words “estmates,” “expects,” “antcipates,” “projects,” “plans,” “intends,” “believes,” “predicts,” “forecasts,” “strategy,” “contnues,” “goals,” “targets” or future or conditonal verbs, such as “will,” “should,” “could,” or “may,” and similar words and expressions, as well as statements that do not relate strictly to historical or current facts, are intended to identfy forward–looking statements. All forward–looking statements, including management’s examinaton of historical operatng trends and data, are based upon Kodak’s current expectatons and assumptons. Forward-looking statements are subject to risks, uncertaintes and other factors that could cause actual results or outcomes, or tming of actual results or outcomes, to difer materially from historical results or those expressed in or implied by such forward-looking statements. Important factors that could cause actual events, results or outcomes, or their tming, to difer materially from the forward-looking statements include, among others, the risks and uncertaintes described in more detail in this report on Form 10–K under the headings “Business,” “Risk Factors,” “Legal Proceedings” and/or “Management’s Discussion and Analysis of Financial Conditon and Results of Operatons–Liquidity and Capital Resources,” and in other flings the Company makes with the SEC from tme to tme, as well as the following:</w:t>
      </w:r>
    </w:p>
    <w:p>
      <w:pPr>
        <w:spacing w:after="0" w:line="194" w:lineRule="exact"/>
        <w:rPr>
          <w:sz w:val="20"/>
          <w:szCs w:val="20"/>
          <w:color w:val="auto"/>
        </w:rPr>
      </w:pPr>
    </w:p>
    <w:p>
      <w:pPr>
        <w:ind w:left="540" w:hanging="263"/>
        <w:spacing w:after="0"/>
        <w:tabs>
          <w:tab w:leader="none" w:pos="540" w:val="left"/>
        </w:tabs>
        <w:numPr>
          <w:ilvl w:val="0"/>
          <w:numId w:val="27"/>
        </w:numPr>
        <w:rPr>
          <w:rFonts w:ascii="Times New Roman" w:cs="Times New Roman" w:eastAsia="Times New Roman" w:hAnsi="Times New Roman"/>
          <w:sz w:val="18"/>
          <w:szCs w:val="18"/>
          <w:color w:val="auto"/>
        </w:rPr>
      </w:pPr>
      <w:r>
        <w:rPr>
          <w:rFonts w:ascii="Calibri" w:cs="Calibri" w:eastAsia="Calibri" w:hAnsi="Calibri"/>
          <w:sz w:val="18"/>
          <w:szCs w:val="18"/>
          <w:color w:val="auto"/>
        </w:rPr>
        <w:t>Kodak’s ability to improve and sustain its operatng structure, cash fow, proftability and other fnancial results;</w:t>
      </w:r>
    </w:p>
    <w:p>
      <w:pPr>
        <w:spacing w:after="0" w:line="185" w:lineRule="exact"/>
        <w:rPr>
          <w:rFonts w:ascii="Times New Roman" w:cs="Times New Roman" w:eastAsia="Times New Roman" w:hAnsi="Times New Roman"/>
          <w:sz w:val="18"/>
          <w:szCs w:val="18"/>
          <w:color w:val="auto"/>
        </w:rPr>
      </w:pPr>
    </w:p>
    <w:p>
      <w:pPr>
        <w:ind w:left="540" w:hanging="263"/>
        <w:spacing w:after="0"/>
        <w:tabs>
          <w:tab w:leader="none" w:pos="540" w:val="left"/>
        </w:tabs>
        <w:numPr>
          <w:ilvl w:val="0"/>
          <w:numId w:val="27"/>
        </w:numPr>
        <w:rPr>
          <w:rFonts w:ascii="Times New Roman" w:cs="Times New Roman" w:eastAsia="Times New Roman" w:hAnsi="Times New Roman"/>
          <w:sz w:val="18"/>
          <w:szCs w:val="18"/>
          <w:color w:val="auto"/>
        </w:rPr>
      </w:pPr>
      <w:r>
        <w:rPr>
          <w:rFonts w:ascii="Calibri" w:cs="Calibri" w:eastAsia="Calibri" w:hAnsi="Calibri"/>
          <w:sz w:val="18"/>
          <w:szCs w:val="18"/>
          <w:color w:val="auto"/>
        </w:rPr>
        <w:t>Kodak’s ability to achieve strategic objectves, cash forecasts, fnancial projectons, and projected growth;</w:t>
      </w:r>
    </w:p>
    <w:p>
      <w:pPr>
        <w:spacing w:after="0" w:line="198" w:lineRule="exact"/>
        <w:rPr>
          <w:rFonts w:ascii="Times New Roman" w:cs="Times New Roman" w:eastAsia="Times New Roman" w:hAnsi="Times New Roman"/>
          <w:sz w:val="18"/>
          <w:szCs w:val="18"/>
          <w:color w:val="auto"/>
        </w:rPr>
      </w:pPr>
    </w:p>
    <w:p>
      <w:pPr>
        <w:ind w:left="540" w:hanging="263"/>
        <w:spacing w:after="0"/>
        <w:tabs>
          <w:tab w:leader="none" w:pos="540" w:val="left"/>
        </w:tabs>
        <w:numPr>
          <w:ilvl w:val="0"/>
          <w:numId w:val="27"/>
        </w:numPr>
        <w:rPr>
          <w:rFonts w:ascii="Times New Roman" w:cs="Times New Roman" w:eastAsia="Times New Roman" w:hAnsi="Times New Roman"/>
          <w:sz w:val="18"/>
          <w:szCs w:val="18"/>
          <w:color w:val="auto"/>
        </w:rPr>
      </w:pPr>
      <w:r>
        <w:rPr>
          <w:rFonts w:ascii="Calibri" w:cs="Calibri" w:eastAsia="Calibri" w:hAnsi="Calibri"/>
          <w:sz w:val="18"/>
          <w:szCs w:val="18"/>
          <w:color w:val="auto"/>
        </w:rPr>
        <w:t>Kodak’s ability to achieve the fnancial and operatonal results contained in its business plans;</w:t>
      </w:r>
    </w:p>
    <w:p>
      <w:pPr>
        <w:spacing w:after="0" w:line="190" w:lineRule="exact"/>
        <w:rPr>
          <w:rFonts w:ascii="Times New Roman" w:cs="Times New Roman" w:eastAsia="Times New Roman" w:hAnsi="Times New Roman"/>
          <w:sz w:val="18"/>
          <w:szCs w:val="18"/>
          <w:color w:val="auto"/>
        </w:rPr>
      </w:pPr>
    </w:p>
    <w:p>
      <w:pPr>
        <w:ind w:left="540" w:right="940" w:hanging="263"/>
        <w:spacing w:after="0" w:line="258" w:lineRule="auto"/>
        <w:tabs>
          <w:tab w:leader="none" w:pos="540" w:val="left"/>
        </w:tabs>
        <w:numPr>
          <w:ilvl w:val="0"/>
          <w:numId w:val="27"/>
        </w:numPr>
        <w:rPr>
          <w:rFonts w:ascii="Times New Roman" w:cs="Times New Roman" w:eastAsia="Times New Roman" w:hAnsi="Times New Roman"/>
          <w:sz w:val="17"/>
          <w:szCs w:val="17"/>
          <w:color w:val="auto"/>
        </w:rPr>
      </w:pPr>
      <w:r>
        <w:rPr>
          <w:rFonts w:ascii="Calibri" w:cs="Calibri" w:eastAsia="Calibri" w:hAnsi="Calibri"/>
          <w:sz w:val="17"/>
          <w:szCs w:val="17"/>
          <w:color w:val="auto"/>
        </w:rPr>
        <w:t>Kodak’s ability to obtain additonal or alternate fnancing if and as needed, Kodak's contnued ability to manage world-wide cash through intercompany loans, distributons and other mechanisms, and Kodak's ability to provide or facilitate fnancing for its customers;</w:t>
      </w:r>
    </w:p>
    <w:p>
      <w:pPr>
        <w:spacing w:after="0" w:line="170" w:lineRule="exact"/>
        <w:rPr>
          <w:rFonts w:ascii="Times New Roman" w:cs="Times New Roman" w:eastAsia="Times New Roman" w:hAnsi="Times New Roman"/>
          <w:sz w:val="17"/>
          <w:szCs w:val="17"/>
          <w:color w:val="auto"/>
        </w:rPr>
      </w:pPr>
    </w:p>
    <w:p>
      <w:pPr>
        <w:ind w:left="540" w:hanging="263"/>
        <w:spacing w:after="0"/>
        <w:tabs>
          <w:tab w:leader="none" w:pos="540" w:val="left"/>
        </w:tabs>
        <w:numPr>
          <w:ilvl w:val="0"/>
          <w:numId w:val="27"/>
        </w:numPr>
        <w:rPr>
          <w:rFonts w:ascii="Times New Roman" w:cs="Times New Roman" w:eastAsia="Times New Roman" w:hAnsi="Times New Roman"/>
          <w:sz w:val="18"/>
          <w:szCs w:val="18"/>
          <w:color w:val="auto"/>
        </w:rPr>
      </w:pPr>
      <w:r>
        <w:rPr>
          <w:rFonts w:ascii="Calibri" w:cs="Calibri" w:eastAsia="Calibri" w:hAnsi="Calibri"/>
          <w:sz w:val="18"/>
          <w:szCs w:val="18"/>
          <w:color w:val="auto"/>
        </w:rPr>
        <w:t>Kodak's receipt of projected reversion proceeds from the liquidaton of KRIP at the tme contemplated;</w:t>
      </w:r>
    </w:p>
    <w:p>
      <w:pPr>
        <w:spacing w:after="0" w:line="203" w:lineRule="exact"/>
        <w:rPr>
          <w:rFonts w:ascii="Times New Roman" w:cs="Times New Roman" w:eastAsia="Times New Roman" w:hAnsi="Times New Roman"/>
          <w:sz w:val="18"/>
          <w:szCs w:val="18"/>
          <w:color w:val="auto"/>
        </w:rPr>
      </w:pPr>
    </w:p>
    <w:p>
      <w:pPr>
        <w:ind w:left="540" w:hanging="263"/>
        <w:spacing w:after="0" w:line="235" w:lineRule="auto"/>
        <w:tabs>
          <w:tab w:leader="none" w:pos="540" w:val="left"/>
        </w:tabs>
        <w:numPr>
          <w:ilvl w:val="0"/>
          <w:numId w:val="27"/>
        </w:numPr>
        <w:rPr>
          <w:rFonts w:ascii="Times New Roman" w:cs="Times New Roman" w:eastAsia="Times New Roman" w:hAnsi="Times New Roman"/>
          <w:sz w:val="18"/>
          <w:szCs w:val="18"/>
          <w:color w:val="auto"/>
        </w:rPr>
      </w:pPr>
      <w:r>
        <w:rPr>
          <w:rFonts w:ascii="Calibri" w:cs="Calibri" w:eastAsia="Calibri" w:hAnsi="Calibri"/>
          <w:sz w:val="18"/>
          <w:szCs w:val="18"/>
          <w:color w:val="auto"/>
        </w:rPr>
        <w:t>Kodak’s ability to fund contnued investments, capital needs and collateral requirements and service its debt and Series B Preferred Stock and Series C Preferred Stock;</w:t>
      </w:r>
    </w:p>
    <w:p>
      <w:pPr>
        <w:spacing w:after="0" w:line="185" w:lineRule="exact"/>
        <w:rPr>
          <w:rFonts w:ascii="Times New Roman" w:cs="Times New Roman" w:eastAsia="Times New Roman" w:hAnsi="Times New Roman"/>
          <w:sz w:val="18"/>
          <w:szCs w:val="18"/>
          <w:color w:val="auto"/>
        </w:rPr>
      </w:pPr>
    </w:p>
    <w:p>
      <w:pPr>
        <w:ind w:left="540" w:hanging="263"/>
        <w:spacing w:after="0"/>
        <w:tabs>
          <w:tab w:leader="none" w:pos="540" w:val="left"/>
        </w:tabs>
        <w:numPr>
          <w:ilvl w:val="0"/>
          <w:numId w:val="27"/>
        </w:numPr>
        <w:rPr>
          <w:rFonts w:ascii="Times New Roman" w:cs="Times New Roman" w:eastAsia="Times New Roman" w:hAnsi="Times New Roman"/>
          <w:sz w:val="18"/>
          <w:szCs w:val="18"/>
          <w:color w:val="auto"/>
        </w:rPr>
      </w:pPr>
      <w:r>
        <w:rPr>
          <w:rFonts w:ascii="Calibri" w:cs="Calibri" w:eastAsia="Calibri" w:hAnsi="Calibri"/>
          <w:sz w:val="18"/>
          <w:szCs w:val="18"/>
          <w:color w:val="auto"/>
        </w:rPr>
        <w:t>Changes in foreign currency exchange rates, commodity prices, interest rates and tarif rates;</w:t>
      </w:r>
    </w:p>
    <w:p>
      <w:pPr>
        <w:spacing w:after="0" w:line="190" w:lineRule="exact"/>
        <w:rPr>
          <w:rFonts w:ascii="Times New Roman" w:cs="Times New Roman" w:eastAsia="Times New Roman" w:hAnsi="Times New Roman"/>
          <w:sz w:val="18"/>
          <w:szCs w:val="18"/>
          <w:color w:val="auto"/>
        </w:rPr>
      </w:pPr>
    </w:p>
    <w:p>
      <w:pPr>
        <w:ind w:left="540" w:right="320" w:hanging="263"/>
        <w:spacing w:after="0" w:line="235" w:lineRule="auto"/>
        <w:tabs>
          <w:tab w:leader="none" w:pos="540" w:val="left"/>
        </w:tabs>
        <w:numPr>
          <w:ilvl w:val="0"/>
          <w:numId w:val="27"/>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impact of the global economic environment, including infatonary pressures, geopolitcal issues such as the war in Ukraine and the conficts involving Israel, medical epidemics, changes in trade policies, including tarifs or other trade restrictons or the threat of such actons, and Kodak’s ability to efectvely mitgate the associated increased costs of aluminum and other raw materials, energy, labor, shipping, delays in shipment and producton tmes, and fuctuatons in demand;</w:t>
      </w:r>
    </w:p>
    <w:p>
      <w:pPr>
        <w:spacing w:after="0" w:line="201" w:lineRule="exact"/>
        <w:rPr>
          <w:rFonts w:ascii="Times New Roman" w:cs="Times New Roman" w:eastAsia="Times New Roman" w:hAnsi="Times New Roman"/>
          <w:sz w:val="18"/>
          <w:szCs w:val="18"/>
          <w:color w:val="auto"/>
        </w:rPr>
      </w:pPr>
    </w:p>
    <w:p>
      <w:pPr>
        <w:ind w:left="540" w:hanging="263"/>
        <w:spacing w:after="0"/>
        <w:tabs>
          <w:tab w:leader="none" w:pos="540" w:val="left"/>
        </w:tabs>
        <w:numPr>
          <w:ilvl w:val="0"/>
          <w:numId w:val="27"/>
        </w:numPr>
        <w:rPr>
          <w:rFonts w:ascii="Times New Roman" w:cs="Times New Roman" w:eastAsia="Times New Roman" w:hAnsi="Times New Roman"/>
          <w:sz w:val="18"/>
          <w:szCs w:val="18"/>
          <w:color w:val="auto"/>
        </w:rPr>
      </w:pPr>
      <w:r>
        <w:rPr>
          <w:rFonts w:ascii="Calibri" w:cs="Calibri" w:eastAsia="Calibri" w:hAnsi="Calibri"/>
          <w:sz w:val="18"/>
          <w:szCs w:val="18"/>
          <w:color w:val="auto"/>
        </w:rPr>
        <w:t>Kodak’s ability to efectvely compete with large, well-fnanced industry partcipants or with compettors whose cost structure is lower than Kodak’s;</w:t>
      </w:r>
    </w:p>
    <w:p>
      <w:pPr>
        <w:spacing w:after="0" w:line="190" w:lineRule="exact"/>
        <w:rPr>
          <w:rFonts w:ascii="Times New Roman" w:cs="Times New Roman" w:eastAsia="Times New Roman" w:hAnsi="Times New Roman"/>
          <w:sz w:val="18"/>
          <w:szCs w:val="18"/>
          <w:color w:val="auto"/>
        </w:rPr>
      </w:pPr>
    </w:p>
    <w:p>
      <w:pPr>
        <w:jc w:val="both"/>
        <w:ind w:left="540" w:right="40" w:hanging="263"/>
        <w:spacing w:after="0" w:line="235" w:lineRule="auto"/>
        <w:tabs>
          <w:tab w:leader="none" w:pos="540" w:val="left"/>
        </w:tabs>
        <w:numPr>
          <w:ilvl w:val="0"/>
          <w:numId w:val="27"/>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performance by third partes of their obligatons to supply products, components or services to Kodak and Kodak’s ability to address supply chain disruptons and contnue to obtain raw materials and components available from single or limited sources of supply, which may be adversely afected by the war in Ukraine, the conficts involving Israel, changes in trade policies, including tarifs or other trade restrictons or the threat of such actons, and residual efects of the COVID-19 pandemic;</w:t>
      </w:r>
    </w:p>
    <w:p>
      <w:pPr>
        <w:spacing w:after="0" w:line="187" w:lineRule="exact"/>
        <w:rPr>
          <w:rFonts w:ascii="Times New Roman" w:cs="Times New Roman" w:eastAsia="Times New Roman" w:hAnsi="Times New Roman"/>
          <w:sz w:val="18"/>
          <w:szCs w:val="18"/>
          <w:color w:val="auto"/>
        </w:rPr>
      </w:pPr>
    </w:p>
    <w:p>
      <w:pPr>
        <w:ind w:left="540" w:hanging="263"/>
        <w:spacing w:after="0"/>
        <w:tabs>
          <w:tab w:leader="none" w:pos="540" w:val="left"/>
        </w:tabs>
        <w:numPr>
          <w:ilvl w:val="0"/>
          <w:numId w:val="27"/>
        </w:numPr>
        <w:rPr>
          <w:rFonts w:ascii="Times New Roman" w:cs="Times New Roman" w:eastAsia="Times New Roman" w:hAnsi="Times New Roman"/>
          <w:sz w:val="18"/>
          <w:szCs w:val="18"/>
          <w:color w:val="auto"/>
        </w:rPr>
      </w:pPr>
      <w:r>
        <w:rPr>
          <w:rFonts w:ascii="Calibri" w:cs="Calibri" w:eastAsia="Calibri" w:hAnsi="Calibri"/>
          <w:sz w:val="18"/>
          <w:szCs w:val="18"/>
          <w:color w:val="auto"/>
        </w:rPr>
        <w:t>Kodak’s ability to comply with the covenants in its various credit facilites;</w:t>
      </w:r>
    </w:p>
    <w:p>
      <w:pPr>
        <w:spacing w:after="0" w:line="185"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311150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33" w:name="page34"/>
    <w:bookmarkEnd w:id="33"/>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40" w:right="120" w:hanging="263"/>
        <w:spacing w:after="0" w:line="235" w:lineRule="auto"/>
        <w:tabs>
          <w:tab w:leader="none" w:pos="540" w:val="left"/>
        </w:tabs>
        <w:numPr>
          <w:ilvl w:val="0"/>
          <w:numId w:val="28"/>
        </w:numPr>
        <w:rPr>
          <w:rFonts w:ascii="Times New Roman" w:cs="Times New Roman" w:eastAsia="Times New Roman" w:hAnsi="Times New Roman"/>
          <w:sz w:val="18"/>
          <w:szCs w:val="18"/>
          <w:color w:val="auto"/>
        </w:rPr>
      </w:pPr>
      <w:r>
        <w:rPr>
          <w:rFonts w:ascii="Calibri" w:cs="Calibri" w:eastAsia="Calibri" w:hAnsi="Calibri"/>
          <w:sz w:val="18"/>
          <w:szCs w:val="18"/>
          <w:color w:val="auto"/>
        </w:rPr>
        <w:t>Kodak’s ability to efectvely antcipate technology and industry trends, including related to AI, and develop and market new products, solutons and technologies, including products based on its technology and expertse that relate to industries in which it does not currently conduct material business;</w:t>
      </w:r>
    </w:p>
    <w:p>
      <w:pPr>
        <w:spacing w:after="0" w:line="191" w:lineRule="exact"/>
        <w:rPr>
          <w:rFonts w:ascii="Times New Roman" w:cs="Times New Roman" w:eastAsia="Times New Roman" w:hAnsi="Times New Roman"/>
          <w:sz w:val="18"/>
          <w:szCs w:val="18"/>
          <w:color w:val="auto"/>
        </w:rPr>
      </w:pPr>
    </w:p>
    <w:p>
      <w:pPr>
        <w:ind w:left="540" w:right="540" w:hanging="263"/>
        <w:spacing w:after="0" w:line="235" w:lineRule="auto"/>
        <w:tabs>
          <w:tab w:leader="none" w:pos="540" w:val="left"/>
        </w:tabs>
        <w:numPr>
          <w:ilvl w:val="0"/>
          <w:numId w:val="28"/>
        </w:numPr>
        <w:rPr>
          <w:rFonts w:ascii="Times New Roman" w:cs="Times New Roman" w:eastAsia="Times New Roman" w:hAnsi="Times New Roman"/>
          <w:sz w:val="18"/>
          <w:szCs w:val="18"/>
          <w:color w:val="auto"/>
        </w:rPr>
      </w:pPr>
      <w:r>
        <w:rPr>
          <w:rFonts w:ascii="Calibri" w:cs="Calibri" w:eastAsia="Calibri" w:hAnsi="Calibri"/>
          <w:sz w:val="18"/>
          <w:szCs w:val="18"/>
          <w:color w:val="auto"/>
        </w:rPr>
        <w:t>Kodak’s ability to efect strategic transactons, such as investments, acquisitons, strategic alliances, divesttures and similar transactons, or to achieve the benefts sought to be achieved from such strategic transactons;</w:t>
      </w:r>
    </w:p>
    <w:p>
      <w:pPr>
        <w:spacing w:after="0" w:line="190" w:lineRule="exact"/>
        <w:rPr>
          <w:rFonts w:ascii="Times New Roman" w:cs="Times New Roman" w:eastAsia="Times New Roman" w:hAnsi="Times New Roman"/>
          <w:sz w:val="18"/>
          <w:szCs w:val="18"/>
          <w:color w:val="auto"/>
        </w:rPr>
      </w:pPr>
    </w:p>
    <w:p>
      <w:pPr>
        <w:ind w:left="540" w:right="120" w:hanging="263"/>
        <w:spacing w:after="0" w:line="235" w:lineRule="auto"/>
        <w:tabs>
          <w:tab w:leader="none" w:pos="540" w:val="left"/>
        </w:tabs>
        <w:numPr>
          <w:ilvl w:val="0"/>
          <w:numId w:val="28"/>
        </w:numPr>
        <w:rPr>
          <w:rFonts w:ascii="Times New Roman" w:cs="Times New Roman" w:eastAsia="Times New Roman" w:hAnsi="Times New Roman"/>
          <w:sz w:val="18"/>
          <w:szCs w:val="18"/>
          <w:color w:val="auto"/>
        </w:rPr>
      </w:pPr>
      <w:r>
        <w:rPr>
          <w:rFonts w:ascii="Calibri" w:cs="Calibri" w:eastAsia="Calibri" w:hAnsi="Calibri"/>
          <w:sz w:val="18"/>
          <w:szCs w:val="18"/>
          <w:color w:val="auto"/>
        </w:rPr>
        <w:t>Kodak’s contnued ability to manage, defend and resolve a variety of current and legacy claims without incurring material losses or disruptons to its business and to bear the costs associated with such claims;</w:t>
      </w:r>
    </w:p>
    <w:p>
      <w:pPr>
        <w:spacing w:after="0" w:line="199" w:lineRule="exact"/>
        <w:rPr>
          <w:rFonts w:ascii="Times New Roman" w:cs="Times New Roman" w:eastAsia="Times New Roman" w:hAnsi="Times New Roman"/>
          <w:sz w:val="18"/>
          <w:szCs w:val="18"/>
          <w:color w:val="auto"/>
        </w:rPr>
      </w:pPr>
    </w:p>
    <w:p>
      <w:pPr>
        <w:ind w:left="540" w:hanging="263"/>
        <w:spacing w:after="0"/>
        <w:tabs>
          <w:tab w:leader="none" w:pos="540" w:val="left"/>
        </w:tabs>
        <w:numPr>
          <w:ilvl w:val="0"/>
          <w:numId w:val="28"/>
        </w:numPr>
        <w:rPr>
          <w:rFonts w:ascii="Times New Roman" w:cs="Times New Roman" w:eastAsia="Times New Roman" w:hAnsi="Times New Roman"/>
          <w:sz w:val="18"/>
          <w:szCs w:val="18"/>
          <w:color w:val="auto"/>
        </w:rPr>
      </w:pPr>
      <w:r>
        <w:rPr>
          <w:rFonts w:ascii="Calibri" w:cs="Calibri" w:eastAsia="Calibri" w:hAnsi="Calibri"/>
          <w:sz w:val="18"/>
          <w:szCs w:val="18"/>
          <w:color w:val="auto"/>
        </w:rPr>
        <w:t>Kodak’s ability to discontnue, sell or spin-of certain non-core businesses or operatons, or otherwise monetze assets; and</w:t>
      </w:r>
    </w:p>
    <w:p>
      <w:pPr>
        <w:spacing w:after="0" w:line="190" w:lineRule="exact"/>
        <w:rPr>
          <w:rFonts w:ascii="Times New Roman" w:cs="Times New Roman" w:eastAsia="Times New Roman" w:hAnsi="Times New Roman"/>
          <w:sz w:val="18"/>
          <w:szCs w:val="18"/>
          <w:color w:val="auto"/>
        </w:rPr>
      </w:pPr>
    </w:p>
    <w:p>
      <w:pPr>
        <w:ind w:left="540" w:right="480" w:hanging="263"/>
        <w:spacing w:after="0" w:line="235" w:lineRule="auto"/>
        <w:tabs>
          <w:tab w:leader="none" w:pos="540" w:val="left"/>
        </w:tabs>
        <w:numPr>
          <w:ilvl w:val="0"/>
          <w:numId w:val="28"/>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potental impact of force majeure events, cyber‐atacks or other data security incidents or IT outages that could disrupt or otherwise harm Kodak’s operatons.</w:t>
      </w:r>
    </w:p>
    <w:p>
      <w:pPr>
        <w:spacing w:after="0" w:line="177" w:lineRule="exact"/>
        <w:rPr>
          <w:sz w:val="20"/>
          <w:szCs w:val="20"/>
          <w:color w:val="auto"/>
        </w:rPr>
      </w:pPr>
    </w:p>
    <w:p>
      <w:pPr>
        <w:ind w:right="100"/>
        <w:spacing w:after="0" w:line="235" w:lineRule="auto"/>
        <w:rPr>
          <w:sz w:val="20"/>
          <w:szCs w:val="20"/>
          <w:color w:val="auto"/>
        </w:rPr>
      </w:pPr>
      <w:r>
        <w:rPr>
          <w:rFonts w:ascii="Calibri" w:cs="Calibri" w:eastAsia="Calibri" w:hAnsi="Calibri"/>
          <w:sz w:val="18"/>
          <w:szCs w:val="18"/>
          <w:color w:val="auto"/>
        </w:rPr>
        <w:t>Future events and other factors may cause Kodak’s actual results to difer materially from the forward–looking statements. All forward–looking statements atributable to Kodak or persons actng on its behalf apply only as of the date of this report on Form 10-K and are expressly qualifed in their entrety by the cautonary statements included in this document. Kodak undertakes no obligaton to update or revise forward–looking statements to refect events or circumstances that arise afer the date made or to refect the occurrence of unantcipated events, except as required by law.</w:t>
      </w:r>
    </w:p>
    <w:p>
      <w:pPr>
        <w:spacing w:after="0" w:line="192"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The following MD&amp;A provides a historical and prospectve narratve on the Company’s fnancial conditon and results of operatons for the year ended December 31, 2024 as compared to the year ended December 31, 2023. Cross references to Notes in this MD&amp;A are to the Notes in the Financial Statements included in Part II, Item 8, "Financial Statements and Supplementary Data". The discussion of the Company’s fnancial conditon and results of operatons for the year ended December 31, 2023 compared to 2022 is included in Part II, Item 7. Management’s Discussion and Analysis of Financial Conditon and Results of Operatons in the Company’s Annual Report on Form 10–K for the year ended December 31, 2023.</w:t>
      </w:r>
    </w:p>
    <w:p>
      <w:pPr>
        <w:spacing w:after="0" w:line="17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EXECUTIVE OVERVIEW</w:t>
      </w:r>
    </w:p>
    <w:p>
      <w:pPr>
        <w:spacing w:after="0" w:line="177" w:lineRule="exact"/>
        <w:rPr>
          <w:sz w:val="20"/>
          <w:szCs w:val="20"/>
          <w:color w:val="auto"/>
        </w:rPr>
      </w:pPr>
    </w:p>
    <w:p>
      <w:pPr>
        <w:ind w:right="220"/>
        <w:spacing w:after="0" w:line="235" w:lineRule="auto"/>
        <w:rPr>
          <w:sz w:val="20"/>
          <w:szCs w:val="20"/>
          <w:color w:val="auto"/>
        </w:rPr>
      </w:pPr>
      <w:r>
        <w:rPr>
          <w:rFonts w:ascii="Calibri" w:cs="Calibri" w:eastAsia="Calibri" w:hAnsi="Calibri"/>
          <w:sz w:val="18"/>
          <w:szCs w:val="18"/>
          <w:color w:val="auto"/>
        </w:rPr>
        <w:t>Consolidated revenues in the year ended December 31, 2024 were $1.043 billion, a decline of $74 million (7%) from 2023. Currency fuctuatons impacted revenue unfavorably in 2024 compared to 2023 ($3 million).</w:t>
      </w:r>
    </w:p>
    <w:p>
      <w:pPr>
        <w:spacing w:after="0" w:line="191" w:lineRule="exact"/>
        <w:rPr>
          <w:sz w:val="20"/>
          <w:szCs w:val="20"/>
          <w:color w:val="auto"/>
        </w:rPr>
      </w:pPr>
    </w:p>
    <w:p>
      <w:pPr>
        <w:ind w:right="480"/>
        <w:spacing w:after="0" w:line="235" w:lineRule="auto"/>
        <w:rPr>
          <w:sz w:val="20"/>
          <w:szCs w:val="20"/>
          <w:color w:val="auto"/>
        </w:rPr>
      </w:pPr>
      <w:r>
        <w:rPr>
          <w:rFonts w:ascii="Calibri" w:cs="Calibri" w:eastAsia="Calibri" w:hAnsi="Calibri"/>
          <w:sz w:val="18"/>
          <w:szCs w:val="18"/>
          <w:color w:val="auto"/>
        </w:rPr>
        <w:t>Print revenues, which accounted for 71% of Kodak’s total revenues in 2024, declined by $91 million (11%) compared to 2023. Advanced Materials and Chemicals revenue improved $16 million (6%) from 2023 to 2024.</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Economic Environment and Other Global Events</w:t>
      </w:r>
      <w:r>
        <w:rPr>
          <w:rFonts w:ascii="Calibri" w:cs="Calibri" w:eastAsia="Calibri" w:hAnsi="Calibri"/>
          <w:sz w:val="18"/>
          <w:szCs w:val="18"/>
          <w:b w:val="1"/>
          <w:bCs w:val="1"/>
          <w:i w:val="1"/>
          <w:iCs w:val="1"/>
          <w:color w:val="auto"/>
        </w:rPr>
        <w:t>:</w:t>
      </w:r>
    </w:p>
    <w:p>
      <w:pPr>
        <w:spacing w:after="0" w:line="177" w:lineRule="exact"/>
        <w:rPr>
          <w:sz w:val="20"/>
          <w:szCs w:val="20"/>
          <w:color w:val="auto"/>
        </w:rPr>
      </w:pPr>
    </w:p>
    <w:p>
      <w:pPr>
        <w:ind w:right="180"/>
        <w:spacing w:after="0" w:line="235" w:lineRule="auto"/>
        <w:rPr>
          <w:sz w:val="20"/>
          <w:szCs w:val="20"/>
          <w:color w:val="auto"/>
        </w:rPr>
      </w:pPr>
      <w:r>
        <w:rPr>
          <w:rFonts w:ascii="Calibri" w:cs="Calibri" w:eastAsia="Calibri" w:hAnsi="Calibri"/>
          <w:sz w:val="18"/>
          <w:szCs w:val="18"/>
          <w:color w:val="auto"/>
        </w:rPr>
        <w:t>Kodak's products are sold and serviced in numerous countries across the globe with more than half of sales generated outside the U.S. Current global economic conditons remain highly volatle due to the uncertain and unpredictable macroeconomic environment, heightened levels of infaton, the war in Ukraine, the conficts involving Israel, changes in trade policies, including tarifs or other trade restrictons or the threat of such actons, and other global events which impacted Kodak’s operatons. Kodak is experiencing revenue declines and increased manufacturing costs for certain businesses due to lower volumes and increases in labor, material and distributon costs, as well as supply chain disruptons and shortages in materials and labor.</w:t>
      </w:r>
    </w:p>
    <w:p>
      <w:pPr>
        <w:spacing w:after="0" w:line="220"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Kodak has implemented various pricing actons and customer-focused initatves to mitgate the impact of increased manufacturing costs, primarily within its Print and Advanced Materials and Chemicals segments. Largely beginning in the later part of the second quarter of 2021, in order to mitgate the impact of higher aluminum, energy and packaging costs within Prepress Solutons, the Print segment implemented pricing actons on purchases of plates that contnue to be periodically reviewed and adjusted accordingly. In additon, the Advanced Materials and Chemicals segment implemented various pricing actons primarily within its Industrial Films and Chemicals and Moton Picture businesses.</w:t>
      </w:r>
    </w:p>
    <w:p>
      <w:pPr>
        <w:spacing w:after="0" w:line="220" w:lineRule="exact"/>
        <w:rPr>
          <w:sz w:val="20"/>
          <w:szCs w:val="20"/>
          <w:color w:val="auto"/>
        </w:rPr>
      </w:pPr>
    </w:p>
    <w:p>
      <w:pPr>
        <w:ind w:right="220"/>
        <w:spacing w:after="0" w:line="235" w:lineRule="auto"/>
        <w:rPr>
          <w:sz w:val="20"/>
          <w:szCs w:val="20"/>
          <w:color w:val="auto"/>
        </w:rPr>
      </w:pPr>
      <w:r>
        <w:rPr>
          <w:rFonts w:ascii="Calibri" w:cs="Calibri" w:eastAsia="Calibri" w:hAnsi="Calibri"/>
          <w:sz w:val="18"/>
          <w:szCs w:val="18"/>
          <w:color w:val="auto"/>
        </w:rPr>
        <w:t>The Print segment is experiencing a slowdown in customer demand for plates that negatvely impacted volume due to current global economic conditons and the impact of pricing actons. In additon to the pricing actons and customer initatves described above, Kodak has implemented supply chain and workforce optmizaton, productvity improvements and other cost savings actvites. The combined actons have largely mitgated the impact of lower volumes and increased manufacturing costs. However, the potental worsening of economic conditons, contnued decreases in volume and increases in manufacturing and other costs without further price increases, productvity improvements or other cost saving measures, could unfavorably impact this segment's operatng results.</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Calibri" w:cs="Calibri" w:eastAsia="Calibri" w:hAnsi="Calibri"/>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311150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sectPr>
      </w:pPr>
    </w:p>
    <w:bookmarkStart w:id="34" w:name="page35"/>
    <w:bookmarkEnd w:id="34"/>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ind w:right="140"/>
        <w:spacing w:after="0" w:line="251" w:lineRule="auto"/>
        <w:rPr>
          <w:sz w:val="20"/>
          <w:szCs w:val="20"/>
          <w:color w:val="auto"/>
        </w:rPr>
      </w:pPr>
      <w:r>
        <w:rPr>
          <w:rFonts w:ascii="Calibri" w:cs="Calibri" w:eastAsia="Calibri" w:hAnsi="Calibri"/>
          <w:sz w:val="17"/>
          <w:szCs w:val="17"/>
          <w:color w:val="auto"/>
        </w:rPr>
        <w:t>The Electrophotographic Printng Solutons business (the "EPS Business") within the Print Segment experienced higher than expected volume declines in 2024. During the third quarter of 2024, Kodak recorded an inventory reserve adjustment of $4 million resultng from higher-than-expected volume declines for certain component and service parts sold to its installed base of NEXFINITY printers due to the negatve impact of recent pricing actons and ceasing the manufacturing of NEXFINITY printers efectve December 2022. During the fourth quarter of 2024, Kodak recorded an inventory reserve adjustment of $4 million related to EPS Business black and white consumables and service parts due to the reducton in forecasted demand communicated from its primary distributor. As of December 31, 2024, the carrying value of inventory for the EPS Business was approximately $7 million.</w:t>
      </w:r>
    </w:p>
    <w:p>
      <w:pPr>
        <w:spacing w:after="0" w:line="210"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The Advanced Materials and Chemicals segment has also experienced labor shortages in certain manufacturing areas. Increased demand for consumer flm products along with manufacturing equipment limitatons and labor shortages have contributed to increased backorders. During 2024, the Advanced Materials and Chemicals segment reduced the amount of backorders compared to levels seen in prior years. This was driven by increased headcount and capital investments in equipment upgrades and new equipment that increased capacity and streamlined processes. Increased demand for flm products may contnue to place stress on manufacturing equipment and the labor force without further investment or additonal hiring in specifc areas.</w:t>
      </w:r>
    </w:p>
    <w:p>
      <w:pPr>
        <w:spacing w:after="0" w:line="193" w:lineRule="exact"/>
        <w:rPr>
          <w:sz w:val="20"/>
          <w:szCs w:val="20"/>
          <w:color w:val="auto"/>
        </w:rPr>
      </w:pPr>
    </w:p>
    <w:p>
      <w:pPr>
        <w:jc w:val="both"/>
        <w:ind w:right="480"/>
        <w:spacing w:after="0" w:line="235" w:lineRule="auto"/>
        <w:rPr>
          <w:sz w:val="20"/>
          <w:szCs w:val="20"/>
          <w:color w:val="auto"/>
        </w:rPr>
      </w:pPr>
      <w:r>
        <w:rPr>
          <w:rFonts w:ascii="Calibri" w:cs="Calibri" w:eastAsia="Calibri" w:hAnsi="Calibri"/>
          <w:sz w:val="18"/>
          <w:szCs w:val="18"/>
          <w:color w:val="auto"/>
        </w:rPr>
        <w:t>Kodak has implemented numerous measures to mitgate the challenges associated with supply chain disruptons and shortages in materials, including increasing safety stock on certain materials, increasing lead‐tmes, providing suppliers with longer forecasts of future demand and certfying additonal sources or substtute materials where possible. These measures have enabled Kodak to largely meet current demand.</w:t>
      </w:r>
    </w:p>
    <w:p>
      <w:pPr>
        <w:spacing w:after="0" w:line="178"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Following the cessaton of U.S. plate manufacturing operatons by Kodak’s key compettors, Kodak has faced increasing competton in the U.S. from low-priced plates imported from China and Japan. On September 28, 2023, Kodak fled pettons with the U.S. Department of Commerce ("Commerce Department") and the U.S. Internatonal Trade Commission ("ITC") requestng relief from unfairly traded imports of plates from China and Japan in the form of the impositon of ant-dumping and/or countervailing dutes on such imported plates. Afer making an afrmatve preliminary determinaton on November 15, 2023, on October 22, 2024 the ITC made a fnal determinaton that a U.S. industry is materially injured by reason of imports of aluminum lithographic printng plates from China and Japan that the Commerce Department has determined are sold at less than fair value and subsidized by the government of China. The Commerce Department conducted investgatons to determine dumping and subsidy margins against imports of plates manufactured in China and Japan. The Commerce Department announced preliminary fndings in its countervailing duty investgaton on imports of plates manufactured in China on February 27, 2024 and announced preliminary fndings in its ant-dumping duty investgatons on imports of plates manufactured in China and Japan on April 26, 2024, which were amended with respect to plates from China on May 28, 2024. The Commerce Department announced fnal fndings in its ant-dumping duty investgatons on imports of plates manufactured in China and Japan and its countervailing duty investgaton on imports of plates manufactured in China on September 23, 2024.  As a result of the determinatons by the ITC and Commerce Department, dutes are now being imposed on U.S. imports of plates as follows: (i) ant-dumping dutes of 115.84% on such plates manufactured in China by Fuji and 317.43% on such plates manufactured in China by other enttes (in each case, imposed on plates imported on or afer May 1, 2024), (ii) countervailing dutes of 35.66% on practcally all such plates manufactured in China (imposed on plates imported on or afer March 1, 2024), and (iii) ant-dumping dutes of 91.83% on practcally all such plates manufactured in Japan (imposed on plates imported on or afer May 1, 2024). There can be no assurance that the dutes imposed on imported plates will provide Kodak efectve relief and will not be reduced or impaired by any appeal or other challenge.</w:t>
      </w:r>
    </w:p>
    <w:p>
      <w:pPr>
        <w:spacing w:after="0" w:line="190"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color w:val="auto"/>
        </w:rPr>
        <w:t>Kodak is monitoring the events surrounding the conficts involving Israel and the impact on the operatons of its Israel subsidiary. A leased warehouse in Israel was destroyed in 2023; however, none of Kodak’s employees were injured. While the potental impact of future developments related to this confict is difcult to predict at this tme, Kodak has been able to adapt its operatons to avoid material disrupton to its business. The direct operatons of Kodak’s Israel subsidiary were less than 1% of total consolidated revenue and assets in 2024.</w:t>
      </w:r>
    </w:p>
    <w:p>
      <w:pPr>
        <w:spacing w:after="0" w:line="192"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color w:val="auto"/>
        </w:rPr>
        <w:t>Kodak also contnues to monitor the events surrounding the war in Ukraine and the various sanctons imposed in response to the war. Kodak believes it is in compliance with all sanctons. Kodak has experienced worldwide supply constraints for aluminum and increased energy and transportaton costs due in part to the war in Ukraine. The extent to which the war in Ukraine will contnue to impact the global economy and Kodak's business and operatons remains uncertain.</w:t>
      </w:r>
    </w:p>
    <w:p>
      <w:pPr>
        <w:spacing w:after="0" w:line="179"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auto"/>
        </w:rPr>
        <w:t>The war in Ukraine and the internatonal response have disrupted Kodak’s ability to operate its Russian subsidiary in the ordinary course, afectng its ability to pay vendors and employees, receive amounts owed from customers in Russia and deliver product. Kodak is in the process of an orderly winding down of its Russian subsidiary and has ceased its direct Russian operatons. The direct operatons of Kodak’s Russian subsidiary did not have a material impact on the Company’s fnancial statements (less than 1% of total consolidated revenues and assets for 2024, 2023 and 2022), and there were no material impacts to the consolidated results of operatons for the years ended December 31, 2024 and 2023 from the wind-down actvites.</w:t>
      </w:r>
    </w:p>
    <w:p>
      <w:pPr>
        <w:spacing w:after="0" w:line="175"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35" w:name="page36"/>
    <w:bookmarkEnd w:id="35"/>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340"/>
        <w:spacing w:after="0" w:line="235" w:lineRule="auto"/>
        <w:rPr>
          <w:sz w:val="20"/>
          <w:szCs w:val="20"/>
          <w:color w:val="auto"/>
        </w:rPr>
      </w:pPr>
      <w:r>
        <w:rPr>
          <w:rFonts w:ascii="Calibri" w:cs="Calibri" w:eastAsia="Calibri" w:hAnsi="Calibri"/>
          <w:sz w:val="18"/>
          <w:szCs w:val="18"/>
          <w:color w:val="auto"/>
        </w:rPr>
        <w:t>The ongoing changes in global economic conditons and the impact of other global events on Kodak’s operatons and fnancial performance remains uncertain and will depend on several factors such as the slowdown in customer demand, the ability to ofset higher labor, material and distributon costs through pricing actons, duraton of supply chain disruptons and the ability to secure raw materials and components.</w:t>
      </w:r>
    </w:p>
    <w:p>
      <w:pPr>
        <w:spacing w:after="0" w:line="17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Business Overview and Strategy</w:t>
      </w:r>
      <w:r>
        <w:rPr>
          <w:rFonts w:ascii="Calibri" w:cs="Calibri" w:eastAsia="Calibri" w:hAnsi="Calibri"/>
          <w:sz w:val="18"/>
          <w:szCs w:val="18"/>
          <w:color w:val="auto"/>
        </w:rPr>
        <w:t>:</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color w:val="auto"/>
        </w:rPr>
        <w:t>Segments within the print industry and the flm industry face competton from digital substtuton. Kodak’s strategy is to:</w:t>
      </w:r>
    </w:p>
    <w:p>
      <w:pPr>
        <w:spacing w:after="0" w:line="204" w:lineRule="exact"/>
        <w:rPr>
          <w:sz w:val="20"/>
          <w:szCs w:val="20"/>
          <w:color w:val="auto"/>
        </w:rPr>
      </w:pPr>
    </w:p>
    <w:p>
      <w:pPr>
        <w:ind w:left="280" w:right="1000" w:hanging="272"/>
        <w:spacing w:after="0" w:line="235" w:lineRule="auto"/>
        <w:tabs>
          <w:tab w:leader="none" w:pos="280" w:val="left"/>
        </w:tabs>
        <w:numPr>
          <w:ilvl w:val="0"/>
          <w:numId w:val="29"/>
        </w:numPr>
        <w:rPr>
          <w:rFonts w:ascii="Times New Roman" w:cs="Times New Roman" w:eastAsia="Times New Roman" w:hAnsi="Times New Roman"/>
          <w:sz w:val="18"/>
          <w:szCs w:val="18"/>
          <w:color w:val="auto"/>
        </w:rPr>
      </w:pPr>
      <w:r>
        <w:rPr>
          <w:rFonts w:ascii="Calibri" w:cs="Calibri" w:eastAsia="Calibri" w:hAnsi="Calibri"/>
          <w:sz w:val="18"/>
          <w:szCs w:val="18"/>
          <w:color w:val="auto"/>
        </w:rPr>
        <w:t>Focus product investment in core competency areas of print and advanced materials, leveraging Kodak’s proprietary technologies to deliver technologically advanced products in the product goods packaging, graphic communicatons and functonal printng markets;</w:t>
      </w:r>
    </w:p>
    <w:p>
      <w:pPr>
        <w:spacing w:after="0" w:line="185"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29"/>
        </w:numPr>
        <w:rPr>
          <w:rFonts w:ascii="Times New Roman" w:cs="Times New Roman" w:eastAsia="Times New Roman" w:hAnsi="Times New Roman"/>
          <w:sz w:val="18"/>
          <w:szCs w:val="18"/>
          <w:color w:val="auto"/>
        </w:rPr>
      </w:pPr>
      <w:r>
        <w:rPr>
          <w:rFonts w:ascii="Calibri" w:cs="Calibri" w:eastAsia="Calibri" w:hAnsi="Calibri"/>
          <w:sz w:val="18"/>
          <w:szCs w:val="18"/>
          <w:color w:val="auto"/>
        </w:rPr>
        <w:t>Generate proftable revenues through a focus on customers across Kodak’s Print segment, increasing overall share;</w:t>
      </w:r>
    </w:p>
    <w:p>
      <w:pPr>
        <w:spacing w:after="0" w:line="185"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29"/>
        </w:numPr>
        <w:rPr>
          <w:rFonts w:ascii="Times New Roman" w:cs="Times New Roman" w:eastAsia="Times New Roman" w:hAnsi="Times New Roman"/>
          <w:sz w:val="18"/>
          <w:szCs w:val="18"/>
          <w:color w:val="auto"/>
        </w:rPr>
      </w:pPr>
      <w:r>
        <w:rPr>
          <w:rFonts w:ascii="Calibri" w:cs="Calibri" w:eastAsia="Calibri" w:hAnsi="Calibri"/>
          <w:sz w:val="18"/>
          <w:szCs w:val="18"/>
          <w:color w:val="auto"/>
        </w:rPr>
        <w:t>Promote the use of flm and expand the applicatons of Kodak’s flm and chemicals to best utlize the existng infrastructure; and</w:t>
      </w:r>
    </w:p>
    <w:p>
      <w:pPr>
        <w:spacing w:after="0" w:line="198"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29"/>
        </w:numPr>
        <w:rPr>
          <w:rFonts w:ascii="Times New Roman" w:cs="Times New Roman" w:eastAsia="Times New Roman" w:hAnsi="Times New Roman"/>
          <w:sz w:val="18"/>
          <w:szCs w:val="18"/>
          <w:color w:val="auto"/>
        </w:rPr>
      </w:pPr>
      <w:r>
        <w:rPr>
          <w:rFonts w:ascii="Calibri" w:cs="Calibri" w:eastAsia="Calibri" w:hAnsi="Calibri"/>
          <w:sz w:val="18"/>
          <w:szCs w:val="18"/>
          <w:color w:val="auto"/>
        </w:rPr>
        <w:t>Contnue to invest in automaton and streamline processes to drive cost reductons and operatng efciencies.</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color w:val="auto"/>
        </w:rPr>
        <w:t>A discussion of opportunites and challenges related to Kodak’s strategy follows:</w:t>
      </w:r>
    </w:p>
    <w:p>
      <w:pPr>
        <w:spacing w:after="0" w:line="190" w:lineRule="exact"/>
        <w:rPr>
          <w:sz w:val="20"/>
          <w:szCs w:val="20"/>
          <w:color w:val="auto"/>
        </w:rPr>
      </w:pPr>
    </w:p>
    <w:p>
      <w:pPr>
        <w:ind w:left="540" w:right="120" w:hanging="263"/>
        <w:spacing w:after="0" w:line="235" w:lineRule="auto"/>
        <w:tabs>
          <w:tab w:leader="none" w:pos="540" w:val="left"/>
        </w:tabs>
        <w:numPr>
          <w:ilvl w:val="0"/>
          <w:numId w:val="30"/>
        </w:numPr>
        <w:rPr>
          <w:rFonts w:ascii="Times New Roman" w:cs="Times New Roman" w:eastAsia="Times New Roman" w:hAnsi="Times New Roman"/>
          <w:sz w:val="18"/>
          <w:szCs w:val="18"/>
          <w:color w:val="auto"/>
        </w:rPr>
      </w:pPr>
      <w:r>
        <w:rPr>
          <w:rFonts w:ascii="Calibri" w:cs="Calibri" w:eastAsia="Calibri" w:hAnsi="Calibri"/>
          <w:sz w:val="18"/>
          <w:szCs w:val="18"/>
          <w:color w:val="auto"/>
        </w:rPr>
        <w:t>Print's digital plate products include traditonal digital plates and KODAK SONORA Process Free Plates. SONORA Process Free Plates allow Kodak customers to skip the plate processing step prior to mountng plates on a printng press. This improvement in the printng process saves tme and costs for customers. Also, SONORA Process Free Plates reduce the environmental impact of the printng process because they eliminate the use of chemicals (including solvents), water and power that is otherwise required to process a traditonal plate. The segment's digital plate products are experiencing challenges from higher prices and availability of raw materials, digital substtuton and compettve pricing pressures. Kodak seeks to mitgate the impact of increases in manufacturing costs through a combinaton of pricing actons, improved producton efciency and cost reducton initatves. In additon, Kodak seeks to ofset the impact of short-term and long-term market dynamics on pricing and volume pressures through innovatons in Kodak product lines, including investng in digital print technologies.</w:t>
      </w:r>
    </w:p>
    <w:p>
      <w:pPr>
        <w:spacing w:after="0" w:line="209" w:lineRule="exact"/>
        <w:rPr>
          <w:rFonts w:ascii="Times New Roman" w:cs="Times New Roman" w:eastAsia="Times New Roman" w:hAnsi="Times New Roman"/>
          <w:sz w:val="18"/>
          <w:szCs w:val="18"/>
          <w:color w:val="auto"/>
        </w:rPr>
      </w:pPr>
    </w:p>
    <w:p>
      <w:pPr>
        <w:ind w:left="540" w:right="80" w:hanging="263"/>
        <w:spacing w:after="0" w:line="235" w:lineRule="auto"/>
        <w:tabs>
          <w:tab w:leader="none" w:pos="540" w:val="left"/>
        </w:tabs>
        <w:numPr>
          <w:ilvl w:val="0"/>
          <w:numId w:val="30"/>
        </w:numPr>
        <w:rPr>
          <w:rFonts w:ascii="Times New Roman" w:cs="Times New Roman" w:eastAsia="Times New Roman" w:hAnsi="Times New Roman"/>
          <w:sz w:val="18"/>
          <w:szCs w:val="18"/>
          <w:color w:val="auto"/>
        </w:rPr>
      </w:pPr>
      <w:r>
        <w:rPr>
          <w:rFonts w:ascii="Calibri" w:cs="Calibri" w:eastAsia="Calibri" w:hAnsi="Calibri"/>
          <w:sz w:val="18"/>
          <w:szCs w:val="18"/>
          <w:color w:val="auto"/>
        </w:rPr>
        <w:t>In Print's digital printng businesses, the PROSPER Inkjet Systems product oferings are expected to grow and contnue to build proftability. Kodak launched the PROSPER 7000 Turbo Press in June 2022. The PROSPER 7000 Turbo Press enables commercial, publishing and newspaper printers to compete more efectvely with ofset and to shif more long run jobs from conventonal printng processes to inkjet. Kodak completed the placement of the frst PROSPER 7000 Turbo Press in the third quarter of 2023. Investment in the next generaton technology, ULTRASTREAM, is focused on the ability to place ULTRASTREAM writng systems in Kodak branded presses and in various original equipment manufacturers in applicatons ranging from commercial print to packaging. The frst fexible packaging printng system utlizing Kodak's ULTRASTREAM inkjet technology was placed during the second quarter of 2022. In additon, Kodak ofcially launched the KODAK PROSPER ULTRA 520 Digital Press utlizing Kodak's ULTRASTREAM inkjet technology, which ofers ofset print quality in a smaller footprint. Kodak completed the placement of the frst KODAK PROSPER ULTRA 520 Digital Press in the fourth quarter of 2023.</w:t>
      </w:r>
    </w:p>
    <w:p>
      <w:pPr>
        <w:spacing w:after="0" w:line="196" w:lineRule="exact"/>
        <w:rPr>
          <w:rFonts w:ascii="Times New Roman" w:cs="Times New Roman" w:eastAsia="Times New Roman" w:hAnsi="Times New Roman"/>
          <w:sz w:val="18"/>
          <w:szCs w:val="18"/>
          <w:color w:val="auto"/>
        </w:rPr>
      </w:pPr>
    </w:p>
    <w:p>
      <w:pPr>
        <w:ind w:left="540" w:right="20" w:hanging="263"/>
        <w:spacing w:after="0" w:line="235" w:lineRule="auto"/>
        <w:tabs>
          <w:tab w:leader="none" w:pos="540" w:val="left"/>
        </w:tabs>
        <w:numPr>
          <w:ilvl w:val="0"/>
          <w:numId w:val="30"/>
        </w:numPr>
        <w:rPr>
          <w:rFonts w:ascii="Times New Roman" w:cs="Times New Roman" w:eastAsia="Times New Roman" w:hAnsi="Times New Roman"/>
          <w:sz w:val="18"/>
          <w:szCs w:val="18"/>
          <w:color w:val="auto"/>
        </w:rPr>
      </w:pPr>
      <w:r>
        <w:rPr>
          <w:rFonts w:ascii="Calibri" w:cs="Calibri" w:eastAsia="Calibri" w:hAnsi="Calibri"/>
          <w:sz w:val="18"/>
          <w:szCs w:val="18"/>
          <w:color w:val="auto"/>
        </w:rPr>
        <w:t>Advanced Materials and Chemicals segment is using Kodak's deep expertse in chemistry and strengths in depositon and coatng processes that come from decades of experience in flm manufacturing to work on new initatves:</w:t>
      </w:r>
    </w:p>
    <w:p>
      <w:pPr>
        <w:spacing w:after="0" w:line="190" w:lineRule="exact"/>
        <w:rPr>
          <w:rFonts w:ascii="Times New Roman" w:cs="Times New Roman" w:eastAsia="Times New Roman" w:hAnsi="Times New Roman"/>
          <w:sz w:val="18"/>
          <w:szCs w:val="18"/>
          <w:color w:val="auto"/>
        </w:rPr>
      </w:pPr>
    </w:p>
    <w:p>
      <w:pPr>
        <w:ind w:left="1020" w:hanging="263"/>
        <w:spacing w:after="0" w:line="250" w:lineRule="auto"/>
        <w:tabs>
          <w:tab w:leader="none" w:pos="1020" w:val="left"/>
        </w:tabs>
        <w:numPr>
          <w:ilvl w:val="1"/>
          <w:numId w:val="30"/>
        </w:numPr>
        <w:rPr>
          <w:rFonts w:ascii="Times New Roman" w:cs="Times New Roman" w:eastAsia="Times New Roman" w:hAnsi="Times New Roman"/>
          <w:sz w:val="17"/>
          <w:szCs w:val="17"/>
          <w:color w:val="auto"/>
        </w:rPr>
      </w:pPr>
      <w:r>
        <w:rPr>
          <w:rFonts w:ascii="Calibri" w:cs="Calibri" w:eastAsia="Calibri" w:hAnsi="Calibri"/>
          <w:sz w:val="17"/>
          <w:szCs w:val="17"/>
          <w:color w:val="auto"/>
        </w:rPr>
        <w:t xml:space="preserve">EV/Energy Storage Batery Material Manufacturing </w:t>
      </w:r>
      <w:r>
        <w:rPr>
          <w:rFonts w:ascii="Calibri" w:cs="Calibri" w:eastAsia="Calibri" w:hAnsi="Calibri"/>
          <w:sz w:val="17"/>
          <w:szCs w:val="17"/>
          <w:i w:val="1"/>
          <w:iCs w:val="1"/>
          <w:color w:val="auto"/>
        </w:rPr>
        <w:t>-</w:t>
      </w:r>
      <w:r>
        <w:rPr>
          <w:rFonts w:ascii="Calibri" w:cs="Calibri" w:eastAsia="Calibri" w:hAnsi="Calibri"/>
          <w:sz w:val="17"/>
          <w:szCs w:val="17"/>
          <w:color w:val="auto"/>
        </w:rPr>
        <w:t xml:space="preserve"> Coatng of substrates is a critcal aspect of manufacturing materials for bateries and Kodak plans to capitalize on its expertse in coatng technology to develop opportunites in this area. Kodak utlizes its pilot coatng facility to conduct development of coated electrodes for a variety of batery, fuel cell, and solar flm companies as well as low volume manufacturing of electrodes. On July 13, 2022, Kodak invested $25 million to acquire a minority preferred equity interest in Wildcat Discovery Technologies, Inc. ("Wildcat"), a private technology company that uses proprietary methods to research and develop new batery materials, including an EV batery. Wildcat contnues to explore and assess various optons and alternatves to fund the future development and commercializaton of this technology which may impact the value of Kodak's investment or dilute Kodak's ownership in Wildcat. Kodak also entered into an agreement to provide coatng and engineering services in collaboraton with Wildcat to develop and scale flm coatng technologies. Wildcat has granted Kodak certain rights to negotate a producton or licensing arrangement with Wildcat when and if Wildcat’s technology reaches commercial readiness. Kodak has utlized an existng producton coatng facility to manufacture coated substrates for EV cell assembly. Kodak is evaluatng expansion or enhancement of this facility to serve a wider variety of producton level customers.</w:t>
      </w:r>
    </w:p>
    <w:p>
      <w:pPr>
        <w:spacing w:after="0" w:line="182"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36" w:name="page37"/>
    <w:bookmarkEnd w:id="36"/>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020" w:right="220" w:hanging="263"/>
        <w:spacing w:after="0" w:line="235" w:lineRule="auto"/>
        <w:tabs>
          <w:tab w:leader="none" w:pos="1020" w:val="left"/>
        </w:tabs>
        <w:numPr>
          <w:ilvl w:val="1"/>
          <w:numId w:val="31"/>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Reagent Manufacturing - Kodak plans to capitalize on its existng chemical manufacturing expertse, including current producton of unregulated Key Startng Materials for pharmaceutcal products, to implement an expansion into manufacturing Diagnostc Test Reagent solutons. Kodak has started constructon of a Current Good Manufacturing Practce ("cGMP") lab and manufacturing facility to manufacture reagents for healthcare applicatons within an existng building located at EBP. Producton is scheduled to begin in 2025.</w:t>
      </w:r>
    </w:p>
    <w:p>
      <w:pPr>
        <w:spacing w:after="0" w:line="192" w:lineRule="exact"/>
        <w:rPr>
          <w:rFonts w:ascii="Times New Roman" w:cs="Times New Roman" w:eastAsia="Times New Roman" w:hAnsi="Times New Roman"/>
          <w:sz w:val="18"/>
          <w:szCs w:val="18"/>
          <w:color w:val="auto"/>
        </w:rPr>
      </w:pPr>
    </w:p>
    <w:p>
      <w:pPr>
        <w:ind w:left="1020" w:right="100" w:hanging="263"/>
        <w:spacing w:after="0" w:line="235" w:lineRule="auto"/>
        <w:tabs>
          <w:tab w:leader="none" w:pos="1020" w:val="left"/>
        </w:tabs>
        <w:numPr>
          <w:ilvl w:val="1"/>
          <w:numId w:val="31"/>
        </w:numPr>
        <w:rPr>
          <w:rFonts w:ascii="Times New Roman" w:cs="Times New Roman" w:eastAsia="Times New Roman" w:hAnsi="Times New Roman"/>
          <w:sz w:val="18"/>
          <w:szCs w:val="18"/>
          <w:color w:val="auto"/>
        </w:rPr>
      </w:pPr>
      <w:r>
        <w:rPr>
          <w:rFonts w:ascii="Calibri" w:cs="Calibri" w:eastAsia="Calibri" w:hAnsi="Calibri"/>
          <w:sz w:val="18"/>
          <w:szCs w:val="18"/>
          <w:color w:val="auto"/>
        </w:rPr>
        <w:t>Light-Blocking Technology - A proprietary technology initally developed for electrophotographic toners is being leveraged to commercialize a carbon‐less fabric coatng designed to ofer superior light management, from complete blackout to selectve light fltering, and coatng compatbility with an unmatched range of fabrics and also to manage ultraviolet and/or infrared light in additon to visible light. Kodak has installed a producton-scale machine to coat fabrics in EBP, located in Rochester, NY and contnues to explore strategic alternatves in order to commercialize this technology.</w:t>
      </w:r>
    </w:p>
    <w:p>
      <w:pPr>
        <w:spacing w:after="0" w:line="193" w:lineRule="exact"/>
        <w:rPr>
          <w:rFonts w:ascii="Times New Roman" w:cs="Times New Roman" w:eastAsia="Times New Roman" w:hAnsi="Times New Roman"/>
          <w:sz w:val="18"/>
          <w:szCs w:val="18"/>
          <w:color w:val="auto"/>
        </w:rPr>
      </w:pPr>
    </w:p>
    <w:p>
      <w:pPr>
        <w:ind w:left="1020" w:right="60" w:hanging="263"/>
        <w:spacing w:after="0" w:line="235" w:lineRule="auto"/>
        <w:tabs>
          <w:tab w:leader="none" w:pos="1020" w:val="left"/>
        </w:tabs>
        <w:numPr>
          <w:ilvl w:val="1"/>
          <w:numId w:val="31"/>
        </w:numPr>
        <w:rPr>
          <w:rFonts w:ascii="Times New Roman" w:cs="Times New Roman" w:eastAsia="Times New Roman" w:hAnsi="Times New Roman"/>
          <w:sz w:val="18"/>
          <w:szCs w:val="18"/>
          <w:color w:val="auto"/>
        </w:rPr>
      </w:pPr>
      <w:r>
        <w:rPr>
          <w:rFonts w:ascii="Calibri" w:cs="Calibri" w:eastAsia="Calibri" w:hAnsi="Calibri"/>
          <w:sz w:val="18"/>
          <w:szCs w:val="18"/>
          <w:color w:val="auto"/>
        </w:rPr>
        <w:t>Transparent Antennas - Kodak plans to leverage its proprietary copper micro‐wire technologies and high‐resoluton printng expertse to contract‐manufacture custom transparent antennas for automotve, commercial constructon, and other applicatons requiring excellent radio frequency (“RF”) and optcal performance. The integraton of antennas is growing worldwide due to the rapid expansion of 5G and an overall increase in RF communicatons, and the ubiquity of glass surfaces makes transparent antennas atractve for multple end‐use markets. Kodak is evaluatng this unique printng technology and expertse for transparent heaters to be used in biomedical analytcal devices and telecom applicatons such as satellite dishes.</w:t>
      </w:r>
    </w:p>
    <w:p>
      <w:pPr>
        <w:spacing w:after="0" w:line="207" w:lineRule="exact"/>
        <w:rPr>
          <w:rFonts w:ascii="Times New Roman" w:cs="Times New Roman" w:eastAsia="Times New Roman" w:hAnsi="Times New Roman"/>
          <w:sz w:val="18"/>
          <w:szCs w:val="18"/>
          <w:color w:val="auto"/>
        </w:rPr>
      </w:pPr>
    </w:p>
    <w:p>
      <w:pPr>
        <w:ind w:left="1020" w:right="200" w:hanging="263"/>
        <w:spacing w:after="0" w:line="235" w:lineRule="auto"/>
        <w:tabs>
          <w:tab w:leader="none" w:pos="1020" w:val="left"/>
        </w:tabs>
        <w:numPr>
          <w:ilvl w:val="1"/>
          <w:numId w:val="31"/>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Company remains interested in working with governmental agencies to leverage its assets and technology to on-shore manufacturing of pharmaceutcal and other healthcare materials.</w:t>
      </w:r>
    </w:p>
    <w:p>
      <w:pPr>
        <w:spacing w:after="0" w:line="190" w:lineRule="exact"/>
        <w:rPr>
          <w:rFonts w:ascii="Times New Roman" w:cs="Times New Roman" w:eastAsia="Times New Roman" w:hAnsi="Times New Roman"/>
          <w:sz w:val="18"/>
          <w:szCs w:val="18"/>
          <w:color w:val="auto"/>
        </w:rPr>
      </w:pPr>
    </w:p>
    <w:p>
      <w:pPr>
        <w:ind w:left="540" w:right="80" w:hanging="263"/>
        <w:spacing w:after="0" w:line="235" w:lineRule="auto"/>
        <w:tabs>
          <w:tab w:leader="none" w:pos="540" w:val="left"/>
        </w:tabs>
        <w:numPr>
          <w:ilvl w:val="0"/>
          <w:numId w:val="31"/>
        </w:numPr>
        <w:rPr>
          <w:rFonts w:ascii="Times New Roman" w:cs="Times New Roman" w:eastAsia="Times New Roman" w:hAnsi="Times New Roman"/>
          <w:sz w:val="18"/>
          <w:szCs w:val="18"/>
          <w:color w:val="auto"/>
        </w:rPr>
      </w:pPr>
      <w:r>
        <w:rPr>
          <w:rFonts w:ascii="Calibri" w:cs="Calibri" w:eastAsia="Calibri" w:hAnsi="Calibri"/>
          <w:sz w:val="18"/>
          <w:szCs w:val="18"/>
          <w:color w:val="auto"/>
        </w:rPr>
        <w:t>Film and related component manufacturing operatons and Kodak Research Laboratories utlize capacity at EBP, which helps cost absorpton for both Kodak operatons and tenants at EBP.</w:t>
      </w:r>
    </w:p>
    <w:p>
      <w:pPr>
        <w:spacing w:after="0" w:line="190" w:lineRule="exact"/>
        <w:rPr>
          <w:rFonts w:ascii="Times New Roman" w:cs="Times New Roman" w:eastAsia="Times New Roman" w:hAnsi="Times New Roman"/>
          <w:sz w:val="18"/>
          <w:szCs w:val="18"/>
          <w:color w:val="auto"/>
        </w:rPr>
      </w:pPr>
    </w:p>
    <w:p>
      <w:pPr>
        <w:ind w:left="540" w:right="700" w:hanging="263"/>
        <w:spacing w:after="0" w:line="235" w:lineRule="auto"/>
        <w:tabs>
          <w:tab w:leader="none" w:pos="540" w:val="left"/>
        </w:tabs>
        <w:numPr>
          <w:ilvl w:val="0"/>
          <w:numId w:val="31"/>
        </w:numPr>
        <w:rPr>
          <w:rFonts w:ascii="Times New Roman" w:cs="Times New Roman" w:eastAsia="Times New Roman" w:hAnsi="Times New Roman"/>
          <w:sz w:val="18"/>
          <w:szCs w:val="18"/>
          <w:color w:val="auto"/>
        </w:rPr>
      </w:pPr>
      <w:r>
        <w:rPr>
          <w:rFonts w:ascii="Calibri" w:cs="Calibri" w:eastAsia="Calibri" w:hAnsi="Calibri"/>
          <w:sz w:val="18"/>
          <w:szCs w:val="18"/>
          <w:color w:val="auto"/>
        </w:rPr>
        <w:t>Kodak plans to capitalize on its intellectual property through new business or licensing opportunites in 3D printng materials, smart material applicatons and printed electronics markets.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080" w:type="dxa"/>
            <w:vAlign w:val="bottom"/>
          </w:tcPr>
          <w:p>
            <w:pPr>
              <w:spacing w:after="0"/>
              <w:rPr>
                <w:sz w:val="20"/>
                <w:szCs w:val="20"/>
                <w:color w:val="auto"/>
              </w:rPr>
            </w:pPr>
            <w:r>
              <w:rPr>
                <w:rFonts w:ascii="Calibri" w:cs="Calibri" w:eastAsia="Calibri" w:hAnsi="Calibri"/>
                <w:sz w:val="18"/>
                <w:szCs w:val="18"/>
                <w:b w:val="1"/>
                <w:bCs w:val="1"/>
                <w:color w:val="auto"/>
              </w:rPr>
              <w:t>RESULTS OF OPERATIONS</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32"/>
        </w:trPr>
        <w:tc>
          <w:tcPr>
            <w:tcW w:w="4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2"/>
          </w:tcPr>
          <w:p>
            <w:pPr>
              <w:jc w:val="center"/>
              <w:ind w:right="360"/>
              <w:spacing w:after="0"/>
              <w:rPr>
                <w:sz w:val="20"/>
                <w:szCs w:val="20"/>
                <w:color w:val="auto"/>
              </w:rPr>
            </w:pPr>
            <w:r>
              <w:rPr>
                <w:rFonts w:ascii="Calibri" w:cs="Calibri" w:eastAsia="Calibri" w:hAnsi="Calibri"/>
                <w:sz w:val="18"/>
                <w:szCs w:val="18"/>
                <w:b w:val="1"/>
                <w:bCs w:val="1"/>
                <w:color w:val="auto"/>
                <w:w w:val="99"/>
              </w:rPr>
              <w:t>Year Ended</w:t>
            </w: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jc w:val="center"/>
              <w:ind w:right="320"/>
              <w:spacing w:after="0"/>
              <w:rPr>
                <w:sz w:val="20"/>
                <w:szCs w:val="20"/>
                <w:color w:val="auto"/>
              </w:rPr>
            </w:pPr>
            <w:r>
              <w:rPr>
                <w:rFonts w:ascii="Calibri" w:cs="Calibri" w:eastAsia="Calibri" w:hAnsi="Calibri"/>
                <w:sz w:val="18"/>
                <w:szCs w:val="18"/>
                <w:b w:val="1"/>
                <w:bCs w:val="1"/>
                <w:color w:val="auto"/>
                <w:w w:val="96"/>
              </w:rPr>
              <w:t>Year Ended</w:t>
            </w: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080" w:type="dxa"/>
            <w:vAlign w:val="bottom"/>
          </w:tcPr>
          <w:p>
            <w:pPr>
              <w:spacing w:after="0"/>
              <w:rPr>
                <w:sz w:val="18"/>
                <w:szCs w:val="18"/>
                <w:color w:val="auto"/>
              </w:rPr>
            </w:pPr>
          </w:p>
        </w:tc>
        <w:tc>
          <w:tcPr>
            <w:tcW w:w="1420" w:type="dxa"/>
            <w:vAlign w:val="bottom"/>
            <w:gridSpan w:val="3"/>
          </w:tcPr>
          <w:p>
            <w:pPr>
              <w:jc w:val="center"/>
              <w:ind w:right="220"/>
              <w:spacing w:after="0" w:line="216" w:lineRule="exact"/>
              <w:rPr>
                <w:sz w:val="20"/>
                <w:szCs w:val="20"/>
                <w:color w:val="auto"/>
              </w:rPr>
            </w:pPr>
            <w:r>
              <w:rPr>
                <w:rFonts w:ascii="Calibri" w:cs="Calibri" w:eastAsia="Calibri" w:hAnsi="Calibri"/>
                <w:sz w:val="18"/>
                <w:szCs w:val="18"/>
                <w:b w:val="1"/>
                <w:bCs w:val="1"/>
                <w:color w:val="auto"/>
                <w:w w:val="96"/>
              </w:rPr>
              <w:t>December 31,</w:t>
            </w:r>
          </w:p>
        </w:tc>
        <w:tc>
          <w:tcPr>
            <w:tcW w:w="1620" w:type="dxa"/>
            <w:vAlign w:val="bottom"/>
            <w:gridSpan w:val="3"/>
          </w:tcPr>
          <w:p>
            <w:pPr>
              <w:jc w:val="center"/>
              <w:ind w:right="460"/>
              <w:spacing w:after="0" w:line="216" w:lineRule="exact"/>
              <w:rPr>
                <w:sz w:val="20"/>
                <w:szCs w:val="20"/>
                <w:color w:val="auto"/>
              </w:rPr>
            </w:pPr>
            <w:r>
              <w:rPr>
                <w:rFonts w:ascii="Calibri" w:cs="Calibri" w:eastAsia="Calibri" w:hAnsi="Calibri"/>
                <w:sz w:val="18"/>
                <w:szCs w:val="18"/>
                <w:b w:val="1"/>
                <w:bCs w:val="1"/>
                <w:color w:val="auto"/>
                <w:w w:val="98"/>
              </w:rPr>
              <w:t>% of</w:t>
            </w:r>
          </w:p>
        </w:tc>
        <w:tc>
          <w:tcPr>
            <w:tcW w:w="1380" w:type="dxa"/>
            <w:vAlign w:val="bottom"/>
            <w:gridSpan w:val="2"/>
          </w:tcPr>
          <w:p>
            <w:pPr>
              <w:jc w:val="center"/>
              <w:ind w:right="340"/>
              <w:spacing w:after="0" w:line="216" w:lineRule="exact"/>
              <w:rPr>
                <w:sz w:val="20"/>
                <w:szCs w:val="20"/>
                <w:color w:val="auto"/>
              </w:rPr>
            </w:pPr>
            <w:r>
              <w:rPr>
                <w:rFonts w:ascii="Calibri" w:cs="Calibri" w:eastAsia="Calibri" w:hAnsi="Calibri"/>
                <w:sz w:val="18"/>
                <w:szCs w:val="18"/>
                <w:b w:val="1"/>
                <w:bCs w:val="1"/>
                <w:color w:val="auto"/>
                <w:w w:val="96"/>
              </w:rPr>
              <w:t>December 31,</w:t>
            </w:r>
          </w:p>
        </w:tc>
        <w:tc>
          <w:tcPr>
            <w:tcW w:w="1600" w:type="dxa"/>
            <w:vAlign w:val="bottom"/>
            <w:gridSpan w:val="3"/>
          </w:tcPr>
          <w:p>
            <w:pPr>
              <w:jc w:val="center"/>
              <w:ind w:right="440"/>
              <w:spacing w:after="0" w:line="216" w:lineRule="exact"/>
              <w:rPr>
                <w:sz w:val="20"/>
                <w:szCs w:val="20"/>
                <w:color w:val="auto"/>
              </w:rPr>
            </w:pPr>
            <w:r>
              <w:rPr>
                <w:rFonts w:ascii="Calibri" w:cs="Calibri" w:eastAsia="Calibri" w:hAnsi="Calibri"/>
                <w:sz w:val="18"/>
                <w:szCs w:val="18"/>
                <w:b w:val="1"/>
                <w:bCs w:val="1"/>
                <w:color w:val="auto"/>
                <w:w w:val="98"/>
              </w:rPr>
              <w:t>% of</w:t>
            </w:r>
          </w:p>
        </w:tc>
        <w:tc>
          <w:tcPr>
            <w:tcW w:w="1140" w:type="dxa"/>
            <w:vAlign w:val="bottom"/>
            <w:gridSpan w:val="2"/>
          </w:tcPr>
          <w:p>
            <w:pPr>
              <w:jc w:val="right"/>
              <w:ind w:right="220"/>
              <w:spacing w:after="0" w:line="216" w:lineRule="exact"/>
              <w:rPr>
                <w:sz w:val="20"/>
                <w:szCs w:val="20"/>
                <w:color w:val="auto"/>
              </w:rPr>
            </w:pPr>
            <w:r>
              <w:rPr>
                <w:rFonts w:ascii="Calibri" w:cs="Calibri" w:eastAsia="Calibri" w:hAnsi="Calibri"/>
                <w:sz w:val="18"/>
                <w:szCs w:val="18"/>
                <w:b w:val="1"/>
                <w:bCs w:val="1"/>
                <w:color w:val="auto"/>
                <w:w w:val="96"/>
              </w:rPr>
              <w:t>$ Change vs.</w:t>
            </w:r>
          </w:p>
        </w:tc>
      </w:tr>
      <w:tr>
        <w:trPr>
          <w:trHeight w:val="236"/>
        </w:trPr>
        <w:tc>
          <w:tcPr>
            <w:tcW w:w="4080" w:type="dxa"/>
            <w:vAlign w:val="bottom"/>
          </w:tcPr>
          <w:p>
            <w:pPr>
              <w:ind w:left="20"/>
              <w:spacing w:after="0"/>
              <w:rPr>
                <w:sz w:val="20"/>
                <w:szCs w:val="20"/>
                <w:color w:val="auto"/>
              </w:rPr>
            </w:pPr>
            <w:r>
              <w:rPr>
                <w:rFonts w:ascii="Calibri" w:cs="Calibri" w:eastAsia="Calibri" w:hAnsi="Calibri"/>
                <w:sz w:val="14"/>
                <w:szCs w:val="14"/>
                <w:color w:val="auto"/>
              </w:rPr>
              <w:t>(in millions)</w:t>
            </w: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50"/>
              <w:spacing w:after="0" w:line="216" w:lineRule="exact"/>
              <w:rPr>
                <w:sz w:val="20"/>
                <w:szCs w:val="20"/>
                <w:color w:val="auto"/>
              </w:rPr>
            </w:pPr>
            <w:r>
              <w:rPr>
                <w:rFonts w:ascii="Calibri" w:cs="Calibri" w:eastAsia="Calibri" w:hAnsi="Calibri"/>
                <w:sz w:val="18"/>
                <w:szCs w:val="18"/>
                <w:b w:val="1"/>
                <w:bCs w:val="1"/>
                <w:color w:val="auto"/>
                <w:w w:val="98"/>
              </w:rPr>
              <w:t>2024</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line="216" w:lineRule="exact"/>
              <w:rPr>
                <w:sz w:val="20"/>
                <w:szCs w:val="20"/>
                <w:color w:val="auto"/>
              </w:rPr>
            </w:pPr>
            <w:r>
              <w:rPr>
                <w:rFonts w:ascii="Calibri" w:cs="Calibri" w:eastAsia="Calibri" w:hAnsi="Calibri"/>
                <w:sz w:val="18"/>
                <w:szCs w:val="18"/>
                <w:b w:val="1"/>
                <w:bCs w:val="1"/>
                <w:color w:val="auto"/>
                <w:w w:val="94"/>
              </w:rPr>
              <w:t>Sales</w:t>
            </w:r>
          </w:p>
        </w:tc>
        <w:tc>
          <w:tcPr>
            <w:tcW w:w="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30"/>
              <w:spacing w:after="0" w:line="216" w:lineRule="exact"/>
              <w:rPr>
                <w:sz w:val="20"/>
                <w:szCs w:val="20"/>
                <w:color w:val="auto"/>
              </w:rPr>
            </w:pPr>
            <w:r>
              <w:rPr>
                <w:rFonts w:ascii="Calibri" w:cs="Calibri" w:eastAsia="Calibri" w:hAnsi="Calibri"/>
                <w:sz w:val="18"/>
                <w:szCs w:val="18"/>
                <w:b w:val="1"/>
                <w:bCs w:val="1"/>
                <w:color w:val="auto"/>
                <w:w w:val="98"/>
              </w:rPr>
              <w:t>2023</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line="216" w:lineRule="exact"/>
              <w:rPr>
                <w:sz w:val="20"/>
                <w:szCs w:val="20"/>
                <w:color w:val="auto"/>
              </w:rPr>
            </w:pPr>
            <w:r>
              <w:rPr>
                <w:rFonts w:ascii="Calibri" w:cs="Calibri" w:eastAsia="Calibri" w:hAnsi="Calibri"/>
                <w:sz w:val="18"/>
                <w:szCs w:val="18"/>
                <w:b w:val="1"/>
                <w:bCs w:val="1"/>
                <w:color w:val="auto"/>
                <w:w w:val="99"/>
              </w:rPr>
              <w:t>Sales</w:t>
            </w:r>
          </w:p>
        </w:tc>
        <w:tc>
          <w:tcPr>
            <w:tcW w:w="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line="216" w:lineRule="exact"/>
              <w:rPr>
                <w:sz w:val="20"/>
                <w:szCs w:val="20"/>
                <w:color w:val="auto"/>
              </w:rPr>
            </w:pPr>
            <w:r>
              <w:rPr>
                <w:rFonts w:ascii="Calibri" w:cs="Calibri" w:eastAsia="Calibri" w:hAnsi="Calibri"/>
                <w:sz w:val="18"/>
                <w:szCs w:val="18"/>
                <w:b w:val="1"/>
                <w:bCs w:val="1"/>
                <w:color w:val="auto"/>
              </w:rPr>
              <w:t>2023</w:t>
            </w:r>
          </w:p>
        </w:tc>
        <w:tc>
          <w:tcPr>
            <w:tcW w:w="100" w:type="dxa"/>
            <w:vAlign w:val="bottom"/>
          </w:tcPr>
          <w:p>
            <w:pPr>
              <w:spacing w:after="0"/>
              <w:rPr>
                <w:sz w:val="20"/>
                <w:szCs w:val="20"/>
                <w:color w:val="auto"/>
              </w:rPr>
            </w:pPr>
          </w:p>
        </w:tc>
      </w:tr>
      <w:tr>
        <w:trPr>
          <w:trHeight w:val="213"/>
        </w:trPr>
        <w:tc>
          <w:tcPr>
            <w:tcW w:w="4080" w:type="dxa"/>
            <w:vAlign w:val="bottom"/>
            <w:shd w:val="clear" w:color="auto" w:fill="CFF0FC"/>
          </w:tcPr>
          <w:p>
            <w:pPr>
              <w:ind w:left="20"/>
              <w:spacing w:after="0" w:line="213" w:lineRule="exact"/>
              <w:rPr>
                <w:sz w:val="20"/>
                <w:szCs w:val="20"/>
                <w:color w:val="auto"/>
              </w:rPr>
            </w:pPr>
            <w:r>
              <w:rPr>
                <w:rFonts w:ascii="Calibri" w:cs="Calibri" w:eastAsia="Calibri" w:hAnsi="Calibri"/>
                <w:sz w:val="18"/>
                <w:szCs w:val="18"/>
                <w:color w:val="auto"/>
              </w:rPr>
              <w:t>Revenues</w:t>
            </w:r>
          </w:p>
        </w:tc>
        <w:tc>
          <w:tcPr>
            <w:tcW w:w="140" w:type="dxa"/>
            <w:vAlign w:val="bottom"/>
            <w:shd w:val="clear" w:color="auto" w:fill="CFF0FC"/>
          </w:tcPr>
          <w:p>
            <w:pPr>
              <w:jc w:val="right"/>
              <w:spacing w:after="0" w:line="213" w:lineRule="exact"/>
              <w:rPr>
                <w:sz w:val="20"/>
                <w:szCs w:val="20"/>
                <w:color w:val="auto"/>
              </w:rPr>
            </w:pPr>
            <w:r>
              <w:rPr>
                <w:rFonts w:ascii="Calibri" w:cs="Calibri" w:eastAsia="Calibri" w:hAnsi="Calibri"/>
                <w:sz w:val="18"/>
                <w:szCs w:val="18"/>
                <w:color w:val="auto"/>
                <w:w w:val="87"/>
              </w:rPr>
              <w:t>$</w:t>
            </w:r>
          </w:p>
        </w:tc>
        <w:tc>
          <w:tcPr>
            <w:tcW w:w="1060" w:type="dxa"/>
            <w:vAlign w:val="bottom"/>
            <w:shd w:val="clear" w:color="auto" w:fill="CFF0FC"/>
          </w:tcPr>
          <w:p>
            <w:pPr>
              <w:jc w:val="right"/>
              <w:spacing w:after="0" w:line="213" w:lineRule="exact"/>
              <w:rPr>
                <w:sz w:val="20"/>
                <w:szCs w:val="20"/>
                <w:color w:val="auto"/>
              </w:rPr>
            </w:pPr>
            <w:r>
              <w:rPr>
                <w:rFonts w:ascii="Calibri" w:cs="Calibri" w:eastAsia="Calibri" w:hAnsi="Calibri"/>
                <w:sz w:val="18"/>
                <w:szCs w:val="18"/>
                <w:color w:val="auto"/>
              </w:rPr>
              <w:t>1,043</w:t>
            </w:r>
          </w:p>
        </w:tc>
        <w:tc>
          <w:tcPr>
            <w:tcW w:w="220" w:type="dxa"/>
            <w:vAlign w:val="bottom"/>
            <w:shd w:val="clear" w:color="auto" w:fill="CFF0FC"/>
          </w:tcPr>
          <w:p>
            <w:pPr>
              <w:spacing w:after="0"/>
              <w:rPr>
                <w:sz w:val="18"/>
                <w:szCs w:val="18"/>
                <w:color w:val="auto"/>
              </w:rPr>
            </w:pPr>
          </w:p>
        </w:tc>
        <w:tc>
          <w:tcPr>
            <w:tcW w:w="1620" w:type="dxa"/>
            <w:vAlign w:val="bottom"/>
            <w:gridSpan w:val="3"/>
            <w:shd w:val="clear" w:color="auto" w:fill="CFF0FC"/>
          </w:tcPr>
          <w:p>
            <w:pPr>
              <w:jc w:val="right"/>
              <w:ind w:right="20"/>
              <w:spacing w:after="0" w:line="213" w:lineRule="exact"/>
              <w:rPr>
                <w:sz w:val="20"/>
                <w:szCs w:val="20"/>
                <w:color w:val="auto"/>
              </w:rPr>
            </w:pPr>
            <w:r>
              <w:rPr>
                <w:rFonts w:ascii="Calibri" w:cs="Calibri" w:eastAsia="Calibri" w:hAnsi="Calibri"/>
                <w:sz w:val="18"/>
                <w:szCs w:val="18"/>
                <w:color w:val="auto"/>
              </w:rPr>
              <w:t>$</w:t>
            </w:r>
          </w:p>
        </w:tc>
        <w:tc>
          <w:tcPr>
            <w:tcW w:w="1160" w:type="dxa"/>
            <w:vAlign w:val="bottom"/>
            <w:shd w:val="clear" w:color="auto" w:fill="CFF0FC"/>
          </w:tcPr>
          <w:p>
            <w:pPr>
              <w:jc w:val="right"/>
              <w:spacing w:after="0" w:line="213" w:lineRule="exact"/>
              <w:rPr>
                <w:sz w:val="20"/>
                <w:szCs w:val="20"/>
                <w:color w:val="auto"/>
              </w:rPr>
            </w:pPr>
            <w:r>
              <w:rPr>
                <w:rFonts w:ascii="Calibri" w:cs="Calibri" w:eastAsia="Calibri" w:hAnsi="Calibri"/>
                <w:sz w:val="18"/>
                <w:szCs w:val="18"/>
                <w:color w:val="auto"/>
              </w:rPr>
              <w:t>1,117</w:t>
            </w:r>
          </w:p>
        </w:tc>
        <w:tc>
          <w:tcPr>
            <w:tcW w:w="220" w:type="dxa"/>
            <w:vAlign w:val="bottom"/>
            <w:shd w:val="clear" w:color="auto" w:fill="CFF0FC"/>
          </w:tcPr>
          <w:p>
            <w:pPr>
              <w:spacing w:after="0"/>
              <w:rPr>
                <w:sz w:val="18"/>
                <w:szCs w:val="18"/>
                <w:color w:val="auto"/>
              </w:rPr>
            </w:pPr>
          </w:p>
        </w:tc>
        <w:tc>
          <w:tcPr>
            <w:tcW w:w="1600" w:type="dxa"/>
            <w:vAlign w:val="bottom"/>
            <w:gridSpan w:val="3"/>
            <w:shd w:val="clear" w:color="auto" w:fill="CFF0FC"/>
          </w:tcPr>
          <w:p>
            <w:pPr>
              <w:jc w:val="right"/>
              <w:spacing w:after="0" w:line="213" w:lineRule="exact"/>
              <w:rPr>
                <w:sz w:val="20"/>
                <w:szCs w:val="20"/>
                <w:color w:val="auto"/>
              </w:rPr>
            </w:pPr>
            <w:r>
              <w:rPr>
                <w:rFonts w:ascii="Calibri" w:cs="Calibri" w:eastAsia="Calibri" w:hAnsi="Calibri"/>
                <w:sz w:val="18"/>
                <w:szCs w:val="18"/>
                <w:color w:val="auto"/>
              </w:rPr>
              <w:t>$</w:t>
            </w:r>
          </w:p>
        </w:tc>
        <w:tc>
          <w:tcPr>
            <w:tcW w:w="1140" w:type="dxa"/>
            <w:vAlign w:val="bottom"/>
            <w:gridSpan w:val="2"/>
            <w:shd w:val="clear" w:color="auto" w:fill="CFF0FC"/>
          </w:tcPr>
          <w:p>
            <w:pPr>
              <w:jc w:val="right"/>
              <w:ind w:right="40"/>
              <w:spacing w:after="0" w:line="213" w:lineRule="exact"/>
              <w:rPr>
                <w:sz w:val="20"/>
                <w:szCs w:val="20"/>
                <w:color w:val="auto"/>
              </w:rPr>
            </w:pPr>
            <w:r>
              <w:rPr>
                <w:rFonts w:ascii="Calibri" w:cs="Calibri" w:eastAsia="Calibri" w:hAnsi="Calibri"/>
                <w:sz w:val="18"/>
                <w:szCs w:val="18"/>
                <w:color w:val="auto"/>
              </w:rPr>
              <w:t>(74 )</w:t>
            </w:r>
          </w:p>
        </w:tc>
      </w:tr>
      <w:tr>
        <w:trPr>
          <w:trHeight w:val="215"/>
        </w:trPr>
        <w:tc>
          <w:tcPr>
            <w:tcW w:w="4080" w:type="dxa"/>
            <w:vAlign w:val="bottom"/>
          </w:tcPr>
          <w:p>
            <w:pPr>
              <w:ind w:left="20"/>
              <w:spacing w:after="0" w:line="215" w:lineRule="exact"/>
              <w:rPr>
                <w:sz w:val="20"/>
                <w:szCs w:val="20"/>
                <w:color w:val="auto"/>
              </w:rPr>
            </w:pPr>
            <w:r>
              <w:rPr>
                <w:rFonts w:ascii="Calibri" w:cs="Calibri" w:eastAsia="Calibri" w:hAnsi="Calibri"/>
                <w:sz w:val="18"/>
                <w:szCs w:val="18"/>
                <w:color w:val="auto"/>
              </w:rPr>
              <w:t>Cost of revenues</w:t>
            </w:r>
          </w:p>
        </w:tc>
        <w:tc>
          <w:tcPr>
            <w:tcW w:w="140" w:type="dxa"/>
            <w:vAlign w:val="bottom"/>
          </w:tcPr>
          <w:p>
            <w:pPr>
              <w:spacing w:after="0"/>
              <w:rPr>
                <w:sz w:val="18"/>
                <w:szCs w:val="18"/>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840</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907</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(67 )</w:t>
            </w:r>
          </w:p>
        </w:tc>
      </w:tr>
      <w:tr>
        <w:trPr>
          <w:trHeight w:val="20"/>
        </w:trPr>
        <w:tc>
          <w:tcPr>
            <w:tcW w:w="40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080" w:type="dxa"/>
            <w:vAlign w:val="bottom"/>
            <w:shd w:val="clear" w:color="auto" w:fill="CFF0FC"/>
          </w:tcPr>
          <w:p>
            <w:pPr>
              <w:ind w:left="200"/>
              <w:spacing w:after="0" w:line="210" w:lineRule="exact"/>
              <w:rPr>
                <w:sz w:val="20"/>
                <w:szCs w:val="20"/>
                <w:color w:val="auto"/>
              </w:rPr>
            </w:pPr>
            <w:r>
              <w:rPr>
                <w:rFonts w:ascii="Calibri" w:cs="Calibri" w:eastAsia="Calibri" w:hAnsi="Calibri"/>
                <w:sz w:val="18"/>
                <w:szCs w:val="18"/>
                <w:color w:val="auto"/>
              </w:rPr>
              <w:t>Gross proft</w:t>
            </w: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203</w:t>
            </w:r>
          </w:p>
        </w:tc>
        <w:tc>
          <w:tcPr>
            <w:tcW w:w="2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00"/>
              <w:spacing w:after="0" w:line="210" w:lineRule="exact"/>
              <w:rPr>
                <w:sz w:val="20"/>
                <w:szCs w:val="20"/>
                <w:color w:val="auto"/>
              </w:rPr>
            </w:pPr>
            <w:r>
              <w:rPr>
                <w:rFonts w:ascii="Calibri" w:cs="Calibri" w:eastAsia="Calibri" w:hAnsi="Calibri"/>
                <w:sz w:val="18"/>
                <w:szCs w:val="18"/>
                <w:color w:val="auto"/>
              </w:rPr>
              <w:t>19 %</w:t>
            </w: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210</w:t>
            </w:r>
          </w:p>
        </w:tc>
        <w:tc>
          <w:tcPr>
            <w:tcW w:w="2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20"/>
              <w:spacing w:after="0" w:line="210" w:lineRule="exact"/>
              <w:rPr>
                <w:sz w:val="20"/>
                <w:szCs w:val="20"/>
                <w:color w:val="auto"/>
              </w:rPr>
            </w:pPr>
            <w:r>
              <w:rPr>
                <w:rFonts w:ascii="Calibri" w:cs="Calibri" w:eastAsia="Calibri" w:hAnsi="Calibri"/>
                <w:sz w:val="18"/>
                <w:szCs w:val="18"/>
                <w:color w:val="auto"/>
              </w:rPr>
              <w:t>19 %</w:t>
            </w:r>
          </w:p>
        </w:tc>
        <w:tc>
          <w:tcPr>
            <w:tcW w:w="1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line="210" w:lineRule="exact"/>
              <w:rPr>
                <w:sz w:val="20"/>
                <w:szCs w:val="20"/>
                <w:color w:val="auto"/>
              </w:rPr>
            </w:pPr>
            <w:r>
              <w:rPr>
                <w:rFonts w:ascii="Calibri" w:cs="Calibri" w:eastAsia="Calibri" w:hAnsi="Calibri"/>
                <w:sz w:val="18"/>
                <w:szCs w:val="18"/>
                <w:color w:val="auto"/>
              </w:rPr>
              <w:t>(7 )</w:t>
            </w:r>
          </w:p>
        </w:tc>
      </w:tr>
      <w:tr>
        <w:trPr>
          <w:trHeight w:val="215"/>
        </w:trPr>
        <w:tc>
          <w:tcPr>
            <w:tcW w:w="4080" w:type="dxa"/>
            <w:vAlign w:val="bottom"/>
          </w:tcPr>
          <w:p>
            <w:pPr>
              <w:ind w:left="20"/>
              <w:spacing w:after="0" w:line="215" w:lineRule="exact"/>
              <w:rPr>
                <w:sz w:val="20"/>
                <w:szCs w:val="20"/>
                <w:color w:val="auto"/>
              </w:rPr>
            </w:pPr>
            <w:r>
              <w:rPr>
                <w:rFonts w:ascii="Calibri" w:cs="Calibri" w:eastAsia="Calibri" w:hAnsi="Calibri"/>
                <w:sz w:val="18"/>
                <w:szCs w:val="18"/>
                <w:color w:val="auto"/>
              </w:rPr>
              <w:t>Selling, general and administratve expenses</w:t>
            </w:r>
          </w:p>
        </w:tc>
        <w:tc>
          <w:tcPr>
            <w:tcW w:w="140" w:type="dxa"/>
            <w:vAlign w:val="bottom"/>
          </w:tcPr>
          <w:p>
            <w:pPr>
              <w:spacing w:after="0"/>
              <w:rPr>
                <w:sz w:val="18"/>
                <w:szCs w:val="18"/>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179</w:t>
            </w:r>
          </w:p>
        </w:tc>
        <w:tc>
          <w:tcPr>
            <w:tcW w:w="220" w:type="dxa"/>
            <w:vAlign w:val="bottom"/>
          </w:tcPr>
          <w:p>
            <w:pPr>
              <w:spacing w:after="0"/>
              <w:rPr>
                <w:sz w:val="18"/>
                <w:szCs w:val="18"/>
                <w:color w:val="auto"/>
              </w:rPr>
            </w:pPr>
          </w:p>
        </w:tc>
        <w:tc>
          <w:tcPr>
            <w:tcW w:w="150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17 %</w:t>
            </w:r>
          </w:p>
        </w:tc>
        <w:tc>
          <w:tcPr>
            <w:tcW w:w="120" w:type="dxa"/>
            <w:vAlign w:val="bottom"/>
          </w:tcPr>
          <w:p>
            <w:pPr>
              <w:spacing w:after="0"/>
              <w:rPr>
                <w:sz w:val="18"/>
                <w:szCs w:val="18"/>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159</w:t>
            </w:r>
          </w:p>
        </w:tc>
        <w:tc>
          <w:tcPr>
            <w:tcW w:w="220" w:type="dxa"/>
            <w:vAlign w:val="bottom"/>
          </w:tcPr>
          <w:p>
            <w:pPr>
              <w:spacing w:after="0"/>
              <w:rPr>
                <w:sz w:val="18"/>
                <w:szCs w:val="18"/>
                <w:color w:val="auto"/>
              </w:rPr>
            </w:pPr>
          </w:p>
        </w:tc>
        <w:tc>
          <w:tcPr>
            <w:tcW w:w="1500" w:type="dxa"/>
            <w:vAlign w:val="bottom"/>
            <w:gridSpan w:val="2"/>
          </w:tcPr>
          <w:p>
            <w:pPr>
              <w:jc w:val="right"/>
              <w:ind w:right="220"/>
              <w:spacing w:after="0" w:line="215" w:lineRule="exact"/>
              <w:rPr>
                <w:sz w:val="20"/>
                <w:szCs w:val="20"/>
                <w:color w:val="auto"/>
              </w:rPr>
            </w:pPr>
            <w:r>
              <w:rPr>
                <w:rFonts w:ascii="Calibri" w:cs="Calibri" w:eastAsia="Calibri" w:hAnsi="Calibri"/>
                <w:sz w:val="18"/>
                <w:szCs w:val="18"/>
                <w:color w:val="auto"/>
              </w:rPr>
              <w:t>14 %</w:t>
            </w:r>
          </w:p>
        </w:tc>
        <w:tc>
          <w:tcPr>
            <w:tcW w:w="100" w:type="dxa"/>
            <w:vAlign w:val="bottom"/>
          </w:tcPr>
          <w:p>
            <w:pPr>
              <w:spacing w:after="0"/>
              <w:rPr>
                <w:sz w:val="18"/>
                <w:szCs w:val="18"/>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20</w:t>
            </w:r>
          </w:p>
        </w:tc>
        <w:tc>
          <w:tcPr>
            <w:tcW w:w="100" w:type="dxa"/>
            <w:vAlign w:val="bottom"/>
          </w:tcPr>
          <w:p>
            <w:pPr>
              <w:spacing w:after="0"/>
              <w:rPr>
                <w:sz w:val="18"/>
                <w:szCs w:val="18"/>
                <w:color w:val="auto"/>
              </w:rPr>
            </w:pPr>
          </w:p>
        </w:tc>
      </w:tr>
      <w:tr>
        <w:trPr>
          <w:trHeight w:val="217"/>
        </w:trPr>
        <w:tc>
          <w:tcPr>
            <w:tcW w:w="408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Research and development costs</w:t>
            </w: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33</w:t>
            </w:r>
          </w:p>
        </w:tc>
        <w:tc>
          <w:tcPr>
            <w:tcW w:w="2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00"/>
              <w:spacing w:after="0" w:line="216" w:lineRule="exact"/>
              <w:rPr>
                <w:sz w:val="20"/>
                <w:szCs w:val="20"/>
                <w:color w:val="auto"/>
              </w:rPr>
            </w:pPr>
            <w:r>
              <w:rPr>
                <w:rFonts w:ascii="Calibri" w:cs="Calibri" w:eastAsia="Calibri" w:hAnsi="Calibri"/>
                <w:sz w:val="18"/>
                <w:szCs w:val="18"/>
                <w:color w:val="auto"/>
              </w:rPr>
              <w:t>3 %</w:t>
            </w: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34</w:t>
            </w:r>
          </w:p>
        </w:tc>
        <w:tc>
          <w:tcPr>
            <w:tcW w:w="2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20"/>
              <w:spacing w:after="0" w:line="216" w:lineRule="exact"/>
              <w:rPr>
                <w:sz w:val="20"/>
                <w:szCs w:val="20"/>
                <w:color w:val="auto"/>
              </w:rPr>
            </w:pPr>
            <w:r>
              <w:rPr>
                <w:rFonts w:ascii="Calibri" w:cs="Calibri" w:eastAsia="Calibri" w:hAnsi="Calibri"/>
                <w:sz w:val="18"/>
                <w:szCs w:val="18"/>
                <w:color w:val="auto"/>
              </w:rPr>
              <w:t>3 %</w:t>
            </w:r>
          </w:p>
        </w:tc>
        <w:tc>
          <w:tcPr>
            <w:tcW w:w="1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line="216" w:lineRule="exact"/>
              <w:rPr>
                <w:sz w:val="20"/>
                <w:szCs w:val="20"/>
                <w:color w:val="auto"/>
              </w:rPr>
            </w:pPr>
            <w:r>
              <w:rPr>
                <w:rFonts w:ascii="Calibri" w:cs="Calibri" w:eastAsia="Calibri" w:hAnsi="Calibri"/>
                <w:sz w:val="18"/>
                <w:szCs w:val="18"/>
                <w:color w:val="auto"/>
              </w:rPr>
              <w:t>(1 )</w:t>
            </w:r>
          </w:p>
        </w:tc>
      </w:tr>
      <w:tr>
        <w:trPr>
          <w:trHeight w:val="215"/>
        </w:trPr>
        <w:tc>
          <w:tcPr>
            <w:tcW w:w="4080" w:type="dxa"/>
            <w:vAlign w:val="bottom"/>
          </w:tcPr>
          <w:p>
            <w:pPr>
              <w:ind w:left="20"/>
              <w:spacing w:after="0" w:line="215" w:lineRule="exact"/>
              <w:rPr>
                <w:sz w:val="20"/>
                <w:szCs w:val="20"/>
                <w:color w:val="auto"/>
              </w:rPr>
            </w:pPr>
            <w:r>
              <w:rPr>
                <w:rFonts w:ascii="Calibri" w:cs="Calibri" w:eastAsia="Calibri" w:hAnsi="Calibri"/>
                <w:sz w:val="18"/>
                <w:szCs w:val="18"/>
                <w:color w:val="auto"/>
              </w:rPr>
              <w:t>Restructuring costs and other</w:t>
            </w:r>
          </w:p>
        </w:tc>
        <w:tc>
          <w:tcPr>
            <w:tcW w:w="140" w:type="dxa"/>
            <w:vAlign w:val="bottom"/>
          </w:tcPr>
          <w:p>
            <w:pPr>
              <w:spacing w:after="0"/>
              <w:rPr>
                <w:sz w:val="18"/>
                <w:szCs w:val="18"/>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8</w:t>
            </w:r>
          </w:p>
        </w:tc>
        <w:tc>
          <w:tcPr>
            <w:tcW w:w="220" w:type="dxa"/>
            <w:vAlign w:val="bottom"/>
          </w:tcPr>
          <w:p>
            <w:pPr>
              <w:spacing w:after="0"/>
              <w:rPr>
                <w:sz w:val="18"/>
                <w:szCs w:val="18"/>
                <w:color w:val="auto"/>
              </w:rPr>
            </w:pPr>
          </w:p>
        </w:tc>
        <w:tc>
          <w:tcPr>
            <w:tcW w:w="150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1 %</w:t>
            </w:r>
          </w:p>
        </w:tc>
        <w:tc>
          <w:tcPr>
            <w:tcW w:w="120" w:type="dxa"/>
            <w:vAlign w:val="bottom"/>
          </w:tcPr>
          <w:p>
            <w:pPr>
              <w:spacing w:after="0"/>
              <w:rPr>
                <w:sz w:val="18"/>
                <w:szCs w:val="18"/>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7</w:t>
            </w:r>
          </w:p>
        </w:tc>
        <w:tc>
          <w:tcPr>
            <w:tcW w:w="220" w:type="dxa"/>
            <w:vAlign w:val="bottom"/>
          </w:tcPr>
          <w:p>
            <w:pPr>
              <w:spacing w:after="0"/>
              <w:rPr>
                <w:sz w:val="18"/>
                <w:szCs w:val="18"/>
                <w:color w:val="auto"/>
              </w:rPr>
            </w:pPr>
          </w:p>
        </w:tc>
        <w:tc>
          <w:tcPr>
            <w:tcW w:w="1500" w:type="dxa"/>
            <w:vAlign w:val="bottom"/>
            <w:gridSpan w:val="2"/>
          </w:tcPr>
          <w:p>
            <w:pPr>
              <w:jc w:val="right"/>
              <w:ind w:right="220"/>
              <w:spacing w:after="0" w:line="215" w:lineRule="exact"/>
              <w:rPr>
                <w:sz w:val="20"/>
                <w:szCs w:val="20"/>
                <w:color w:val="auto"/>
              </w:rPr>
            </w:pPr>
            <w:r>
              <w:rPr>
                <w:rFonts w:ascii="Calibri" w:cs="Calibri" w:eastAsia="Calibri" w:hAnsi="Calibri"/>
                <w:sz w:val="18"/>
                <w:szCs w:val="18"/>
                <w:color w:val="auto"/>
              </w:rPr>
              <w:t>1 %</w:t>
            </w:r>
          </w:p>
        </w:tc>
        <w:tc>
          <w:tcPr>
            <w:tcW w:w="100" w:type="dxa"/>
            <w:vAlign w:val="bottom"/>
          </w:tcPr>
          <w:p>
            <w:pPr>
              <w:spacing w:after="0"/>
              <w:rPr>
                <w:sz w:val="18"/>
                <w:szCs w:val="18"/>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1</w:t>
            </w:r>
          </w:p>
        </w:tc>
        <w:tc>
          <w:tcPr>
            <w:tcW w:w="100" w:type="dxa"/>
            <w:vAlign w:val="bottom"/>
          </w:tcPr>
          <w:p>
            <w:pPr>
              <w:spacing w:after="0"/>
              <w:rPr>
                <w:sz w:val="18"/>
                <w:szCs w:val="18"/>
                <w:color w:val="auto"/>
              </w:rPr>
            </w:pPr>
          </w:p>
        </w:tc>
      </w:tr>
      <w:tr>
        <w:trPr>
          <w:trHeight w:val="216"/>
        </w:trPr>
        <w:tc>
          <w:tcPr>
            <w:tcW w:w="408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Other operatng (income) expense, net</w:t>
            </w:r>
          </w:p>
        </w:tc>
        <w:tc>
          <w:tcPr>
            <w:tcW w:w="1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40"/>
              <w:spacing w:after="0" w:line="216" w:lineRule="exact"/>
              <w:rPr>
                <w:sz w:val="20"/>
                <w:szCs w:val="20"/>
                <w:color w:val="auto"/>
              </w:rPr>
            </w:pPr>
            <w:r>
              <w:rPr>
                <w:rFonts w:ascii="Calibri" w:cs="Calibri" w:eastAsia="Calibri" w:hAnsi="Calibri"/>
                <w:sz w:val="18"/>
                <w:szCs w:val="18"/>
                <w:color w:val="auto"/>
              </w:rPr>
              <w:t>(10 )</w:t>
            </w:r>
          </w:p>
        </w:tc>
        <w:tc>
          <w:tcPr>
            <w:tcW w:w="1500" w:type="dxa"/>
            <w:vAlign w:val="bottom"/>
            <w:gridSpan w:val="2"/>
            <w:shd w:val="clear" w:color="auto" w:fill="CFF0FC"/>
          </w:tcPr>
          <w:p>
            <w:pPr>
              <w:jc w:val="right"/>
              <w:ind w:right="160"/>
              <w:spacing w:after="0" w:line="216" w:lineRule="exact"/>
              <w:rPr>
                <w:sz w:val="20"/>
                <w:szCs w:val="20"/>
                <w:color w:val="auto"/>
              </w:rPr>
            </w:pPr>
            <w:r>
              <w:rPr>
                <w:rFonts w:ascii="Calibri" w:cs="Calibri" w:eastAsia="Calibri" w:hAnsi="Calibri"/>
                <w:sz w:val="18"/>
                <w:szCs w:val="18"/>
                <w:color w:val="auto"/>
              </w:rPr>
              <w:t>(1 %)</w:t>
            </w: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6</w:t>
            </w:r>
          </w:p>
        </w:tc>
        <w:tc>
          <w:tcPr>
            <w:tcW w:w="2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20"/>
              <w:spacing w:after="0" w:line="216" w:lineRule="exact"/>
              <w:rPr>
                <w:sz w:val="20"/>
                <w:szCs w:val="20"/>
                <w:color w:val="auto"/>
              </w:rPr>
            </w:pPr>
            <w:r>
              <w:rPr>
                <w:rFonts w:ascii="Calibri" w:cs="Calibri" w:eastAsia="Calibri" w:hAnsi="Calibri"/>
                <w:sz w:val="18"/>
                <w:szCs w:val="18"/>
                <w:color w:val="auto"/>
              </w:rPr>
              <w:t>1 %</w:t>
            </w:r>
          </w:p>
        </w:tc>
        <w:tc>
          <w:tcPr>
            <w:tcW w:w="1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line="216" w:lineRule="exact"/>
              <w:rPr>
                <w:sz w:val="20"/>
                <w:szCs w:val="20"/>
                <w:color w:val="auto"/>
              </w:rPr>
            </w:pPr>
            <w:r>
              <w:rPr>
                <w:rFonts w:ascii="Calibri" w:cs="Calibri" w:eastAsia="Calibri" w:hAnsi="Calibri"/>
                <w:sz w:val="18"/>
                <w:szCs w:val="18"/>
                <w:color w:val="auto"/>
              </w:rPr>
              <w:t>(16 )</w:t>
            </w:r>
          </w:p>
        </w:tc>
      </w:tr>
      <w:tr>
        <w:trPr>
          <w:trHeight w:val="188"/>
        </w:trPr>
        <w:tc>
          <w:tcPr>
            <w:tcW w:w="4080" w:type="dxa"/>
            <w:vAlign w:val="bottom"/>
            <w:tcBorders>
              <w:top w:val="single" w:sz="8" w:color="CFF0FC"/>
            </w:tcBorders>
          </w:tcPr>
          <w:p>
            <w:pPr>
              <w:ind w:left="20"/>
              <w:spacing w:after="0" w:line="187" w:lineRule="exact"/>
              <w:rPr>
                <w:sz w:val="20"/>
                <w:szCs w:val="20"/>
                <w:color w:val="auto"/>
              </w:rPr>
            </w:pPr>
            <w:r>
              <w:rPr>
                <w:rFonts w:ascii="Calibri" w:cs="Calibri" w:eastAsia="Calibri" w:hAnsi="Calibri"/>
                <w:sz w:val="18"/>
                <w:szCs w:val="18"/>
                <w:color w:val="auto"/>
              </w:rPr>
              <w:t>(Loss) earnings from contnuing operatons</w:t>
            </w: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1140" w:type="dxa"/>
            <w:vAlign w:val="bottom"/>
            <w:tcBorders>
              <w:top w:val="single" w:sz="8" w:color="CFF0FC"/>
            </w:tcBorders>
          </w:tcPr>
          <w:p>
            <w:pPr>
              <w:spacing w:after="0"/>
              <w:rPr>
                <w:sz w:val="16"/>
                <w:szCs w:val="16"/>
                <w:color w:val="auto"/>
              </w:rPr>
            </w:pPr>
          </w:p>
        </w:tc>
        <w:tc>
          <w:tcPr>
            <w:tcW w:w="360" w:type="dxa"/>
            <w:vAlign w:val="bottom"/>
            <w:tcBorders>
              <w:top w:val="single" w:sz="8" w:color="CFF0FC"/>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1140" w:type="dxa"/>
            <w:vAlign w:val="bottom"/>
            <w:tcBorders>
              <w:top w:val="single" w:sz="8" w:color="CFF0FC"/>
            </w:tcBorders>
          </w:tcPr>
          <w:p>
            <w:pPr>
              <w:spacing w:after="0"/>
              <w:rPr>
                <w:sz w:val="16"/>
                <w:szCs w:val="16"/>
                <w:color w:val="auto"/>
              </w:rPr>
            </w:pPr>
          </w:p>
        </w:tc>
        <w:tc>
          <w:tcPr>
            <w:tcW w:w="360" w:type="dxa"/>
            <w:vAlign w:val="bottom"/>
            <w:tcBorders>
              <w:top w:val="single" w:sz="8" w:color="CFF0FC"/>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r>
      <w:tr>
        <w:trPr>
          <w:trHeight w:val="215"/>
        </w:trPr>
        <w:tc>
          <w:tcPr>
            <w:tcW w:w="4080" w:type="dxa"/>
            <w:vAlign w:val="bottom"/>
          </w:tcPr>
          <w:p>
            <w:pPr>
              <w:ind w:left="140"/>
              <w:spacing w:after="0" w:line="215" w:lineRule="exact"/>
              <w:rPr>
                <w:sz w:val="20"/>
                <w:szCs w:val="20"/>
                <w:color w:val="auto"/>
              </w:rPr>
            </w:pPr>
            <w:r>
              <w:rPr>
                <w:rFonts w:ascii="Calibri" w:cs="Calibri" w:eastAsia="Calibri" w:hAnsi="Calibri"/>
                <w:sz w:val="18"/>
                <w:szCs w:val="18"/>
                <w:color w:val="auto"/>
              </w:rPr>
              <w:t>before interest expense, pension income</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80" w:type="dxa"/>
            <w:vAlign w:val="bottom"/>
          </w:tcPr>
          <w:p>
            <w:pPr>
              <w:ind w:left="140"/>
              <w:spacing w:after="0" w:line="216" w:lineRule="exact"/>
              <w:rPr>
                <w:sz w:val="20"/>
                <w:szCs w:val="20"/>
                <w:color w:val="auto"/>
              </w:rPr>
            </w:pPr>
            <w:r>
              <w:rPr>
                <w:rFonts w:ascii="Calibri" w:cs="Calibri" w:eastAsia="Calibri" w:hAnsi="Calibri"/>
                <w:sz w:val="18"/>
                <w:szCs w:val="18"/>
                <w:color w:val="auto"/>
              </w:rPr>
              <w:t>excluding service cost component, loss on</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80" w:type="dxa"/>
            <w:vAlign w:val="bottom"/>
          </w:tcPr>
          <w:p>
            <w:pPr>
              <w:ind w:left="140"/>
              <w:spacing w:after="0" w:line="216" w:lineRule="exact"/>
              <w:rPr>
                <w:sz w:val="20"/>
                <w:szCs w:val="20"/>
                <w:color w:val="auto"/>
              </w:rPr>
            </w:pPr>
            <w:r>
              <w:rPr>
                <w:rFonts w:ascii="Calibri" w:cs="Calibri" w:eastAsia="Calibri" w:hAnsi="Calibri"/>
                <w:sz w:val="18"/>
                <w:szCs w:val="18"/>
                <w:color w:val="auto"/>
              </w:rPr>
              <w:t>early extnguishment of debt, other</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80" w:type="dxa"/>
            <w:vAlign w:val="bottom"/>
          </w:tcPr>
          <w:p>
            <w:pPr>
              <w:ind w:left="140"/>
              <w:spacing w:after="0" w:line="216" w:lineRule="exact"/>
              <w:rPr>
                <w:sz w:val="20"/>
                <w:szCs w:val="20"/>
                <w:color w:val="auto"/>
              </w:rPr>
            </w:pPr>
            <w:r>
              <w:rPr>
                <w:rFonts w:ascii="Calibri" w:cs="Calibri" w:eastAsia="Calibri" w:hAnsi="Calibri"/>
                <w:sz w:val="18"/>
                <w:szCs w:val="18"/>
                <w:color w:val="auto"/>
              </w:rPr>
              <w:t>income, net and income taxes</w:t>
            </w:r>
          </w:p>
        </w:tc>
        <w:tc>
          <w:tcPr>
            <w:tcW w:w="140" w:type="dxa"/>
            <w:vAlign w:val="bottom"/>
          </w:tcPr>
          <w:p>
            <w:pPr>
              <w:spacing w:after="0"/>
              <w:rPr>
                <w:sz w:val="18"/>
                <w:szCs w:val="18"/>
                <w:color w:val="auto"/>
              </w:rPr>
            </w:pPr>
          </w:p>
        </w:tc>
        <w:tc>
          <w:tcPr>
            <w:tcW w:w="1280" w:type="dxa"/>
            <w:vAlign w:val="bottom"/>
            <w:gridSpan w:val="2"/>
          </w:tcPr>
          <w:p>
            <w:pPr>
              <w:jc w:val="right"/>
              <w:ind w:right="140"/>
              <w:spacing w:after="0" w:line="216" w:lineRule="exact"/>
              <w:rPr>
                <w:sz w:val="20"/>
                <w:szCs w:val="20"/>
                <w:color w:val="auto"/>
              </w:rPr>
            </w:pPr>
            <w:r>
              <w:rPr>
                <w:rFonts w:ascii="Calibri" w:cs="Calibri" w:eastAsia="Calibri" w:hAnsi="Calibri"/>
                <w:sz w:val="18"/>
                <w:szCs w:val="18"/>
                <w:color w:val="auto"/>
              </w:rPr>
              <w:t>(7 )</w:t>
            </w:r>
          </w:p>
        </w:tc>
        <w:tc>
          <w:tcPr>
            <w:tcW w:w="1500" w:type="dxa"/>
            <w:vAlign w:val="bottom"/>
            <w:gridSpan w:val="2"/>
          </w:tcPr>
          <w:p>
            <w:pPr>
              <w:jc w:val="right"/>
              <w:ind w:right="160"/>
              <w:spacing w:after="0" w:line="216" w:lineRule="exact"/>
              <w:rPr>
                <w:sz w:val="20"/>
                <w:szCs w:val="20"/>
                <w:color w:val="auto"/>
              </w:rPr>
            </w:pPr>
            <w:r>
              <w:rPr>
                <w:rFonts w:ascii="Calibri" w:cs="Calibri" w:eastAsia="Calibri" w:hAnsi="Calibri"/>
                <w:sz w:val="18"/>
                <w:szCs w:val="18"/>
                <w:color w:val="auto"/>
              </w:rPr>
              <w:t>(1 %)</w:t>
            </w:r>
          </w:p>
        </w:tc>
        <w:tc>
          <w:tcPr>
            <w:tcW w:w="120" w:type="dxa"/>
            <w:vAlign w:val="bottom"/>
          </w:tcPr>
          <w:p>
            <w:pPr>
              <w:spacing w:after="0"/>
              <w:rPr>
                <w:sz w:val="18"/>
                <w:szCs w:val="18"/>
                <w:color w:val="auto"/>
              </w:rPr>
            </w:pPr>
          </w:p>
        </w:tc>
        <w:tc>
          <w:tcPr>
            <w:tcW w:w="1160" w:type="dxa"/>
            <w:vAlign w:val="bottom"/>
          </w:tcPr>
          <w:p>
            <w:pPr>
              <w:jc w:val="right"/>
              <w:spacing w:after="0" w:line="216" w:lineRule="exact"/>
              <w:rPr>
                <w:sz w:val="20"/>
                <w:szCs w:val="20"/>
                <w:color w:val="auto"/>
              </w:rPr>
            </w:pPr>
            <w:r>
              <w:rPr>
                <w:rFonts w:ascii="Calibri" w:cs="Calibri" w:eastAsia="Calibri" w:hAnsi="Calibri"/>
                <w:sz w:val="18"/>
                <w:szCs w:val="18"/>
                <w:color w:val="auto"/>
              </w:rPr>
              <w:t>4</w:t>
            </w:r>
          </w:p>
        </w:tc>
        <w:tc>
          <w:tcPr>
            <w:tcW w:w="220" w:type="dxa"/>
            <w:vAlign w:val="bottom"/>
          </w:tcPr>
          <w:p>
            <w:pPr>
              <w:spacing w:after="0"/>
              <w:rPr>
                <w:sz w:val="18"/>
                <w:szCs w:val="18"/>
                <w:color w:val="auto"/>
              </w:rPr>
            </w:pPr>
          </w:p>
        </w:tc>
        <w:tc>
          <w:tcPr>
            <w:tcW w:w="1500" w:type="dxa"/>
            <w:vAlign w:val="bottom"/>
            <w:gridSpan w:val="2"/>
          </w:tcPr>
          <w:p>
            <w:pPr>
              <w:jc w:val="right"/>
              <w:ind w:right="220"/>
              <w:spacing w:after="0" w:line="216" w:lineRule="exact"/>
              <w:rPr>
                <w:sz w:val="20"/>
                <w:szCs w:val="20"/>
                <w:color w:val="auto"/>
              </w:rPr>
            </w:pPr>
            <w:r>
              <w:rPr>
                <w:rFonts w:ascii="Calibri" w:cs="Calibri" w:eastAsia="Calibri" w:hAnsi="Calibri"/>
                <w:sz w:val="18"/>
                <w:szCs w:val="18"/>
                <w:color w:val="auto"/>
              </w:rPr>
              <w:t>0 %</w:t>
            </w:r>
          </w:p>
        </w:tc>
        <w:tc>
          <w:tcPr>
            <w:tcW w:w="100" w:type="dxa"/>
            <w:vAlign w:val="bottom"/>
          </w:tcPr>
          <w:p>
            <w:pPr>
              <w:spacing w:after="0"/>
              <w:rPr>
                <w:sz w:val="18"/>
                <w:szCs w:val="18"/>
                <w:color w:val="auto"/>
              </w:rPr>
            </w:pPr>
          </w:p>
        </w:tc>
        <w:tc>
          <w:tcPr>
            <w:tcW w:w="1140" w:type="dxa"/>
            <w:vAlign w:val="bottom"/>
            <w:gridSpan w:val="2"/>
          </w:tcPr>
          <w:p>
            <w:pPr>
              <w:jc w:val="right"/>
              <w:ind w:right="40"/>
              <w:spacing w:after="0" w:line="216" w:lineRule="exact"/>
              <w:rPr>
                <w:sz w:val="20"/>
                <w:szCs w:val="20"/>
                <w:color w:val="auto"/>
              </w:rPr>
            </w:pPr>
            <w:r>
              <w:rPr>
                <w:rFonts w:ascii="Calibri" w:cs="Calibri" w:eastAsia="Calibri" w:hAnsi="Calibri"/>
                <w:sz w:val="18"/>
                <w:szCs w:val="18"/>
                <w:color w:val="auto"/>
              </w:rPr>
              <w:t>(11 )</w:t>
            </w:r>
          </w:p>
        </w:tc>
      </w:tr>
      <w:tr>
        <w:trPr>
          <w:trHeight w:val="23"/>
        </w:trPr>
        <w:tc>
          <w:tcPr>
            <w:tcW w:w="4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080" w:type="dxa"/>
            <w:vAlign w:val="bottom"/>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Interest expense</w:t>
            </w: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59</w:t>
            </w:r>
          </w:p>
        </w:tc>
        <w:tc>
          <w:tcPr>
            <w:tcW w:w="2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00"/>
              <w:spacing w:after="0" w:line="215" w:lineRule="exact"/>
              <w:rPr>
                <w:sz w:val="20"/>
                <w:szCs w:val="20"/>
                <w:color w:val="auto"/>
              </w:rPr>
            </w:pPr>
            <w:r>
              <w:rPr>
                <w:rFonts w:ascii="Calibri" w:cs="Calibri" w:eastAsia="Calibri" w:hAnsi="Calibri"/>
                <w:sz w:val="18"/>
                <w:szCs w:val="18"/>
                <w:color w:val="auto"/>
              </w:rPr>
              <w:t>6 %</w:t>
            </w: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52</w:t>
            </w:r>
          </w:p>
        </w:tc>
        <w:tc>
          <w:tcPr>
            <w:tcW w:w="2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20"/>
              <w:spacing w:after="0" w:line="215" w:lineRule="exact"/>
              <w:rPr>
                <w:sz w:val="20"/>
                <w:szCs w:val="20"/>
                <w:color w:val="auto"/>
              </w:rPr>
            </w:pPr>
            <w:r>
              <w:rPr>
                <w:rFonts w:ascii="Calibri" w:cs="Calibri" w:eastAsia="Calibri" w:hAnsi="Calibri"/>
                <w:sz w:val="18"/>
                <w:szCs w:val="18"/>
                <w:color w:val="auto"/>
              </w:rPr>
              <w:t>5 %</w:t>
            </w: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w:t>
            </w:r>
          </w:p>
        </w:tc>
        <w:tc>
          <w:tcPr>
            <w:tcW w:w="100" w:type="dxa"/>
            <w:vAlign w:val="bottom"/>
            <w:shd w:val="clear" w:color="auto" w:fill="CFF0FC"/>
          </w:tcPr>
          <w:p>
            <w:pPr>
              <w:spacing w:after="0"/>
              <w:rPr>
                <w:sz w:val="18"/>
                <w:szCs w:val="18"/>
                <w:color w:val="auto"/>
              </w:rPr>
            </w:pPr>
          </w:p>
        </w:tc>
      </w:tr>
      <w:tr>
        <w:trPr>
          <w:trHeight w:val="215"/>
        </w:trPr>
        <w:tc>
          <w:tcPr>
            <w:tcW w:w="4080" w:type="dxa"/>
            <w:vAlign w:val="bottom"/>
          </w:tcPr>
          <w:p>
            <w:pPr>
              <w:ind w:left="20"/>
              <w:spacing w:after="0" w:line="215" w:lineRule="exact"/>
              <w:rPr>
                <w:sz w:val="20"/>
                <w:szCs w:val="20"/>
                <w:color w:val="auto"/>
              </w:rPr>
            </w:pPr>
            <w:r>
              <w:rPr>
                <w:rFonts w:ascii="Calibri" w:cs="Calibri" w:eastAsia="Calibri" w:hAnsi="Calibri"/>
                <w:sz w:val="18"/>
                <w:szCs w:val="18"/>
                <w:color w:val="auto"/>
              </w:rPr>
              <w:t>Pension income excluding service cost component</w:t>
            </w:r>
          </w:p>
        </w:tc>
        <w:tc>
          <w:tcPr>
            <w:tcW w:w="140" w:type="dxa"/>
            <w:vAlign w:val="bottom"/>
          </w:tcPr>
          <w:p>
            <w:pPr>
              <w:spacing w:after="0"/>
              <w:rPr>
                <w:sz w:val="18"/>
                <w:szCs w:val="18"/>
                <w:color w:val="auto"/>
              </w:rPr>
            </w:pPr>
          </w:p>
        </w:tc>
        <w:tc>
          <w:tcPr>
            <w:tcW w:w="128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(173 )</w:t>
            </w:r>
          </w:p>
        </w:tc>
        <w:tc>
          <w:tcPr>
            <w:tcW w:w="150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(17 %)</w:t>
            </w:r>
          </w:p>
        </w:tc>
        <w:tc>
          <w:tcPr>
            <w:tcW w:w="120" w:type="dxa"/>
            <w:vAlign w:val="bottom"/>
          </w:tcPr>
          <w:p>
            <w:pPr>
              <w:spacing w:after="0"/>
              <w:rPr>
                <w:sz w:val="18"/>
                <w:szCs w:val="18"/>
                <w:color w:val="auto"/>
              </w:rPr>
            </w:pPr>
          </w:p>
        </w:tc>
        <w:tc>
          <w:tcPr>
            <w:tcW w:w="138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(161 )</w:t>
            </w:r>
          </w:p>
        </w:tc>
        <w:tc>
          <w:tcPr>
            <w:tcW w:w="150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(14 %)</w:t>
            </w:r>
          </w:p>
        </w:tc>
        <w:tc>
          <w:tcPr>
            <w:tcW w:w="100" w:type="dxa"/>
            <w:vAlign w:val="bottom"/>
          </w:tcPr>
          <w:p>
            <w:pPr>
              <w:spacing w:after="0"/>
              <w:rPr>
                <w:sz w:val="18"/>
                <w:szCs w:val="18"/>
                <w:color w:val="auto"/>
              </w:rPr>
            </w:pPr>
          </w:p>
        </w:tc>
        <w:tc>
          <w:tcPr>
            <w:tcW w:w="114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(12 )</w:t>
            </w:r>
          </w:p>
        </w:tc>
      </w:tr>
      <w:tr>
        <w:trPr>
          <w:trHeight w:val="217"/>
        </w:trPr>
        <w:tc>
          <w:tcPr>
            <w:tcW w:w="408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Loss on early extnguishment of debt</w:t>
            </w:r>
          </w:p>
        </w:tc>
        <w:tc>
          <w:tcPr>
            <w:tcW w:w="1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20"/>
              <w:spacing w:after="0" w:line="216" w:lineRule="exact"/>
              <w:rPr>
                <w:sz w:val="20"/>
                <w:szCs w:val="20"/>
                <w:color w:val="auto"/>
              </w:rPr>
            </w:pPr>
            <w:r>
              <w:rPr>
                <w:rFonts w:ascii="Calibri" w:cs="Calibri" w:eastAsia="Calibri" w:hAnsi="Calibri"/>
                <w:sz w:val="18"/>
                <w:szCs w:val="18"/>
                <w:color w:val="auto"/>
              </w:rPr>
              <w:t>—</w:t>
            </w:r>
          </w:p>
        </w:tc>
        <w:tc>
          <w:tcPr>
            <w:tcW w:w="1620" w:type="dxa"/>
            <w:vAlign w:val="bottom"/>
            <w:gridSpan w:val="3"/>
            <w:shd w:val="clear" w:color="auto" w:fill="CFF0FC"/>
          </w:tcPr>
          <w:p>
            <w:pPr>
              <w:jc w:val="right"/>
              <w:ind w:right="480"/>
              <w:spacing w:after="0" w:line="216" w:lineRule="exact"/>
              <w:rPr>
                <w:sz w:val="20"/>
                <w:szCs w:val="20"/>
                <w:color w:val="auto"/>
              </w:rPr>
            </w:pPr>
            <w:r>
              <w:rPr>
                <w:rFonts w:ascii="Calibri" w:cs="Calibri" w:eastAsia="Calibri" w:hAnsi="Calibri"/>
                <w:sz w:val="18"/>
                <w:szCs w:val="18"/>
                <w:color w:val="auto"/>
              </w:rPr>
              <w:t>—</w:t>
            </w:r>
          </w:p>
        </w:tc>
        <w:tc>
          <w:tcPr>
            <w:tcW w:w="11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27</w:t>
            </w:r>
          </w:p>
        </w:tc>
        <w:tc>
          <w:tcPr>
            <w:tcW w:w="2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20"/>
              <w:spacing w:after="0" w:line="216" w:lineRule="exact"/>
              <w:rPr>
                <w:sz w:val="20"/>
                <w:szCs w:val="20"/>
                <w:color w:val="auto"/>
              </w:rPr>
            </w:pPr>
            <w:r>
              <w:rPr>
                <w:rFonts w:ascii="Calibri" w:cs="Calibri" w:eastAsia="Calibri" w:hAnsi="Calibri"/>
                <w:sz w:val="18"/>
                <w:szCs w:val="18"/>
                <w:color w:val="auto"/>
              </w:rPr>
              <w:t>2 %</w:t>
            </w:r>
          </w:p>
        </w:tc>
        <w:tc>
          <w:tcPr>
            <w:tcW w:w="1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line="216" w:lineRule="exact"/>
              <w:rPr>
                <w:sz w:val="20"/>
                <w:szCs w:val="20"/>
                <w:color w:val="auto"/>
              </w:rPr>
            </w:pPr>
            <w:r>
              <w:rPr>
                <w:rFonts w:ascii="Calibri" w:cs="Calibri" w:eastAsia="Calibri" w:hAnsi="Calibri"/>
                <w:sz w:val="18"/>
                <w:szCs w:val="18"/>
                <w:color w:val="auto"/>
              </w:rPr>
              <w:t>(27 )</w:t>
            </w:r>
          </w:p>
        </w:tc>
      </w:tr>
      <w:tr>
        <w:trPr>
          <w:trHeight w:val="215"/>
        </w:trPr>
        <w:tc>
          <w:tcPr>
            <w:tcW w:w="4080" w:type="dxa"/>
            <w:vAlign w:val="bottom"/>
          </w:tcPr>
          <w:p>
            <w:pPr>
              <w:ind w:left="20"/>
              <w:spacing w:after="0" w:line="215" w:lineRule="exact"/>
              <w:rPr>
                <w:sz w:val="20"/>
                <w:szCs w:val="20"/>
                <w:color w:val="auto"/>
              </w:rPr>
            </w:pPr>
            <w:r>
              <w:rPr>
                <w:rFonts w:ascii="Calibri" w:cs="Calibri" w:eastAsia="Calibri" w:hAnsi="Calibri"/>
                <w:sz w:val="18"/>
                <w:szCs w:val="18"/>
                <w:color w:val="auto"/>
              </w:rPr>
              <w:t>Other income, net</w:t>
            </w:r>
          </w:p>
        </w:tc>
        <w:tc>
          <w:tcPr>
            <w:tcW w:w="140" w:type="dxa"/>
            <w:vAlign w:val="bottom"/>
          </w:tcPr>
          <w:p>
            <w:pPr>
              <w:spacing w:after="0"/>
              <w:rPr>
                <w:sz w:val="18"/>
                <w:szCs w:val="18"/>
                <w:color w:val="auto"/>
              </w:rPr>
            </w:pPr>
          </w:p>
        </w:tc>
        <w:tc>
          <w:tcPr>
            <w:tcW w:w="128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(3 )</w:t>
            </w:r>
          </w:p>
        </w:tc>
        <w:tc>
          <w:tcPr>
            <w:tcW w:w="150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(0 %)</w:t>
            </w:r>
          </w:p>
        </w:tc>
        <w:tc>
          <w:tcPr>
            <w:tcW w:w="120" w:type="dxa"/>
            <w:vAlign w:val="bottom"/>
          </w:tcPr>
          <w:p>
            <w:pPr>
              <w:spacing w:after="0"/>
              <w:rPr>
                <w:sz w:val="18"/>
                <w:szCs w:val="18"/>
                <w:color w:val="auto"/>
              </w:rPr>
            </w:pPr>
          </w:p>
        </w:tc>
        <w:tc>
          <w:tcPr>
            <w:tcW w:w="138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(1 )</w:t>
            </w:r>
          </w:p>
        </w:tc>
        <w:tc>
          <w:tcPr>
            <w:tcW w:w="150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(0 %)</w:t>
            </w:r>
          </w:p>
        </w:tc>
        <w:tc>
          <w:tcPr>
            <w:tcW w:w="100" w:type="dxa"/>
            <w:vAlign w:val="bottom"/>
          </w:tcPr>
          <w:p>
            <w:pPr>
              <w:spacing w:after="0"/>
              <w:rPr>
                <w:sz w:val="18"/>
                <w:szCs w:val="18"/>
                <w:color w:val="auto"/>
              </w:rPr>
            </w:pPr>
          </w:p>
        </w:tc>
        <w:tc>
          <w:tcPr>
            <w:tcW w:w="114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(2 )</w:t>
            </w:r>
          </w:p>
        </w:tc>
      </w:tr>
      <w:tr>
        <w:trPr>
          <w:trHeight w:val="188"/>
        </w:trPr>
        <w:tc>
          <w:tcPr>
            <w:tcW w:w="4080" w:type="dxa"/>
            <w:vAlign w:val="bottom"/>
            <w:shd w:val="clear" w:color="auto" w:fill="CFF0FC"/>
          </w:tcPr>
          <w:p>
            <w:pPr>
              <w:ind w:left="20"/>
              <w:spacing w:after="0" w:line="187" w:lineRule="exact"/>
              <w:rPr>
                <w:sz w:val="20"/>
                <w:szCs w:val="20"/>
                <w:color w:val="auto"/>
              </w:rPr>
            </w:pPr>
            <w:r>
              <w:rPr>
                <w:rFonts w:ascii="Calibri" w:cs="Calibri" w:eastAsia="Calibri" w:hAnsi="Calibri"/>
                <w:sz w:val="18"/>
                <w:szCs w:val="18"/>
                <w:color w:val="auto"/>
              </w:rPr>
              <w:t>Earnings from contnuing operatons before income</w:t>
            </w:r>
          </w:p>
        </w:tc>
        <w:tc>
          <w:tcPr>
            <w:tcW w:w="140" w:type="dxa"/>
            <w:vAlign w:val="bottom"/>
            <w:tcBorders>
              <w:top w:val="single" w:sz="8" w:color="auto"/>
            </w:tcBorders>
            <w:shd w:val="clear" w:color="auto" w:fill="CFF0FC"/>
          </w:tcPr>
          <w:p>
            <w:pPr>
              <w:spacing w:after="0"/>
              <w:rPr>
                <w:sz w:val="16"/>
                <w:szCs w:val="16"/>
                <w:color w:val="auto"/>
              </w:rPr>
            </w:pPr>
          </w:p>
        </w:tc>
        <w:tc>
          <w:tcPr>
            <w:tcW w:w="106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116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104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8"/>
        </w:trPr>
        <w:tc>
          <w:tcPr>
            <w:tcW w:w="408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taxes</w:t>
            </w:r>
          </w:p>
        </w:tc>
        <w:tc>
          <w:tcPr>
            <w:tcW w:w="14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110</w:t>
            </w:r>
          </w:p>
        </w:tc>
        <w:tc>
          <w:tcPr>
            <w:tcW w:w="220" w:type="dxa"/>
            <w:vAlign w:val="bottom"/>
            <w:tcBorders>
              <w:bottom w:val="single" w:sz="8" w:color="CFF0FC"/>
            </w:tcBorders>
            <w:shd w:val="clear" w:color="auto" w:fill="CFF0FC"/>
          </w:tcPr>
          <w:p>
            <w:pPr>
              <w:spacing w:after="0"/>
              <w:rPr>
                <w:sz w:val="18"/>
                <w:szCs w:val="18"/>
                <w:color w:val="auto"/>
              </w:rPr>
            </w:pPr>
          </w:p>
        </w:tc>
        <w:tc>
          <w:tcPr>
            <w:tcW w:w="1500" w:type="dxa"/>
            <w:vAlign w:val="bottom"/>
            <w:tcBorders>
              <w:bottom w:val="single" w:sz="8" w:color="CFF0FC"/>
            </w:tcBorders>
            <w:gridSpan w:val="2"/>
            <w:shd w:val="clear" w:color="auto" w:fill="CFF0FC"/>
          </w:tcPr>
          <w:p>
            <w:pPr>
              <w:jc w:val="right"/>
              <w:ind w:right="200"/>
              <w:spacing w:after="0" w:line="215" w:lineRule="exact"/>
              <w:rPr>
                <w:sz w:val="20"/>
                <w:szCs w:val="20"/>
                <w:color w:val="auto"/>
              </w:rPr>
            </w:pPr>
            <w:r>
              <w:rPr>
                <w:rFonts w:ascii="Calibri" w:cs="Calibri" w:eastAsia="Calibri" w:hAnsi="Calibri"/>
                <w:sz w:val="18"/>
                <w:szCs w:val="18"/>
                <w:color w:val="auto"/>
              </w:rPr>
              <w:t>11 %</w:t>
            </w:r>
          </w:p>
        </w:tc>
        <w:tc>
          <w:tcPr>
            <w:tcW w:w="12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87</w:t>
            </w:r>
          </w:p>
        </w:tc>
        <w:tc>
          <w:tcPr>
            <w:tcW w:w="220" w:type="dxa"/>
            <w:vAlign w:val="bottom"/>
            <w:tcBorders>
              <w:bottom w:val="single" w:sz="8" w:color="CFF0FC"/>
            </w:tcBorders>
            <w:shd w:val="clear" w:color="auto" w:fill="CFF0FC"/>
          </w:tcPr>
          <w:p>
            <w:pPr>
              <w:spacing w:after="0"/>
              <w:rPr>
                <w:sz w:val="18"/>
                <w:szCs w:val="18"/>
                <w:color w:val="auto"/>
              </w:rPr>
            </w:pPr>
          </w:p>
        </w:tc>
        <w:tc>
          <w:tcPr>
            <w:tcW w:w="1500" w:type="dxa"/>
            <w:vAlign w:val="bottom"/>
            <w:tcBorders>
              <w:bottom w:val="single" w:sz="8" w:color="CFF0FC"/>
            </w:tcBorders>
            <w:gridSpan w:val="2"/>
            <w:shd w:val="clear" w:color="auto" w:fill="CFF0FC"/>
          </w:tcPr>
          <w:p>
            <w:pPr>
              <w:jc w:val="right"/>
              <w:ind w:right="220"/>
              <w:spacing w:after="0" w:line="215" w:lineRule="exact"/>
              <w:rPr>
                <w:sz w:val="20"/>
                <w:szCs w:val="20"/>
                <w:color w:val="auto"/>
              </w:rPr>
            </w:pPr>
            <w:r>
              <w:rPr>
                <w:rFonts w:ascii="Calibri" w:cs="Calibri" w:eastAsia="Calibri" w:hAnsi="Calibri"/>
                <w:sz w:val="18"/>
                <w:szCs w:val="18"/>
                <w:color w:val="auto"/>
              </w:rPr>
              <w:t>8 %</w:t>
            </w:r>
          </w:p>
        </w:tc>
        <w:tc>
          <w:tcPr>
            <w:tcW w:w="10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4080" w:type="dxa"/>
            <w:vAlign w:val="bottom"/>
          </w:tcPr>
          <w:p>
            <w:pPr>
              <w:ind w:left="20"/>
              <w:spacing w:after="0" w:line="215" w:lineRule="exact"/>
              <w:rPr>
                <w:sz w:val="20"/>
                <w:szCs w:val="20"/>
                <w:color w:val="auto"/>
              </w:rPr>
            </w:pPr>
            <w:r>
              <w:rPr>
                <w:rFonts w:ascii="Calibri" w:cs="Calibri" w:eastAsia="Calibri" w:hAnsi="Calibri"/>
                <w:sz w:val="18"/>
                <w:szCs w:val="18"/>
                <w:color w:val="auto"/>
              </w:rPr>
              <w:t>Provision for income taxes</w:t>
            </w:r>
          </w:p>
        </w:tc>
        <w:tc>
          <w:tcPr>
            <w:tcW w:w="140" w:type="dxa"/>
            <w:vAlign w:val="bottom"/>
          </w:tcPr>
          <w:p>
            <w:pPr>
              <w:spacing w:after="0"/>
              <w:rPr>
                <w:sz w:val="18"/>
                <w:szCs w:val="18"/>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8</w:t>
            </w:r>
          </w:p>
        </w:tc>
        <w:tc>
          <w:tcPr>
            <w:tcW w:w="220" w:type="dxa"/>
            <w:vAlign w:val="bottom"/>
          </w:tcPr>
          <w:p>
            <w:pPr>
              <w:spacing w:after="0"/>
              <w:rPr>
                <w:sz w:val="18"/>
                <w:szCs w:val="18"/>
                <w:color w:val="auto"/>
              </w:rPr>
            </w:pPr>
          </w:p>
        </w:tc>
        <w:tc>
          <w:tcPr>
            <w:tcW w:w="150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1 %</w:t>
            </w:r>
          </w:p>
        </w:tc>
        <w:tc>
          <w:tcPr>
            <w:tcW w:w="120" w:type="dxa"/>
            <w:vAlign w:val="bottom"/>
          </w:tcPr>
          <w:p>
            <w:pPr>
              <w:spacing w:after="0"/>
              <w:rPr>
                <w:sz w:val="18"/>
                <w:szCs w:val="18"/>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12</w:t>
            </w:r>
          </w:p>
        </w:tc>
        <w:tc>
          <w:tcPr>
            <w:tcW w:w="220" w:type="dxa"/>
            <w:vAlign w:val="bottom"/>
          </w:tcPr>
          <w:p>
            <w:pPr>
              <w:spacing w:after="0"/>
              <w:rPr>
                <w:sz w:val="18"/>
                <w:szCs w:val="18"/>
                <w:color w:val="auto"/>
              </w:rPr>
            </w:pPr>
          </w:p>
        </w:tc>
        <w:tc>
          <w:tcPr>
            <w:tcW w:w="1500" w:type="dxa"/>
            <w:vAlign w:val="bottom"/>
            <w:gridSpan w:val="2"/>
          </w:tcPr>
          <w:p>
            <w:pPr>
              <w:jc w:val="right"/>
              <w:ind w:right="220"/>
              <w:spacing w:after="0" w:line="215" w:lineRule="exact"/>
              <w:rPr>
                <w:sz w:val="20"/>
                <w:szCs w:val="20"/>
                <w:color w:val="auto"/>
              </w:rPr>
            </w:pPr>
            <w:r>
              <w:rPr>
                <w:rFonts w:ascii="Calibri" w:cs="Calibri" w:eastAsia="Calibri" w:hAnsi="Calibri"/>
                <w:sz w:val="18"/>
                <w:szCs w:val="18"/>
                <w:color w:val="auto"/>
              </w:rPr>
              <w:t>1 %</w:t>
            </w:r>
          </w:p>
        </w:tc>
        <w:tc>
          <w:tcPr>
            <w:tcW w:w="100" w:type="dxa"/>
            <w:vAlign w:val="bottom"/>
          </w:tcPr>
          <w:p>
            <w:pPr>
              <w:spacing w:after="0"/>
              <w:rPr>
                <w:sz w:val="18"/>
                <w:szCs w:val="18"/>
                <w:color w:val="auto"/>
              </w:rPr>
            </w:pPr>
          </w:p>
        </w:tc>
        <w:tc>
          <w:tcPr>
            <w:tcW w:w="114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(4 )</w:t>
            </w:r>
          </w:p>
        </w:tc>
      </w:tr>
      <w:tr>
        <w:trPr>
          <w:trHeight w:val="20"/>
        </w:trPr>
        <w:tc>
          <w:tcPr>
            <w:tcW w:w="40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08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color w:val="auto"/>
              </w:rPr>
              <w:t>NET EARNINGS</w:t>
            </w:r>
          </w:p>
        </w:tc>
        <w:tc>
          <w:tcPr>
            <w:tcW w:w="14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106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102</w:t>
            </w:r>
          </w:p>
        </w:tc>
        <w:tc>
          <w:tcPr>
            <w:tcW w:w="220" w:type="dxa"/>
            <w:vAlign w:val="bottom"/>
            <w:shd w:val="clear" w:color="auto" w:fill="CFF0FC"/>
          </w:tcPr>
          <w:p>
            <w:pPr>
              <w:spacing w:after="0"/>
              <w:rPr>
                <w:sz w:val="21"/>
                <w:szCs w:val="21"/>
                <w:color w:val="auto"/>
              </w:rPr>
            </w:pPr>
          </w:p>
        </w:tc>
        <w:tc>
          <w:tcPr>
            <w:tcW w:w="1620" w:type="dxa"/>
            <w:vAlign w:val="bottom"/>
            <w:gridSpan w:val="3"/>
            <w:shd w:val="clear" w:color="auto" w:fill="CFF0FC"/>
          </w:tcPr>
          <w:p>
            <w:pPr>
              <w:jc w:val="right"/>
              <w:ind w:right="20"/>
              <w:spacing w:after="0" w:line="210" w:lineRule="exact"/>
              <w:rPr>
                <w:sz w:val="20"/>
                <w:szCs w:val="20"/>
                <w:color w:val="auto"/>
              </w:rPr>
            </w:pPr>
            <w:r>
              <w:rPr>
                <w:rFonts w:ascii="Calibri" w:cs="Calibri" w:eastAsia="Calibri" w:hAnsi="Calibri"/>
                <w:sz w:val="13"/>
                <w:szCs w:val="13"/>
                <w:color w:val="auto"/>
              </w:rPr>
              <w:t xml:space="preserve">10 %   </w:t>
            </w:r>
            <w:r>
              <w:rPr>
                <w:rFonts w:ascii="Calibri" w:cs="Calibri" w:eastAsia="Calibri" w:hAnsi="Calibri"/>
                <w:sz w:val="22"/>
                <w:szCs w:val="22"/>
                <w:color w:val="auto"/>
                <w:vertAlign w:val="superscript"/>
              </w:rPr>
              <w:t>$</w:t>
            </w:r>
          </w:p>
        </w:tc>
        <w:tc>
          <w:tcPr>
            <w:tcW w:w="116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75</w:t>
            </w:r>
          </w:p>
        </w:tc>
        <w:tc>
          <w:tcPr>
            <w:tcW w:w="220" w:type="dxa"/>
            <w:vAlign w:val="bottom"/>
            <w:shd w:val="clear" w:color="auto" w:fill="CFF0FC"/>
          </w:tcPr>
          <w:p>
            <w:pPr>
              <w:spacing w:after="0"/>
              <w:rPr>
                <w:sz w:val="21"/>
                <w:szCs w:val="21"/>
                <w:color w:val="auto"/>
              </w:rPr>
            </w:pPr>
          </w:p>
        </w:tc>
        <w:tc>
          <w:tcPr>
            <w:tcW w:w="1600" w:type="dxa"/>
            <w:vAlign w:val="bottom"/>
            <w:gridSpan w:val="3"/>
            <w:shd w:val="clear" w:color="auto" w:fill="CFF0FC"/>
          </w:tcPr>
          <w:p>
            <w:pPr>
              <w:jc w:val="right"/>
              <w:spacing w:after="0" w:line="210" w:lineRule="exact"/>
              <w:rPr>
                <w:sz w:val="20"/>
                <w:szCs w:val="20"/>
                <w:color w:val="auto"/>
              </w:rPr>
            </w:pPr>
            <w:r>
              <w:rPr>
                <w:rFonts w:ascii="Calibri" w:cs="Calibri" w:eastAsia="Calibri" w:hAnsi="Calibri"/>
                <w:sz w:val="13"/>
                <w:szCs w:val="13"/>
                <w:color w:val="auto"/>
              </w:rPr>
              <w:t xml:space="preserve">7 %   </w:t>
            </w:r>
            <w:r>
              <w:rPr>
                <w:rFonts w:ascii="Calibri" w:cs="Calibri" w:eastAsia="Calibri" w:hAnsi="Calibri"/>
                <w:sz w:val="22"/>
                <w:szCs w:val="22"/>
                <w:color w:val="auto"/>
                <w:vertAlign w:val="superscript"/>
              </w:rPr>
              <w:t>$</w:t>
            </w:r>
          </w:p>
        </w:tc>
        <w:tc>
          <w:tcPr>
            <w:tcW w:w="104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27</w:t>
            </w:r>
          </w:p>
        </w:tc>
        <w:tc>
          <w:tcPr>
            <w:tcW w:w="100" w:type="dxa"/>
            <w:vAlign w:val="bottom"/>
            <w:shd w:val="clear" w:color="auto" w:fill="CFF0FC"/>
          </w:tcPr>
          <w:p>
            <w:pPr>
              <w:spacing w:after="0"/>
              <w:rPr>
                <w:sz w:val="21"/>
                <w:szCs w:val="21"/>
                <w:color w:val="auto"/>
              </w:rPr>
            </w:pPr>
          </w:p>
        </w:tc>
      </w:tr>
      <w:tr>
        <w:trPr>
          <w:trHeight w:val="780"/>
        </w:trPr>
        <w:tc>
          <w:tcPr>
            <w:tcW w:w="408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140" w:type="dxa"/>
            <w:vAlign w:val="bottom"/>
            <w:tcBorders>
              <w:top w:val="single" w:sz="8" w:color="CFF0FC"/>
            </w:tcBorders>
          </w:tcPr>
          <w:p>
            <w:pPr>
              <w:jc w:val="right"/>
              <w:ind w:right="831"/>
              <w:spacing w:after="0"/>
              <w:rPr>
                <w:sz w:val="20"/>
                <w:szCs w:val="20"/>
                <w:color w:val="auto"/>
              </w:rPr>
            </w:pPr>
            <w:r>
              <w:rPr>
                <w:rFonts w:ascii="Calibri" w:cs="Calibri" w:eastAsia="Calibri" w:hAnsi="Calibri"/>
                <w:sz w:val="18"/>
                <w:szCs w:val="18"/>
                <w:color w:val="auto"/>
              </w:rPr>
              <w:t>37</w:t>
            </w:r>
          </w:p>
        </w:tc>
        <w:tc>
          <w:tcPr>
            <w:tcW w:w="36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140" w:type="dxa"/>
            <w:vAlign w:val="bottom"/>
            <w:tcBorders>
              <w:top w:val="single" w:sz="8" w:color="CFF0FC"/>
            </w:tcBorders>
          </w:tcPr>
          <w:p>
            <w:pPr>
              <w:spacing w:after="0"/>
              <w:rPr>
                <w:sz w:val="24"/>
                <w:szCs w:val="24"/>
                <w:color w:val="auto"/>
              </w:rPr>
            </w:pPr>
          </w:p>
        </w:tc>
        <w:tc>
          <w:tcPr>
            <w:tcW w:w="36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530"/>
        </w:trPr>
        <w:tc>
          <w:tcPr>
            <w:tcW w:w="40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-2691130</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-2691130</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-2691130</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-882015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-864870</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-882015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-864870</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-882015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37" w:name="page38"/>
    <w:bookmarkEnd w:id="37"/>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Revenues</w:t>
      </w:r>
    </w:p>
    <w:p>
      <w:pPr>
        <w:spacing w:after="0" w:line="190"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For the year ended December 31, 2024, revenues declined approximately $74 million compared with 2023 primarily due to lower volume as well as price and product mix declines in Print ($82 million and $5 million, respectvely) and unfavorable foreign currency fuctuatons ($3 million), partally ofset by improved pricing and product mix and higher volume in Advanced Materials and Chemicals ($12 million and $3 million, respectvely) and higher volume in Brand ($2 million). See segment discussions for additonal details.</w:t>
      </w:r>
    </w:p>
    <w:p>
      <w:pPr>
        <w:spacing w:after="0" w:line="17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Gross Proft</w:t>
      </w:r>
    </w:p>
    <w:p>
      <w:pPr>
        <w:spacing w:after="0" w:line="177"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color w:val="auto"/>
        </w:rPr>
        <w:t>Gross proft for 2024 declined approximately $7 million compared with 2023, primarily due to lower margins in Advanced Materials and Chemicals ($5 million), lower volumes and less favorable pricing and product mix in Print ($4 million and $2 million, respectvely), inventory reserve adjustments in the EPS Business ($8 million) and higher aluminum costs ($4 million), partally ofset by improved pricing and product mix within Advanced Materials and Chemicals ($11 million), higher restructuring costs in the prior year ($2 million), improved volume in Brand ($2 million) and the net change in employee benefts reserves ($1 million). See segment discussions for additonal details.</w:t>
      </w:r>
    </w:p>
    <w:p>
      <w:pPr>
        <w:spacing w:after="0" w:line="18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Selling, General and Administratve Expenses</w:t>
      </w:r>
    </w:p>
    <w:p>
      <w:pPr>
        <w:spacing w:after="0" w:line="177"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Consolidated SG&amp;A increased $20 million in 2024 primarily due to investments in informaton technology systems ($2 million) and changes in organizatonal structure ($2 million) to drive further operatonal efciencies, as well as costs associated with the drupa trade show ($2 million) and certain litgaton maters ($7 million). In additon, the prior year had $15 million of income representng insurance reimbursement of legal costs previously paid by the Company associated with investgatons and litgaton. These cost increases were partally ofset by a decline in equity compensaton costs ($1 million), the net change in employee benefts reserves ($1 million) and reducton in other SG&amp;A costs ($6 million).</w:t>
      </w:r>
    </w:p>
    <w:p>
      <w:pPr>
        <w:spacing w:after="0" w:line="17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Research and Development Costs</w:t>
      </w:r>
    </w:p>
    <w:p>
      <w:pPr>
        <w:spacing w:after="0" w:line="185" w:lineRule="exact"/>
        <w:rPr>
          <w:sz w:val="20"/>
          <w:szCs w:val="20"/>
          <w:color w:val="auto"/>
        </w:rPr>
      </w:pPr>
    </w:p>
    <w:p>
      <w:pPr>
        <w:spacing w:after="0"/>
        <w:rPr>
          <w:sz w:val="20"/>
          <w:szCs w:val="20"/>
          <w:color w:val="auto"/>
        </w:rPr>
      </w:pPr>
      <w:r>
        <w:rPr>
          <w:rFonts w:ascii="Calibri" w:cs="Calibri" w:eastAsia="Calibri" w:hAnsi="Calibri"/>
          <w:sz w:val="18"/>
          <w:szCs w:val="18"/>
          <w:color w:val="auto"/>
        </w:rPr>
        <w:t>Consolidated R&amp;D expenses were relatvely fat in 2024 compared with 2023.</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Restructuring Costs and Other</w:t>
      </w:r>
    </w:p>
    <w:p>
      <w:pPr>
        <w:spacing w:after="0" w:line="177" w:lineRule="exact"/>
        <w:rPr>
          <w:sz w:val="20"/>
          <w:szCs w:val="20"/>
          <w:color w:val="auto"/>
        </w:rPr>
      </w:pPr>
    </w:p>
    <w:p>
      <w:pPr>
        <w:ind w:right="200"/>
        <w:spacing w:after="0" w:line="235" w:lineRule="auto"/>
        <w:rPr>
          <w:sz w:val="20"/>
          <w:szCs w:val="20"/>
          <w:color w:val="auto"/>
        </w:rPr>
      </w:pPr>
      <w:r>
        <w:rPr>
          <w:rFonts w:ascii="Calibri" w:cs="Calibri" w:eastAsia="Calibri" w:hAnsi="Calibri"/>
          <w:sz w:val="18"/>
          <w:szCs w:val="18"/>
          <w:color w:val="auto"/>
        </w:rPr>
        <w:t>These costs, as well as restructuring costs reported in Cost of revenues, are discussed under the "Restructuring Costs and Other" secton in this MD&amp;A and Note 18, “Restructuring Costs and Other."</w:t>
      </w:r>
    </w:p>
    <w:p>
      <w:pPr>
        <w:spacing w:after="0" w:line="18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Interest Expense</w:t>
      </w:r>
    </w:p>
    <w:p>
      <w:pPr>
        <w:spacing w:after="0" w:line="177"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color w:val="auto"/>
        </w:rPr>
        <w:t>The increase in interest expense in 2024 of $7 million represents the full year of interest expense associated with the refnancing transactons that closed in the third quarter of 2023. Refer to Note 8, “Debt and Credit Facilites” for further informaton.</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Other Operatng (Income) Expense, Net</w:t>
      </w:r>
    </w:p>
    <w:p>
      <w:pPr>
        <w:spacing w:after="0" w:line="185" w:lineRule="exact"/>
        <w:rPr>
          <w:sz w:val="20"/>
          <w:szCs w:val="20"/>
          <w:color w:val="auto"/>
        </w:rPr>
      </w:pPr>
    </w:p>
    <w:p>
      <w:pPr>
        <w:spacing w:after="0"/>
        <w:rPr>
          <w:sz w:val="20"/>
          <w:szCs w:val="20"/>
          <w:color w:val="auto"/>
        </w:rPr>
      </w:pPr>
      <w:r>
        <w:rPr>
          <w:rFonts w:ascii="Calibri" w:cs="Calibri" w:eastAsia="Calibri" w:hAnsi="Calibri"/>
          <w:sz w:val="18"/>
          <w:szCs w:val="18"/>
          <w:color w:val="auto"/>
        </w:rPr>
        <w:t>For details, refer to Note 15, “Other Operatng (Income) Expense, Net.”</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Pension Income</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color w:val="auto"/>
        </w:rPr>
        <w:t>For details, refer to Note 19, “Retrement Plans."</w:t>
      </w:r>
    </w:p>
    <w:p>
      <w:pPr>
        <w:spacing w:after="0" w:line="18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Loss on Early Extnguishment of Debt</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color w:val="auto"/>
        </w:rPr>
        <w:t>For details, refer to Note 8, "Debt and Credit Facilites."</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Other Income, Net</w:t>
      </w:r>
    </w:p>
    <w:p>
      <w:pPr>
        <w:spacing w:after="0" w:line="185" w:lineRule="exact"/>
        <w:rPr>
          <w:sz w:val="20"/>
          <w:szCs w:val="20"/>
          <w:color w:val="auto"/>
        </w:rPr>
      </w:pPr>
    </w:p>
    <w:p>
      <w:pPr>
        <w:spacing w:after="0"/>
        <w:rPr>
          <w:sz w:val="20"/>
          <w:szCs w:val="20"/>
          <w:color w:val="auto"/>
        </w:rPr>
      </w:pPr>
      <w:r>
        <w:rPr>
          <w:rFonts w:ascii="Calibri" w:cs="Calibri" w:eastAsia="Calibri" w:hAnsi="Calibri"/>
          <w:sz w:val="18"/>
          <w:szCs w:val="18"/>
          <w:color w:val="auto"/>
        </w:rPr>
        <w:t>For details, refer to Note 16, “Other (Income) Charges, Net.”</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Provision for Income Taxes</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color w:val="auto"/>
        </w:rPr>
        <w:t>For details, refer to Note 17,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20"/>
        </w:trPr>
        <w:tc>
          <w:tcPr>
            <w:tcW w:w="1300" w:type="dxa"/>
            <w:vAlign w:val="bottom"/>
            <w:tcBorders>
              <w:bottom w:val="single" w:sz="8" w:color="0000FF"/>
            </w:tcBorders>
          </w:tcPr>
          <w:p>
            <w:pPr>
              <w:spacing w:after="0"/>
              <w:rPr>
                <w:sz w:val="20"/>
                <w:szCs w:val="20"/>
                <w:color w:val="auto"/>
              </w:rPr>
            </w:pPr>
            <w:r>
              <w:rPr>
                <w:rFonts w:ascii="Calibri" w:cs="Calibri" w:eastAsia="Calibri" w:hAnsi="Calibri"/>
                <w:sz w:val="18"/>
                <w:szCs w:val="18"/>
                <w:b w:val="1"/>
                <w:bCs w:val="1"/>
                <w:color w:val="0000FF"/>
                <w:w w:val="97"/>
              </w:rPr>
              <w:t>Table of Contents</w:t>
            </w:r>
          </w:p>
        </w:tc>
        <w:tc>
          <w:tcPr>
            <w:tcW w:w="5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8"/>
        </w:trPr>
        <w:tc>
          <w:tcPr>
            <w:tcW w:w="6420" w:type="dxa"/>
            <w:vAlign w:val="bottom"/>
            <w:gridSpan w:val="2"/>
          </w:tcPr>
          <w:p>
            <w:pPr>
              <w:spacing w:after="0"/>
              <w:rPr>
                <w:sz w:val="20"/>
                <w:szCs w:val="20"/>
                <w:color w:val="auto"/>
              </w:rPr>
            </w:pPr>
            <w:r>
              <w:rPr>
                <w:rFonts w:ascii="Calibri" w:cs="Calibri" w:eastAsia="Calibri" w:hAnsi="Calibri"/>
                <w:sz w:val="18"/>
                <w:szCs w:val="18"/>
                <w:b w:val="1"/>
                <w:bCs w:val="1"/>
                <w:color w:val="auto"/>
              </w:rPr>
              <w:t>DETAILED RESULTS OF OPERATIONS</w:t>
            </w:r>
          </w:p>
        </w:tc>
        <w:tc>
          <w:tcPr>
            <w:tcW w:w="1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420" w:type="dxa"/>
            <w:vAlign w:val="bottom"/>
            <w:gridSpan w:val="2"/>
          </w:tcPr>
          <w:p>
            <w:pPr>
              <w:spacing w:after="0"/>
              <w:rPr>
                <w:sz w:val="20"/>
                <w:szCs w:val="20"/>
                <w:color w:val="auto"/>
              </w:rPr>
            </w:pPr>
            <w:r>
              <w:rPr>
                <w:rFonts w:ascii="Calibri" w:cs="Calibri" w:eastAsia="Calibri" w:hAnsi="Calibri"/>
                <w:sz w:val="18"/>
                <w:szCs w:val="18"/>
                <w:b w:val="1"/>
                <w:bCs w:val="1"/>
                <w:color w:val="auto"/>
              </w:rPr>
              <w:t>Net Revenues from Contnuing Operatons by Reportable Segment</w:t>
            </w:r>
          </w:p>
        </w:tc>
        <w:tc>
          <w:tcPr>
            <w:tcW w:w="1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0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0" w:type="dxa"/>
            <w:vAlign w:val="bottom"/>
            <w:gridSpan w:val="3"/>
          </w:tcPr>
          <w:p>
            <w:pPr>
              <w:jc w:val="right"/>
              <w:ind w:right="60"/>
              <w:spacing w:after="0"/>
              <w:rPr>
                <w:sz w:val="20"/>
                <w:szCs w:val="20"/>
                <w:color w:val="auto"/>
              </w:rPr>
            </w:pPr>
            <w:r>
              <w:rPr>
                <w:rFonts w:ascii="Calibri" w:cs="Calibri" w:eastAsia="Calibri" w:hAnsi="Calibri"/>
                <w:sz w:val="18"/>
                <w:szCs w:val="18"/>
                <w:b w:val="1"/>
                <w:bCs w:val="1"/>
                <w:color w:val="auto"/>
                <w:w w:val="99"/>
              </w:rPr>
              <w:t>Year Ended December 31,</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1300" w:type="dxa"/>
            <w:vAlign w:val="bottom"/>
          </w:tcPr>
          <w:p>
            <w:pPr>
              <w:jc w:val="right"/>
              <w:spacing w:after="0" w:line="216" w:lineRule="exact"/>
              <w:rPr>
                <w:sz w:val="20"/>
                <w:szCs w:val="20"/>
                <w:color w:val="auto"/>
              </w:rPr>
            </w:pPr>
            <w:r>
              <w:rPr>
                <w:rFonts w:ascii="Calibri" w:cs="Calibri" w:eastAsia="Calibri" w:hAnsi="Calibri"/>
                <w:sz w:val="18"/>
                <w:szCs w:val="18"/>
                <w:b w:val="1"/>
                <w:bCs w:val="1"/>
                <w:color w:val="auto"/>
              </w:rPr>
              <w:t>2024</w:t>
            </w: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00" w:type="dxa"/>
            <w:vAlign w:val="bottom"/>
          </w:tcPr>
          <w:p>
            <w:pPr>
              <w:jc w:val="right"/>
              <w:ind w:right="790"/>
              <w:spacing w:after="0" w:line="216" w:lineRule="exact"/>
              <w:rPr>
                <w:sz w:val="20"/>
                <w:szCs w:val="20"/>
                <w:color w:val="auto"/>
              </w:rPr>
            </w:pPr>
            <w:r>
              <w:rPr>
                <w:rFonts w:ascii="Calibri" w:cs="Calibri" w:eastAsia="Calibri" w:hAnsi="Calibri"/>
                <w:sz w:val="18"/>
                <w:szCs w:val="18"/>
                <w:b w:val="1"/>
                <w:bCs w:val="1"/>
                <w:color w:val="auto"/>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6420" w:type="dxa"/>
            <w:vAlign w:val="bottom"/>
            <w:gridSpan w:val="2"/>
            <w:vMerge w:val="restart"/>
          </w:tcPr>
          <w:p>
            <w:pPr>
              <w:ind w:left="20"/>
              <w:spacing w:after="0"/>
              <w:rPr>
                <w:sz w:val="20"/>
                <w:szCs w:val="20"/>
                <w:color w:val="auto"/>
              </w:rPr>
            </w:pPr>
            <w:r>
              <w:rPr>
                <w:rFonts w:ascii="Calibri" w:cs="Calibri" w:eastAsia="Calibri" w:hAnsi="Calibri"/>
                <w:sz w:val="14"/>
                <w:szCs w:val="14"/>
                <w:color w:val="auto"/>
              </w:rPr>
              <w:t>(in millions)</w:t>
            </w:r>
          </w:p>
        </w:tc>
        <w:tc>
          <w:tcPr>
            <w:tcW w:w="1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6420" w:type="dxa"/>
            <w:vAlign w:val="bottom"/>
            <w:gridSpan w:val="2"/>
            <w:vMerge w:val="continue"/>
          </w:tcPr>
          <w:p>
            <w:pPr>
              <w:spacing w:after="0"/>
              <w:rPr>
                <w:sz w:val="12"/>
                <w:szCs w:val="12"/>
                <w:color w:val="auto"/>
              </w:rPr>
            </w:pPr>
          </w:p>
        </w:tc>
        <w:tc>
          <w:tcPr>
            <w:tcW w:w="1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51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6420" w:type="dxa"/>
            <w:vAlign w:val="bottom"/>
            <w:gridSpan w:val="2"/>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Print</w:t>
            </w:r>
          </w:p>
        </w:tc>
        <w:tc>
          <w:tcPr>
            <w:tcW w:w="1300" w:type="dxa"/>
            <w:vAlign w:val="bottom"/>
            <w:shd w:val="clear" w:color="auto" w:fill="CFF0FC"/>
          </w:tcPr>
          <w:p>
            <w:pPr>
              <w:jc w:val="right"/>
              <w:ind w:right="1110"/>
              <w:spacing w:after="0" w:line="215" w:lineRule="exact"/>
              <w:rPr>
                <w:sz w:val="20"/>
                <w:szCs w:val="20"/>
                <w:color w:val="auto"/>
              </w:rPr>
            </w:pPr>
            <w:r>
              <w:rPr>
                <w:rFonts w:ascii="Calibri" w:cs="Calibri" w:eastAsia="Calibri" w:hAnsi="Calibri"/>
                <w:sz w:val="18"/>
                <w:szCs w:val="18"/>
                <w:color w:val="auto"/>
                <w:w w:val="87"/>
              </w:rPr>
              <w:t>$</w:t>
            </w:r>
          </w:p>
        </w:tc>
        <w:tc>
          <w:tcPr>
            <w:tcW w:w="84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737</w:t>
            </w:r>
          </w:p>
        </w:tc>
        <w:tc>
          <w:tcPr>
            <w:tcW w:w="1160" w:type="dxa"/>
            <w:vAlign w:val="bottom"/>
            <w:gridSpan w:val="2"/>
            <w:shd w:val="clear" w:color="auto" w:fill="CFF0FC"/>
          </w:tcPr>
          <w:p>
            <w:pPr>
              <w:jc w:val="right"/>
              <w:ind w:right="720"/>
              <w:spacing w:after="0" w:line="215" w:lineRule="exact"/>
              <w:rPr>
                <w:sz w:val="20"/>
                <w:szCs w:val="20"/>
                <w:color w:val="auto"/>
              </w:rPr>
            </w:pPr>
            <w:r>
              <w:rPr>
                <w:rFonts w:ascii="Calibri" w:cs="Calibri" w:eastAsia="Calibri" w:hAnsi="Calibri"/>
                <w:sz w:val="18"/>
                <w:szCs w:val="18"/>
                <w:color w:val="auto"/>
              </w:rPr>
              <w:t>$</w:t>
            </w:r>
          </w:p>
        </w:tc>
        <w:tc>
          <w:tcPr>
            <w:tcW w:w="13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828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420" w:type="dxa"/>
            <w:vAlign w:val="bottom"/>
            <w:gridSpan w:val="2"/>
          </w:tcPr>
          <w:p>
            <w:pPr>
              <w:ind w:left="20"/>
              <w:spacing w:after="0" w:line="215" w:lineRule="exact"/>
              <w:rPr>
                <w:sz w:val="20"/>
                <w:szCs w:val="20"/>
                <w:color w:val="auto"/>
              </w:rPr>
            </w:pPr>
            <w:r>
              <w:rPr>
                <w:rFonts w:ascii="Calibri" w:cs="Calibri" w:eastAsia="Calibri" w:hAnsi="Calibri"/>
                <w:sz w:val="18"/>
                <w:szCs w:val="18"/>
                <w:color w:val="auto"/>
              </w:rPr>
              <w:t>Advanced Materials and Chemicals</w:t>
            </w:r>
          </w:p>
        </w:tc>
        <w:tc>
          <w:tcPr>
            <w:tcW w:w="1300" w:type="dxa"/>
            <w:vAlign w:val="bottom"/>
          </w:tcPr>
          <w:p>
            <w:pPr>
              <w:spacing w:after="0"/>
              <w:rPr>
                <w:sz w:val="18"/>
                <w:szCs w:val="18"/>
                <w:color w:val="auto"/>
              </w:rPr>
            </w:pPr>
          </w:p>
        </w:tc>
        <w:tc>
          <w:tcPr>
            <w:tcW w:w="840" w:type="dxa"/>
            <w:vAlign w:val="bottom"/>
          </w:tcPr>
          <w:p>
            <w:pPr>
              <w:jc w:val="right"/>
              <w:spacing w:after="0" w:line="215" w:lineRule="exact"/>
              <w:rPr>
                <w:sz w:val="20"/>
                <w:szCs w:val="20"/>
                <w:color w:val="auto"/>
              </w:rPr>
            </w:pPr>
            <w:r>
              <w:rPr>
                <w:rFonts w:ascii="Calibri" w:cs="Calibri" w:eastAsia="Calibri" w:hAnsi="Calibri"/>
                <w:sz w:val="18"/>
                <w:szCs w:val="18"/>
                <w:color w:val="auto"/>
              </w:rPr>
              <w:t>271</w:t>
            </w: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00" w:type="dxa"/>
            <w:vAlign w:val="bottom"/>
          </w:tcPr>
          <w:p>
            <w:pPr>
              <w:jc w:val="right"/>
              <w:spacing w:after="0" w:line="215" w:lineRule="exact"/>
              <w:rPr>
                <w:sz w:val="20"/>
                <w:szCs w:val="20"/>
                <w:color w:val="auto"/>
              </w:rPr>
            </w:pPr>
            <w:r>
              <w:rPr>
                <w:rFonts w:ascii="Calibri" w:cs="Calibri" w:eastAsia="Calibri" w:hAnsi="Calibri"/>
                <w:sz w:val="18"/>
                <w:szCs w:val="18"/>
                <w:color w:val="auto"/>
              </w:rPr>
              <w:t>255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Borders>
              <w:bottom w:val="single" w:sz="8" w:color="CFF0FC"/>
            </w:tcBorders>
            <w:gridSpan w:val="2"/>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Brand</w:t>
            </w:r>
          </w:p>
        </w:tc>
        <w:tc>
          <w:tcPr>
            <w:tcW w:w="13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20</w:t>
            </w:r>
          </w:p>
        </w:tc>
        <w:tc>
          <w:tcPr>
            <w:tcW w:w="34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20" w:type="dxa"/>
            <w:vAlign w:val="bottom"/>
            <w:gridSpan w:val="2"/>
          </w:tcPr>
          <w:p>
            <w:pPr>
              <w:ind w:left="200"/>
              <w:spacing w:after="0" w:line="209" w:lineRule="exact"/>
              <w:rPr>
                <w:sz w:val="20"/>
                <w:szCs w:val="20"/>
                <w:color w:val="auto"/>
              </w:rPr>
            </w:pPr>
            <w:r>
              <w:rPr>
                <w:rFonts w:ascii="Calibri" w:cs="Calibri" w:eastAsia="Calibri" w:hAnsi="Calibri"/>
                <w:sz w:val="18"/>
                <w:szCs w:val="18"/>
                <w:color w:val="auto"/>
              </w:rPr>
              <w:t>Total of reportable segments</w:t>
            </w:r>
          </w:p>
        </w:tc>
        <w:tc>
          <w:tcPr>
            <w:tcW w:w="1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1,028</w:t>
            </w:r>
          </w:p>
        </w:tc>
        <w:tc>
          <w:tcPr>
            <w:tcW w:w="34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1,100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20" w:type="dxa"/>
            <w:vAlign w:val="bottom"/>
            <w:tcBorders>
              <w:bottom w:val="single" w:sz="8" w:color="CFF0FC"/>
            </w:tcBorders>
            <w:gridSpan w:val="2"/>
            <w:shd w:val="clear" w:color="auto" w:fill="CFF0FC"/>
          </w:tcPr>
          <w:p>
            <w:pPr>
              <w:ind w:left="20"/>
              <w:spacing w:after="0" w:line="209" w:lineRule="exact"/>
              <w:rPr>
                <w:sz w:val="20"/>
                <w:szCs w:val="20"/>
                <w:color w:val="auto"/>
              </w:rPr>
            </w:pPr>
            <w:r>
              <w:rPr>
                <w:rFonts w:ascii="Calibri" w:cs="Calibri" w:eastAsia="Calibri" w:hAnsi="Calibri"/>
                <w:sz w:val="18"/>
                <w:szCs w:val="18"/>
                <w:color w:val="auto"/>
              </w:rPr>
              <w:t>All Other revenues</w:t>
            </w:r>
          </w:p>
        </w:tc>
        <w:tc>
          <w:tcPr>
            <w:tcW w:w="13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15</w:t>
            </w:r>
          </w:p>
        </w:tc>
        <w:tc>
          <w:tcPr>
            <w:tcW w:w="34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17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20" w:type="dxa"/>
            <w:vAlign w:val="bottom"/>
            <w:gridSpan w:val="2"/>
          </w:tcPr>
          <w:p>
            <w:pPr>
              <w:ind w:left="380"/>
              <w:spacing w:after="0" w:line="209" w:lineRule="exact"/>
              <w:rPr>
                <w:sz w:val="20"/>
                <w:szCs w:val="20"/>
                <w:color w:val="auto"/>
              </w:rPr>
            </w:pPr>
            <w:r>
              <w:rPr>
                <w:rFonts w:ascii="Calibri" w:cs="Calibri" w:eastAsia="Calibri" w:hAnsi="Calibri"/>
                <w:sz w:val="18"/>
                <w:szCs w:val="18"/>
                <w:color w:val="auto"/>
              </w:rPr>
              <w:t>Consolidated total</w:t>
            </w:r>
          </w:p>
        </w:tc>
        <w:tc>
          <w:tcPr>
            <w:tcW w:w="1300" w:type="dxa"/>
            <w:vAlign w:val="bottom"/>
          </w:tcPr>
          <w:p>
            <w:pPr>
              <w:jc w:val="right"/>
              <w:ind w:right="1110"/>
              <w:spacing w:after="0" w:line="209" w:lineRule="exact"/>
              <w:rPr>
                <w:sz w:val="20"/>
                <w:szCs w:val="20"/>
                <w:color w:val="auto"/>
              </w:rPr>
            </w:pPr>
            <w:r>
              <w:rPr>
                <w:rFonts w:ascii="Calibri" w:cs="Calibri" w:eastAsia="Calibri" w:hAnsi="Calibri"/>
                <w:sz w:val="18"/>
                <w:szCs w:val="18"/>
                <w:color w:val="auto"/>
                <w:w w:val="87"/>
              </w:rPr>
              <w:t>$</w:t>
            </w:r>
          </w:p>
        </w:tc>
        <w:tc>
          <w:tcPr>
            <w:tcW w:w="840" w:type="dxa"/>
            <w:vAlign w:val="bottom"/>
          </w:tcPr>
          <w:p>
            <w:pPr>
              <w:jc w:val="right"/>
              <w:spacing w:after="0" w:line="209" w:lineRule="exact"/>
              <w:rPr>
                <w:sz w:val="20"/>
                <w:szCs w:val="20"/>
                <w:color w:val="auto"/>
              </w:rPr>
            </w:pPr>
            <w:r>
              <w:rPr>
                <w:rFonts w:ascii="Calibri" w:cs="Calibri" w:eastAsia="Calibri" w:hAnsi="Calibri"/>
                <w:sz w:val="18"/>
                <w:szCs w:val="18"/>
                <w:color w:val="auto"/>
              </w:rPr>
              <w:t>1,043</w:t>
            </w:r>
          </w:p>
        </w:tc>
        <w:tc>
          <w:tcPr>
            <w:tcW w:w="1160" w:type="dxa"/>
            <w:vAlign w:val="bottom"/>
            <w:gridSpan w:val="2"/>
          </w:tcPr>
          <w:p>
            <w:pPr>
              <w:jc w:val="right"/>
              <w:ind w:right="720"/>
              <w:spacing w:after="0" w:line="209" w:lineRule="exact"/>
              <w:rPr>
                <w:sz w:val="20"/>
                <w:szCs w:val="20"/>
                <w:color w:val="auto"/>
              </w:rPr>
            </w:pPr>
            <w:r>
              <w:rPr>
                <w:rFonts w:ascii="Calibri" w:cs="Calibri" w:eastAsia="Calibri" w:hAnsi="Calibri"/>
                <w:sz w:val="18"/>
                <w:szCs w:val="18"/>
                <w:color w:val="auto"/>
              </w:rPr>
              <w:t>$</w:t>
            </w:r>
          </w:p>
        </w:tc>
        <w:tc>
          <w:tcPr>
            <w:tcW w:w="1300" w:type="dxa"/>
            <w:vAlign w:val="bottom"/>
          </w:tcPr>
          <w:p>
            <w:pPr>
              <w:jc w:val="right"/>
              <w:spacing w:after="0" w:line="209" w:lineRule="exact"/>
              <w:rPr>
                <w:sz w:val="20"/>
                <w:szCs w:val="20"/>
                <w:color w:val="auto"/>
              </w:rPr>
            </w:pPr>
            <w:r>
              <w:rPr>
                <w:rFonts w:ascii="Calibri" w:cs="Calibri" w:eastAsia="Calibri" w:hAnsi="Calibri"/>
                <w:sz w:val="18"/>
                <w:szCs w:val="18"/>
                <w:color w:val="auto"/>
              </w:rPr>
              <w:t>1,117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-462280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-462280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-170815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-170815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ind w:right="100"/>
        <w:spacing w:after="0" w:line="235" w:lineRule="auto"/>
        <w:rPr>
          <w:sz w:val="20"/>
          <w:szCs w:val="20"/>
          <w:color w:val="auto"/>
        </w:rPr>
      </w:pPr>
      <w:r>
        <w:rPr>
          <w:rFonts w:ascii="Calibri" w:cs="Calibri" w:eastAsia="Calibri" w:hAnsi="Calibri"/>
          <w:sz w:val="18"/>
          <w:szCs w:val="18"/>
          <w:color w:val="auto"/>
        </w:rPr>
        <w:t>Kodak’s segment measure of proft and loss is an adjusted earnings before interest, taxes, depreciaton and amortzaton (“Operatonal EBITDA”). As demonstrated in the table below, Operatonal EBITDA represents the earnings from contnuing operatons before income taxes excluding non-service cost components of pension and other postemployment benefts income; depreciaton and amortzaton expense; restructuring costs and other; stock-based compensaton expense; consultng and other costs; idle costs; other operatng income (expense), net; loss on early extnguishment of debt; interest expense and other income, net.</w:t>
      </w:r>
    </w:p>
    <w:p>
      <w:pPr>
        <w:spacing w:after="0" w:line="17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Segment Operatonal EBITDA and Consolidated Earnings from Contnuing Operatons Before Income Taxes</w:t>
      </w:r>
    </w:p>
    <w:p>
      <w:pPr>
        <w:spacing w:after="0" w:line="212" w:lineRule="exact"/>
        <w:rPr>
          <w:sz w:val="20"/>
          <w:szCs w:val="20"/>
          <w:color w:val="auto"/>
        </w:rPr>
      </w:pPr>
    </w:p>
    <w:p>
      <w:pPr>
        <w:ind w:left="8480"/>
        <w:spacing w:after="0"/>
        <w:rPr>
          <w:sz w:val="20"/>
          <w:szCs w:val="20"/>
          <w:color w:val="auto"/>
        </w:rPr>
      </w:pPr>
      <w:r>
        <w:rPr>
          <w:rFonts w:ascii="Calibri" w:cs="Calibri" w:eastAsia="Calibri" w:hAnsi="Calibri"/>
          <w:sz w:val="18"/>
          <w:szCs w:val="18"/>
          <w:b w:val="1"/>
          <w:bCs w:val="1"/>
          <w:color w:val="auto"/>
        </w:rPr>
        <w:t>Year Ended December 31,</w:t>
      </w:r>
    </w:p>
    <w:tbl>
      <w:tblPr>
        <w:tblLayout w:type="fixed"/>
        <w:tblInd w:w="0" w:type="dxa"/>
        <w:tblCellMar>
          <w:top w:w="0" w:type="dxa"/>
          <w:left w:w="0" w:type="dxa"/>
          <w:bottom w:w="0" w:type="dxa"/>
          <w:right w:w="0" w:type="dxa"/>
        </w:tblCellMar>
      </w:tblPr>
      <w:tr>
        <w:trPr>
          <w:trHeight w:val="236"/>
        </w:trPr>
        <w:tc>
          <w:tcPr>
            <w:tcW w:w="7720" w:type="dxa"/>
            <w:vAlign w:val="bottom"/>
          </w:tcPr>
          <w:p>
            <w:pPr>
              <w:ind w:left="20"/>
              <w:spacing w:after="0"/>
              <w:rPr>
                <w:sz w:val="20"/>
                <w:szCs w:val="20"/>
                <w:color w:val="auto"/>
              </w:rPr>
            </w:pPr>
            <w:r>
              <w:rPr>
                <w:rFonts w:ascii="Calibri" w:cs="Calibri" w:eastAsia="Calibri" w:hAnsi="Calibri"/>
                <w:sz w:val="14"/>
                <w:szCs w:val="14"/>
                <w:color w:val="auto"/>
              </w:rPr>
              <w:t>(in millions)</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line="216" w:lineRule="exact"/>
              <w:rPr>
                <w:sz w:val="20"/>
                <w:szCs w:val="20"/>
                <w:color w:val="auto"/>
              </w:rPr>
            </w:pPr>
            <w:r>
              <w:rPr>
                <w:rFonts w:ascii="Calibri" w:cs="Calibri" w:eastAsia="Calibri" w:hAnsi="Calibri"/>
                <w:sz w:val="18"/>
                <w:szCs w:val="18"/>
                <w:b w:val="1"/>
                <w:bCs w:val="1"/>
                <w:color w:val="auto"/>
              </w:rPr>
              <w:t>2024</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0"/>
              <w:spacing w:after="0" w:line="216" w:lineRule="exact"/>
              <w:rPr>
                <w:sz w:val="20"/>
                <w:szCs w:val="20"/>
                <w:color w:val="auto"/>
              </w:rPr>
            </w:pPr>
            <w:r>
              <w:rPr>
                <w:rFonts w:ascii="Calibri" w:cs="Calibri" w:eastAsia="Calibri" w:hAnsi="Calibri"/>
                <w:sz w:val="18"/>
                <w:szCs w:val="18"/>
                <w:b w:val="1"/>
                <w:bCs w:val="1"/>
                <w:color w:val="auto"/>
              </w:rPr>
              <w:t>2023</w:t>
            </w:r>
          </w:p>
        </w:tc>
        <w:tc>
          <w:tcPr>
            <w:tcW w:w="100" w:type="dxa"/>
            <w:vAlign w:val="bottom"/>
          </w:tcPr>
          <w:p>
            <w:pPr>
              <w:spacing w:after="0"/>
              <w:rPr>
                <w:sz w:val="20"/>
                <w:szCs w:val="20"/>
                <w:color w:val="auto"/>
              </w:rPr>
            </w:pPr>
          </w:p>
        </w:tc>
      </w:tr>
      <w:tr>
        <w:trPr>
          <w:trHeight w:val="213"/>
        </w:trPr>
        <w:tc>
          <w:tcPr>
            <w:tcW w:w="7720" w:type="dxa"/>
            <w:vAlign w:val="bottom"/>
            <w:shd w:val="clear" w:color="auto" w:fill="CFF0FC"/>
          </w:tcPr>
          <w:p>
            <w:pPr>
              <w:ind w:left="20"/>
              <w:spacing w:after="0" w:line="213" w:lineRule="exact"/>
              <w:rPr>
                <w:sz w:val="20"/>
                <w:szCs w:val="20"/>
                <w:color w:val="auto"/>
              </w:rPr>
            </w:pPr>
            <w:r>
              <w:rPr>
                <w:rFonts w:ascii="Calibri" w:cs="Calibri" w:eastAsia="Calibri" w:hAnsi="Calibri"/>
                <w:sz w:val="18"/>
                <w:szCs w:val="18"/>
                <w:color w:val="auto"/>
              </w:rPr>
              <w:t>Print</w:t>
            </w:r>
          </w:p>
        </w:tc>
        <w:tc>
          <w:tcPr>
            <w:tcW w:w="360" w:type="dxa"/>
            <w:vAlign w:val="bottom"/>
            <w:shd w:val="clear" w:color="auto" w:fill="CFF0FC"/>
          </w:tcPr>
          <w:p>
            <w:pPr>
              <w:jc w:val="right"/>
              <w:ind w:right="170"/>
              <w:spacing w:after="0" w:line="213" w:lineRule="exact"/>
              <w:rPr>
                <w:sz w:val="20"/>
                <w:szCs w:val="20"/>
                <w:color w:val="auto"/>
              </w:rPr>
            </w:pPr>
            <w:r>
              <w:rPr>
                <w:rFonts w:ascii="Calibri" w:cs="Calibri" w:eastAsia="Calibri" w:hAnsi="Calibri"/>
                <w:sz w:val="18"/>
                <w:szCs w:val="18"/>
                <w:color w:val="auto"/>
                <w:w w:val="87"/>
              </w:rPr>
              <w:t>$</w:t>
            </w:r>
          </w:p>
        </w:tc>
        <w:tc>
          <w:tcPr>
            <w:tcW w:w="1480" w:type="dxa"/>
            <w:vAlign w:val="bottom"/>
            <w:gridSpan w:val="2"/>
            <w:shd w:val="clear" w:color="auto" w:fill="CFF0FC"/>
          </w:tcPr>
          <w:p>
            <w:pPr>
              <w:jc w:val="right"/>
              <w:ind w:right="200"/>
              <w:spacing w:after="0" w:line="213" w:lineRule="exact"/>
              <w:rPr>
                <w:sz w:val="20"/>
                <w:szCs w:val="20"/>
                <w:color w:val="auto"/>
              </w:rPr>
            </w:pPr>
            <w:r>
              <w:rPr>
                <w:rFonts w:ascii="Calibri" w:cs="Calibri" w:eastAsia="Calibri" w:hAnsi="Calibri"/>
                <w:sz w:val="18"/>
                <w:szCs w:val="18"/>
                <w:color w:val="auto"/>
              </w:rPr>
              <w:t>(8 )</w:t>
            </w:r>
          </w:p>
        </w:tc>
        <w:tc>
          <w:tcPr>
            <w:tcW w:w="360" w:type="dxa"/>
            <w:vAlign w:val="bottom"/>
            <w:shd w:val="clear" w:color="auto" w:fill="CFF0FC"/>
          </w:tcPr>
          <w:p>
            <w:pPr>
              <w:jc w:val="right"/>
              <w:ind w:right="150"/>
              <w:spacing w:after="0" w:line="213" w:lineRule="exact"/>
              <w:rPr>
                <w:sz w:val="20"/>
                <w:szCs w:val="20"/>
                <w:color w:val="auto"/>
              </w:rPr>
            </w:pPr>
            <w:r>
              <w:rPr>
                <w:rFonts w:ascii="Calibri" w:cs="Calibri" w:eastAsia="Calibri" w:hAnsi="Calibri"/>
                <w:sz w:val="18"/>
                <w:szCs w:val="18"/>
                <w:color w:val="auto"/>
              </w:rPr>
              <w:t>$</w:t>
            </w:r>
          </w:p>
        </w:tc>
        <w:tc>
          <w:tcPr>
            <w:tcW w:w="1220" w:type="dxa"/>
            <w:vAlign w:val="bottom"/>
            <w:shd w:val="clear" w:color="auto" w:fill="CFF0FC"/>
          </w:tcPr>
          <w:p>
            <w:pPr>
              <w:jc w:val="right"/>
              <w:spacing w:after="0" w:line="213" w:lineRule="exact"/>
              <w:rPr>
                <w:sz w:val="20"/>
                <w:szCs w:val="20"/>
                <w:color w:val="auto"/>
              </w:rPr>
            </w:pPr>
            <w:r>
              <w:rPr>
                <w:rFonts w:ascii="Calibri" w:cs="Calibri" w:eastAsia="Calibri" w:hAnsi="Calibri"/>
                <w:sz w:val="18"/>
                <w:szCs w:val="18"/>
                <w:color w:val="auto"/>
              </w:rPr>
              <w:t>20</w:t>
            </w:r>
          </w:p>
        </w:tc>
        <w:tc>
          <w:tcPr>
            <w:tcW w:w="100" w:type="dxa"/>
            <w:vAlign w:val="bottom"/>
            <w:shd w:val="clear" w:color="auto" w:fill="CFF0FC"/>
          </w:tcPr>
          <w:p>
            <w:pPr>
              <w:spacing w:after="0"/>
              <w:rPr>
                <w:sz w:val="18"/>
                <w:szCs w:val="18"/>
                <w:color w:val="auto"/>
              </w:rPr>
            </w:pPr>
          </w:p>
        </w:tc>
      </w:tr>
      <w:tr>
        <w:trPr>
          <w:trHeight w:val="215"/>
        </w:trPr>
        <w:tc>
          <w:tcPr>
            <w:tcW w:w="7720" w:type="dxa"/>
            <w:vAlign w:val="bottom"/>
          </w:tcPr>
          <w:p>
            <w:pPr>
              <w:ind w:left="20"/>
              <w:spacing w:after="0" w:line="215" w:lineRule="exact"/>
              <w:rPr>
                <w:sz w:val="20"/>
                <w:szCs w:val="20"/>
                <w:color w:val="auto"/>
              </w:rPr>
            </w:pPr>
            <w:r>
              <w:rPr>
                <w:rFonts w:ascii="Calibri" w:cs="Calibri" w:eastAsia="Calibri" w:hAnsi="Calibri"/>
                <w:sz w:val="18"/>
                <w:szCs w:val="18"/>
                <w:color w:val="auto"/>
              </w:rPr>
              <w:t>Advanced Materials and Chemicals</w:t>
            </w:r>
          </w:p>
        </w:tc>
        <w:tc>
          <w:tcPr>
            <w:tcW w:w="360" w:type="dxa"/>
            <w:vAlign w:val="bottom"/>
          </w:tcPr>
          <w:p>
            <w:pPr>
              <w:spacing w:after="0"/>
              <w:rPr>
                <w:sz w:val="18"/>
                <w:szCs w:val="18"/>
                <w:color w:val="auto"/>
              </w:rPr>
            </w:pPr>
          </w:p>
        </w:tc>
        <w:tc>
          <w:tcPr>
            <w:tcW w:w="1200" w:type="dxa"/>
            <w:vAlign w:val="bottom"/>
          </w:tcPr>
          <w:p>
            <w:pPr>
              <w:jc w:val="right"/>
              <w:spacing w:after="0" w:line="215" w:lineRule="exact"/>
              <w:rPr>
                <w:sz w:val="20"/>
                <w:szCs w:val="20"/>
                <w:color w:val="auto"/>
              </w:rPr>
            </w:pPr>
            <w:r>
              <w:rPr>
                <w:rFonts w:ascii="Calibri" w:cs="Calibri" w:eastAsia="Calibri" w:hAnsi="Calibri"/>
                <w:sz w:val="18"/>
                <w:szCs w:val="18"/>
                <w:color w:val="auto"/>
              </w:rPr>
              <w:t>17</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line="215" w:lineRule="exact"/>
              <w:rPr>
                <w:sz w:val="20"/>
                <w:szCs w:val="20"/>
                <w:color w:val="auto"/>
              </w:rPr>
            </w:pPr>
            <w:r>
              <w:rPr>
                <w:rFonts w:ascii="Calibri" w:cs="Calibri" w:eastAsia="Calibri" w:hAnsi="Calibri"/>
                <w:sz w:val="18"/>
                <w:szCs w:val="18"/>
                <w:color w:val="auto"/>
              </w:rPr>
              <w:t>10</w:t>
            </w:r>
          </w:p>
        </w:tc>
        <w:tc>
          <w:tcPr>
            <w:tcW w:w="100" w:type="dxa"/>
            <w:vAlign w:val="bottom"/>
          </w:tcPr>
          <w:p>
            <w:pPr>
              <w:spacing w:after="0"/>
              <w:rPr>
                <w:sz w:val="18"/>
                <w:szCs w:val="18"/>
                <w:color w:val="auto"/>
              </w:rPr>
            </w:pPr>
          </w:p>
        </w:tc>
      </w:tr>
      <w:tr>
        <w:trPr>
          <w:trHeight w:val="217"/>
        </w:trPr>
        <w:tc>
          <w:tcPr>
            <w:tcW w:w="772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Brand</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17</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15</w:t>
            </w:r>
          </w:p>
        </w:tc>
        <w:tc>
          <w:tcPr>
            <w:tcW w:w="100" w:type="dxa"/>
            <w:vAlign w:val="bottom"/>
            <w:shd w:val="clear" w:color="auto" w:fill="CFF0FC"/>
          </w:tcPr>
          <w:p>
            <w:pPr>
              <w:spacing w:after="0"/>
              <w:rPr>
                <w:sz w:val="18"/>
                <w:szCs w:val="18"/>
                <w:color w:val="auto"/>
              </w:rPr>
            </w:pPr>
          </w:p>
        </w:tc>
      </w:tr>
      <w:tr>
        <w:trPr>
          <w:trHeight w:val="215"/>
        </w:trPr>
        <w:tc>
          <w:tcPr>
            <w:tcW w:w="7720" w:type="dxa"/>
            <w:vAlign w:val="bottom"/>
          </w:tcPr>
          <w:p>
            <w:pPr>
              <w:ind w:left="20"/>
              <w:spacing w:after="0" w:line="215" w:lineRule="exact"/>
              <w:rPr>
                <w:sz w:val="20"/>
                <w:szCs w:val="20"/>
                <w:color w:val="auto"/>
              </w:rPr>
            </w:pPr>
            <w:r>
              <w:rPr>
                <w:rFonts w:ascii="Calibri" w:cs="Calibri" w:eastAsia="Calibri" w:hAnsi="Calibri"/>
                <w:sz w:val="18"/>
                <w:szCs w:val="18"/>
                <w:color w:val="auto"/>
              </w:rPr>
              <w:t>All Other Operatonal EBITDA</w:t>
            </w:r>
          </w:p>
        </w:tc>
        <w:tc>
          <w:tcPr>
            <w:tcW w:w="360" w:type="dxa"/>
            <w:vAlign w:val="bottom"/>
          </w:tcPr>
          <w:p>
            <w:pPr>
              <w:spacing w:after="0"/>
              <w:rPr>
                <w:sz w:val="18"/>
                <w:szCs w:val="18"/>
                <w:color w:val="auto"/>
              </w:rPr>
            </w:pPr>
          </w:p>
        </w:tc>
        <w:tc>
          <w:tcPr>
            <w:tcW w:w="1200" w:type="dxa"/>
            <w:vAlign w:val="bottom"/>
          </w:tcPr>
          <w:p>
            <w:pPr>
              <w:jc w:val="right"/>
              <w:spacing w:after="0" w:line="215" w:lineRule="exact"/>
              <w:rPr>
                <w:sz w:val="20"/>
                <w:szCs w:val="20"/>
                <w:color w:val="auto"/>
              </w:rPr>
            </w:pPr>
            <w:r>
              <w:rPr>
                <w:rFonts w:ascii="Calibri" w:cs="Calibri" w:eastAsia="Calibri" w:hAnsi="Calibri"/>
                <w:sz w:val="18"/>
                <w:szCs w:val="18"/>
                <w:color w:val="auto"/>
              </w:rPr>
              <w:t>2</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line="215" w:lineRule="exact"/>
              <w:rPr>
                <w:sz w:val="20"/>
                <w:szCs w:val="20"/>
                <w:color w:val="auto"/>
              </w:rPr>
            </w:pPr>
            <w:r>
              <w:rPr>
                <w:rFonts w:ascii="Calibri" w:cs="Calibri" w:eastAsia="Calibri" w:hAnsi="Calibri"/>
                <w:sz w:val="18"/>
                <w:szCs w:val="18"/>
                <w:color w:val="auto"/>
              </w:rPr>
              <w:t>2</w:t>
            </w:r>
          </w:p>
        </w:tc>
        <w:tc>
          <w:tcPr>
            <w:tcW w:w="100" w:type="dxa"/>
            <w:vAlign w:val="bottom"/>
          </w:tcPr>
          <w:p>
            <w:pPr>
              <w:spacing w:after="0"/>
              <w:rPr>
                <w:sz w:val="18"/>
                <w:szCs w:val="18"/>
                <w:color w:val="auto"/>
              </w:rPr>
            </w:pPr>
          </w:p>
        </w:tc>
      </w:tr>
      <w:tr>
        <w:trPr>
          <w:trHeight w:val="217"/>
        </w:trPr>
        <w:tc>
          <w:tcPr>
            <w:tcW w:w="772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Depreciaton and amortzaton</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0"/>
              <w:spacing w:after="0" w:line="216" w:lineRule="exact"/>
              <w:rPr>
                <w:sz w:val="20"/>
                <w:szCs w:val="20"/>
                <w:color w:val="auto"/>
              </w:rPr>
            </w:pPr>
            <w:r>
              <w:rPr>
                <w:rFonts w:ascii="Calibri" w:cs="Calibri" w:eastAsia="Calibri" w:hAnsi="Calibri"/>
                <w:sz w:val="18"/>
                <w:szCs w:val="18"/>
                <w:color w:val="auto"/>
              </w:rPr>
              <w:t>(28 )</w:t>
            </w: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line="216" w:lineRule="exact"/>
              <w:rPr>
                <w:sz w:val="20"/>
                <w:szCs w:val="20"/>
                <w:color w:val="auto"/>
              </w:rPr>
            </w:pPr>
            <w:r>
              <w:rPr>
                <w:rFonts w:ascii="Calibri" w:cs="Calibri" w:eastAsia="Calibri" w:hAnsi="Calibri"/>
                <w:sz w:val="18"/>
                <w:szCs w:val="18"/>
                <w:color w:val="auto"/>
              </w:rPr>
              <w:t>(30 )</w:t>
            </w:r>
          </w:p>
        </w:tc>
      </w:tr>
      <w:tr>
        <w:trPr>
          <w:trHeight w:val="215"/>
        </w:trPr>
        <w:tc>
          <w:tcPr>
            <w:tcW w:w="7720" w:type="dxa"/>
            <w:vAlign w:val="bottom"/>
          </w:tcPr>
          <w:p>
            <w:pPr>
              <w:ind w:left="20"/>
              <w:spacing w:after="0" w:line="215" w:lineRule="exact"/>
              <w:rPr>
                <w:sz w:val="20"/>
                <w:szCs w:val="20"/>
                <w:color w:val="auto"/>
              </w:rPr>
            </w:pPr>
            <w:r>
              <w:rPr>
                <w:rFonts w:ascii="Calibri" w:cs="Calibri" w:eastAsia="Calibri" w:hAnsi="Calibri"/>
                <w:sz w:val="18"/>
                <w:szCs w:val="18"/>
                <w:color w:val="auto"/>
              </w:rPr>
              <w:t>Restructuring costs and other</w:t>
            </w:r>
          </w:p>
        </w:tc>
        <w:tc>
          <w:tcPr>
            <w:tcW w:w="360" w:type="dxa"/>
            <w:vAlign w:val="bottom"/>
          </w:tcPr>
          <w:p>
            <w:pPr>
              <w:spacing w:after="0"/>
              <w:rPr>
                <w:sz w:val="18"/>
                <w:szCs w:val="18"/>
                <w:color w:val="auto"/>
              </w:rPr>
            </w:pPr>
          </w:p>
        </w:tc>
        <w:tc>
          <w:tcPr>
            <w:tcW w:w="148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(8 )</w:t>
            </w:r>
          </w:p>
        </w:tc>
        <w:tc>
          <w:tcPr>
            <w:tcW w:w="360" w:type="dxa"/>
            <w:vAlign w:val="bottom"/>
          </w:tcPr>
          <w:p>
            <w:pPr>
              <w:spacing w:after="0"/>
              <w:rPr>
                <w:sz w:val="18"/>
                <w:szCs w:val="18"/>
                <w:color w:val="auto"/>
              </w:rPr>
            </w:pPr>
          </w:p>
        </w:tc>
        <w:tc>
          <w:tcPr>
            <w:tcW w:w="132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(10 )</w:t>
            </w:r>
          </w:p>
        </w:tc>
      </w:tr>
      <w:tr>
        <w:trPr>
          <w:trHeight w:val="170"/>
        </w:trPr>
        <w:tc>
          <w:tcPr>
            <w:tcW w:w="7720" w:type="dxa"/>
            <w:vAlign w:val="bottom"/>
          </w:tcPr>
          <w:p>
            <w:pPr>
              <w:ind w:left="20"/>
              <w:spacing w:after="0" w:line="170" w:lineRule="exact"/>
              <w:rPr>
                <w:sz w:val="20"/>
                <w:szCs w:val="20"/>
                <w:color w:val="auto"/>
              </w:rPr>
            </w:pPr>
            <w:r>
              <w:rPr>
                <w:rFonts w:ascii="Calibri" w:cs="Calibri" w:eastAsia="Calibri" w:hAnsi="Calibri"/>
                <w:sz w:val="18"/>
                <w:szCs w:val="18"/>
                <w:color w:val="auto"/>
              </w:rPr>
              <w:t>Stock-based compensaton</w:t>
            </w:r>
          </w:p>
        </w:tc>
        <w:tc>
          <w:tcPr>
            <w:tcW w:w="360" w:type="dxa"/>
            <w:vAlign w:val="bottom"/>
          </w:tcPr>
          <w:p>
            <w:pPr>
              <w:spacing w:after="0"/>
              <w:rPr>
                <w:sz w:val="14"/>
                <w:szCs w:val="14"/>
                <w:color w:val="auto"/>
              </w:rPr>
            </w:pPr>
          </w:p>
        </w:tc>
        <w:tc>
          <w:tcPr>
            <w:tcW w:w="1480" w:type="dxa"/>
            <w:vAlign w:val="bottom"/>
            <w:gridSpan w:val="2"/>
          </w:tcPr>
          <w:p>
            <w:pPr>
              <w:jc w:val="right"/>
              <w:ind w:right="200"/>
              <w:spacing w:after="0" w:line="170" w:lineRule="exact"/>
              <w:rPr>
                <w:sz w:val="20"/>
                <w:szCs w:val="20"/>
                <w:color w:val="auto"/>
              </w:rPr>
            </w:pPr>
            <w:r>
              <w:rPr>
                <w:rFonts w:ascii="Calibri" w:cs="Calibri" w:eastAsia="Calibri" w:hAnsi="Calibri"/>
                <w:sz w:val="18"/>
                <w:szCs w:val="18"/>
                <w:color w:val="auto"/>
              </w:rPr>
              <w:t>(6 )</w:t>
            </w:r>
          </w:p>
        </w:tc>
        <w:tc>
          <w:tcPr>
            <w:tcW w:w="360" w:type="dxa"/>
            <w:vAlign w:val="bottom"/>
          </w:tcPr>
          <w:p>
            <w:pPr>
              <w:spacing w:after="0"/>
              <w:rPr>
                <w:sz w:val="14"/>
                <w:szCs w:val="14"/>
                <w:color w:val="auto"/>
              </w:rPr>
            </w:pPr>
          </w:p>
        </w:tc>
        <w:tc>
          <w:tcPr>
            <w:tcW w:w="1320" w:type="dxa"/>
            <w:vAlign w:val="bottom"/>
            <w:gridSpan w:val="2"/>
          </w:tcPr>
          <w:p>
            <w:pPr>
              <w:jc w:val="right"/>
              <w:ind w:right="40"/>
              <w:spacing w:after="0" w:line="170" w:lineRule="exact"/>
              <w:rPr>
                <w:sz w:val="20"/>
                <w:szCs w:val="20"/>
                <w:color w:val="auto"/>
              </w:rPr>
            </w:pPr>
            <w:r>
              <w:rPr>
                <w:rFonts w:ascii="Calibri" w:cs="Calibri" w:eastAsia="Calibri" w:hAnsi="Calibri"/>
                <w:sz w:val="18"/>
                <w:szCs w:val="18"/>
                <w:color w:val="auto"/>
              </w:rPr>
              <w:t>(7 )</w:t>
            </w:r>
          </w:p>
        </w:tc>
      </w:tr>
      <w:tr>
        <w:trPr>
          <w:trHeight w:val="216"/>
        </w:trPr>
        <w:tc>
          <w:tcPr>
            <w:tcW w:w="7720" w:type="dxa"/>
            <w:vAlign w:val="bottom"/>
          </w:tcPr>
          <w:p>
            <w:pPr>
              <w:ind w:left="20"/>
              <w:spacing w:after="0" w:line="216" w:lineRule="exact"/>
              <w:rPr>
                <w:sz w:val="20"/>
                <w:szCs w:val="20"/>
                <w:color w:val="auto"/>
              </w:rPr>
            </w:pPr>
            <w:r>
              <w:rPr>
                <w:rFonts w:ascii="Calibri" w:cs="Calibri" w:eastAsia="Calibri" w:hAnsi="Calibri"/>
                <w:sz w:val="17"/>
                <w:szCs w:val="17"/>
                <w:color w:val="auto"/>
              </w:rPr>
              <w:t xml:space="preserve">Consultng and other costs </w:t>
            </w:r>
            <w:r>
              <w:rPr>
                <w:rFonts w:ascii="Calibri" w:cs="Calibri" w:eastAsia="Calibri" w:hAnsi="Calibri"/>
                <w:sz w:val="23"/>
                <w:szCs w:val="23"/>
                <w:color w:val="auto"/>
                <w:vertAlign w:val="superscript"/>
              </w:rPr>
              <w:t>(1)</w:t>
            </w:r>
          </w:p>
        </w:tc>
        <w:tc>
          <w:tcPr>
            <w:tcW w:w="360" w:type="dxa"/>
            <w:vAlign w:val="bottom"/>
          </w:tcPr>
          <w:p>
            <w:pPr>
              <w:spacing w:after="0"/>
              <w:rPr>
                <w:sz w:val="18"/>
                <w:szCs w:val="18"/>
                <w:color w:val="auto"/>
              </w:rPr>
            </w:pPr>
          </w:p>
        </w:tc>
        <w:tc>
          <w:tcPr>
            <w:tcW w:w="1480" w:type="dxa"/>
            <w:vAlign w:val="bottom"/>
            <w:gridSpan w:val="2"/>
          </w:tcPr>
          <w:p>
            <w:pPr>
              <w:jc w:val="right"/>
              <w:ind w:right="200"/>
              <w:spacing w:after="0" w:line="216" w:lineRule="exact"/>
              <w:rPr>
                <w:sz w:val="20"/>
                <w:szCs w:val="20"/>
                <w:color w:val="auto"/>
              </w:rPr>
            </w:pPr>
            <w:r>
              <w:rPr>
                <w:rFonts w:ascii="Calibri" w:cs="Calibri" w:eastAsia="Calibri" w:hAnsi="Calibri"/>
                <w:sz w:val="18"/>
                <w:szCs w:val="18"/>
                <w:color w:val="auto"/>
              </w:rPr>
              <w:t>(1 )</w:t>
            </w:r>
          </w:p>
        </w:tc>
        <w:tc>
          <w:tcPr>
            <w:tcW w:w="360" w:type="dxa"/>
            <w:vAlign w:val="bottom"/>
          </w:tcPr>
          <w:p>
            <w:pPr>
              <w:spacing w:after="0"/>
              <w:rPr>
                <w:sz w:val="18"/>
                <w:szCs w:val="18"/>
                <w:color w:val="auto"/>
              </w:rPr>
            </w:pPr>
          </w:p>
        </w:tc>
        <w:tc>
          <w:tcPr>
            <w:tcW w:w="1220" w:type="dxa"/>
            <w:vAlign w:val="bottom"/>
          </w:tcPr>
          <w:p>
            <w:pPr>
              <w:jc w:val="right"/>
              <w:spacing w:after="0" w:line="216" w:lineRule="exact"/>
              <w:rPr>
                <w:sz w:val="20"/>
                <w:szCs w:val="20"/>
                <w:color w:val="auto"/>
              </w:rPr>
            </w:pPr>
            <w:r>
              <w:rPr>
                <w:rFonts w:ascii="Calibri" w:cs="Calibri" w:eastAsia="Calibri" w:hAnsi="Calibri"/>
                <w:sz w:val="18"/>
                <w:szCs w:val="18"/>
                <w:color w:val="auto"/>
              </w:rPr>
              <w:t>13</w:t>
            </w:r>
          </w:p>
        </w:tc>
        <w:tc>
          <w:tcPr>
            <w:tcW w:w="100" w:type="dxa"/>
            <w:vAlign w:val="bottom"/>
          </w:tcPr>
          <w:p>
            <w:pPr>
              <w:spacing w:after="0"/>
              <w:rPr>
                <w:sz w:val="18"/>
                <w:szCs w:val="18"/>
                <w:color w:val="auto"/>
              </w:rPr>
            </w:pPr>
          </w:p>
        </w:tc>
      </w:tr>
      <w:tr>
        <w:trPr>
          <w:trHeight w:val="216"/>
        </w:trPr>
        <w:tc>
          <w:tcPr>
            <w:tcW w:w="7720" w:type="dxa"/>
            <w:vAlign w:val="bottom"/>
          </w:tcPr>
          <w:p>
            <w:pPr>
              <w:ind w:left="20"/>
              <w:spacing w:after="0" w:line="216" w:lineRule="exact"/>
              <w:rPr>
                <w:sz w:val="20"/>
                <w:szCs w:val="20"/>
                <w:color w:val="auto"/>
              </w:rPr>
            </w:pPr>
            <w:r>
              <w:rPr>
                <w:rFonts w:ascii="Calibri" w:cs="Calibri" w:eastAsia="Calibri" w:hAnsi="Calibri"/>
                <w:sz w:val="17"/>
                <w:szCs w:val="17"/>
                <w:color w:val="auto"/>
              </w:rPr>
              <w:t xml:space="preserve">Idle costs </w:t>
            </w:r>
            <w:r>
              <w:rPr>
                <w:rFonts w:ascii="Calibri" w:cs="Calibri" w:eastAsia="Calibri" w:hAnsi="Calibri"/>
                <w:sz w:val="23"/>
                <w:szCs w:val="23"/>
                <w:color w:val="auto"/>
                <w:vertAlign w:val="superscript"/>
              </w:rPr>
              <w:t>(2)</w:t>
            </w:r>
          </w:p>
        </w:tc>
        <w:tc>
          <w:tcPr>
            <w:tcW w:w="360" w:type="dxa"/>
            <w:vAlign w:val="bottom"/>
          </w:tcPr>
          <w:p>
            <w:pPr>
              <w:spacing w:after="0"/>
              <w:rPr>
                <w:sz w:val="18"/>
                <w:szCs w:val="18"/>
                <w:color w:val="auto"/>
              </w:rPr>
            </w:pPr>
          </w:p>
        </w:tc>
        <w:tc>
          <w:tcPr>
            <w:tcW w:w="1480" w:type="dxa"/>
            <w:vAlign w:val="bottom"/>
            <w:gridSpan w:val="2"/>
          </w:tcPr>
          <w:p>
            <w:pPr>
              <w:jc w:val="right"/>
              <w:ind w:right="200"/>
              <w:spacing w:after="0" w:line="216" w:lineRule="exact"/>
              <w:rPr>
                <w:sz w:val="20"/>
                <w:szCs w:val="20"/>
                <w:color w:val="auto"/>
              </w:rPr>
            </w:pPr>
            <w:r>
              <w:rPr>
                <w:rFonts w:ascii="Calibri" w:cs="Calibri" w:eastAsia="Calibri" w:hAnsi="Calibri"/>
                <w:sz w:val="18"/>
                <w:szCs w:val="18"/>
                <w:color w:val="auto"/>
              </w:rPr>
              <w:t>(2 )</w:t>
            </w:r>
          </w:p>
        </w:tc>
        <w:tc>
          <w:tcPr>
            <w:tcW w:w="360" w:type="dxa"/>
            <w:vAlign w:val="bottom"/>
          </w:tcPr>
          <w:p>
            <w:pPr>
              <w:spacing w:after="0"/>
              <w:rPr>
                <w:sz w:val="18"/>
                <w:szCs w:val="18"/>
                <w:color w:val="auto"/>
              </w:rPr>
            </w:pPr>
          </w:p>
        </w:tc>
        <w:tc>
          <w:tcPr>
            <w:tcW w:w="1320" w:type="dxa"/>
            <w:vAlign w:val="bottom"/>
            <w:gridSpan w:val="2"/>
          </w:tcPr>
          <w:p>
            <w:pPr>
              <w:jc w:val="right"/>
              <w:ind w:right="40"/>
              <w:spacing w:after="0" w:line="216" w:lineRule="exact"/>
              <w:rPr>
                <w:sz w:val="20"/>
                <w:szCs w:val="20"/>
                <w:color w:val="auto"/>
              </w:rPr>
            </w:pPr>
            <w:r>
              <w:rPr>
                <w:rFonts w:ascii="Calibri" w:cs="Calibri" w:eastAsia="Calibri" w:hAnsi="Calibri"/>
                <w:sz w:val="18"/>
                <w:szCs w:val="18"/>
                <w:color w:val="auto"/>
              </w:rPr>
              <w:t>(3 )</w:t>
            </w:r>
          </w:p>
        </w:tc>
      </w:tr>
      <w:tr>
        <w:trPr>
          <w:trHeight w:val="216"/>
        </w:trPr>
        <w:tc>
          <w:tcPr>
            <w:tcW w:w="7720" w:type="dxa"/>
            <w:vAlign w:val="bottom"/>
          </w:tcPr>
          <w:p>
            <w:pPr>
              <w:ind w:left="20"/>
              <w:spacing w:after="0" w:line="216" w:lineRule="exact"/>
              <w:rPr>
                <w:sz w:val="20"/>
                <w:szCs w:val="20"/>
                <w:color w:val="auto"/>
              </w:rPr>
            </w:pPr>
            <w:r>
              <w:rPr>
                <w:rFonts w:ascii="Calibri" w:cs="Calibri" w:eastAsia="Calibri" w:hAnsi="Calibri"/>
                <w:sz w:val="17"/>
                <w:szCs w:val="17"/>
                <w:color w:val="auto"/>
              </w:rPr>
              <w:t xml:space="preserve">Other operatng income (expense), net </w:t>
            </w:r>
            <w:r>
              <w:rPr>
                <w:rFonts w:ascii="Calibri" w:cs="Calibri" w:eastAsia="Calibri" w:hAnsi="Calibri"/>
                <w:sz w:val="23"/>
                <w:szCs w:val="23"/>
                <w:color w:val="auto"/>
                <w:vertAlign w:val="superscript"/>
              </w:rPr>
              <w:t>(3)</w:t>
            </w:r>
          </w:p>
        </w:tc>
        <w:tc>
          <w:tcPr>
            <w:tcW w:w="360" w:type="dxa"/>
            <w:vAlign w:val="bottom"/>
          </w:tcPr>
          <w:p>
            <w:pPr>
              <w:spacing w:after="0"/>
              <w:rPr>
                <w:sz w:val="18"/>
                <w:szCs w:val="18"/>
                <w:color w:val="auto"/>
              </w:rPr>
            </w:pPr>
          </w:p>
        </w:tc>
        <w:tc>
          <w:tcPr>
            <w:tcW w:w="1200" w:type="dxa"/>
            <w:vAlign w:val="bottom"/>
          </w:tcPr>
          <w:p>
            <w:pPr>
              <w:jc w:val="right"/>
              <w:spacing w:after="0" w:line="216" w:lineRule="exact"/>
              <w:rPr>
                <w:sz w:val="20"/>
                <w:szCs w:val="20"/>
                <w:color w:val="auto"/>
              </w:rPr>
            </w:pPr>
            <w:r>
              <w:rPr>
                <w:rFonts w:ascii="Calibri" w:cs="Calibri" w:eastAsia="Calibri" w:hAnsi="Calibri"/>
                <w:sz w:val="18"/>
                <w:szCs w:val="18"/>
                <w:color w:val="auto"/>
              </w:rPr>
              <w:t>10</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40"/>
              <w:spacing w:after="0" w:line="216" w:lineRule="exact"/>
              <w:rPr>
                <w:sz w:val="20"/>
                <w:szCs w:val="20"/>
                <w:color w:val="auto"/>
              </w:rPr>
            </w:pPr>
            <w:r>
              <w:rPr>
                <w:rFonts w:ascii="Calibri" w:cs="Calibri" w:eastAsia="Calibri" w:hAnsi="Calibri"/>
                <w:sz w:val="18"/>
                <w:szCs w:val="18"/>
                <w:color w:val="auto"/>
              </w:rPr>
              <w:t>(6 )</w:t>
            </w:r>
          </w:p>
        </w:tc>
      </w:tr>
      <w:tr>
        <w:trPr>
          <w:trHeight w:val="216"/>
        </w:trPr>
        <w:tc>
          <w:tcPr>
            <w:tcW w:w="7720" w:type="dxa"/>
            <w:vAlign w:val="bottom"/>
          </w:tcPr>
          <w:p>
            <w:pPr>
              <w:ind w:left="20"/>
              <w:spacing w:after="0" w:line="216" w:lineRule="exact"/>
              <w:rPr>
                <w:sz w:val="20"/>
                <w:szCs w:val="20"/>
                <w:color w:val="auto"/>
              </w:rPr>
            </w:pPr>
            <w:r>
              <w:rPr>
                <w:rFonts w:ascii="Calibri" w:cs="Calibri" w:eastAsia="Calibri" w:hAnsi="Calibri"/>
                <w:sz w:val="17"/>
                <w:szCs w:val="17"/>
                <w:color w:val="auto"/>
              </w:rPr>
              <w:t xml:space="preserve">Interest expense </w:t>
            </w:r>
            <w:r>
              <w:rPr>
                <w:rFonts w:ascii="Calibri" w:cs="Calibri" w:eastAsia="Calibri" w:hAnsi="Calibri"/>
                <w:sz w:val="23"/>
                <w:szCs w:val="23"/>
                <w:color w:val="auto"/>
                <w:vertAlign w:val="superscript"/>
              </w:rPr>
              <w:t>(3)</w:t>
            </w:r>
          </w:p>
        </w:tc>
        <w:tc>
          <w:tcPr>
            <w:tcW w:w="360" w:type="dxa"/>
            <w:vAlign w:val="bottom"/>
          </w:tcPr>
          <w:p>
            <w:pPr>
              <w:spacing w:after="0"/>
              <w:rPr>
                <w:sz w:val="18"/>
                <w:szCs w:val="18"/>
                <w:color w:val="auto"/>
              </w:rPr>
            </w:pPr>
          </w:p>
        </w:tc>
        <w:tc>
          <w:tcPr>
            <w:tcW w:w="1480" w:type="dxa"/>
            <w:vAlign w:val="bottom"/>
            <w:gridSpan w:val="2"/>
          </w:tcPr>
          <w:p>
            <w:pPr>
              <w:jc w:val="right"/>
              <w:ind w:right="200"/>
              <w:spacing w:after="0" w:line="216" w:lineRule="exact"/>
              <w:rPr>
                <w:sz w:val="20"/>
                <w:szCs w:val="20"/>
                <w:color w:val="auto"/>
              </w:rPr>
            </w:pPr>
            <w:r>
              <w:rPr>
                <w:rFonts w:ascii="Calibri" w:cs="Calibri" w:eastAsia="Calibri" w:hAnsi="Calibri"/>
                <w:sz w:val="18"/>
                <w:szCs w:val="18"/>
                <w:color w:val="auto"/>
              </w:rPr>
              <w:t>(59 )</w:t>
            </w:r>
          </w:p>
        </w:tc>
        <w:tc>
          <w:tcPr>
            <w:tcW w:w="360" w:type="dxa"/>
            <w:vAlign w:val="bottom"/>
          </w:tcPr>
          <w:p>
            <w:pPr>
              <w:spacing w:after="0"/>
              <w:rPr>
                <w:sz w:val="18"/>
                <w:szCs w:val="18"/>
                <w:color w:val="auto"/>
              </w:rPr>
            </w:pPr>
          </w:p>
        </w:tc>
        <w:tc>
          <w:tcPr>
            <w:tcW w:w="1320" w:type="dxa"/>
            <w:vAlign w:val="bottom"/>
            <w:gridSpan w:val="2"/>
          </w:tcPr>
          <w:p>
            <w:pPr>
              <w:jc w:val="right"/>
              <w:ind w:right="40"/>
              <w:spacing w:after="0" w:line="216" w:lineRule="exact"/>
              <w:rPr>
                <w:sz w:val="20"/>
                <w:szCs w:val="20"/>
                <w:color w:val="auto"/>
              </w:rPr>
            </w:pPr>
            <w:r>
              <w:rPr>
                <w:rFonts w:ascii="Calibri" w:cs="Calibri" w:eastAsia="Calibri" w:hAnsi="Calibri"/>
                <w:sz w:val="18"/>
                <w:szCs w:val="18"/>
                <w:color w:val="auto"/>
              </w:rPr>
              <w:t>(52 )</w:t>
            </w:r>
          </w:p>
        </w:tc>
      </w:tr>
      <w:tr>
        <w:trPr>
          <w:trHeight w:val="216"/>
        </w:trPr>
        <w:tc>
          <w:tcPr>
            <w:tcW w:w="7720" w:type="dxa"/>
            <w:vAlign w:val="bottom"/>
          </w:tcPr>
          <w:p>
            <w:pPr>
              <w:ind w:left="20"/>
              <w:spacing w:after="0" w:line="216" w:lineRule="exact"/>
              <w:rPr>
                <w:sz w:val="20"/>
                <w:szCs w:val="20"/>
                <w:color w:val="auto"/>
              </w:rPr>
            </w:pPr>
            <w:r>
              <w:rPr>
                <w:rFonts w:ascii="Calibri" w:cs="Calibri" w:eastAsia="Calibri" w:hAnsi="Calibri"/>
                <w:sz w:val="17"/>
                <w:szCs w:val="17"/>
                <w:color w:val="auto"/>
              </w:rPr>
              <w:t xml:space="preserve">Pension income excluding service cost component </w:t>
            </w:r>
            <w:r>
              <w:rPr>
                <w:rFonts w:ascii="Calibri" w:cs="Calibri" w:eastAsia="Calibri" w:hAnsi="Calibri"/>
                <w:sz w:val="23"/>
                <w:szCs w:val="23"/>
                <w:color w:val="auto"/>
                <w:vertAlign w:val="superscript"/>
              </w:rPr>
              <w:t>(3)</w:t>
            </w:r>
          </w:p>
        </w:tc>
        <w:tc>
          <w:tcPr>
            <w:tcW w:w="360" w:type="dxa"/>
            <w:vAlign w:val="bottom"/>
          </w:tcPr>
          <w:p>
            <w:pPr>
              <w:spacing w:after="0"/>
              <w:rPr>
                <w:sz w:val="18"/>
                <w:szCs w:val="18"/>
                <w:color w:val="auto"/>
              </w:rPr>
            </w:pPr>
          </w:p>
        </w:tc>
        <w:tc>
          <w:tcPr>
            <w:tcW w:w="1200" w:type="dxa"/>
            <w:vAlign w:val="bottom"/>
          </w:tcPr>
          <w:p>
            <w:pPr>
              <w:jc w:val="right"/>
              <w:spacing w:after="0" w:line="216" w:lineRule="exact"/>
              <w:rPr>
                <w:sz w:val="20"/>
                <w:szCs w:val="20"/>
                <w:color w:val="auto"/>
              </w:rPr>
            </w:pPr>
            <w:r>
              <w:rPr>
                <w:rFonts w:ascii="Calibri" w:cs="Calibri" w:eastAsia="Calibri" w:hAnsi="Calibri"/>
                <w:sz w:val="18"/>
                <w:szCs w:val="18"/>
                <w:color w:val="auto"/>
              </w:rPr>
              <w:t>173</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line="216" w:lineRule="exact"/>
              <w:rPr>
                <w:sz w:val="20"/>
                <w:szCs w:val="20"/>
                <w:color w:val="auto"/>
              </w:rPr>
            </w:pPr>
            <w:r>
              <w:rPr>
                <w:rFonts w:ascii="Calibri" w:cs="Calibri" w:eastAsia="Calibri" w:hAnsi="Calibri"/>
                <w:sz w:val="18"/>
                <w:szCs w:val="18"/>
                <w:color w:val="auto"/>
              </w:rPr>
              <w:t>161</w:t>
            </w:r>
          </w:p>
        </w:tc>
        <w:tc>
          <w:tcPr>
            <w:tcW w:w="100" w:type="dxa"/>
            <w:vAlign w:val="bottom"/>
          </w:tcPr>
          <w:p>
            <w:pPr>
              <w:spacing w:after="0"/>
              <w:rPr>
                <w:sz w:val="18"/>
                <w:szCs w:val="18"/>
                <w:color w:val="auto"/>
              </w:rPr>
            </w:pPr>
          </w:p>
        </w:tc>
      </w:tr>
      <w:tr>
        <w:trPr>
          <w:trHeight w:val="230"/>
        </w:trPr>
        <w:tc>
          <w:tcPr>
            <w:tcW w:w="7720" w:type="dxa"/>
            <w:vAlign w:val="bottom"/>
          </w:tcPr>
          <w:p>
            <w:pPr>
              <w:ind w:left="20"/>
              <w:spacing w:after="0" w:line="230" w:lineRule="exact"/>
              <w:rPr>
                <w:sz w:val="20"/>
                <w:szCs w:val="20"/>
                <w:color w:val="auto"/>
              </w:rPr>
            </w:pPr>
            <w:r>
              <w:rPr>
                <w:rFonts w:ascii="Calibri" w:cs="Calibri" w:eastAsia="Calibri" w:hAnsi="Calibri"/>
                <w:sz w:val="18"/>
                <w:szCs w:val="18"/>
                <w:color w:val="auto"/>
              </w:rPr>
              <w:t xml:space="preserve">Loss on early extnguishment of debt </w:t>
            </w:r>
            <w:r>
              <w:rPr>
                <w:rFonts w:ascii="Calibri" w:cs="Calibri" w:eastAsia="Calibri" w:hAnsi="Calibri"/>
                <w:sz w:val="24"/>
                <w:szCs w:val="24"/>
                <w:color w:val="auto"/>
                <w:vertAlign w:val="superscript"/>
              </w:rPr>
              <w:t>(3)</w:t>
            </w:r>
          </w:p>
        </w:tc>
        <w:tc>
          <w:tcPr>
            <w:tcW w:w="360" w:type="dxa"/>
            <w:vAlign w:val="bottom"/>
          </w:tcPr>
          <w:p>
            <w:pPr>
              <w:spacing w:after="0"/>
              <w:rPr>
                <w:sz w:val="19"/>
                <w:szCs w:val="19"/>
                <w:color w:val="auto"/>
              </w:rPr>
            </w:pPr>
          </w:p>
        </w:tc>
        <w:tc>
          <w:tcPr>
            <w:tcW w:w="1480" w:type="dxa"/>
            <w:vAlign w:val="bottom"/>
            <w:gridSpan w:val="2"/>
          </w:tcPr>
          <w:p>
            <w:pPr>
              <w:jc w:val="right"/>
              <w:ind w:right="280"/>
              <w:spacing w:after="0"/>
              <w:rPr>
                <w:sz w:val="20"/>
                <w:szCs w:val="20"/>
                <w:color w:val="auto"/>
              </w:rPr>
            </w:pPr>
            <w:r>
              <w:rPr>
                <w:rFonts w:ascii="Calibri" w:cs="Calibri" w:eastAsia="Calibri" w:hAnsi="Calibri"/>
                <w:sz w:val="18"/>
                <w:szCs w:val="18"/>
                <w:color w:val="auto"/>
              </w:rPr>
              <w:t>—</w:t>
            </w:r>
          </w:p>
        </w:tc>
        <w:tc>
          <w:tcPr>
            <w:tcW w:w="36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Calibri" w:cs="Calibri" w:eastAsia="Calibri" w:hAnsi="Calibri"/>
                <w:sz w:val="18"/>
                <w:szCs w:val="18"/>
                <w:color w:val="auto"/>
              </w:rPr>
              <w:t>(27 )</w:t>
            </w:r>
          </w:p>
        </w:tc>
      </w:tr>
      <w:tr>
        <w:trPr>
          <w:trHeight w:val="249"/>
        </w:trPr>
        <w:tc>
          <w:tcPr>
            <w:tcW w:w="7720" w:type="dxa"/>
            <w:vAlign w:val="bottom"/>
          </w:tcPr>
          <w:p>
            <w:pPr>
              <w:ind w:left="20"/>
              <w:spacing w:after="0" w:line="250" w:lineRule="exact"/>
              <w:rPr>
                <w:sz w:val="20"/>
                <w:szCs w:val="20"/>
                <w:color w:val="auto"/>
              </w:rPr>
            </w:pPr>
            <w:r>
              <w:rPr>
                <w:rFonts w:ascii="Calibri" w:cs="Calibri" w:eastAsia="Calibri" w:hAnsi="Calibri"/>
                <w:sz w:val="18"/>
                <w:szCs w:val="18"/>
                <w:color w:val="auto"/>
              </w:rPr>
              <w:t xml:space="preserve">Other income, net </w:t>
            </w:r>
            <w:r>
              <w:rPr>
                <w:rFonts w:ascii="Calibri" w:cs="Calibri" w:eastAsia="Calibri" w:hAnsi="Calibri"/>
                <w:sz w:val="24"/>
                <w:szCs w:val="24"/>
                <w:color w:val="auto"/>
                <w:vertAlign w:val="superscript"/>
              </w:rPr>
              <w:t>(3)</w:t>
            </w: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color w:val="auto"/>
              </w:rPr>
              <w:t>3</w:t>
            </w:r>
          </w:p>
        </w:tc>
        <w:tc>
          <w:tcPr>
            <w:tcW w:w="2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color w:val="auto"/>
              </w:rPr>
              <w:t>1</w:t>
            </w:r>
          </w:p>
        </w:tc>
        <w:tc>
          <w:tcPr>
            <w:tcW w:w="100" w:type="dxa"/>
            <w:vAlign w:val="bottom"/>
          </w:tcPr>
          <w:p>
            <w:pPr>
              <w:spacing w:after="0"/>
              <w:rPr>
                <w:sz w:val="21"/>
                <w:szCs w:val="21"/>
                <w:color w:val="auto"/>
              </w:rPr>
            </w:pPr>
          </w:p>
        </w:tc>
      </w:tr>
      <w:tr>
        <w:trPr>
          <w:trHeight w:val="249"/>
        </w:trPr>
        <w:tc>
          <w:tcPr>
            <w:tcW w:w="7720" w:type="dxa"/>
            <w:vAlign w:val="bottom"/>
            <w:tcBorders>
              <w:bottom w:val="single" w:sz="8" w:color="CFF0FC"/>
            </w:tcBorders>
            <w:shd w:val="clear" w:color="auto" w:fill="CFF0FC"/>
          </w:tcPr>
          <w:p>
            <w:pPr>
              <w:ind w:left="20"/>
              <w:spacing w:after="0" w:line="209" w:lineRule="exact"/>
              <w:rPr>
                <w:sz w:val="20"/>
                <w:szCs w:val="20"/>
                <w:color w:val="auto"/>
              </w:rPr>
            </w:pPr>
            <w:r>
              <w:rPr>
                <w:rFonts w:ascii="Calibri" w:cs="Calibri" w:eastAsia="Calibri" w:hAnsi="Calibri"/>
                <w:sz w:val="18"/>
                <w:szCs w:val="18"/>
                <w:color w:val="auto"/>
              </w:rPr>
              <w:t>Consolidated earnings from contnuing operatons before income taxes</w:t>
            </w:r>
          </w:p>
        </w:tc>
        <w:tc>
          <w:tcPr>
            <w:tcW w:w="360" w:type="dxa"/>
            <w:vAlign w:val="bottom"/>
            <w:tcBorders>
              <w:bottom w:val="single" w:sz="8" w:color="auto"/>
            </w:tcBorders>
            <w:shd w:val="clear" w:color="auto" w:fill="CFF0FC"/>
          </w:tcPr>
          <w:p>
            <w:pPr>
              <w:jc w:val="right"/>
              <w:ind w:right="170"/>
              <w:spacing w:after="0" w:line="209" w:lineRule="exact"/>
              <w:rPr>
                <w:sz w:val="20"/>
                <w:szCs w:val="20"/>
                <w:color w:val="auto"/>
              </w:rPr>
            </w:pPr>
            <w:r>
              <w:rPr>
                <w:rFonts w:ascii="Calibri" w:cs="Calibri" w:eastAsia="Calibri" w:hAnsi="Calibri"/>
                <w:sz w:val="18"/>
                <w:szCs w:val="18"/>
                <w:color w:val="auto"/>
                <w:w w:val="87"/>
              </w:rPr>
              <w:t>$</w:t>
            </w:r>
          </w:p>
        </w:tc>
        <w:tc>
          <w:tcPr>
            <w:tcW w:w="120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110</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50"/>
              <w:spacing w:after="0" w:line="209" w:lineRule="exact"/>
              <w:rPr>
                <w:sz w:val="20"/>
                <w:szCs w:val="20"/>
                <w:color w:val="auto"/>
              </w:rPr>
            </w:pPr>
            <w:r>
              <w:rPr>
                <w:rFonts w:ascii="Calibri" w:cs="Calibri" w:eastAsia="Calibri" w:hAnsi="Calibri"/>
                <w:sz w:val="18"/>
                <w:szCs w:val="18"/>
                <w:color w:val="auto"/>
              </w:rPr>
              <w:t>$</w:t>
            </w:r>
          </w:p>
        </w:tc>
        <w:tc>
          <w:tcPr>
            <w:tcW w:w="122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87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-1268095</wp:posOffset>
            </wp:positionV>
            <wp:extent cx="713232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-993775</wp:posOffset>
            </wp:positionV>
            <wp:extent cx="713232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-719455</wp:posOffset>
            </wp:positionV>
            <wp:extent cx="713232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-445135</wp:posOffset>
            </wp:positionV>
            <wp:extent cx="713232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ind w:left="280" w:right="120" w:hanging="272"/>
        <w:spacing w:after="0" w:line="217" w:lineRule="auto"/>
        <w:tabs>
          <w:tab w:leader="none" w:pos="280" w:val="left"/>
        </w:tabs>
        <w:numPr>
          <w:ilvl w:val="0"/>
          <w:numId w:val="32"/>
        </w:numPr>
        <w:rPr>
          <w:rFonts w:ascii="Calibri" w:cs="Calibri" w:eastAsia="Calibri" w:hAnsi="Calibri"/>
          <w:sz w:val="24"/>
          <w:szCs w:val="24"/>
          <w:color w:val="auto"/>
          <w:vertAlign w:val="superscript"/>
        </w:rPr>
      </w:pPr>
      <w:r>
        <w:rPr>
          <w:rFonts w:ascii="Calibri" w:cs="Calibri" w:eastAsia="Calibri" w:hAnsi="Calibri"/>
          <w:sz w:val="18"/>
          <w:szCs w:val="18"/>
          <w:color w:val="auto"/>
        </w:rPr>
        <w:t>Consultng and other costs are primarily professional services and internal costs associated with certain corporate strategic initatves and litgaton. Consultng and other costs include $15 million of income in the year ended December 31, 2023, representng insurance reimbursement of legal costs previously paid by the Company associated with investgatons and litgaton maters. Kodak received $20 million of insurance reimbursement in 2023 of which $5 million was recorded in Other current assets in the Consolidated Statement of Financial Positon as of December 31, 2022.</w:t>
      </w:r>
    </w:p>
    <w:p>
      <w:pPr>
        <w:spacing w:after="0" w:line="3" w:lineRule="exact"/>
        <w:rPr>
          <w:rFonts w:ascii="Calibri" w:cs="Calibri" w:eastAsia="Calibri" w:hAnsi="Calibri"/>
          <w:sz w:val="24"/>
          <w:szCs w:val="24"/>
          <w:color w:val="auto"/>
          <w:vertAlign w:val="superscript"/>
        </w:rPr>
      </w:pPr>
    </w:p>
    <w:p>
      <w:pPr>
        <w:ind w:left="280" w:right="80" w:hanging="272"/>
        <w:spacing w:after="0" w:line="201" w:lineRule="auto"/>
        <w:tabs>
          <w:tab w:leader="none" w:pos="280" w:val="left"/>
        </w:tabs>
        <w:numPr>
          <w:ilvl w:val="0"/>
          <w:numId w:val="32"/>
        </w:numPr>
        <w:rPr>
          <w:rFonts w:ascii="Calibri" w:cs="Calibri" w:eastAsia="Calibri" w:hAnsi="Calibri"/>
          <w:sz w:val="24"/>
          <w:szCs w:val="24"/>
          <w:color w:val="auto"/>
          <w:vertAlign w:val="superscript"/>
        </w:rPr>
      </w:pPr>
      <w:r>
        <w:rPr>
          <w:rFonts w:ascii="Calibri" w:cs="Calibri" w:eastAsia="Calibri" w:hAnsi="Calibri"/>
          <w:sz w:val="18"/>
          <w:szCs w:val="18"/>
          <w:color w:val="auto"/>
        </w:rPr>
        <w:t>Consists of third-party costs such as security, maintenance and utlites required to maintain land and buildings in certain locatons not used in any Kodak operatons and the costs, net of any rental income received, of underutlized portons of certain propertes.</w:t>
      </w:r>
    </w:p>
    <w:p>
      <w:pPr>
        <w:spacing w:after="0" w:line="1" w:lineRule="exact"/>
        <w:rPr>
          <w:rFonts w:ascii="Calibri" w:cs="Calibri" w:eastAsia="Calibri" w:hAnsi="Calibri"/>
          <w:sz w:val="24"/>
          <w:szCs w:val="24"/>
          <w:color w:val="auto"/>
          <w:vertAlign w:val="superscript"/>
        </w:rPr>
      </w:pPr>
    </w:p>
    <w:p>
      <w:pPr>
        <w:ind w:left="280" w:hanging="272"/>
        <w:spacing w:after="0" w:line="184" w:lineRule="auto"/>
        <w:tabs>
          <w:tab w:leader="none" w:pos="280" w:val="left"/>
        </w:tabs>
        <w:numPr>
          <w:ilvl w:val="0"/>
          <w:numId w:val="32"/>
        </w:numPr>
        <w:rPr>
          <w:rFonts w:ascii="Calibri" w:cs="Calibri" w:eastAsia="Calibri" w:hAnsi="Calibri"/>
          <w:sz w:val="23"/>
          <w:szCs w:val="23"/>
          <w:color w:val="auto"/>
          <w:vertAlign w:val="superscript"/>
        </w:rPr>
      </w:pPr>
      <w:r>
        <w:rPr>
          <w:rFonts w:ascii="Calibri" w:cs="Calibri" w:eastAsia="Calibri" w:hAnsi="Calibri"/>
          <w:sz w:val="17"/>
          <w:szCs w:val="17"/>
          <w:color w:val="auto"/>
        </w:rPr>
        <w:t>As reported in the Consolidated Statement of Operatons.</w:t>
      </w:r>
    </w:p>
    <w:p>
      <w:pPr>
        <w:spacing w:after="0" w:line="191" w:lineRule="exact"/>
        <w:rPr>
          <w:sz w:val="20"/>
          <w:szCs w:val="20"/>
          <w:color w:val="auto"/>
        </w:rPr>
      </w:pPr>
    </w:p>
    <w:p>
      <w:pPr>
        <w:ind w:right="280"/>
        <w:spacing w:after="0" w:line="235" w:lineRule="auto"/>
        <w:rPr>
          <w:sz w:val="20"/>
          <w:szCs w:val="20"/>
          <w:color w:val="auto"/>
        </w:rPr>
      </w:pPr>
      <w:r>
        <w:rPr>
          <w:rFonts w:ascii="Calibri" w:cs="Calibri" w:eastAsia="Calibri" w:hAnsi="Calibri"/>
          <w:sz w:val="18"/>
          <w:szCs w:val="18"/>
          <w:color w:val="auto"/>
        </w:rPr>
        <w:t>In 2024, Kodak decreased employee beneft reserves by $2 million primarily refectng a decrease in workers’ compensaton reserves driven by changes in discount rates. The decrease in reserves in 2024 impacted gross proft and SG&amp;A each by approximately $1 million.</w:t>
      </w:r>
    </w:p>
    <w:p>
      <w:pPr>
        <w:spacing w:after="0" w:line="177" w:lineRule="exact"/>
        <w:rPr>
          <w:sz w:val="20"/>
          <w:szCs w:val="20"/>
          <w:color w:val="auto"/>
        </w:rPr>
      </w:pPr>
    </w:p>
    <w:p>
      <w:pPr>
        <w:ind w:right="240"/>
        <w:spacing w:after="0" w:line="235" w:lineRule="auto"/>
        <w:rPr>
          <w:sz w:val="20"/>
          <w:szCs w:val="20"/>
          <w:color w:val="auto"/>
        </w:rPr>
      </w:pPr>
      <w:r>
        <w:rPr>
          <w:rFonts w:ascii="Calibri" w:cs="Calibri" w:eastAsia="Calibri" w:hAnsi="Calibri"/>
          <w:sz w:val="18"/>
          <w:szCs w:val="18"/>
          <w:color w:val="auto"/>
        </w:rPr>
        <w:t>In 2023, Kodak decreased employee beneft reserves by $1 million primarily refectng a reducton in workers’ compensaton reserves driven by changes in discount rates. The decrease in reserves in 2023 impacted SG&amp;A by approximately $1 million.</w:t>
      </w:r>
    </w:p>
    <w:p>
      <w:pPr>
        <w:spacing w:after="0" w:line="172"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20"/>
        </w:trPr>
        <w:tc>
          <w:tcPr>
            <w:tcW w:w="1300" w:type="dxa"/>
            <w:vAlign w:val="bottom"/>
            <w:tcBorders>
              <w:bottom w:val="single" w:sz="8" w:color="0000FF"/>
            </w:tcBorders>
          </w:tcPr>
          <w:p>
            <w:pPr>
              <w:spacing w:after="0"/>
              <w:rPr>
                <w:sz w:val="20"/>
                <w:szCs w:val="20"/>
                <w:color w:val="auto"/>
              </w:rPr>
            </w:pPr>
            <w:r>
              <w:rPr>
                <w:rFonts w:ascii="Calibri" w:cs="Calibri" w:eastAsia="Calibri" w:hAnsi="Calibri"/>
                <w:sz w:val="18"/>
                <w:szCs w:val="18"/>
                <w:b w:val="1"/>
                <w:bCs w:val="1"/>
                <w:color w:val="0000FF"/>
                <w:w w:val="97"/>
              </w:rPr>
              <w:t>Table of Contents</w:t>
            </w:r>
          </w:p>
        </w:tc>
        <w:tc>
          <w:tcPr>
            <w:tcW w:w="5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8"/>
        </w:trPr>
        <w:tc>
          <w:tcPr>
            <w:tcW w:w="6440" w:type="dxa"/>
            <w:vAlign w:val="bottom"/>
            <w:gridSpan w:val="2"/>
          </w:tcPr>
          <w:p>
            <w:pPr>
              <w:spacing w:after="0"/>
              <w:rPr>
                <w:sz w:val="20"/>
                <w:szCs w:val="20"/>
                <w:color w:val="auto"/>
              </w:rPr>
            </w:pPr>
            <w:r>
              <w:rPr>
                <w:rFonts w:ascii="Calibri" w:cs="Calibri" w:eastAsia="Calibri" w:hAnsi="Calibri"/>
                <w:sz w:val="18"/>
                <w:szCs w:val="18"/>
                <w:b w:val="1"/>
                <w:bCs w:val="1"/>
                <w:color w:val="auto"/>
              </w:rPr>
              <w:t>PRINT SEGMENT</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0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980" w:type="dxa"/>
            <w:vAlign w:val="bottom"/>
            <w:gridSpan w:val="4"/>
          </w:tcPr>
          <w:p>
            <w:pPr>
              <w:jc w:val="right"/>
              <w:ind w:right="60"/>
              <w:spacing w:after="0"/>
              <w:rPr>
                <w:sz w:val="20"/>
                <w:szCs w:val="20"/>
                <w:color w:val="auto"/>
              </w:rPr>
            </w:pPr>
            <w:r>
              <w:rPr>
                <w:rFonts w:ascii="Calibri" w:cs="Calibri" w:eastAsia="Calibri" w:hAnsi="Calibri"/>
                <w:sz w:val="18"/>
                <w:szCs w:val="18"/>
                <w:b w:val="1"/>
                <w:bCs w:val="1"/>
                <w:color w:val="auto"/>
                <w:w w:val="98"/>
              </w:rPr>
              <w:t>Year Ended December 31,</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1300" w:type="dxa"/>
            <w:vAlign w:val="bottom"/>
          </w:tcPr>
          <w:p>
            <w:pPr>
              <w:spacing w:after="0"/>
              <w:rPr>
                <w:sz w:val="2"/>
                <w:szCs w:val="2"/>
                <w:color w:val="auto"/>
              </w:rPr>
            </w:pPr>
          </w:p>
        </w:tc>
        <w:tc>
          <w:tcPr>
            <w:tcW w:w="5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440" w:type="dxa"/>
            <w:vAlign w:val="bottom"/>
            <w:gridSpan w:val="2"/>
          </w:tcPr>
          <w:p>
            <w:pPr>
              <w:ind w:left="20"/>
              <w:spacing w:after="0"/>
              <w:rPr>
                <w:sz w:val="20"/>
                <w:szCs w:val="20"/>
                <w:color w:val="auto"/>
              </w:rPr>
            </w:pPr>
            <w:r>
              <w:rPr>
                <w:rFonts w:ascii="Calibri" w:cs="Calibri" w:eastAsia="Calibri" w:hAnsi="Calibri"/>
                <w:sz w:val="14"/>
                <w:szCs w:val="14"/>
                <w:color w:val="auto"/>
              </w:rPr>
              <w:t>(in millions)</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0"/>
              <w:spacing w:after="0" w:line="209" w:lineRule="exact"/>
              <w:rPr>
                <w:sz w:val="20"/>
                <w:szCs w:val="20"/>
                <w:color w:val="auto"/>
              </w:rPr>
            </w:pPr>
            <w:r>
              <w:rPr>
                <w:rFonts w:ascii="Calibri" w:cs="Calibri" w:eastAsia="Calibri" w:hAnsi="Calibri"/>
                <w:sz w:val="18"/>
                <w:szCs w:val="18"/>
                <w:b w:val="1"/>
                <w:bCs w:val="1"/>
                <w:color w:val="auto"/>
              </w:rPr>
              <w:t>2024</w:t>
            </w:r>
          </w:p>
        </w:tc>
        <w:tc>
          <w:tcPr>
            <w:tcW w:w="3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0"/>
              <w:spacing w:after="0" w:line="209" w:lineRule="exact"/>
              <w:rPr>
                <w:sz w:val="20"/>
                <w:szCs w:val="20"/>
                <w:color w:val="auto"/>
              </w:rPr>
            </w:pPr>
            <w:r>
              <w:rPr>
                <w:rFonts w:ascii="Calibri" w:cs="Calibri" w:eastAsia="Calibri" w:hAnsi="Calibri"/>
                <w:sz w:val="18"/>
                <w:szCs w:val="18"/>
                <w:b w:val="1"/>
                <w:bCs w:val="1"/>
                <w:color w:val="auto"/>
              </w:rPr>
              <w:t>2023</w:t>
            </w:r>
          </w:p>
        </w:tc>
        <w:tc>
          <w:tcPr>
            <w:tcW w:w="3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100"/>
              <w:spacing w:after="0" w:line="209" w:lineRule="exact"/>
              <w:rPr>
                <w:sz w:val="20"/>
                <w:szCs w:val="20"/>
                <w:color w:val="auto"/>
              </w:rPr>
            </w:pPr>
            <w:r>
              <w:rPr>
                <w:rFonts w:ascii="Calibri" w:cs="Calibri" w:eastAsia="Calibri" w:hAnsi="Calibri"/>
                <w:sz w:val="18"/>
                <w:szCs w:val="18"/>
                <w:b w:val="1"/>
                <w:bCs w:val="1"/>
                <w:color w:val="auto"/>
              </w:rPr>
              <w:t>$ Change</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440" w:type="dxa"/>
            <w:vAlign w:val="bottom"/>
            <w:gridSpan w:val="2"/>
            <w:shd w:val="clear" w:color="auto" w:fill="CFF0FC"/>
          </w:tcPr>
          <w:p>
            <w:pPr>
              <w:ind w:left="20"/>
              <w:spacing w:after="0" w:line="210" w:lineRule="exact"/>
              <w:rPr>
                <w:sz w:val="20"/>
                <w:szCs w:val="20"/>
                <w:color w:val="auto"/>
              </w:rPr>
            </w:pPr>
            <w:r>
              <w:rPr>
                <w:rFonts w:ascii="Calibri" w:cs="Calibri" w:eastAsia="Calibri" w:hAnsi="Calibri"/>
                <w:sz w:val="18"/>
                <w:szCs w:val="18"/>
                <w:color w:val="auto"/>
              </w:rPr>
              <w:t>Revenues</w:t>
            </w:r>
          </w:p>
        </w:tc>
        <w:tc>
          <w:tcPr>
            <w:tcW w:w="300" w:type="dxa"/>
            <w:vAlign w:val="bottom"/>
            <w:shd w:val="clear" w:color="auto" w:fill="CFF0FC"/>
          </w:tcPr>
          <w:p>
            <w:pPr>
              <w:jc w:val="right"/>
              <w:ind w:right="90"/>
              <w:spacing w:after="0" w:line="210" w:lineRule="exact"/>
              <w:rPr>
                <w:sz w:val="20"/>
                <w:szCs w:val="20"/>
                <w:color w:val="auto"/>
              </w:rPr>
            </w:pPr>
            <w:r>
              <w:rPr>
                <w:rFonts w:ascii="Calibri" w:cs="Calibri" w:eastAsia="Calibri" w:hAnsi="Calibri"/>
                <w:sz w:val="18"/>
                <w:szCs w:val="18"/>
                <w:color w:val="auto"/>
              </w:rPr>
              <w:t>$</w:t>
            </w:r>
          </w:p>
        </w:tc>
        <w:tc>
          <w:tcPr>
            <w:tcW w:w="100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737</w:t>
            </w:r>
          </w:p>
        </w:tc>
        <w:tc>
          <w:tcPr>
            <w:tcW w:w="36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90"/>
              <w:spacing w:after="0" w:line="210" w:lineRule="exact"/>
              <w:rPr>
                <w:sz w:val="20"/>
                <w:szCs w:val="20"/>
                <w:color w:val="auto"/>
              </w:rPr>
            </w:pPr>
            <w:r>
              <w:rPr>
                <w:rFonts w:ascii="Calibri" w:cs="Calibri" w:eastAsia="Calibri" w:hAnsi="Calibri"/>
                <w:sz w:val="18"/>
                <w:szCs w:val="18"/>
                <w:color w:val="auto"/>
              </w:rPr>
              <w:t>$</w:t>
            </w:r>
          </w:p>
        </w:tc>
        <w:tc>
          <w:tcPr>
            <w:tcW w:w="100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828</w:t>
            </w:r>
          </w:p>
        </w:tc>
        <w:tc>
          <w:tcPr>
            <w:tcW w:w="32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line="210" w:lineRule="exact"/>
              <w:rPr>
                <w:sz w:val="20"/>
                <w:szCs w:val="20"/>
                <w:color w:val="auto"/>
              </w:rPr>
            </w:pPr>
            <w:r>
              <w:rPr>
                <w:rFonts w:ascii="Calibri" w:cs="Calibri" w:eastAsia="Calibri" w:hAnsi="Calibri"/>
                <w:sz w:val="18"/>
                <w:szCs w:val="18"/>
                <w:color w:val="auto"/>
                <w:w w:val="87"/>
              </w:rPr>
              <w:t>$</w:t>
            </w:r>
          </w:p>
        </w:tc>
        <w:tc>
          <w:tcPr>
            <w:tcW w:w="1200" w:type="dxa"/>
            <w:vAlign w:val="bottom"/>
            <w:gridSpan w:val="2"/>
            <w:shd w:val="clear" w:color="auto" w:fill="CFF0FC"/>
          </w:tcPr>
          <w:p>
            <w:pPr>
              <w:jc w:val="right"/>
              <w:ind w:right="40"/>
              <w:spacing w:after="0" w:line="210" w:lineRule="exact"/>
              <w:rPr>
                <w:sz w:val="20"/>
                <w:szCs w:val="20"/>
                <w:color w:val="auto"/>
              </w:rPr>
            </w:pPr>
            <w:r>
              <w:rPr>
                <w:rFonts w:ascii="Calibri" w:cs="Calibri" w:eastAsia="Calibri" w:hAnsi="Calibri"/>
                <w:sz w:val="18"/>
                <w:szCs w:val="18"/>
                <w:color w:val="auto"/>
              </w:rPr>
              <w:t>(91 )</w:t>
            </w:r>
          </w:p>
        </w:tc>
        <w:tc>
          <w:tcPr>
            <w:tcW w:w="0" w:type="dxa"/>
            <w:vAlign w:val="bottom"/>
          </w:tcPr>
          <w:p>
            <w:pPr>
              <w:spacing w:after="0"/>
              <w:rPr>
                <w:sz w:val="1"/>
                <w:szCs w:val="1"/>
                <w:color w:val="auto"/>
              </w:rPr>
            </w:pPr>
          </w:p>
        </w:tc>
      </w:tr>
      <w:tr>
        <w:trPr>
          <w:trHeight w:val="197"/>
        </w:trPr>
        <w:tc>
          <w:tcPr>
            <w:tcW w:w="1300" w:type="dxa"/>
            <w:vAlign w:val="bottom"/>
            <w:tcBorders>
              <w:top w:val="single" w:sz="8" w:color="CFF0FC"/>
            </w:tcBorders>
          </w:tcPr>
          <w:p>
            <w:pPr>
              <w:spacing w:after="0"/>
              <w:rPr>
                <w:sz w:val="17"/>
                <w:szCs w:val="17"/>
                <w:color w:val="auto"/>
              </w:rPr>
            </w:pPr>
          </w:p>
        </w:tc>
        <w:tc>
          <w:tcPr>
            <w:tcW w:w="514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36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32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440" w:type="dxa"/>
            <w:vAlign w:val="bottom"/>
            <w:gridSpan w:val="2"/>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Operatonal EBITDA</w:t>
            </w:r>
          </w:p>
        </w:tc>
        <w:tc>
          <w:tcPr>
            <w:tcW w:w="30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190"/>
              <w:spacing w:after="0" w:line="215" w:lineRule="exact"/>
              <w:rPr>
                <w:sz w:val="20"/>
                <w:szCs w:val="20"/>
                <w:color w:val="auto"/>
              </w:rPr>
            </w:pPr>
            <w:r>
              <w:rPr>
                <w:rFonts w:ascii="Calibri" w:cs="Calibri" w:eastAsia="Calibri" w:hAnsi="Calibri"/>
                <w:sz w:val="18"/>
                <w:szCs w:val="18"/>
                <w:color w:val="auto"/>
              </w:rPr>
              <w:t>(8 )</w:t>
            </w: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20</w:t>
            </w:r>
          </w:p>
        </w:tc>
        <w:tc>
          <w:tcPr>
            <w:tcW w:w="3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(28 )</w:t>
            </w:r>
          </w:p>
        </w:tc>
        <w:tc>
          <w:tcPr>
            <w:tcW w:w="0" w:type="dxa"/>
            <w:vAlign w:val="bottom"/>
          </w:tcPr>
          <w:p>
            <w:pPr>
              <w:spacing w:after="0"/>
              <w:rPr>
                <w:sz w:val="1"/>
                <w:szCs w:val="1"/>
                <w:color w:val="auto"/>
              </w:rPr>
            </w:pPr>
          </w:p>
        </w:tc>
      </w:tr>
      <w:tr>
        <w:trPr>
          <w:trHeight w:val="20"/>
        </w:trPr>
        <w:tc>
          <w:tcPr>
            <w:tcW w:w="1300" w:type="dxa"/>
            <w:vAlign w:val="bottom"/>
            <w:tcBorders>
              <w:top w:val="single" w:sz="8" w:color="CFF0FC"/>
            </w:tcBorders>
            <w:shd w:val="clear" w:color="auto" w:fill="CFF0FC"/>
          </w:tcPr>
          <w:p>
            <w:pPr>
              <w:spacing w:after="0" w:line="20" w:lineRule="exact"/>
              <w:rPr>
                <w:sz w:val="1"/>
                <w:szCs w:val="1"/>
                <w:color w:val="auto"/>
              </w:rPr>
            </w:pPr>
          </w:p>
        </w:tc>
        <w:tc>
          <w:tcPr>
            <w:tcW w:w="51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440" w:type="dxa"/>
            <w:vAlign w:val="bottom"/>
            <w:gridSpan w:val="2"/>
          </w:tcPr>
          <w:p>
            <w:pPr>
              <w:ind w:left="20"/>
              <w:spacing w:after="0" w:line="196" w:lineRule="exact"/>
              <w:rPr>
                <w:sz w:val="20"/>
                <w:szCs w:val="20"/>
                <w:color w:val="auto"/>
              </w:rPr>
            </w:pPr>
            <w:r>
              <w:rPr>
                <w:rFonts w:ascii="Calibri" w:cs="Calibri" w:eastAsia="Calibri" w:hAnsi="Calibri"/>
                <w:sz w:val="18"/>
                <w:szCs w:val="18"/>
                <w:color w:val="auto"/>
              </w:rPr>
              <w:t>Operatonal EBITDA as a % of revenues</w:t>
            </w:r>
          </w:p>
        </w:tc>
        <w:tc>
          <w:tcPr>
            <w:tcW w:w="300" w:type="dxa"/>
            <w:vAlign w:val="bottom"/>
          </w:tcPr>
          <w:p>
            <w:pPr>
              <w:spacing w:after="0"/>
              <w:rPr>
                <w:sz w:val="16"/>
                <w:szCs w:val="16"/>
                <w:color w:val="auto"/>
              </w:rPr>
            </w:pPr>
          </w:p>
        </w:tc>
        <w:tc>
          <w:tcPr>
            <w:tcW w:w="1360" w:type="dxa"/>
            <w:vAlign w:val="bottom"/>
            <w:gridSpan w:val="2"/>
          </w:tcPr>
          <w:p>
            <w:pPr>
              <w:jc w:val="right"/>
              <w:ind w:right="70"/>
              <w:spacing w:after="0" w:line="196" w:lineRule="exact"/>
              <w:rPr>
                <w:sz w:val="20"/>
                <w:szCs w:val="20"/>
                <w:color w:val="auto"/>
              </w:rPr>
            </w:pPr>
            <w:r>
              <w:rPr>
                <w:rFonts w:ascii="Calibri" w:cs="Calibri" w:eastAsia="Calibri" w:hAnsi="Calibri"/>
                <w:sz w:val="18"/>
                <w:szCs w:val="18"/>
                <w:color w:val="auto"/>
              </w:rPr>
              <w:t>(1 %)</w:t>
            </w:r>
          </w:p>
        </w:tc>
        <w:tc>
          <w:tcPr>
            <w:tcW w:w="300" w:type="dxa"/>
            <w:vAlign w:val="bottom"/>
          </w:tcPr>
          <w:p>
            <w:pPr>
              <w:spacing w:after="0"/>
              <w:rPr>
                <w:sz w:val="16"/>
                <w:szCs w:val="16"/>
                <w:color w:val="auto"/>
              </w:rPr>
            </w:pPr>
          </w:p>
        </w:tc>
        <w:tc>
          <w:tcPr>
            <w:tcW w:w="1320" w:type="dxa"/>
            <w:vAlign w:val="bottom"/>
            <w:gridSpan w:val="2"/>
          </w:tcPr>
          <w:p>
            <w:pPr>
              <w:jc w:val="right"/>
              <w:ind w:right="180"/>
              <w:spacing w:after="0" w:line="196" w:lineRule="exact"/>
              <w:rPr>
                <w:sz w:val="20"/>
                <w:szCs w:val="20"/>
                <w:color w:val="auto"/>
              </w:rPr>
            </w:pPr>
            <w:r>
              <w:rPr>
                <w:rFonts w:ascii="Calibri" w:cs="Calibri" w:eastAsia="Calibri" w:hAnsi="Calibri"/>
                <w:sz w:val="18"/>
                <w:szCs w:val="18"/>
                <w:color w:val="auto"/>
              </w:rPr>
              <w:t>2 %</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-461645</wp:posOffset>
            </wp:positionV>
            <wp:extent cx="1371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-444500</wp:posOffset>
            </wp:positionV>
            <wp:extent cx="1371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-461645</wp:posOffset>
            </wp:positionV>
            <wp:extent cx="1028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-444500</wp:posOffset>
            </wp:positionV>
            <wp:extent cx="1028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-461645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-444500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-161290</wp:posOffset>
            </wp:positionV>
            <wp:extent cx="13716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-144145</wp:posOffset>
            </wp:positionV>
            <wp:extent cx="13716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-161290</wp:posOffset>
            </wp:positionV>
            <wp:extent cx="1028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-144145</wp:posOffset>
            </wp:positionV>
            <wp:extent cx="10287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-161290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-144145</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Revenues</w:t>
      </w:r>
    </w:p>
    <w:p>
      <w:pPr>
        <w:spacing w:after="0" w:line="177"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The decrease in Print revenues of approximately $91 million in 2024 primarily refected reduced volumes in Prepress Solutons ($46 million), volume declines in Electrophotographic Printng Solutons ($24 million), less favorable pricing in Prepress Solutons ($10 million), lower volumes in Prosper ($10 million), declines in Sofware volume ($2 million) and unfavorable foreign currency ($3 million). The unfavorable impacts were partally ofset by favorable pricing and product mix in Electrophotographic Printng Solutons ($5 million).</w:t>
      </w:r>
    </w:p>
    <w:p>
      <w:pPr>
        <w:spacing w:after="0" w:line="17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Operatonal EBITDA</w:t>
      </w:r>
    </w:p>
    <w:p>
      <w:pPr>
        <w:spacing w:after="0" w:line="190" w:lineRule="exact"/>
        <w:rPr>
          <w:sz w:val="20"/>
          <w:szCs w:val="20"/>
          <w:color w:val="auto"/>
        </w:rPr>
      </w:pPr>
    </w:p>
    <w:p>
      <w:pPr>
        <w:ind w:right="320"/>
        <w:spacing w:after="0" w:line="235" w:lineRule="auto"/>
        <w:rPr>
          <w:sz w:val="20"/>
          <w:szCs w:val="20"/>
          <w:color w:val="auto"/>
        </w:rPr>
      </w:pPr>
      <w:r>
        <w:rPr>
          <w:rFonts w:ascii="Calibri" w:cs="Calibri" w:eastAsia="Calibri" w:hAnsi="Calibri"/>
          <w:sz w:val="18"/>
          <w:szCs w:val="18"/>
          <w:color w:val="auto"/>
        </w:rPr>
        <w:t>Print Operatonal EBITDA declined approximately $28 million in 2024, and was primarily related to inventory reserve adjustments in Electrophotographic Printng Solutons ($8 million), higher SG&amp;A costs ($9 million), lower volumes and less favorable pricing in Prepress Solutons ($9 million and $8 million, respectvely) and higher aluminum costs ($4 million). These unfavorable impacts were partally ofset by favorable pricing and product mix in Electrophotographic Printng Solutons ($6 million) and volume changes for Prosper ($4 million).</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460" w:type="dxa"/>
            <w:vAlign w:val="bottom"/>
          </w:tcPr>
          <w:p>
            <w:pPr>
              <w:spacing w:after="0"/>
              <w:rPr>
                <w:sz w:val="20"/>
                <w:szCs w:val="20"/>
                <w:color w:val="auto"/>
              </w:rPr>
            </w:pPr>
            <w:r>
              <w:rPr>
                <w:rFonts w:ascii="Calibri" w:cs="Calibri" w:eastAsia="Calibri" w:hAnsi="Calibri"/>
                <w:sz w:val="18"/>
                <w:szCs w:val="18"/>
                <w:b w:val="1"/>
                <w:bCs w:val="1"/>
                <w:color w:val="auto"/>
              </w:rPr>
              <w:t>ADVANCED MATERIALS AND CHEMICALS SEGMENT</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6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920" w:type="dxa"/>
            <w:vAlign w:val="bottom"/>
            <w:gridSpan w:val="4"/>
          </w:tcPr>
          <w:p>
            <w:pPr>
              <w:jc w:val="right"/>
              <w:ind w:right="20"/>
              <w:spacing w:after="0"/>
              <w:rPr>
                <w:sz w:val="20"/>
                <w:szCs w:val="20"/>
                <w:color w:val="auto"/>
              </w:rPr>
            </w:pPr>
            <w:r>
              <w:rPr>
                <w:rFonts w:ascii="Calibri" w:cs="Calibri" w:eastAsia="Calibri" w:hAnsi="Calibri"/>
                <w:sz w:val="18"/>
                <w:szCs w:val="18"/>
                <w:b w:val="1"/>
                <w:bCs w:val="1"/>
                <w:color w:val="auto"/>
                <w:w w:val="97"/>
              </w:rPr>
              <w:t>Year Ended December 31,</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4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460" w:type="dxa"/>
            <w:vAlign w:val="bottom"/>
          </w:tcPr>
          <w:p>
            <w:pPr>
              <w:ind w:left="20"/>
              <w:spacing w:after="0"/>
              <w:rPr>
                <w:sz w:val="20"/>
                <w:szCs w:val="20"/>
                <w:color w:val="auto"/>
              </w:rPr>
            </w:pPr>
            <w:r>
              <w:rPr>
                <w:rFonts w:ascii="Calibri" w:cs="Calibri" w:eastAsia="Calibri" w:hAnsi="Calibri"/>
                <w:sz w:val="14"/>
                <w:szCs w:val="14"/>
                <w:color w:val="auto"/>
              </w:rPr>
              <w:t>(in millions)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line="209" w:lineRule="exact"/>
              <w:rPr>
                <w:sz w:val="20"/>
                <w:szCs w:val="20"/>
                <w:color w:val="auto"/>
              </w:rPr>
            </w:pPr>
            <w:r>
              <w:rPr>
                <w:rFonts w:ascii="Calibri" w:cs="Calibri" w:eastAsia="Calibri" w:hAnsi="Calibri"/>
                <w:sz w:val="18"/>
                <w:szCs w:val="18"/>
                <w:b w:val="1"/>
                <w:bCs w:val="1"/>
                <w:color w:val="auto"/>
              </w:rPr>
              <w:t>2024</w:t>
            </w:r>
          </w:p>
        </w:tc>
        <w:tc>
          <w:tcPr>
            <w:tcW w:w="3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line="209" w:lineRule="exact"/>
              <w:rPr>
                <w:sz w:val="20"/>
                <w:szCs w:val="20"/>
                <w:color w:val="auto"/>
              </w:rPr>
            </w:pPr>
            <w:r>
              <w:rPr>
                <w:rFonts w:ascii="Calibri" w:cs="Calibri" w:eastAsia="Calibri" w:hAnsi="Calibri"/>
                <w:sz w:val="18"/>
                <w:szCs w:val="18"/>
                <w:b w:val="1"/>
                <w:bCs w:val="1"/>
                <w:color w:val="auto"/>
              </w:rPr>
              <w:t>2023</w:t>
            </w:r>
          </w:p>
        </w:tc>
        <w:tc>
          <w:tcPr>
            <w:tcW w:w="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30"/>
              <w:spacing w:after="0" w:line="209" w:lineRule="exact"/>
              <w:rPr>
                <w:sz w:val="20"/>
                <w:szCs w:val="20"/>
                <w:color w:val="auto"/>
              </w:rPr>
            </w:pPr>
            <w:r>
              <w:rPr>
                <w:rFonts w:ascii="Calibri" w:cs="Calibri" w:eastAsia="Calibri" w:hAnsi="Calibri"/>
                <w:sz w:val="18"/>
                <w:szCs w:val="18"/>
                <w:b w:val="1"/>
                <w:bCs w:val="1"/>
                <w:color w:val="auto"/>
              </w:rPr>
              <w:t>$ Change</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46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color w:val="auto"/>
              </w:rPr>
              <w:t>Revenues</w:t>
            </w:r>
          </w:p>
        </w:tc>
        <w:tc>
          <w:tcPr>
            <w:tcW w:w="300" w:type="dxa"/>
            <w:vAlign w:val="bottom"/>
            <w:shd w:val="clear" w:color="auto" w:fill="CFF0FC"/>
          </w:tcPr>
          <w:p>
            <w:pPr>
              <w:jc w:val="right"/>
              <w:ind w:right="110"/>
              <w:spacing w:after="0" w:line="210" w:lineRule="exact"/>
              <w:rPr>
                <w:sz w:val="20"/>
                <w:szCs w:val="20"/>
                <w:color w:val="auto"/>
              </w:rPr>
            </w:pPr>
            <w:r>
              <w:rPr>
                <w:rFonts w:ascii="Calibri" w:cs="Calibri" w:eastAsia="Calibri" w:hAnsi="Calibri"/>
                <w:sz w:val="18"/>
                <w:szCs w:val="18"/>
                <w:color w:val="auto"/>
                <w:w w:val="87"/>
              </w:rPr>
              <w:t>$</w:t>
            </w:r>
          </w:p>
        </w:tc>
        <w:tc>
          <w:tcPr>
            <w:tcW w:w="102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271</w:t>
            </w:r>
          </w:p>
        </w:tc>
        <w:tc>
          <w:tcPr>
            <w:tcW w:w="600" w:type="dxa"/>
            <w:vAlign w:val="bottom"/>
            <w:gridSpan w:val="2"/>
            <w:shd w:val="clear" w:color="auto" w:fill="CFF0FC"/>
          </w:tcPr>
          <w:p>
            <w:pPr>
              <w:jc w:val="right"/>
              <w:ind w:right="200"/>
              <w:spacing w:after="0" w:line="210" w:lineRule="exact"/>
              <w:rPr>
                <w:sz w:val="20"/>
                <w:szCs w:val="20"/>
                <w:color w:val="auto"/>
              </w:rPr>
            </w:pPr>
            <w:r>
              <w:rPr>
                <w:rFonts w:ascii="Calibri" w:cs="Calibri" w:eastAsia="Calibri" w:hAnsi="Calibri"/>
                <w:sz w:val="18"/>
                <w:szCs w:val="18"/>
                <w:color w:val="auto"/>
              </w:rPr>
              <w:t>$</w:t>
            </w:r>
          </w:p>
        </w:tc>
        <w:tc>
          <w:tcPr>
            <w:tcW w:w="102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255</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line="210" w:lineRule="exact"/>
              <w:rPr>
                <w:sz w:val="20"/>
                <w:szCs w:val="20"/>
                <w:color w:val="auto"/>
              </w:rPr>
            </w:pPr>
            <w:r>
              <w:rPr>
                <w:rFonts w:ascii="Calibri" w:cs="Calibri" w:eastAsia="Calibri" w:hAnsi="Calibri"/>
                <w:sz w:val="18"/>
                <w:szCs w:val="18"/>
                <w:color w:val="auto"/>
                <w:w w:val="87"/>
              </w:rPr>
              <w:t>$</w:t>
            </w:r>
          </w:p>
        </w:tc>
        <w:tc>
          <w:tcPr>
            <w:tcW w:w="110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16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46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460" w:type="dxa"/>
            <w:vAlign w:val="bottom"/>
            <w:tcBorders>
              <w:bottom w:val="single" w:sz="8" w:color="CFF0FC"/>
            </w:tcBorders>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Operatonal EBITDA</w:t>
            </w:r>
          </w:p>
        </w:tc>
        <w:tc>
          <w:tcPr>
            <w:tcW w:w="30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17</w:t>
            </w:r>
          </w:p>
        </w:tc>
        <w:tc>
          <w:tcPr>
            <w:tcW w:w="30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10</w:t>
            </w:r>
          </w:p>
        </w:tc>
        <w:tc>
          <w:tcPr>
            <w:tcW w:w="3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110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6460" w:type="dxa"/>
            <w:vAlign w:val="bottom"/>
          </w:tcPr>
          <w:p>
            <w:pPr>
              <w:ind w:left="20"/>
              <w:spacing w:after="0" w:line="196" w:lineRule="exact"/>
              <w:rPr>
                <w:sz w:val="20"/>
                <w:szCs w:val="20"/>
                <w:color w:val="auto"/>
              </w:rPr>
            </w:pPr>
            <w:r>
              <w:rPr>
                <w:rFonts w:ascii="Calibri" w:cs="Calibri" w:eastAsia="Calibri" w:hAnsi="Calibri"/>
                <w:sz w:val="18"/>
                <w:szCs w:val="18"/>
                <w:color w:val="auto"/>
              </w:rPr>
              <w:t>Operatonal EBITDA as a % of revenues</w:t>
            </w:r>
          </w:p>
        </w:tc>
        <w:tc>
          <w:tcPr>
            <w:tcW w:w="300" w:type="dxa"/>
            <w:vAlign w:val="bottom"/>
          </w:tcPr>
          <w:p>
            <w:pPr>
              <w:spacing w:after="0"/>
              <w:rPr>
                <w:sz w:val="16"/>
                <w:szCs w:val="16"/>
                <w:color w:val="auto"/>
              </w:rPr>
            </w:pPr>
          </w:p>
        </w:tc>
        <w:tc>
          <w:tcPr>
            <w:tcW w:w="1320" w:type="dxa"/>
            <w:vAlign w:val="bottom"/>
            <w:gridSpan w:val="2"/>
          </w:tcPr>
          <w:p>
            <w:pPr>
              <w:jc w:val="right"/>
              <w:ind w:right="70"/>
              <w:spacing w:after="0" w:line="196" w:lineRule="exact"/>
              <w:rPr>
                <w:sz w:val="20"/>
                <w:szCs w:val="20"/>
                <w:color w:val="auto"/>
              </w:rPr>
            </w:pPr>
            <w:r>
              <w:rPr>
                <w:rFonts w:ascii="Calibri" w:cs="Calibri" w:eastAsia="Calibri" w:hAnsi="Calibri"/>
                <w:sz w:val="18"/>
                <w:szCs w:val="18"/>
                <w:color w:val="auto"/>
              </w:rPr>
              <w:t>6 %</w:t>
            </w:r>
          </w:p>
        </w:tc>
        <w:tc>
          <w:tcPr>
            <w:tcW w:w="300" w:type="dxa"/>
            <w:vAlign w:val="bottom"/>
          </w:tcPr>
          <w:p>
            <w:pPr>
              <w:spacing w:after="0"/>
              <w:rPr>
                <w:sz w:val="16"/>
                <w:szCs w:val="16"/>
                <w:color w:val="auto"/>
              </w:rPr>
            </w:pPr>
          </w:p>
        </w:tc>
        <w:tc>
          <w:tcPr>
            <w:tcW w:w="1320" w:type="dxa"/>
            <w:vAlign w:val="bottom"/>
            <w:gridSpan w:val="2"/>
          </w:tcPr>
          <w:p>
            <w:pPr>
              <w:jc w:val="right"/>
              <w:ind w:right="160"/>
              <w:spacing w:after="0" w:line="196" w:lineRule="exact"/>
              <w:rPr>
                <w:sz w:val="20"/>
                <w:szCs w:val="20"/>
                <w:color w:val="auto"/>
              </w:rPr>
            </w:pPr>
            <w:r>
              <w:rPr>
                <w:rFonts w:ascii="Calibri" w:cs="Calibri" w:eastAsia="Calibri" w:hAnsi="Calibri"/>
                <w:sz w:val="18"/>
                <w:szCs w:val="18"/>
                <w:color w:val="auto"/>
              </w:rPr>
              <w:t>4 %</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-461645</wp:posOffset>
            </wp:positionV>
            <wp:extent cx="10287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-444500</wp:posOffset>
            </wp:positionV>
            <wp:extent cx="10287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-461645</wp:posOffset>
            </wp:positionV>
            <wp:extent cx="10287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-444500</wp:posOffset>
            </wp:positionV>
            <wp:extent cx="10287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-461645</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-444500</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-161290</wp:posOffset>
            </wp:positionV>
            <wp:extent cx="10287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-144145</wp:posOffset>
            </wp:positionV>
            <wp:extent cx="10287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-161290</wp:posOffset>
            </wp:positionV>
            <wp:extent cx="10287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-144145</wp:posOffset>
            </wp:positionV>
            <wp:extent cx="10287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-161290</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-144145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Revenues</w:t>
      </w:r>
    </w:p>
    <w:p>
      <w:pPr>
        <w:spacing w:after="0" w:line="177" w:lineRule="exact"/>
        <w:rPr>
          <w:sz w:val="20"/>
          <w:szCs w:val="20"/>
          <w:color w:val="auto"/>
        </w:rPr>
      </w:pPr>
    </w:p>
    <w:p>
      <w:pPr>
        <w:ind w:right="240"/>
        <w:spacing w:after="0" w:line="235" w:lineRule="auto"/>
        <w:rPr>
          <w:sz w:val="20"/>
          <w:szCs w:val="20"/>
          <w:color w:val="auto"/>
        </w:rPr>
      </w:pPr>
      <w:r>
        <w:rPr>
          <w:rFonts w:ascii="Calibri" w:cs="Calibri" w:eastAsia="Calibri" w:hAnsi="Calibri"/>
          <w:sz w:val="18"/>
          <w:szCs w:val="18"/>
          <w:color w:val="auto"/>
        </w:rPr>
        <w:t>The improvement in Advanced Materials and Chemicals revenues of approximately $16 million in 2024 was primarily the result of pricing and product mix improvements in Industrial Film and Chemicals ($11 million) and volume increases in Moton Picture ($3 million).</w:t>
      </w:r>
    </w:p>
    <w:p>
      <w:pPr>
        <w:spacing w:after="0" w:line="18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Operatonal EBITDA</w:t>
      </w:r>
    </w:p>
    <w:p>
      <w:pPr>
        <w:spacing w:after="0" w:line="177" w:lineRule="exact"/>
        <w:rPr>
          <w:sz w:val="20"/>
          <w:szCs w:val="20"/>
          <w:color w:val="auto"/>
        </w:rPr>
      </w:pPr>
    </w:p>
    <w:p>
      <w:pPr>
        <w:spacing w:after="0" w:line="254" w:lineRule="auto"/>
        <w:rPr>
          <w:sz w:val="20"/>
          <w:szCs w:val="20"/>
          <w:color w:val="auto"/>
        </w:rPr>
      </w:pPr>
      <w:r>
        <w:rPr>
          <w:rFonts w:ascii="Calibri" w:cs="Calibri" w:eastAsia="Calibri" w:hAnsi="Calibri"/>
          <w:sz w:val="17"/>
          <w:szCs w:val="17"/>
          <w:color w:val="auto"/>
        </w:rPr>
        <w:t>Advanced Materials and Chemicals Operatonal EBITDA improved approximately $7 million in 2024, and primarily refected improved pricing and product mix in Industrial Film and Chemicals ($11 million), higher volumes in Moton Picture ($1 million) and lower research and development and manufacturing costs ($2 million and $1 million, respectvely), partally ofset by lower margins in Industrial Film and Chemicals ($6 million) and higher SG&amp;A costs ($3 million).</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460" w:type="dxa"/>
            <w:vAlign w:val="bottom"/>
          </w:tcPr>
          <w:p>
            <w:pPr>
              <w:spacing w:after="0"/>
              <w:rPr>
                <w:sz w:val="20"/>
                <w:szCs w:val="20"/>
                <w:color w:val="auto"/>
              </w:rPr>
            </w:pPr>
            <w:r>
              <w:rPr>
                <w:rFonts w:ascii="Calibri" w:cs="Calibri" w:eastAsia="Calibri" w:hAnsi="Calibri"/>
                <w:sz w:val="18"/>
                <w:szCs w:val="18"/>
                <w:b w:val="1"/>
                <w:bCs w:val="1"/>
                <w:color w:val="auto"/>
              </w:rPr>
              <w:t>BRAND SEGMENT</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6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920" w:type="dxa"/>
            <w:vAlign w:val="bottom"/>
            <w:gridSpan w:val="4"/>
          </w:tcPr>
          <w:p>
            <w:pPr>
              <w:jc w:val="center"/>
              <w:spacing w:after="0"/>
              <w:rPr>
                <w:sz w:val="20"/>
                <w:szCs w:val="20"/>
                <w:color w:val="auto"/>
              </w:rPr>
            </w:pPr>
            <w:r>
              <w:rPr>
                <w:rFonts w:ascii="Calibri" w:cs="Calibri" w:eastAsia="Calibri" w:hAnsi="Calibri"/>
                <w:sz w:val="18"/>
                <w:szCs w:val="18"/>
                <w:b w:val="1"/>
                <w:bCs w:val="1"/>
                <w:color w:val="auto"/>
                <w:w w:val="97"/>
              </w:rPr>
              <w:t>Year Ended December 31,</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4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460" w:type="dxa"/>
            <w:vAlign w:val="bottom"/>
          </w:tcPr>
          <w:p>
            <w:pPr>
              <w:ind w:left="20"/>
              <w:spacing w:after="0"/>
              <w:rPr>
                <w:sz w:val="20"/>
                <w:szCs w:val="20"/>
                <w:color w:val="auto"/>
              </w:rPr>
            </w:pPr>
            <w:r>
              <w:rPr>
                <w:rFonts w:ascii="Calibri" w:cs="Calibri" w:eastAsia="Calibri" w:hAnsi="Calibri"/>
                <w:sz w:val="14"/>
                <w:szCs w:val="14"/>
                <w:color w:val="auto"/>
              </w:rPr>
              <w:t>(in millions)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line="209" w:lineRule="exact"/>
              <w:rPr>
                <w:sz w:val="20"/>
                <w:szCs w:val="20"/>
                <w:color w:val="auto"/>
              </w:rPr>
            </w:pPr>
            <w:r>
              <w:rPr>
                <w:rFonts w:ascii="Calibri" w:cs="Calibri" w:eastAsia="Calibri" w:hAnsi="Calibri"/>
                <w:sz w:val="18"/>
                <w:szCs w:val="18"/>
                <w:b w:val="1"/>
                <w:bCs w:val="1"/>
                <w:color w:val="auto"/>
              </w:rPr>
              <w:t>2024</w:t>
            </w:r>
          </w:p>
        </w:tc>
        <w:tc>
          <w:tcPr>
            <w:tcW w:w="3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line="209" w:lineRule="exact"/>
              <w:rPr>
                <w:sz w:val="20"/>
                <w:szCs w:val="20"/>
                <w:color w:val="auto"/>
              </w:rPr>
            </w:pPr>
            <w:r>
              <w:rPr>
                <w:rFonts w:ascii="Calibri" w:cs="Calibri" w:eastAsia="Calibri" w:hAnsi="Calibri"/>
                <w:sz w:val="18"/>
                <w:szCs w:val="18"/>
                <w:b w:val="1"/>
                <w:bCs w:val="1"/>
                <w:color w:val="auto"/>
              </w:rPr>
              <w:t>2023</w:t>
            </w:r>
          </w:p>
        </w:tc>
        <w:tc>
          <w:tcPr>
            <w:tcW w:w="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30"/>
              <w:spacing w:after="0" w:line="209" w:lineRule="exact"/>
              <w:rPr>
                <w:sz w:val="20"/>
                <w:szCs w:val="20"/>
                <w:color w:val="auto"/>
              </w:rPr>
            </w:pPr>
            <w:r>
              <w:rPr>
                <w:rFonts w:ascii="Calibri" w:cs="Calibri" w:eastAsia="Calibri" w:hAnsi="Calibri"/>
                <w:sz w:val="18"/>
                <w:szCs w:val="18"/>
                <w:b w:val="1"/>
                <w:bCs w:val="1"/>
                <w:color w:val="auto"/>
              </w:rPr>
              <w:t>$ Change</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46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color w:val="auto"/>
              </w:rPr>
              <w:t>Revenues</w:t>
            </w:r>
          </w:p>
        </w:tc>
        <w:tc>
          <w:tcPr>
            <w:tcW w:w="300" w:type="dxa"/>
            <w:vAlign w:val="bottom"/>
            <w:shd w:val="clear" w:color="auto" w:fill="CFF0FC"/>
          </w:tcPr>
          <w:p>
            <w:pPr>
              <w:jc w:val="right"/>
              <w:ind w:right="110"/>
              <w:spacing w:after="0" w:line="210" w:lineRule="exact"/>
              <w:rPr>
                <w:sz w:val="20"/>
                <w:szCs w:val="20"/>
                <w:color w:val="auto"/>
              </w:rPr>
            </w:pPr>
            <w:r>
              <w:rPr>
                <w:rFonts w:ascii="Calibri" w:cs="Calibri" w:eastAsia="Calibri" w:hAnsi="Calibri"/>
                <w:sz w:val="18"/>
                <w:szCs w:val="18"/>
                <w:color w:val="auto"/>
                <w:w w:val="87"/>
              </w:rPr>
              <w:t>$</w:t>
            </w:r>
          </w:p>
        </w:tc>
        <w:tc>
          <w:tcPr>
            <w:tcW w:w="1020" w:type="dxa"/>
            <w:vAlign w:val="bottom"/>
            <w:shd w:val="clear" w:color="auto" w:fill="CFF0FC"/>
          </w:tcPr>
          <w:p>
            <w:pPr>
              <w:ind w:left="820"/>
              <w:spacing w:after="0" w:line="210" w:lineRule="exact"/>
              <w:rPr>
                <w:sz w:val="20"/>
                <w:szCs w:val="20"/>
                <w:color w:val="auto"/>
              </w:rPr>
            </w:pPr>
            <w:r>
              <w:rPr>
                <w:rFonts w:ascii="Calibri" w:cs="Calibri" w:eastAsia="Calibri" w:hAnsi="Calibri"/>
                <w:sz w:val="18"/>
                <w:szCs w:val="18"/>
                <w:color w:val="auto"/>
                <w:w w:val="98"/>
              </w:rPr>
              <w:t>20</w:t>
            </w:r>
          </w:p>
        </w:tc>
        <w:tc>
          <w:tcPr>
            <w:tcW w:w="600" w:type="dxa"/>
            <w:vAlign w:val="bottom"/>
            <w:gridSpan w:val="2"/>
            <w:shd w:val="clear" w:color="auto" w:fill="CFF0FC"/>
          </w:tcPr>
          <w:p>
            <w:pPr>
              <w:jc w:val="right"/>
              <w:ind w:right="200"/>
              <w:spacing w:after="0" w:line="210" w:lineRule="exact"/>
              <w:rPr>
                <w:sz w:val="20"/>
                <w:szCs w:val="20"/>
                <w:color w:val="auto"/>
              </w:rPr>
            </w:pPr>
            <w:r>
              <w:rPr>
                <w:rFonts w:ascii="Calibri" w:cs="Calibri" w:eastAsia="Calibri" w:hAnsi="Calibri"/>
                <w:sz w:val="18"/>
                <w:szCs w:val="18"/>
                <w:color w:val="auto"/>
              </w:rPr>
              <w:t>$</w:t>
            </w:r>
          </w:p>
        </w:tc>
        <w:tc>
          <w:tcPr>
            <w:tcW w:w="1020" w:type="dxa"/>
            <w:vAlign w:val="bottom"/>
            <w:shd w:val="clear" w:color="auto" w:fill="CFF0FC"/>
          </w:tcPr>
          <w:p>
            <w:pPr>
              <w:ind w:left="820"/>
              <w:spacing w:after="0" w:line="210" w:lineRule="exact"/>
              <w:rPr>
                <w:sz w:val="20"/>
                <w:szCs w:val="20"/>
                <w:color w:val="auto"/>
              </w:rPr>
            </w:pPr>
            <w:r>
              <w:rPr>
                <w:rFonts w:ascii="Calibri" w:cs="Calibri" w:eastAsia="Calibri" w:hAnsi="Calibri"/>
                <w:sz w:val="18"/>
                <w:szCs w:val="18"/>
                <w:color w:val="auto"/>
                <w:w w:val="98"/>
              </w:rPr>
              <w:t>17</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line="210" w:lineRule="exact"/>
              <w:rPr>
                <w:sz w:val="20"/>
                <w:szCs w:val="20"/>
                <w:color w:val="auto"/>
              </w:rPr>
            </w:pPr>
            <w:r>
              <w:rPr>
                <w:rFonts w:ascii="Calibri" w:cs="Calibri" w:eastAsia="Calibri" w:hAnsi="Calibri"/>
                <w:sz w:val="18"/>
                <w:szCs w:val="18"/>
                <w:color w:val="auto"/>
                <w:w w:val="87"/>
              </w:rPr>
              <w:t>$</w:t>
            </w:r>
          </w:p>
        </w:tc>
        <w:tc>
          <w:tcPr>
            <w:tcW w:w="110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646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460" w:type="dxa"/>
            <w:vAlign w:val="bottom"/>
            <w:tcBorders>
              <w:bottom w:val="single" w:sz="8" w:color="CFF0FC"/>
            </w:tcBorders>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Operatonal EBITDA</w:t>
            </w:r>
          </w:p>
        </w:tc>
        <w:tc>
          <w:tcPr>
            <w:tcW w:w="30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ind w:left="820"/>
              <w:spacing w:after="0" w:line="215" w:lineRule="exact"/>
              <w:rPr>
                <w:sz w:val="20"/>
                <w:szCs w:val="20"/>
                <w:color w:val="auto"/>
              </w:rPr>
            </w:pPr>
            <w:r>
              <w:rPr>
                <w:rFonts w:ascii="Calibri" w:cs="Calibri" w:eastAsia="Calibri" w:hAnsi="Calibri"/>
                <w:sz w:val="18"/>
                <w:szCs w:val="18"/>
                <w:color w:val="auto"/>
                <w:w w:val="98"/>
              </w:rPr>
              <w:t>17</w:t>
            </w:r>
          </w:p>
        </w:tc>
        <w:tc>
          <w:tcPr>
            <w:tcW w:w="30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ind w:left="820"/>
              <w:spacing w:after="0" w:line="215" w:lineRule="exact"/>
              <w:rPr>
                <w:sz w:val="20"/>
                <w:szCs w:val="20"/>
                <w:color w:val="auto"/>
              </w:rPr>
            </w:pPr>
            <w:r>
              <w:rPr>
                <w:rFonts w:ascii="Calibri" w:cs="Calibri" w:eastAsia="Calibri" w:hAnsi="Calibri"/>
                <w:sz w:val="18"/>
                <w:szCs w:val="18"/>
                <w:color w:val="auto"/>
                <w:w w:val="98"/>
              </w:rPr>
              <w:t>15</w:t>
            </w:r>
          </w:p>
        </w:tc>
        <w:tc>
          <w:tcPr>
            <w:tcW w:w="3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110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6460" w:type="dxa"/>
            <w:vAlign w:val="bottom"/>
          </w:tcPr>
          <w:p>
            <w:pPr>
              <w:ind w:left="20"/>
              <w:spacing w:after="0" w:line="196" w:lineRule="exact"/>
              <w:rPr>
                <w:sz w:val="20"/>
                <w:szCs w:val="20"/>
                <w:color w:val="auto"/>
              </w:rPr>
            </w:pPr>
            <w:r>
              <w:rPr>
                <w:rFonts w:ascii="Calibri" w:cs="Calibri" w:eastAsia="Calibri" w:hAnsi="Calibri"/>
                <w:sz w:val="18"/>
                <w:szCs w:val="18"/>
                <w:color w:val="auto"/>
              </w:rPr>
              <w:t>Operatonal EBITDA as a % of revenues</w:t>
            </w:r>
          </w:p>
        </w:tc>
        <w:tc>
          <w:tcPr>
            <w:tcW w:w="300" w:type="dxa"/>
            <w:vAlign w:val="bottom"/>
          </w:tcPr>
          <w:p>
            <w:pPr>
              <w:spacing w:after="0"/>
              <w:rPr>
                <w:sz w:val="16"/>
                <w:szCs w:val="16"/>
                <w:color w:val="auto"/>
              </w:rPr>
            </w:pPr>
          </w:p>
        </w:tc>
        <w:tc>
          <w:tcPr>
            <w:tcW w:w="1320" w:type="dxa"/>
            <w:vAlign w:val="bottom"/>
            <w:gridSpan w:val="2"/>
          </w:tcPr>
          <w:p>
            <w:pPr>
              <w:ind w:left="820"/>
              <w:spacing w:after="0" w:line="196" w:lineRule="exact"/>
              <w:rPr>
                <w:sz w:val="20"/>
                <w:szCs w:val="20"/>
                <w:color w:val="auto"/>
              </w:rPr>
            </w:pPr>
            <w:r>
              <w:rPr>
                <w:rFonts w:ascii="Calibri" w:cs="Calibri" w:eastAsia="Calibri" w:hAnsi="Calibri"/>
                <w:sz w:val="18"/>
                <w:szCs w:val="18"/>
                <w:color w:val="auto"/>
              </w:rPr>
              <w:t>85 %</w:t>
            </w:r>
          </w:p>
        </w:tc>
        <w:tc>
          <w:tcPr>
            <w:tcW w:w="300" w:type="dxa"/>
            <w:vAlign w:val="bottom"/>
          </w:tcPr>
          <w:p>
            <w:pPr>
              <w:spacing w:after="0"/>
              <w:rPr>
                <w:sz w:val="16"/>
                <w:szCs w:val="16"/>
                <w:color w:val="auto"/>
              </w:rPr>
            </w:pPr>
          </w:p>
        </w:tc>
        <w:tc>
          <w:tcPr>
            <w:tcW w:w="1320" w:type="dxa"/>
            <w:vAlign w:val="bottom"/>
            <w:gridSpan w:val="2"/>
          </w:tcPr>
          <w:p>
            <w:pPr>
              <w:ind w:left="820"/>
              <w:spacing w:after="0" w:line="196" w:lineRule="exact"/>
              <w:rPr>
                <w:sz w:val="20"/>
                <w:szCs w:val="20"/>
                <w:color w:val="auto"/>
              </w:rPr>
            </w:pPr>
            <w:r>
              <w:rPr>
                <w:rFonts w:ascii="Calibri" w:cs="Calibri" w:eastAsia="Calibri" w:hAnsi="Calibri"/>
                <w:sz w:val="18"/>
                <w:szCs w:val="18"/>
                <w:color w:val="auto"/>
              </w:rPr>
              <w:t>88 %</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-461645</wp:posOffset>
            </wp:positionV>
            <wp:extent cx="1028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-444500</wp:posOffset>
            </wp:positionV>
            <wp:extent cx="10287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-461645</wp:posOffset>
            </wp:positionV>
            <wp:extent cx="10287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-444500</wp:posOffset>
            </wp:positionV>
            <wp:extent cx="10287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-461645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-444500</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-161290</wp:posOffset>
            </wp:positionV>
            <wp:extent cx="10287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-144145</wp:posOffset>
            </wp:positionV>
            <wp:extent cx="10287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-161290</wp:posOffset>
            </wp:positionV>
            <wp:extent cx="10287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-144145</wp:posOffset>
            </wp:positionV>
            <wp:extent cx="10287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-161290</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-144145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Calibri" w:cs="Calibri" w:eastAsia="Calibri" w:hAnsi="Calibri"/>
          <w:sz w:val="18"/>
          <w:szCs w:val="18"/>
          <w:color w:val="auto"/>
        </w:rPr>
        <w:t>There were no material changes to Brand revenues or Operatonal EBITDA in 2024.</w:t>
      </w:r>
    </w:p>
    <w:p>
      <w:pPr>
        <w:spacing w:after="0" w:line="172" w:lineRule="exact"/>
        <w:rPr>
          <w:sz w:val="20"/>
          <w:szCs w:val="20"/>
          <w:color w:val="auto"/>
        </w:rPr>
      </w:pPr>
    </w:p>
    <w:p>
      <w:pPr>
        <w:ind w:left="5540"/>
        <w:spacing w:after="0"/>
        <w:rPr>
          <w:sz w:val="20"/>
          <w:szCs w:val="20"/>
          <w:color w:val="auto"/>
        </w:rPr>
      </w:pPr>
      <w:r>
        <w:rPr>
          <w:rFonts w:ascii="Calibri" w:cs="Calibri" w:eastAsia="Calibri" w:hAnsi="Calibri"/>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2" w:right="359" w:bottom="1440" w:gutter="0" w:footer="0" w:header="0"/>
        </w:sectPr>
      </w:pPr>
    </w:p>
    <w:bookmarkStart w:id="40" w:name="page41"/>
    <w:bookmarkEnd w:id="40"/>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RESTRUCTURING COSTS AND OTHER</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2024</w:t>
      </w:r>
    </w:p>
    <w:p>
      <w:pPr>
        <w:spacing w:after="0" w:line="177" w:lineRule="exact"/>
        <w:rPr>
          <w:sz w:val="20"/>
          <w:szCs w:val="20"/>
          <w:color w:val="auto"/>
        </w:rPr>
      </w:pPr>
    </w:p>
    <w:p>
      <w:pPr>
        <w:ind w:right="180"/>
        <w:spacing w:after="0" w:line="235" w:lineRule="auto"/>
        <w:rPr>
          <w:sz w:val="20"/>
          <w:szCs w:val="20"/>
          <w:color w:val="auto"/>
        </w:rPr>
      </w:pPr>
      <w:r>
        <w:rPr>
          <w:rFonts w:ascii="Calibri" w:cs="Calibri" w:eastAsia="Calibri" w:hAnsi="Calibri"/>
          <w:sz w:val="18"/>
          <w:szCs w:val="18"/>
          <w:color w:val="auto"/>
        </w:rPr>
        <w:t>Restructuring actons taken in 2024 were initated to reduce Kodak’s cost structure as part of its commitment to drive sustainable proftability and included various targeted reductons in manufacturing, service, sales and administratve, and research and development functons.</w:t>
      </w:r>
    </w:p>
    <w:p>
      <w:pPr>
        <w:spacing w:after="0" w:line="191" w:lineRule="exact"/>
        <w:rPr>
          <w:sz w:val="20"/>
          <w:szCs w:val="20"/>
          <w:color w:val="auto"/>
        </w:rPr>
      </w:pPr>
    </w:p>
    <w:p>
      <w:pPr>
        <w:ind w:right="320"/>
        <w:spacing w:after="0" w:line="235" w:lineRule="auto"/>
        <w:rPr>
          <w:sz w:val="20"/>
          <w:szCs w:val="20"/>
          <w:color w:val="auto"/>
        </w:rPr>
      </w:pPr>
      <w:r>
        <w:rPr>
          <w:rFonts w:ascii="Calibri" w:cs="Calibri" w:eastAsia="Calibri" w:hAnsi="Calibri"/>
          <w:sz w:val="18"/>
          <w:szCs w:val="18"/>
          <w:color w:val="auto"/>
        </w:rPr>
        <w:t>As a result of these actons, for the year ended December 31, 2024, Kodak recorded $8 million of charges which were reported in Restructuring costs and other in the Consolidated Statement of Operatons.</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color w:val="auto"/>
        </w:rPr>
        <w:t>Kodak made cash payments related to restructuring of approximately $7 million for the year ended December 31, 2024.</w:t>
      </w:r>
    </w:p>
    <w:p>
      <w:pPr>
        <w:spacing w:after="0" w:line="177"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The restructuring actons implemented in 2024 are expected to generate future annual cash savings of approximately $12 million. These savings are expected to reduce future annual Cost of revenues and SG&amp;A expenses by $5 million and $7 million, respectvely. Kodak expects the majority of the annual savings to take efect by the end of 2025 as actons are completed. See Note 18, “Restructuring Costs and Other” for additonal informaton on Kodak’s restructuring actons.</w:t>
      </w:r>
    </w:p>
    <w:p>
      <w:pPr>
        <w:spacing w:after="0" w:line="18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LIQUIDITY AND CAPITAL RESOURCES</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Management</w:t>
      </w:r>
      <w:r>
        <w:rPr>
          <w:rFonts w:ascii="Calibri" w:cs="Calibri" w:eastAsia="Calibri" w:hAnsi="Calibri"/>
          <w:sz w:val="18"/>
          <w:szCs w:val="18"/>
          <w:color w:val="auto"/>
        </w:rPr>
        <w:t>’</w:t>
      </w:r>
      <w:r>
        <w:rPr>
          <w:rFonts w:ascii="Calibri" w:cs="Calibri" w:eastAsia="Calibri" w:hAnsi="Calibri"/>
          <w:sz w:val="18"/>
          <w:szCs w:val="18"/>
          <w:b w:val="1"/>
          <w:bCs w:val="1"/>
          <w:i w:val="1"/>
          <w:iCs w:val="1"/>
          <w:color w:val="auto"/>
        </w:rPr>
        <w:t>s Assessment of Liquidity</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color w:val="auto"/>
        </w:rPr>
        <w:t>Kodak ended the year with a cash balance of $201 million, a decrease of $54 million from December 31, 2023.</w:t>
      </w:r>
    </w:p>
    <w:p>
      <w:pPr>
        <w:spacing w:after="0" w:line="190" w:lineRule="exact"/>
        <w:rPr>
          <w:sz w:val="20"/>
          <w:szCs w:val="20"/>
          <w:color w:val="auto"/>
        </w:rPr>
      </w:pPr>
    </w:p>
    <w:p>
      <w:pPr>
        <w:ind w:right="160"/>
        <w:spacing w:after="0" w:line="235" w:lineRule="auto"/>
        <w:rPr>
          <w:sz w:val="20"/>
          <w:szCs w:val="20"/>
          <w:color w:val="auto"/>
        </w:rPr>
      </w:pPr>
      <w:r>
        <w:rPr>
          <w:rFonts w:ascii="Calibri" w:cs="Calibri" w:eastAsia="Calibri" w:hAnsi="Calibri"/>
          <w:sz w:val="18"/>
          <w:szCs w:val="18"/>
          <w:color w:val="auto"/>
        </w:rPr>
        <w:t>The refnancing transactons entered into during 2023, cash proceeds related to brand licensing arrangements and savings relatng to ratonalizaton, cost reductons and operatonal efciencies provided additonal liquidity to the Company to fund on‐going operatons and to invest in growth opportunites in Kodak’s businesses of print and advanced materials and chemicals and for corporate infrastructure investments expected to contribute to improvements in cash fow.</w:t>
      </w:r>
    </w:p>
    <w:p>
      <w:pPr>
        <w:spacing w:after="0" w:line="179"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Available liquidity includes existng cash balances. The amount of available liquidity is subject to fuctuatons and includes cash balances held by various enttes worldwide. At December 31, 2024 and 2023 approximately $118 million and $167 million, respectvely, of cash and cash equivalents were held within the U.S. and approximately $83 million and $88 million, respectvely, of cash and cash equivalents were held outside the U.S. Cash balances held outside the U.S. are generally required to support local country operatons and may have high tax costs or other limitatons that delay the ability to repatriate, and therefore may not be readily available for transfer to other jurisdictons. Kodak utlizes cash balances outside the U.S. to fund needs in the U.S. through the use of intercompany loans.</w:t>
      </w:r>
    </w:p>
    <w:p>
      <w:pPr>
        <w:spacing w:after="0" w:line="181"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As of December 31, 2024 and 2023, outstanding intercompany loans to the U.S. were $483 million and $460 million, respectvely, which included short-term intercompany loans from Kodak’s internatonal fnance center of $208 million and $173 million, respectvely</w:t>
      </w:r>
      <w:r>
        <w:rPr>
          <w:rFonts w:ascii="Calibri" w:cs="Calibri" w:eastAsia="Calibri" w:hAnsi="Calibri"/>
          <w:sz w:val="18"/>
          <w:szCs w:val="18"/>
          <w:b w:val="1"/>
          <w:bCs w:val="1"/>
          <w:color w:val="auto"/>
        </w:rPr>
        <w:t>.</w:t>
      </w:r>
      <w:r>
        <w:rPr>
          <w:rFonts w:ascii="Calibri" w:cs="Calibri" w:eastAsia="Calibri" w:hAnsi="Calibri"/>
          <w:sz w:val="18"/>
          <w:szCs w:val="18"/>
          <w:color w:val="auto"/>
        </w:rPr>
        <w:t xml:space="preserve"> In China, where approximately $29 million of cash and cash equivalents was held as of both December 31, 2024 and 2023, there are limitatons related to net asset balances that may impact the ability to make cash available to other jurisdictons in the world. Under the terms of the Amended and Restated Term Loan Credit Agreement, the Company is permited to invest up to $60 million (or $75 million afer the Deleveraging Milestone Date) in Restricted Subsidiaries that are not Loan Partes and in joint ventures or Unrestricted Subsidiaries that are not party to the Amended and Restated Term Loan Credit Agreement.</w:t>
      </w:r>
    </w:p>
    <w:p>
      <w:pPr>
        <w:spacing w:after="0" w:line="221" w:lineRule="exact"/>
        <w:rPr>
          <w:sz w:val="20"/>
          <w:szCs w:val="20"/>
          <w:color w:val="auto"/>
        </w:rPr>
      </w:pPr>
    </w:p>
    <w:p>
      <w:pPr>
        <w:ind w:right="40"/>
        <w:spacing w:after="0" w:line="250" w:lineRule="auto"/>
        <w:rPr>
          <w:sz w:val="20"/>
          <w:szCs w:val="20"/>
          <w:color w:val="auto"/>
        </w:rPr>
      </w:pPr>
      <w:r>
        <w:rPr>
          <w:rFonts w:ascii="Calibri" w:cs="Calibri" w:eastAsia="Calibri" w:hAnsi="Calibri"/>
          <w:sz w:val="17"/>
          <w:szCs w:val="17"/>
          <w:color w:val="auto"/>
        </w:rPr>
        <w:t>The Company’s Hong Kong subsidiary has an intercompany loan from one of the Company’s Chinese subsidiaries with a maturity date of November 16, 2024, the proceeds of which were in turn loaned to the Company. The terms of the intercompany loan were modifed during the fourth quarter of 2024 to extend the maturity date to November 16, 2026 and for the Company to make eforts to repay the outstanding loan balance prior to maturity. The prior intercompany loan agreement provided for it to be repaid over two years in four equal $20 million installments, the frst of which was due by November 16, 2023 with the remaining installments due in 2024. The Company paid $2 million in the frst quarter of 2024 and $10 million in the second quarter of 2024 towards the frst $20 million installment. The outstanding amount of the intercompany loan as of December 31, 2024 was $68 million. The Company is evaluatng repayment alternatves for the current loan agreement which would allow Kodak and its subsidiaries to perform their obligatons to each other while minimizing the impact on U.S. liquidity taking into account requirements imposed by Chinese regulators. Any amounts repaid to the Chinese subsidiary may not be able to be loaned, repatriated or otherwise moved back to the U.S., in which case the Company’s U.S. liquidity would be reduced.</w:t>
      </w:r>
    </w:p>
    <w:p>
      <w:pPr>
        <w:spacing w:after="0" w:line="215"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During the third quarter of 2023, Kodak entered into multple long-term brand licensing arrangements and recorded total deferred revenue of approximately $57 million. Kodak received approximately $12 million of cash proceeds related to these licensing arrangements in 2023, received $40 million in the frst quarter of 2024 and expects to receive $5 million in 2025.</w:t>
      </w:r>
    </w:p>
    <w:p>
      <w:pPr>
        <w:spacing w:after="0" w:line="187"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311150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1" w:name="page42"/>
    <w:bookmarkEnd w:id="41"/>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20"/>
        <w:spacing w:after="0" w:line="239" w:lineRule="auto"/>
        <w:rPr>
          <w:sz w:val="20"/>
          <w:szCs w:val="20"/>
          <w:color w:val="auto"/>
        </w:rPr>
      </w:pPr>
      <w:r>
        <w:rPr>
          <w:rFonts w:ascii="Calibri" w:cs="Calibri" w:eastAsia="Calibri" w:hAnsi="Calibri"/>
          <w:sz w:val="18"/>
          <w:szCs w:val="18"/>
          <w:color w:val="auto"/>
        </w:rPr>
        <w:t>Kodak's cash fows contnue to be negatvely impacted by volume declines, higher manufacturing costs and increased labor, material and distributon costs, supply chain disruptons and shortages in materials and labor. The impacts from price increases, contnued cost reducton actons and supply chain-related cost improvements contnue to positvely impact Kodak’s operatons. The economic uncertaintes surrounding the current infatonary environment and other global events represent additonal elements of complexity in Kodak’s plans to return to sustainable positve cash fow. The Company cannot predict the duraton and scope of such events, including the war in Ukraine and the conficts involving Israel, and other factors such as the ability to contnue to secure raw materials and components, the impact of rising costs of labor, commodity and distributon costs, the ability to maintain current pricing levels or how quickly and to what extent normal economic and operatng conditons can resume</w:t>
      </w:r>
      <w:r>
        <w:rPr>
          <w:rFonts w:ascii="Times New Roman" w:cs="Times New Roman" w:eastAsia="Times New Roman" w:hAnsi="Times New Roman"/>
          <w:sz w:val="18"/>
          <w:szCs w:val="18"/>
          <w:color w:val="auto"/>
        </w:rPr>
        <w:t>.</w:t>
      </w:r>
    </w:p>
    <w:p>
      <w:pPr>
        <w:spacing w:after="0" w:line="210"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color w:val="auto"/>
        </w:rPr>
        <w:t>Kodak's plans to return to sustainable positve cash fow include generatng proftable revenues through contnued pricing actons and customer-focused initatves, implementng efectve working capital utlizaton, reducing operatng expenses, contnuing to simplify the organizatonal structure, investng in IT systems to drive operatonal efciencies, generatng cash from selling and leasing underutlized assets or through new licensing opportunites and implementng ways to reduce cash collateral needs. In additon, proceeds received from the setlement of the KRIP, afer required debt prepayments, as further discussed below, would be available for use for strategic growth or general corporate purposes.</w:t>
      </w:r>
    </w:p>
    <w:p>
      <w:pPr>
        <w:spacing w:after="0" w:line="220" w:lineRule="exact"/>
        <w:rPr>
          <w:sz w:val="20"/>
          <w:szCs w:val="20"/>
          <w:color w:val="auto"/>
        </w:rPr>
      </w:pPr>
    </w:p>
    <w:p>
      <w:pPr>
        <w:ind w:right="280"/>
        <w:spacing w:after="0" w:line="235" w:lineRule="auto"/>
        <w:rPr>
          <w:sz w:val="20"/>
          <w:szCs w:val="20"/>
          <w:color w:val="auto"/>
        </w:rPr>
      </w:pPr>
      <w:r>
        <w:rPr>
          <w:rFonts w:ascii="Calibri" w:cs="Calibri" w:eastAsia="Calibri" w:hAnsi="Calibri"/>
          <w:sz w:val="18"/>
          <w:szCs w:val="18"/>
          <w:color w:val="auto"/>
        </w:rPr>
        <w:t>Kodak believes its liquidity positon is adequate to fund its operatng and investng needs and to provide the fexibility to respond as necessary to ordinary changes in the business and economic environment within the next twelve months from the date of this fling.</w:t>
      </w:r>
    </w:p>
    <w:p>
      <w:pPr>
        <w:spacing w:after="0" w:line="218"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color w:val="auto"/>
        </w:rPr>
        <w:t>On February 26, 2025, the Company entered into an amendment to the Amended and Restated Term Loan Credit Agreement (the “2025 Term Loan Credit Agreement Amendment”) and an amendment to the Amended and Restated L/C Facility Agreement (the “2025 L/C Facility Agreement Amendment”) to modify the maturity date of each respectve agreement. To the extent the Series B or Series C Preferred Stock maturity date is not extended, and the shares remain outstanding, then the maturity date of the Term Loans under the 2025 Amended and Restated Term Loan Credit Agreement will be accelerated from August 15, 2028 to May 21, 2026. In additon, the maturity date of the 2025 Amended and Restated L/C Facility Agreement would be accelerated to May 11, 2026.</w:t>
      </w:r>
    </w:p>
    <w:p>
      <w:pPr>
        <w:spacing w:after="0" w:line="221"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Kodak’s ability to adequately fund its long‐term liquidity, debt service and capital requirements will be dependent on its ability to convert, redeem, extend or refnance the existng Series B and Series C Preferred Stock past their current maturites of May 26, 2026, to obtain sufcient proceeds from the setlement of KRIP to reduce the amount of the Term Loans and to use in the funding of the Company’s strategic growth initatves, to generate positve cash fows from operatons and to manage world‐wide cash through intercompany loans, distributons or other mechanisms.</w:t>
      </w:r>
    </w:p>
    <w:p>
      <w:pPr>
        <w:spacing w:after="0" w:line="18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KODAK RETIREMENT INCOME PLAN</w:t>
      </w:r>
    </w:p>
    <w:p>
      <w:pPr>
        <w:spacing w:after="0" w:line="177"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color w:val="auto"/>
        </w:rPr>
        <w:t>On January 21, 2025, the Board of Directors of Kodak approved the terminaton of KRIP efectve March 31, 2025, at which tme all benefts under KRIP will be frozen. Kodak expects that KRIP’s liabilites would be satsfed through a combinaton of lump sum distributons to actve and terminated vested partcipants who elect a lump sum distributon and the purchase of an annuity from an insurance company with respect to existng KRIP annuity obligatons for current retrees and benefciaries and annuity obligatons arising from the terminaton to actve and terminated vested partcipants who do not elect to receive lump sum distributons. The cost to satsfy KRIP’s liabilites will be afected by a variety of factors including interest rate fuctuatons, the porton of actve and terminated vested partcipants who elect lump-sum distributons, the premium payable to purchase the annuity, and other actuarial factors used to calculate the value of KRIP’s ongoing annuity obligatons. While KRIP has hedging arrangements in place designed to hedge interest rates for practcally all of KRIP’s liabilites, a signifcant porton of those arrangements are linked to fuctuatons in US treasury rates and would not hedge against changes to the diference between the discount rates used to value KRIP’s liabilites and US treasury rates (i.e., the credit spread) or non-interest rate factors that may infuence the amount of KRIP’s liabilites.</w:t>
      </w:r>
    </w:p>
    <w:p>
      <w:pPr>
        <w:spacing w:after="0" w:line="184"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Afer KRIP’s liabilites and applicable legal requirements have been satsfed, KRIP’s surplus assets would revert to Kodak as the setlor of KRIP subject to an excise tax. Based on current assumptons, Kodak estmates KRIP would have surplus assets of between $750 million and $900 million afer the satsfacton of KRIP’s liabilites. The actual amount of surplus assets available afer the satsfacton of KRIP’s liabilites will be afected by the actual amount paid to satsfy KRIP’s liabilites, the return on KRIP’s assets during the period over which KRIP’s assets are liquidated and its liabilites satsfed (the “Liquidaton Period”), the degree to which KRIP’s hedging strategy is efectve in hedging fuctuatons in the amount of KRIP’s liabilites during the Liquidaton Period, the amounts realized from Hedge Fund Assets in the course of their redempton during the Liquidaton Period, the amounts realized from distributons from or any sale of remaining KRIP Illiquid Assets during the Liquidaton Period, the value of Hedge Fund Assets or KRIP Illiquid Assets held in the portolio at the tme of reversion, actuarial experience on plan liabilites during the Liquidaton Period, the duraton of the Liquidaton Period, and the costs associated with the terminaton and liquidaton process.</w:t>
      </w:r>
    </w:p>
    <w:p>
      <w:pPr>
        <w:spacing w:after="0" w:line="192"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2" w:name="page43"/>
    <w:bookmarkEnd w:id="42"/>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In order to reduce the amount of the surplus assets subject to excise tax and to reduce the rate of the excise tax from 50% to 20%, Kodak expects that it would direct the transfer of or otherwise contribute 25% of the surplus assets (which may include all or a signifcant porton of remaining non-cash assets) to the Kodak Cash Balance Plan (the “Replacement Plan”). Afer the capitalizaton of the Replacement Plan and the payment of the 20% excise tax on the remaining surplus, Kodak projects it would receive proceeds from KRIP having a value of between $450 million and $540 million. Kodak believes no material amount of income tax would be owed on this amount due to available tax atributes. In additon to the proceeds received by Kodak from KRIP, the Replacement Plan is projected to have assets having a value of between $190 million and $225 million which would allow Kodak to provide valuable benefts to its current employee base for the foreseeable future without additonal cash cost to Kodak.</w:t>
      </w:r>
    </w:p>
    <w:p>
      <w:pPr>
        <w:spacing w:after="0" w:line="181"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Under the terms of the Amended and Restated Term Loan Credit Agreement, Kodak is obligated to use 100% of the net cash proceeds of any reversion from KRIP (“Reversion Proceeds”) to prepay Term Loans outstanding under the Amended and Restated Term Loan Credit Agreement untl the amount of the Term Loans is reduced to $300 million and, thereafer, to use 50% of the Reversion Proceeds to prepay Term Loans untl the amount of the Term Loans is reduced to $200 million, in each case plus a 1% prepayment fee. Reversion Proceeds not used to prepay Term Loans would be included in the calculaton of Excess Cash Flow as defned in the Amended and Restated Term Loan Credit Agreement and could thereby trigger additonal prepayment obligatons under the Amended and Restated Term Loan Credit Agreement which cannot be estmated at this tme. Assuming these obligatons are not amended, waived or otherwise modifed in the interim, no other prepayments are made in the interim, and Kodak uses the Reversion Proceeds to prepay only the minimum amount required under the Amended and Restated Term Loan Credit Agreement, Kodak expects it would use approximately $290 million of the Reversion Proceeds to satsfy these obligatons, leaving a Term Loan balance of $200 million and yielding an annual interest cost savings of approximately $40 million. Based on all of the foregoing projectons and afer the projected prepayment of Term Loans, Kodak projects that it would receive cash or other assets from the KRIP surplus having a value of between $160 million and $250 million.</w:t>
      </w:r>
    </w:p>
    <w:p>
      <w:pPr>
        <w:spacing w:after="0" w:line="185" w:lineRule="exact"/>
        <w:rPr>
          <w:sz w:val="20"/>
          <w:szCs w:val="20"/>
          <w:color w:val="auto"/>
        </w:rPr>
      </w:pPr>
    </w:p>
    <w:p>
      <w:pPr>
        <w:ind w:right="100"/>
        <w:spacing w:after="0" w:line="235" w:lineRule="auto"/>
        <w:rPr>
          <w:sz w:val="20"/>
          <w:szCs w:val="20"/>
          <w:color w:val="auto"/>
        </w:rPr>
      </w:pPr>
      <w:r>
        <w:rPr>
          <w:rFonts w:ascii="Calibri" w:cs="Calibri" w:eastAsia="Calibri" w:hAnsi="Calibri"/>
          <w:sz w:val="18"/>
          <w:szCs w:val="18"/>
          <w:color w:val="auto"/>
        </w:rPr>
        <w:t>At the tme the formal determinaton was made to terminate KRIP, Kodak estmated that it would take between 10 and 12 months to determine and satsfy KRIP’s liabilites and between 11 and 15 months before Kodak receives any Reversion Proceeds; however, these tme frames are subject to factors beyond Kodak’s control including (i) the availability of an annuity product to satsfy KRIP’s annuity obligatons at an acceptable cost and on acceptable terms, (ii) the contnued conversion of investments into cash or other liquid assets at the pace currently antcipated, and (iii) regulatory review and approval of various aspects of the terms of KRIP, KRIP’s actvites, and the terminaton and liquidaton process.</w:t>
      </w:r>
    </w:p>
    <w:p>
      <w:pPr>
        <w:spacing w:after="0" w:line="18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Amended and Restated Term Loan Credit Agreement</w:t>
      </w:r>
    </w:p>
    <w:p>
      <w:pPr>
        <w:spacing w:after="0" w:line="177"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color w:val="auto"/>
        </w:rPr>
        <w:t>During the frst quarter of 2024, the Company prepaid $17 million of the Term Loans with net proceeds from the sale of Target Non-Core Assets (as defned in the Amended and Restated Term Loan Agreement).</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Amended and Restated Leter of Credit Facility Agreement</w:t>
      </w:r>
    </w:p>
    <w:p>
      <w:pPr>
        <w:spacing w:after="0" w:line="190" w:lineRule="exact"/>
        <w:rPr>
          <w:sz w:val="20"/>
          <w:szCs w:val="20"/>
          <w:color w:val="auto"/>
        </w:rPr>
      </w:pPr>
    </w:p>
    <w:p>
      <w:pPr>
        <w:spacing w:after="0" w:line="254" w:lineRule="auto"/>
        <w:rPr>
          <w:sz w:val="20"/>
          <w:szCs w:val="20"/>
          <w:color w:val="auto"/>
        </w:rPr>
      </w:pPr>
      <w:r>
        <w:rPr>
          <w:rFonts w:ascii="Calibri" w:cs="Calibri" w:eastAsia="Calibri" w:hAnsi="Calibri"/>
          <w:sz w:val="17"/>
          <w:szCs w:val="17"/>
          <w:color w:val="auto"/>
        </w:rPr>
        <w:t>Approximately $27 million and $31 million of leters of credit were issued under the Amended and Restated L/C Facility Agreement as of December 31, 2024 and 2023, respectvely. The leters of credit under the Amended and Restated L/C Facility Agreement are collateralized by cash collateral (the “L/C Cash Collateral”). The L/C Cash Collateral was $29 million and $32 million at December 31, 2024 and 2023, respectvely, which was classifed as Restricted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59"/>
        <w:spacing w:after="0"/>
        <w:rPr>
          <w:sz w:val="20"/>
          <w:szCs w:val="20"/>
          <w:color w:val="auto"/>
        </w:rPr>
      </w:pPr>
      <w:r>
        <w:rPr>
          <w:rFonts w:ascii="Calibri" w:cs="Calibri" w:eastAsia="Calibri" w:hAnsi="Calibri"/>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sectPr>
      </w:pPr>
    </w:p>
    <w:bookmarkStart w:id="43" w:name="page44"/>
    <w:bookmarkEnd w:id="43"/>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Cash Flow:</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color w:val="auto"/>
        </w:rPr>
        <w:t>Cash, cash equivalents and restricted cash balances were as follows:</w:t>
      </w:r>
    </w:p>
    <w:p>
      <w:pPr>
        <w:spacing w:after="0" w:line="212" w:lineRule="exact"/>
        <w:rPr>
          <w:sz w:val="20"/>
          <w:szCs w:val="20"/>
          <w:color w:val="auto"/>
        </w:rPr>
      </w:pPr>
    </w:p>
    <w:p>
      <w:pPr>
        <w:ind w:left="8600"/>
        <w:spacing w:after="0"/>
        <w:rPr>
          <w:sz w:val="20"/>
          <w:szCs w:val="20"/>
          <w:color w:val="auto"/>
        </w:rPr>
      </w:pPr>
      <w:r>
        <w:rPr>
          <w:rFonts w:ascii="Calibri" w:cs="Calibri" w:eastAsia="Calibri" w:hAnsi="Calibri"/>
          <w:sz w:val="18"/>
          <w:szCs w:val="18"/>
          <w:b w:val="1"/>
          <w:bCs w:val="1"/>
          <w:color w:val="auto"/>
        </w:rPr>
        <w:t>As of December 31,</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620" w:type="dxa"/>
            <w:vAlign w:val="bottom"/>
          </w:tcPr>
          <w:p>
            <w:pPr>
              <w:ind w:left="20"/>
              <w:spacing w:after="0"/>
              <w:rPr>
                <w:sz w:val="20"/>
                <w:szCs w:val="20"/>
                <w:color w:val="auto"/>
              </w:rPr>
            </w:pPr>
            <w:r>
              <w:rPr>
                <w:rFonts w:ascii="Calibri" w:cs="Calibri" w:eastAsia="Calibri" w:hAnsi="Calibri"/>
                <w:sz w:val="14"/>
                <w:szCs w:val="14"/>
                <w:color w:val="auto"/>
              </w:rPr>
              <w:t>(in millions)</w:t>
            </w:r>
          </w:p>
        </w:tc>
        <w:tc>
          <w:tcPr>
            <w:tcW w:w="1120" w:type="dxa"/>
            <w:vAlign w:val="bottom"/>
            <w:tcBorders>
              <w:top w:val="single" w:sz="8" w:color="auto"/>
              <w:bottom w:val="single" w:sz="8" w:color="auto"/>
            </w:tcBorders>
          </w:tcPr>
          <w:p>
            <w:pPr>
              <w:jc w:val="right"/>
              <w:ind w:right="70"/>
              <w:spacing w:after="0"/>
              <w:rPr>
                <w:sz w:val="20"/>
                <w:szCs w:val="20"/>
                <w:color w:val="auto"/>
              </w:rPr>
            </w:pPr>
            <w:r>
              <w:rPr>
                <w:rFonts w:ascii="Calibri" w:cs="Calibri" w:eastAsia="Calibri" w:hAnsi="Calibri"/>
                <w:sz w:val="18"/>
                <w:szCs w:val="18"/>
                <w:b w:val="1"/>
                <w:bCs w:val="1"/>
                <w:color w:val="auto"/>
              </w:rPr>
              <w:t>2024</w:t>
            </w:r>
          </w:p>
        </w:tc>
        <w:tc>
          <w:tcPr>
            <w:tcW w:w="44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Calibri" w:cs="Calibri" w:eastAsia="Calibri" w:hAnsi="Calibri"/>
                <w:sz w:val="18"/>
                <w:szCs w:val="18"/>
                <w:b w:val="1"/>
                <w:bCs w:val="1"/>
                <w:color w:val="auto"/>
              </w:rPr>
              <w:t>2023</w:t>
            </w:r>
          </w:p>
        </w:tc>
        <w:tc>
          <w:tcPr>
            <w:tcW w:w="100" w:type="dxa"/>
            <w:vAlign w:val="bottom"/>
          </w:tcPr>
          <w:p>
            <w:pPr>
              <w:spacing w:after="0"/>
              <w:rPr>
                <w:sz w:val="19"/>
                <w:szCs w:val="19"/>
                <w:color w:val="auto"/>
              </w:rPr>
            </w:pPr>
          </w:p>
        </w:tc>
      </w:tr>
      <w:tr>
        <w:trPr>
          <w:trHeight w:val="250"/>
        </w:trPr>
        <w:tc>
          <w:tcPr>
            <w:tcW w:w="7620" w:type="dxa"/>
            <w:vAlign w:val="bottom"/>
            <w:tcBorders>
              <w:bottom w:val="single" w:sz="8" w:color="CFF0FC"/>
            </w:tcBorders>
            <w:shd w:val="clear" w:color="auto" w:fill="CFF0FC"/>
          </w:tcPr>
          <w:p>
            <w:pPr>
              <w:ind w:left="20"/>
              <w:spacing w:after="0" w:line="210" w:lineRule="exact"/>
              <w:rPr>
                <w:sz w:val="20"/>
                <w:szCs w:val="20"/>
                <w:color w:val="auto"/>
              </w:rPr>
            </w:pPr>
            <w:r>
              <w:rPr>
                <w:rFonts w:ascii="Calibri" w:cs="Calibri" w:eastAsia="Calibri" w:hAnsi="Calibri"/>
                <w:sz w:val="18"/>
                <w:szCs w:val="18"/>
                <w:color w:val="auto"/>
              </w:rPr>
              <w:t>Cash, cash equivalents and restricted cash</w:t>
            </w:r>
          </w:p>
        </w:tc>
        <w:tc>
          <w:tcPr>
            <w:tcW w:w="1120" w:type="dxa"/>
            <w:vAlign w:val="bottom"/>
            <w:tcBorders>
              <w:bottom w:val="single" w:sz="8" w:color="auto"/>
            </w:tcBorders>
            <w:shd w:val="clear" w:color="auto" w:fill="CFF0FC"/>
          </w:tcPr>
          <w:p>
            <w:pPr>
              <w:jc w:val="right"/>
              <w:ind w:right="930"/>
              <w:spacing w:after="0" w:line="210" w:lineRule="exact"/>
              <w:rPr>
                <w:sz w:val="20"/>
                <w:szCs w:val="20"/>
                <w:color w:val="auto"/>
              </w:rPr>
            </w:pPr>
            <w:r>
              <w:rPr>
                <w:rFonts w:ascii="Calibri" w:cs="Calibri" w:eastAsia="Calibri" w:hAnsi="Calibri"/>
                <w:sz w:val="18"/>
                <w:szCs w:val="18"/>
                <w:color w:val="auto"/>
                <w:w w:val="87"/>
              </w:rPr>
              <w:t>$</w:t>
            </w:r>
          </w:p>
        </w:tc>
        <w:tc>
          <w:tcPr>
            <w:tcW w:w="440" w:type="dxa"/>
            <w:vAlign w:val="bottom"/>
            <w:tcBorders>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301</w:t>
            </w:r>
          </w:p>
        </w:tc>
        <w:tc>
          <w:tcPr>
            <w:tcW w:w="2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50"/>
              <w:spacing w:after="0" w:line="210" w:lineRule="exact"/>
              <w:rPr>
                <w:sz w:val="20"/>
                <w:szCs w:val="20"/>
                <w:color w:val="auto"/>
              </w:rPr>
            </w:pPr>
            <w:r>
              <w:rPr>
                <w:rFonts w:ascii="Calibri" w:cs="Calibri" w:eastAsia="Calibri" w:hAnsi="Calibri"/>
                <w:sz w:val="18"/>
                <w:szCs w:val="18"/>
                <w:color w:val="auto"/>
                <w:w w:val="87"/>
              </w:rPr>
              <w:t>$</w:t>
            </w:r>
          </w:p>
        </w:tc>
        <w:tc>
          <w:tcPr>
            <w:tcW w:w="1220" w:type="dxa"/>
            <w:vAlign w:val="bottom"/>
            <w:tcBorders>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377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-25400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-8255</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-25400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-8255</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p>
      <w:pPr>
        <w:spacing w:after="0" w:line="189"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Cash Flow Actvity</w:t>
      </w:r>
    </w:p>
    <w:p>
      <w:pPr>
        <w:spacing w:after="0" w:line="292" w:lineRule="exact"/>
        <w:rPr>
          <w:sz w:val="20"/>
          <w:szCs w:val="20"/>
          <w:color w:val="auto"/>
        </w:rPr>
      </w:pPr>
    </w:p>
    <w:p>
      <w:pPr>
        <w:ind w:left="20"/>
        <w:spacing w:after="0"/>
        <w:rPr>
          <w:sz w:val="20"/>
          <w:szCs w:val="20"/>
          <w:color w:val="auto"/>
        </w:rPr>
      </w:pPr>
      <w:r>
        <w:rPr>
          <w:rFonts w:ascii="Calibri" w:cs="Calibri" w:eastAsia="Calibri" w:hAnsi="Calibri"/>
          <w:sz w:val="14"/>
          <w:szCs w:val="14"/>
          <w:color w:val="auto"/>
        </w:rPr>
        <w:t>(in millions)</w:t>
      </w:r>
    </w:p>
    <w:p>
      <w:pPr>
        <w:ind w:left="20"/>
        <w:spacing w:after="0" w:line="232" w:lineRule="auto"/>
        <w:rPr>
          <w:sz w:val="20"/>
          <w:szCs w:val="20"/>
          <w:color w:val="auto"/>
        </w:rPr>
      </w:pPr>
      <w:r>
        <w:rPr>
          <w:rFonts w:ascii="Calibri" w:cs="Calibri" w:eastAsia="Calibri" w:hAnsi="Calibri"/>
          <w:sz w:val="18"/>
          <w:szCs w:val="18"/>
          <w:u w:val="single" w:color="auto"/>
          <w:color w:val="auto"/>
        </w:rPr>
        <w:t>Cash fows from operatng actvites:</w:t>
      </w:r>
    </w:p>
    <w:p>
      <w:pPr>
        <w:spacing w:after="0" w:line="10"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Net cash (used in) provided by operatng actvites</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7"/>
        </w:trPr>
        <w:tc>
          <w:tcPr>
            <w:tcW w:w="3060" w:type="dxa"/>
            <w:vAlign w:val="bottom"/>
            <w:tcBorders>
              <w:bottom w:val="single" w:sz="8" w:color="auto"/>
            </w:tcBorders>
            <w:gridSpan w:val="4"/>
          </w:tcPr>
          <w:p>
            <w:pPr>
              <w:jc w:val="right"/>
              <w:ind w:right="310"/>
              <w:spacing w:after="0"/>
              <w:rPr>
                <w:sz w:val="20"/>
                <w:szCs w:val="20"/>
                <w:color w:val="auto"/>
              </w:rPr>
            </w:pPr>
            <w:r>
              <w:rPr>
                <w:rFonts w:ascii="Calibri" w:cs="Calibri" w:eastAsia="Calibri" w:hAnsi="Calibri"/>
                <w:sz w:val="18"/>
                <w:szCs w:val="18"/>
                <w:b w:val="1"/>
                <w:bCs w:val="1"/>
                <w:color w:val="auto"/>
              </w:rPr>
              <w:t>Year Ended December 31,</w:t>
            </w:r>
          </w:p>
        </w:tc>
        <w:tc>
          <w:tcPr>
            <w:tcW w:w="4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center"/>
              <w:ind w:right="240"/>
              <w:spacing w:after="0"/>
              <w:rPr>
                <w:sz w:val="20"/>
                <w:szCs w:val="20"/>
                <w:color w:val="auto"/>
              </w:rPr>
            </w:pPr>
            <w:r>
              <w:rPr>
                <w:rFonts w:ascii="Calibri" w:cs="Calibri" w:eastAsia="Calibri" w:hAnsi="Calibri"/>
                <w:sz w:val="18"/>
                <w:szCs w:val="18"/>
                <w:b w:val="1"/>
                <w:bCs w:val="1"/>
                <w:color w:val="auto"/>
                <w:w w:val="96"/>
              </w:rPr>
              <w:t>Year-Over-</w:t>
            </w:r>
          </w:p>
        </w:tc>
      </w:tr>
      <w:tr>
        <w:trPr>
          <w:trHeight w:val="215"/>
        </w:trPr>
        <w:tc>
          <w:tcPr>
            <w:tcW w:w="1200" w:type="dxa"/>
            <w:vAlign w:val="bottom"/>
            <w:tcBorders>
              <w:bottom w:val="single" w:sz="8" w:color="auto"/>
            </w:tcBorders>
          </w:tcPr>
          <w:p>
            <w:pPr>
              <w:jc w:val="right"/>
              <w:ind w:right="130"/>
              <w:spacing w:after="0" w:line="215" w:lineRule="exact"/>
              <w:rPr>
                <w:sz w:val="20"/>
                <w:szCs w:val="20"/>
                <w:color w:val="auto"/>
              </w:rPr>
            </w:pPr>
            <w:r>
              <w:rPr>
                <w:rFonts w:ascii="Calibri" w:cs="Calibri" w:eastAsia="Calibri" w:hAnsi="Calibri"/>
                <w:sz w:val="18"/>
                <w:szCs w:val="18"/>
                <w:b w:val="1"/>
                <w:bCs w:val="1"/>
                <w:color w:val="auto"/>
              </w:rPr>
              <w:t>2024</w:t>
            </w:r>
          </w:p>
        </w:tc>
        <w:tc>
          <w:tcPr>
            <w:tcW w:w="4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Borders>
              <w:bottom w:val="single" w:sz="8" w:color="auto"/>
            </w:tcBorders>
          </w:tcPr>
          <w:p>
            <w:pPr>
              <w:jc w:val="right"/>
              <w:ind w:right="130"/>
              <w:spacing w:after="0" w:line="215" w:lineRule="exact"/>
              <w:rPr>
                <w:sz w:val="20"/>
                <w:szCs w:val="20"/>
                <w:color w:val="auto"/>
              </w:rPr>
            </w:pPr>
            <w:r>
              <w:rPr>
                <w:rFonts w:ascii="Calibri" w:cs="Calibri" w:eastAsia="Calibri" w:hAnsi="Calibri"/>
                <w:sz w:val="18"/>
                <w:szCs w:val="18"/>
                <w:b w:val="1"/>
                <w:bCs w:val="1"/>
                <w:color w:val="auto"/>
              </w:rPr>
              <w:t>2023</w:t>
            </w:r>
          </w:p>
        </w:tc>
        <w:tc>
          <w:tcPr>
            <w:tcW w:w="4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90"/>
              <w:spacing w:after="0" w:line="193" w:lineRule="exact"/>
              <w:rPr>
                <w:sz w:val="20"/>
                <w:szCs w:val="20"/>
                <w:color w:val="auto"/>
              </w:rPr>
            </w:pPr>
            <w:r>
              <w:rPr>
                <w:rFonts w:ascii="Calibri" w:cs="Calibri" w:eastAsia="Calibri" w:hAnsi="Calibri"/>
                <w:sz w:val="18"/>
                <w:szCs w:val="18"/>
                <w:b w:val="1"/>
                <w:bCs w:val="1"/>
                <w:color w:val="auto"/>
                <w:w w:val="96"/>
              </w:rPr>
              <w:t>Year Change</w:t>
            </w:r>
          </w:p>
        </w:tc>
        <w:tc>
          <w:tcPr>
            <w:tcW w:w="60" w:type="dxa"/>
            <w:vAlign w:val="bottom"/>
          </w:tcPr>
          <w:p>
            <w:pPr>
              <w:spacing w:after="0"/>
              <w:rPr>
                <w:sz w:val="18"/>
                <w:szCs w:val="18"/>
                <w:color w:val="auto"/>
              </w:rPr>
            </w:pPr>
          </w:p>
        </w:tc>
      </w:tr>
      <w:tr>
        <w:trPr>
          <w:trHeight w:val="403"/>
        </w:trPr>
        <w:tc>
          <w:tcPr>
            <w:tcW w:w="1200" w:type="dxa"/>
            <w:vAlign w:val="bottom"/>
          </w:tcPr>
          <w:p>
            <w:pPr>
              <w:jc w:val="right"/>
              <w:ind w:right="1010"/>
              <w:spacing w:after="0"/>
              <w:rPr>
                <w:sz w:val="20"/>
                <w:szCs w:val="20"/>
                <w:color w:val="auto"/>
              </w:rPr>
            </w:pPr>
            <w:r>
              <w:rPr>
                <w:rFonts w:ascii="Calibri" w:cs="Calibri" w:eastAsia="Calibri" w:hAnsi="Calibri"/>
                <w:sz w:val="18"/>
                <w:szCs w:val="18"/>
                <w:color w:val="auto"/>
                <w:w w:val="87"/>
              </w:rPr>
              <w:t>$</w:t>
            </w:r>
          </w:p>
        </w:tc>
        <w:tc>
          <w:tcPr>
            <w:tcW w:w="1860" w:type="dxa"/>
            <w:vAlign w:val="bottom"/>
            <w:gridSpan w:val="3"/>
          </w:tcPr>
          <w:p>
            <w:pPr>
              <w:jc w:val="right"/>
              <w:ind w:right="1010"/>
              <w:spacing w:after="0"/>
              <w:rPr>
                <w:sz w:val="20"/>
                <w:szCs w:val="20"/>
                <w:color w:val="auto"/>
              </w:rPr>
            </w:pPr>
            <w:r>
              <w:rPr>
                <w:rFonts w:ascii="Calibri" w:cs="Calibri" w:eastAsia="Calibri" w:hAnsi="Calibri"/>
                <w:sz w:val="18"/>
                <w:szCs w:val="18"/>
                <w:color w:val="auto"/>
              </w:rPr>
              <w:t>(7 )   $</w:t>
            </w:r>
          </w:p>
        </w:tc>
        <w:tc>
          <w:tcPr>
            <w:tcW w:w="400" w:type="dxa"/>
            <w:vAlign w:val="bottom"/>
          </w:tcPr>
          <w:p>
            <w:pPr>
              <w:jc w:val="right"/>
              <w:spacing w:after="0"/>
              <w:rPr>
                <w:sz w:val="20"/>
                <w:szCs w:val="20"/>
                <w:color w:val="auto"/>
              </w:rPr>
            </w:pPr>
            <w:r>
              <w:rPr>
                <w:rFonts w:ascii="Calibri" w:cs="Calibri" w:eastAsia="Calibri" w:hAnsi="Calibri"/>
                <w:sz w:val="18"/>
                <w:szCs w:val="18"/>
                <w:color w:val="auto"/>
              </w:rPr>
              <w:t>38</w:t>
            </w:r>
          </w:p>
        </w:tc>
        <w:tc>
          <w:tcPr>
            <w:tcW w:w="440" w:type="dxa"/>
            <w:vAlign w:val="bottom"/>
            <w:gridSpan w:val="2"/>
          </w:tcPr>
          <w:p>
            <w:pPr>
              <w:jc w:val="right"/>
              <w:ind w:right="60"/>
              <w:spacing w:after="0"/>
              <w:rPr>
                <w:sz w:val="20"/>
                <w:szCs w:val="20"/>
                <w:color w:val="auto"/>
              </w:rPr>
            </w:pPr>
            <w:r>
              <w:rPr>
                <w:rFonts w:ascii="Calibri" w:cs="Calibri" w:eastAsia="Calibri" w:hAnsi="Calibri"/>
                <w:sz w:val="18"/>
                <w:szCs w:val="18"/>
                <w:color w:val="auto"/>
              </w:rPr>
              <w:t>$</w:t>
            </w:r>
          </w:p>
        </w:tc>
        <w:tc>
          <w:tcPr>
            <w:tcW w:w="1300" w:type="dxa"/>
            <w:vAlign w:val="bottom"/>
            <w:gridSpan w:val="2"/>
          </w:tcPr>
          <w:p>
            <w:pPr>
              <w:jc w:val="right"/>
              <w:spacing w:after="0"/>
              <w:rPr>
                <w:sz w:val="20"/>
                <w:szCs w:val="20"/>
                <w:color w:val="auto"/>
              </w:rPr>
            </w:pPr>
            <w:r>
              <w:rPr>
                <w:rFonts w:ascii="Calibri" w:cs="Calibri" w:eastAsia="Calibri" w:hAnsi="Calibri"/>
                <w:sz w:val="18"/>
                <w:szCs w:val="18"/>
                <w:color w:val="auto"/>
              </w:rPr>
              <w:t>(45 )</w:t>
            </w:r>
          </w:p>
        </w:tc>
      </w:tr>
      <w:tr>
        <w:trPr>
          <w:trHeight w:val="23"/>
        </w:trPr>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-281940</wp:posOffset>
            </wp:positionV>
            <wp:extent cx="7132320" cy="1371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5280" w:space="720"/>
            <w:col w:w="5240"/>
          </w:cols>
          <w:pgMar w:left="320" w:top="112"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20" w:type="dxa"/>
            <w:vAlign w:val="bottom"/>
            <w:shd w:val="clear" w:color="auto" w:fill="CFF0FC"/>
          </w:tcPr>
          <w:p>
            <w:pPr>
              <w:spacing w:after="0"/>
              <w:rPr>
                <w:sz w:val="17"/>
                <w:szCs w:val="17"/>
                <w:color w:val="auto"/>
              </w:rPr>
            </w:pPr>
          </w:p>
        </w:tc>
        <w:tc>
          <w:tcPr>
            <w:tcW w:w="25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4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6000" w:type="dxa"/>
            <w:vAlign w:val="bottom"/>
            <w:gridSpan w:val="4"/>
          </w:tcPr>
          <w:p>
            <w:pPr>
              <w:ind w:left="20"/>
              <w:spacing w:after="0" w:line="162" w:lineRule="exact"/>
              <w:rPr>
                <w:sz w:val="20"/>
                <w:szCs w:val="20"/>
                <w:color w:val="auto"/>
              </w:rPr>
            </w:pPr>
            <w:r>
              <w:rPr>
                <w:rFonts w:ascii="Calibri" w:cs="Calibri" w:eastAsia="Calibri" w:hAnsi="Calibri"/>
                <w:sz w:val="17"/>
                <w:szCs w:val="17"/>
                <w:color w:val="auto"/>
              </w:rPr>
              <w:t>Cash fows from investng actvites:</w:t>
            </w: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4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6000" w:type="dxa"/>
            <w:vAlign w:val="bottom"/>
            <w:gridSpan w:val="4"/>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Net cash used in investng actvites</w:t>
            </w:r>
          </w:p>
        </w:tc>
        <w:tc>
          <w:tcPr>
            <w:tcW w:w="7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00"/>
              <w:spacing w:after="0" w:line="215" w:lineRule="exact"/>
              <w:rPr>
                <w:sz w:val="20"/>
                <w:szCs w:val="20"/>
                <w:color w:val="auto"/>
              </w:rPr>
            </w:pPr>
            <w:r>
              <w:rPr>
                <w:rFonts w:ascii="Calibri" w:cs="Calibri" w:eastAsia="Calibri" w:hAnsi="Calibri"/>
                <w:sz w:val="18"/>
                <w:szCs w:val="18"/>
                <w:color w:val="auto"/>
              </w:rPr>
              <w:t>(39 )</w:t>
            </w:r>
          </w:p>
        </w:tc>
        <w:tc>
          <w:tcPr>
            <w:tcW w:w="7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0"/>
              <w:spacing w:after="0" w:line="215" w:lineRule="exact"/>
              <w:rPr>
                <w:sz w:val="20"/>
                <w:szCs w:val="20"/>
                <w:color w:val="auto"/>
              </w:rPr>
            </w:pPr>
            <w:r>
              <w:rPr>
                <w:rFonts w:ascii="Calibri" w:cs="Calibri" w:eastAsia="Calibri" w:hAnsi="Calibri"/>
                <w:sz w:val="18"/>
                <w:szCs w:val="18"/>
                <w:color w:val="auto"/>
              </w:rPr>
              <w:t>(32 )</w:t>
            </w:r>
          </w:p>
        </w:tc>
        <w:tc>
          <w:tcPr>
            <w:tcW w:w="6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(7 )</w:t>
            </w:r>
          </w:p>
        </w:tc>
        <w:tc>
          <w:tcPr>
            <w:tcW w:w="0" w:type="dxa"/>
            <w:vAlign w:val="bottom"/>
          </w:tcPr>
          <w:p>
            <w:pPr>
              <w:spacing w:after="0"/>
              <w:rPr>
                <w:sz w:val="1"/>
                <w:szCs w:val="1"/>
                <w:color w:val="auto"/>
              </w:rPr>
            </w:pPr>
          </w:p>
        </w:tc>
      </w:tr>
      <w:tr>
        <w:trPr>
          <w:trHeight w:val="210"/>
        </w:trPr>
        <w:tc>
          <w:tcPr>
            <w:tcW w:w="20" w:type="dxa"/>
            <w:vAlign w:val="bottom"/>
            <w:tcBorders>
              <w:top w:val="single" w:sz="8" w:color="CFF0FC"/>
            </w:tcBorders>
          </w:tcPr>
          <w:p>
            <w:pPr>
              <w:spacing w:after="0"/>
              <w:rPr>
                <w:sz w:val="18"/>
                <w:szCs w:val="18"/>
                <w:color w:val="auto"/>
              </w:rPr>
            </w:pPr>
          </w:p>
        </w:tc>
        <w:tc>
          <w:tcPr>
            <w:tcW w:w="2540" w:type="dxa"/>
            <w:vAlign w:val="bottom"/>
            <w:tcBorders>
              <w:top w:val="single" w:sz="8" w:color="CFF0FC"/>
            </w:tcBorders>
          </w:tcPr>
          <w:p>
            <w:pPr>
              <w:spacing w:after="0"/>
              <w:rPr>
                <w:sz w:val="18"/>
                <w:szCs w:val="18"/>
                <w:color w:val="auto"/>
              </w:rPr>
            </w:pPr>
          </w:p>
        </w:tc>
        <w:tc>
          <w:tcPr>
            <w:tcW w:w="20" w:type="dxa"/>
            <w:vAlign w:val="bottom"/>
            <w:tcBorders>
              <w:top w:val="single" w:sz="8" w:color="CFF0FC"/>
            </w:tcBorders>
          </w:tcPr>
          <w:p>
            <w:pPr>
              <w:spacing w:after="0"/>
              <w:rPr>
                <w:sz w:val="18"/>
                <w:szCs w:val="18"/>
                <w:color w:val="auto"/>
              </w:rPr>
            </w:pPr>
          </w:p>
        </w:tc>
        <w:tc>
          <w:tcPr>
            <w:tcW w:w="3420" w:type="dxa"/>
            <w:vAlign w:val="bottom"/>
            <w:tcBorders>
              <w:top w:val="single" w:sz="8" w:color="CFF0FC"/>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FF0FC"/>
            </w:tcBorders>
            <w:shd w:val="clear" w:color="auto" w:fill="CFF0FC"/>
          </w:tcPr>
          <w:p>
            <w:pPr>
              <w:spacing w:after="0"/>
              <w:rPr>
                <w:sz w:val="17"/>
                <w:szCs w:val="17"/>
                <w:color w:val="auto"/>
              </w:rPr>
            </w:pPr>
          </w:p>
        </w:tc>
        <w:tc>
          <w:tcPr>
            <w:tcW w:w="2560" w:type="dxa"/>
            <w:vAlign w:val="bottom"/>
            <w:tcBorders>
              <w:bottom w:val="single" w:sz="8" w:color="auto"/>
            </w:tcBorders>
            <w:gridSpan w:val="2"/>
            <w:shd w:val="clear" w:color="auto" w:fill="CFF0FC"/>
          </w:tcPr>
          <w:p>
            <w:pPr>
              <w:spacing w:after="0" w:line="162" w:lineRule="exact"/>
              <w:rPr>
                <w:sz w:val="20"/>
                <w:szCs w:val="20"/>
                <w:color w:val="auto"/>
              </w:rPr>
            </w:pPr>
            <w:r>
              <w:rPr>
                <w:rFonts w:ascii="Calibri" w:cs="Calibri" w:eastAsia="Calibri" w:hAnsi="Calibri"/>
                <w:sz w:val="17"/>
                <w:szCs w:val="17"/>
                <w:color w:val="auto"/>
              </w:rPr>
              <w:t>Cash fows from fnancing actvites:</w:t>
            </w:r>
          </w:p>
        </w:tc>
        <w:tc>
          <w:tcPr>
            <w:tcW w:w="342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CFF0FC"/>
            </w:tcBorders>
            <w:shd w:val="clear" w:color="auto" w:fill="CFF0FC"/>
          </w:tcPr>
          <w:p>
            <w:pPr>
              <w:spacing w:after="0"/>
              <w:rPr>
                <w:sz w:val="17"/>
                <w:szCs w:val="17"/>
                <w:color w:val="auto"/>
              </w:rPr>
            </w:pPr>
          </w:p>
        </w:tc>
        <w:tc>
          <w:tcPr>
            <w:tcW w:w="8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000" w:type="dxa"/>
            <w:vAlign w:val="bottom"/>
            <w:gridSpan w:val="4"/>
          </w:tcPr>
          <w:p>
            <w:pPr>
              <w:ind w:left="20"/>
              <w:spacing w:after="0" w:line="215" w:lineRule="exact"/>
              <w:rPr>
                <w:sz w:val="20"/>
                <w:szCs w:val="20"/>
                <w:color w:val="auto"/>
              </w:rPr>
            </w:pPr>
            <w:r>
              <w:rPr>
                <w:rFonts w:ascii="Calibri" w:cs="Calibri" w:eastAsia="Calibri" w:hAnsi="Calibri"/>
                <w:sz w:val="18"/>
                <w:szCs w:val="18"/>
                <w:color w:val="auto"/>
              </w:rPr>
              <w:t>Net cash (used in) provided by fnancing actvites</w:t>
            </w:r>
          </w:p>
        </w:tc>
        <w:tc>
          <w:tcPr>
            <w:tcW w:w="720" w:type="dxa"/>
            <w:vAlign w:val="bottom"/>
          </w:tcPr>
          <w:p>
            <w:pPr>
              <w:spacing w:after="0"/>
              <w:rPr>
                <w:sz w:val="18"/>
                <w:szCs w:val="18"/>
                <w:color w:val="auto"/>
              </w:rPr>
            </w:pPr>
          </w:p>
        </w:tc>
        <w:tc>
          <w:tcPr>
            <w:tcW w:w="114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(23 )</w:t>
            </w:r>
          </w:p>
        </w:tc>
        <w:tc>
          <w:tcPr>
            <w:tcW w:w="740" w:type="dxa"/>
            <w:vAlign w:val="bottom"/>
          </w:tcPr>
          <w:p>
            <w:pPr>
              <w:spacing w:after="0"/>
              <w:rPr>
                <w:sz w:val="18"/>
                <w:szCs w:val="18"/>
                <w:color w:val="auto"/>
              </w:rPr>
            </w:pP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85</w:t>
            </w: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(108 )</w:t>
            </w:r>
          </w:p>
        </w:tc>
        <w:tc>
          <w:tcPr>
            <w:tcW w:w="0" w:type="dxa"/>
            <w:vAlign w:val="bottom"/>
          </w:tcPr>
          <w:p>
            <w:pPr>
              <w:spacing w:after="0"/>
              <w:rPr>
                <w:sz w:val="1"/>
                <w:szCs w:val="1"/>
                <w:color w:val="auto"/>
              </w:rPr>
            </w:pPr>
          </w:p>
        </w:tc>
      </w:tr>
      <w:tr>
        <w:trPr>
          <w:trHeight w:val="210"/>
        </w:trPr>
        <w:tc>
          <w:tcPr>
            <w:tcW w:w="20" w:type="dxa"/>
            <w:vAlign w:val="bottom"/>
            <w:shd w:val="clear" w:color="auto" w:fill="CFF0FC"/>
          </w:tcPr>
          <w:p>
            <w:pPr>
              <w:spacing w:after="0"/>
              <w:rPr>
                <w:sz w:val="18"/>
                <w:szCs w:val="18"/>
                <w:color w:val="auto"/>
              </w:rPr>
            </w:pPr>
          </w:p>
        </w:tc>
        <w:tc>
          <w:tcPr>
            <w:tcW w:w="25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20" w:type="dxa"/>
            <w:vAlign w:val="bottom"/>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6000" w:type="dxa"/>
            <w:vAlign w:val="bottom"/>
            <w:gridSpan w:val="4"/>
          </w:tcPr>
          <w:p>
            <w:pPr>
              <w:ind w:left="20"/>
              <w:spacing w:after="0" w:line="194" w:lineRule="exact"/>
              <w:rPr>
                <w:sz w:val="20"/>
                <w:szCs w:val="20"/>
                <w:color w:val="auto"/>
              </w:rPr>
            </w:pPr>
            <w:r>
              <w:rPr>
                <w:rFonts w:ascii="Calibri" w:cs="Calibri" w:eastAsia="Calibri" w:hAnsi="Calibri"/>
                <w:sz w:val="18"/>
                <w:szCs w:val="18"/>
                <w:color w:val="auto"/>
              </w:rPr>
              <w:t>Efect of exchange rate changes on cash, cash</w:t>
            </w:r>
          </w:p>
        </w:tc>
        <w:tc>
          <w:tcPr>
            <w:tcW w:w="720" w:type="dxa"/>
            <w:vAlign w:val="bottom"/>
          </w:tcPr>
          <w:p>
            <w:pPr>
              <w:spacing w:after="0"/>
              <w:rPr>
                <w:sz w:val="16"/>
                <w:szCs w:val="16"/>
                <w:color w:val="auto"/>
              </w:rPr>
            </w:pPr>
          </w:p>
        </w:tc>
        <w:tc>
          <w:tcPr>
            <w:tcW w:w="1140" w:type="dxa"/>
            <w:vAlign w:val="bottom"/>
            <w:gridSpan w:val="2"/>
            <w:vMerge w:val="restart"/>
          </w:tcPr>
          <w:p>
            <w:pPr>
              <w:jc w:val="right"/>
              <w:ind w:right="200"/>
              <w:spacing w:after="0"/>
              <w:rPr>
                <w:sz w:val="20"/>
                <w:szCs w:val="20"/>
                <w:color w:val="auto"/>
              </w:rPr>
            </w:pPr>
            <w:r>
              <w:rPr>
                <w:rFonts w:ascii="Calibri" w:cs="Calibri" w:eastAsia="Calibri" w:hAnsi="Calibri"/>
                <w:sz w:val="18"/>
                <w:szCs w:val="18"/>
                <w:color w:val="auto"/>
              </w:rPr>
              <w:t>(7 )</w:t>
            </w:r>
          </w:p>
        </w:tc>
        <w:tc>
          <w:tcPr>
            <w:tcW w:w="740" w:type="dxa"/>
            <w:vAlign w:val="bottom"/>
          </w:tcPr>
          <w:p>
            <w:pPr>
              <w:spacing w:after="0"/>
              <w:rPr>
                <w:sz w:val="16"/>
                <w:szCs w:val="16"/>
                <w:color w:val="auto"/>
              </w:rPr>
            </w:pPr>
          </w:p>
        </w:tc>
        <w:tc>
          <w:tcPr>
            <w:tcW w:w="1120" w:type="dxa"/>
            <w:vAlign w:val="bottom"/>
            <w:gridSpan w:val="2"/>
            <w:vMerge w:val="restart"/>
          </w:tcPr>
          <w:p>
            <w:pPr>
              <w:jc w:val="right"/>
              <w:ind w:right="280"/>
              <w:spacing w:after="0"/>
              <w:rPr>
                <w:sz w:val="20"/>
                <w:szCs w:val="20"/>
                <w:color w:val="auto"/>
              </w:rPr>
            </w:pPr>
            <w:r>
              <w:rPr>
                <w:rFonts w:ascii="Calibri" w:cs="Calibri" w:eastAsia="Calibri" w:hAnsi="Calibri"/>
                <w:sz w:val="18"/>
                <w:szCs w:val="18"/>
                <w:color w:val="auto"/>
              </w:rPr>
              <w:t>—</w:t>
            </w:r>
          </w:p>
        </w:tc>
        <w:tc>
          <w:tcPr>
            <w:tcW w:w="600" w:type="dxa"/>
            <w:vAlign w:val="bottom"/>
          </w:tcPr>
          <w:p>
            <w:pPr>
              <w:spacing w:after="0"/>
              <w:rPr>
                <w:sz w:val="16"/>
                <w:szCs w:val="16"/>
                <w:color w:val="auto"/>
              </w:rPr>
            </w:pPr>
          </w:p>
        </w:tc>
        <w:tc>
          <w:tcPr>
            <w:tcW w:w="920" w:type="dxa"/>
            <w:vAlign w:val="bottom"/>
            <w:gridSpan w:val="2"/>
            <w:vMerge w:val="restart"/>
          </w:tcPr>
          <w:p>
            <w:pPr>
              <w:jc w:val="right"/>
              <w:ind w:right="40"/>
              <w:spacing w:after="0"/>
              <w:rPr>
                <w:sz w:val="20"/>
                <w:szCs w:val="20"/>
                <w:color w:val="auto"/>
              </w:rPr>
            </w:pPr>
            <w:r>
              <w:rPr>
                <w:rFonts w:ascii="Calibri" w:cs="Calibri" w:eastAsia="Calibri" w:hAnsi="Calibri"/>
                <w:sz w:val="18"/>
                <w:szCs w:val="18"/>
                <w:color w:val="auto"/>
              </w:rPr>
              <w:t>(7 )</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980" w:type="dxa"/>
            <w:vAlign w:val="bottom"/>
            <w:gridSpan w:val="3"/>
          </w:tcPr>
          <w:p>
            <w:pPr>
              <w:ind w:left="120"/>
              <w:spacing w:after="0" w:line="215" w:lineRule="exact"/>
              <w:rPr>
                <w:sz w:val="20"/>
                <w:szCs w:val="20"/>
                <w:color w:val="auto"/>
              </w:rPr>
            </w:pPr>
            <w:r>
              <w:rPr>
                <w:rFonts w:ascii="Calibri" w:cs="Calibri" w:eastAsia="Calibri" w:hAnsi="Calibri"/>
                <w:sz w:val="18"/>
                <w:szCs w:val="18"/>
                <w:color w:val="auto"/>
              </w:rPr>
              <w:t>equivalents and restricted cash</w:t>
            </w:r>
          </w:p>
        </w:tc>
        <w:tc>
          <w:tcPr>
            <w:tcW w:w="72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shd w:val="clear" w:color="auto" w:fill="CFF0FC"/>
          </w:tcPr>
          <w:p>
            <w:pPr>
              <w:spacing w:after="0"/>
              <w:rPr>
                <w:sz w:val="18"/>
                <w:szCs w:val="18"/>
                <w:color w:val="auto"/>
              </w:rPr>
            </w:pPr>
          </w:p>
        </w:tc>
        <w:tc>
          <w:tcPr>
            <w:tcW w:w="25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20" w:type="dxa"/>
            <w:vAlign w:val="bottom"/>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4"/>
          </w:tcPr>
          <w:p>
            <w:pPr>
              <w:ind w:left="20"/>
              <w:spacing w:after="0" w:line="216" w:lineRule="exact"/>
              <w:rPr>
                <w:sz w:val="20"/>
                <w:szCs w:val="20"/>
                <w:color w:val="auto"/>
              </w:rPr>
            </w:pPr>
            <w:r>
              <w:rPr>
                <w:rFonts w:ascii="Calibri" w:cs="Calibri" w:eastAsia="Calibri" w:hAnsi="Calibri"/>
                <w:sz w:val="18"/>
                <w:szCs w:val="18"/>
                <w:color w:val="auto"/>
              </w:rPr>
              <w:t>Net (decrease) increase in cash, cash equivalents and restricted cash</w:t>
            </w:r>
          </w:p>
        </w:tc>
        <w:tc>
          <w:tcPr>
            <w:tcW w:w="720" w:type="dxa"/>
            <w:vAlign w:val="bottom"/>
          </w:tcPr>
          <w:p>
            <w:pPr>
              <w:jc w:val="right"/>
              <w:ind w:right="530"/>
              <w:spacing w:after="0" w:line="215" w:lineRule="exact"/>
              <w:rPr>
                <w:sz w:val="20"/>
                <w:szCs w:val="20"/>
                <w:color w:val="auto"/>
              </w:rPr>
            </w:pPr>
            <w:r>
              <w:rPr>
                <w:rFonts w:ascii="Calibri" w:cs="Calibri" w:eastAsia="Calibri" w:hAnsi="Calibri"/>
                <w:sz w:val="18"/>
                <w:szCs w:val="18"/>
                <w:color w:val="auto"/>
                <w:w w:val="87"/>
              </w:rPr>
              <w:t>$</w:t>
            </w:r>
          </w:p>
        </w:tc>
        <w:tc>
          <w:tcPr>
            <w:tcW w:w="1880" w:type="dxa"/>
            <w:vAlign w:val="bottom"/>
            <w:gridSpan w:val="3"/>
          </w:tcPr>
          <w:p>
            <w:pPr>
              <w:jc w:val="right"/>
              <w:ind w:right="640"/>
              <w:spacing w:after="0" w:line="215" w:lineRule="exact"/>
              <w:rPr>
                <w:sz w:val="20"/>
                <w:szCs w:val="20"/>
                <w:color w:val="auto"/>
              </w:rPr>
            </w:pPr>
            <w:r>
              <w:rPr>
                <w:rFonts w:ascii="Calibri" w:cs="Calibri" w:eastAsia="Calibri" w:hAnsi="Calibri"/>
                <w:sz w:val="18"/>
                <w:szCs w:val="18"/>
                <w:color w:val="auto"/>
              </w:rPr>
              <w:t>(76 )   $</w:t>
            </w: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91</w:t>
            </w:r>
          </w:p>
        </w:tc>
        <w:tc>
          <w:tcPr>
            <w:tcW w:w="260" w:type="dxa"/>
            <w:vAlign w:val="bottom"/>
          </w:tcPr>
          <w:p>
            <w:pPr>
              <w:spacing w:after="0"/>
              <w:rPr>
                <w:sz w:val="18"/>
                <w:szCs w:val="18"/>
                <w:color w:val="auto"/>
              </w:rPr>
            </w:pPr>
          </w:p>
        </w:tc>
        <w:tc>
          <w:tcPr>
            <w:tcW w:w="600" w:type="dxa"/>
            <w:vAlign w:val="bottom"/>
          </w:tcPr>
          <w:p>
            <w:pPr>
              <w:jc w:val="right"/>
              <w:ind w:right="390"/>
              <w:spacing w:after="0" w:line="215" w:lineRule="exact"/>
              <w:rPr>
                <w:sz w:val="20"/>
                <w:szCs w:val="20"/>
                <w:color w:val="auto"/>
              </w:rPr>
            </w:pPr>
            <w:r>
              <w:rPr>
                <w:rFonts w:ascii="Calibri" w:cs="Calibri" w:eastAsia="Calibri" w:hAnsi="Calibri"/>
                <w:sz w:val="18"/>
                <w:szCs w:val="18"/>
                <w:color w:val="auto"/>
              </w:rPr>
              <w:t>$</w:t>
            </w:r>
          </w:p>
        </w:tc>
        <w:tc>
          <w:tcPr>
            <w:tcW w:w="92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(167 )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-1139190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-1139190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-1139190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Operatng Actvites</w:t>
      </w:r>
    </w:p>
    <w:p>
      <w:pPr>
        <w:spacing w:after="0" w:line="177" w:lineRule="exact"/>
        <w:rPr>
          <w:sz w:val="20"/>
          <w:szCs w:val="20"/>
          <w:color w:val="auto"/>
        </w:rPr>
      </w:pPr>
    </w:p>
    <w:p>
      <w:pPr>
        <w:ind w:right="60"/>
        <w:spacing w:after="0" w:line="251" w:lineRule="auto"/>
        <w:rPr>
          <w:sz w:val="20"/>
          <w:szCs w:val="20"/>
          <w:color w:val="auto"/>
        </w:rPr>
      </w:pPr>
      <w:r>
        <w:rPr>
          <w:rFonts w:ascii="Calibri" w:cs="Calibri" w:eastAsia="Calibri" w:hAnsi="Calibri"/>
          <w:sz w:val="17"/>
          <w:szCs w:val="17"/>
          <w:color w:val="auto"/>
        </w:rPr>
        <w:t>Net cash from operatng actvites declined $45 million for the year ended December 31, 2024 as compared with the prior year primarily due to a decrease in liabilites excluding borrowings and trade payable of $67 million, driven by $57 million of deferred revenue related to brand licensing agreements entered into in the prior year, increased investment in inventory ($26 million), decline in proceeds from insurance reimbursements ($20 million) and a refund from a governmental authority ($9 million), both received in the prior year. This decline was partally ofset by a decrease in trade receivables of $67 million primarily driven by $40 million of cash proceeds related to brand licensing received in 2024 and reducton in trade accounts payable ($11 million).</w:t>
      </w:r>
    </w:p>
    <w:p>
      <w:pPr>
        <w:spacing w:after="0" w:line="179"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Investng Actvites</w:t>
      </w:r>
    </w:p>
    <w:p>
      <w:pPr>
        <w:spacing w:after="0" w:line="177"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Net cash used in investng actvites increased $7 million for the year ended December 31, 2024 as compared to the prior year due to an increase in additons to propertes ($24 million) partally ofset by proceeds from the sale of assets ($17 million).</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Financing Actvites</w:t>
      </w:r>
    </w:p>
    <w:p>
      <w:pPr>
        <w:spacing w:after="0" w:line="190" w:lineRule="exact"/>
        <w:rPr>
          <w:sz w:val="20"/>
          <w:szCs w:val="20"/>
          <w:color w:val="auto"/>
        </w:rPr>
      </w:pPr>
    </w:p>
    <w:p>
      <w:pPr>
        <w:ind w:right="220"/>
        <w:spacing w:after="0" w:line="258" w:lineRule="auto"/>
        <w:rPr>
          <w:sz w:val="20"/>
          <w:szCs w:val="20"/>
          <w:color w:val="auto"/>
        </w:rPr>
      </w:pPr>
      <w:r>
        <w:rPr>
          <w:rFonts w:ascii="Calibri" w:cs="Calibri" w:eastAsia="Calibri" w:hAnsi="Calibri"/>
          <w:sz w:val="17"/>
          <w:szCs w:val="17"/>
          <w:color w:val="auto"/>
        </w:rPr>
        <w:t>Net cash used in fnancing actvites increased $108 million in the year ended December 31, 2024 compared to the prior year, primarily due to the net proceeds of $90 million received from the July 21, 2023 fnancing transactons and the $17 million Amended and Restated Term Loan prepayment in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44" w:name="page45"/>
    <w:bookmarkEnd w:id="44"/>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Other Collateral Requirements</w:t>
      </w:r>
    </w:p>
    <w:p>
      <w:pPr>
        <w:spacing w:after="0" w:line="177"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The NYS WCB requires security deposits related to self-insured workers’ compensaton obligatons, which security deposits are recalculated annually. Due to changes in 2019 to the manner in which the required security deposit is determined, the Company has been required to post additonal collateral over the last several years. At December 31, 2022, the Company posted $75 million of collateral, representng 107% of the Company’s undiscounted actuarial workers’ compensaton obligatons. Efectve May 1, 2023, the Company added New York to its existng workers compensaton liability insurance policy and is no longer self-insured for future claims. As a result, the NYS WCB confrmed the Company will no longer be obligated to post any additonal collateral. Further, the NYS WCB confrmed the Company can request a review of the security deposits supportng the historical liability beginning on July 1, 2025 with the submission of a current actuarial report. Based on the results of the actuarial valuaton report, the required security deposits may be eligible for reducton in 2025 and future periods.</w:t>
      </w:r>
    </w:p>
    <w:p>
      <w:pPr>
        <w:spacing w:after="0" w:line="182"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Based on the legacy nature of the Company’s workers’ compensaton obligatons, the undiscounted actuarial obligaton has been declining and the Company expects this trend to contnue. While it may not be indicatve of the rate of future declines, the undiscounted actuarial liability declined by an average of $5.1 million per year between 2014 and 2024. Accordingly, subject to the possibility of other changes to the calculaton of required security deposits by the NYS WCB, the Company expects the amount of the required security deposits to decline over tme and the gradual return of the security deposits that have been made or the capital used to support such security deposits.</w:t>
      </w:r>
    </w:p>
    <w:p>
      <w:pPr>
        <w:spacing w:after="0" w:line="220"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color w:val="auto"/>
        </w:rPr>
        <w:t>In the third quarter of 2023, the Company deposited $68 million directly with the NYS WCB and cancelled the corresponding leter of credit supportng the associated liability. As of December 31, 2024, the Company had $45 million of surety bonds and $30 million deposited directly with the NYS WCB supportng the associated liability. The surety bonds are collateralized with $25 million of cash and the Company could be required to provide up to $20 million of cash or leters of credit to the issuers of certain surety bonds in the future to fully collateralize the bonds.</w:t>
      </w:r>
    </w:p>
    <w:p>
      <w:pPr>
        <w:spacing w:after="0" w:line="18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Other Uses of Cash Related to Financing Transactons</w:t>
      </w:r>
    </w:p>
    <w:p>
      <w:pPr>
        <w:spacing w:after="0" w:line="177" w:lineRule="exact"/>
        <w:rPr>
          <w:sz w:val="20"/>
          <w:szCs w:val="20"/>
          <w:color w:val="auto"/>
        </w:rPr>
      </w:pPr>
    </w:p>
    <w:p>
      <w:pPr>
        <w:ind w:right="440"/>
        <w:spacing w:after="0" w:line="235" w:lineRule="auto"/>
        <w:rPr>
          <w:sz w:val="20"/>
          <w:szCs w:val="20"/>
          <w:color w:val="auto"/>
        </w:rPr>
      </w:pPr>
      <w:r>
        <w:rPr>
          <w:rFonts w:ascii="Calibri" w:cs="Calibri" w:eastAsia="Calibri" w:hAnsi="Calibri"/>
          <w:sz w:val="18"/>
          <w:szCs w:val="18"/>
          <w:color w:val="auto"/>
        </w:rPr>
        <w:t>The holders of the Term Loans are enttled to quarterly cash interest payments at a rate of 7.5% per annum. The holders of Series B Preferred Stock are enttled to cumulatve dividends payable quarterly in cash at a rate of 4% per annum. All interest and dividends have been paid when due.</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Defned Beneft Pension and Postretrement Plans</w:t>
      </w:r>
    </w:p>
    <w:p>
      <w:pPr>
        <w:spacing w:after="0" w:line="190" w:lineRule="exact"/>
        <w:rPr>
          <w:sz w:val="20"/>
          <w:szCs w:val="20"/>
          <w:color w:val="auto"/>
        </w:rPr>
      </w:pPr>
    </w:p>
    <w:p>
      <w:pPr>
        <w:ind w:right="300"/>
        <w:spacing w:after="0" w:line="252" w:lineRule="auto"/>
        <w:rPr>
          <w:sz w:val="20"/>
          <w:szCs w:val="20"/>
          <w:color w:val="auto"/>
        </w:rPr>
      </w:pPr>
      <w:r>
        <w:rPr>
          <w:rFonts w:ascii="Calibri" w:cs="Calibri" w:eastAsia="Calibri" w:hAnsi="Calibri"/>
          <w:sz w:val="17"/>
          <w:szCs w:val="17"/>
          <w:color w:val="auto"/>
        </w:rPr>
        <w:t>Kodak made contributons (funded plans) or paid net benefts (unfunded plans) totaling approximately $15 million relatng to its non-U.S. defned beneft pension and postretrement beneft plans in 2024. For 2025, the forecasted contributon (funded plans) and net beneft payment (unfunded plans) requirements for its non-U.S. defned beneft pension and postretrement plans are approximately $10 million. Kodak does not expect to make any cash contributons to the KRIP in 2025 and expects beneft payments (unfunded plans) related to its non-major U.S. plans to be less than $1 million.</w:t>
      </w:r>
    </w:p>
    <w:p>
      <w:pPr>
        <w:spacing w:after="0" w:line="16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Capital Expenditures</w:t>
      </w:r>
    </w:p>
    <w:p>
      <w:pPr>
        <w:spacing w:after="0" w:line="177" w:lineRule="exact"/>
        <w:rPr>
          <w:sz w:val="20"/>
          <w:szCs w:val="20"/>
          <w:color w:val="auto"/>
        </w:rPr>
      </w:pPr>
    </w:p>
    <w:p>
      <w:pPr>
        <w:ind w:right="220"/>
        <w:spacing w:after="0" w:line="235" w:lineRule="auto"/>
        <w:rPr>
          <w:sz w:val="20"/>
          <w:szCs w:val="20"/>
          <w:color w:val="auto"/>
        </w:rPr>
      </w:pPr>
      <w:r>
        <w:rPr>
          <w:rFonts w:ascii="Calibri" w:cs="Calibri" w:eastAsia="Calibri" w:hAnsi="Calibri"/>
          <w:sz w:val="18"/>
          <w:szCs w:val="18"/>
          <w:color w:val="auto"/>
        </w:rPr>
        <w:t>Cash fows from investng actvites included $56 million for capital expenditures for the year ended December 31, 2024. Kodak expects approximately $35 million to $45 million of cash fows for investng actvites from capital expenditures for the year ending December 31, 2025.</w:t>
      </w:r>
    </w:p>
    <w:p>
      <w:pPr>
        <w:spacing w:after="0" w:line="18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BEPS Pillar 2</w:t>
      </w:r>
    </w:p>
    <w:p>
      <w:pPr>
        <w:spacing w:after="0" w:line="177"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color w:val="auto"/>
        </w:rPr>
        <w:t>In December 2021, the OECD introduced Base Erosion and Proft Shifing (“BEPS”) Pillar 2 rules that imposed a global minimum tax rate of 15%. Numerous countries, including European Union member states, enacted legislaton that took efect on January 1, 2024. To mitgate the administratve burden in complying with the OECD Global BEPS rules during the inital years of implementaton, the OECD developed the temporary “Transitonal Country-by-Country Safe Harbor” ("Safe Harbor"). The Safe Harbor applies for fscal years beginning on or before December 31, 2026. Under the Safe Harbor, the top-up tax for such jurisdicton is deemed to be zero, provided that at least one of the Safe Harbor tests is met for the jurisdicton.</w:t>
      </w:r>
    </w:p>
    <w:p>
      <w:pPr>
        <w:spacing w:after="0" w:line="180" w:lineRule="exact"/>
        <w:rPr>
          <w:sz w:val="20"/>
          <w:szCs w:val="20"/>
          <w:color w:val="auto"/>
        </w:rPr>
      </w:pPr>
    </w:p>
    <w:p>
      <w:pPr>
        <w:ind w:right="460"/>
        <w:spacing w:after="0" w:line="235" w:lineRule="auto"/>
        <w:rPr>
          <w:sz w:val="20"/>
          <w:szCs w:val="20"/>
          <w:color w:val="auto"/>
        </w:rPr>
      </w:pPr>
      <w:r>
        <w:rPr>
          <w:rFonts w:ascii="Calibri" w:cs="Calibri" w:eastAsia="Calibri" w:hAnsi="Calibri"/>
          <w:sz w:val="18"/>
          <w:szCs w:val="18"/>
          <w:color w:val="auto"/>
        </w:rPr>
        <w:t>Kodak was able to avail itself of the Pillar 2 Safe Harbor in most of the jurisdictons in which it operates. As of December 31, 2024, the impact of Pillar 2 legislaton was immaterial to Kodak.</w:t>
      </w:r>
    </w:p>
    <w:p>
      <w:pPr>
        <w:spacing w:after="0" w:line="191" w:lineRule="exact"/>
        <w:rPr>
          <w:sz w:val="20"/>
          <w:szCs w:val="20"/>
          <w:color w:val="auto"/>
        </w:rPr>
      </w:pPr>
    </w:p>
    <w:p>
      <w:pPr>
        <w:ind w:right="200"/>
        <w:spacing w:after="0" w:line="235" w:lineRule="auto"/>
        <w:rPr>
          <w:sz w:val="20"/>
          <w:szCs w:val="20"/>
          <w:color w:val="auto"/>
        </w:rPr>
      </w:pPr>
      <w:r>
        <w:rPr>
          <w:rFonts w:ascii="Calibri" w:cs="Calibri" w:eastAsia="Calibri" w:hAnsi="Calibri"/>
          <w:sz w:val="18"/>
          <w:szCs w:val="18"/>
          <w:color w:val="auto"/>
        </w:rPr>
        <w:t>General implementaton of the Global minimum tax (by non- US taxing authorites) became efectve January 1, 2025. Kodak’s policy is to recognize the impact related to the Safe Harbor as period costs. The Company believes that it will contnue to beneft from the Safe Harbor provisions and that there will not be a material impact to the fnancial statements.</w:t>
      </w:r>
    </w:p>
    <w:p>
      <w:pPr>
        <w:spacing w:after="0" w:line="322"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45" w:name="page46"/>
    <w:bookmarkEnd w:id="45"/>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alibri" w:cs="Calibri" w:eastAsia="Calibri" w:hAnsi="Calibri"/>
          <w:sz w:val="18"/>
          <w:szCs w:val="18"/>
          <w:color w:val="auto"/>
        </w:rPr>
        <w:t>Kodak will contnue to monitor the legislatve developments of Pillar 2 framework in the jurisdictons in which it operates.</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Contractual Obligatons</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color w:val="auto"/>
        </w:rPr>
        <w:t>The impact that contractual obligatons are expected to have on Kodak's cash fow in future periods is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40" w:type="dxa"/>
            <w:vAlign w:val="bottom"/>
            <w:gridSpan w:val="4"/>
          </w:tcPr>
          <w:p>
            <w:pPr>
              <w:jc w:val="right"/>
              <w:ind w:right="33"/>
              <w:spacing w:after="0"/>
              <w:rPr>
                <w:sz w:val="20"/>
                <w:szCs w:val="20"/>
                <w:color w:val="auto"/>
              </w:rPr>
            </w:pPr>
            <w:r>
              <w:rPr>
                <w:rFonts w:ascii="Calibri" w:cs="Calibri" w:eastAsia="Calibri" w:hAnsi="Calibri"/>
                <w:sz w:val="18"/>
                <w:szCs w:val="18"/>
                <w:b w:val="1"/>
                <w:bCs w:val="1"/>
                <w:color w:val="auto"/>
                <w:w w:val="96"/>
              </w:rPr>
              <w:t>As of December 31, 2024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gridSpan w:val="2"/>
            <w:vMerge w:val="restart"/>
          </w:tcPr>
          <w:p>
            <w:pPr>
              <w:ind w:left="80"/>
              <w:spacing w:after="0" w:line="213" w:lineRule="exact"/>
              <w:rPr>
                <w:sz w:val="20"/>
                <w:szCs w:val="20"/>
                <w:color w:val="auto"/>
              </w:rPr>
            </w:pPr>
            <w:r>
              <w:rPr>
                <w:rFonts w:ascii="Calibri" w:cs="Calibri" w:eastAsia="Calibri" w:hAnsi="Calibri"/>
                <w:sz w:val="18"/>
                <w:szCs w:val="18"/>
                <w:b w:val="1"/>
                <w:bCs w:val="1"/>
                <w:color w:val="auto"/>
              </w:rPr>
              <w:t>Total</w:t>
            </w: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3340" w:type="dxa"/>
            <w:vAlign w:val="bottom"/>
          </w:tcPr>
          <w:p>
            <w:pPr>
              <w:ind w:left="20"/>
              <w:spacing w:after="0" w:line="169" w:lineRule="exact"/>
              <w:rPr>
                <w:sz w:val="20"/>
                <w:szCs w:val="20"/>
                <w:color w:val="auto"/>
              </w:rPr>
            </w:pPr>
            <w:r>
              <w:rPr>
                <w:rFonts w:ascii="Calibri" w:cs="Calibri" w:eastAsia="Calibri" w:hAnsi="Calibri"/>
                <w:sz w:val="14"/>
                <w:szCs w:val="14"/>
                <w:color w:val="auto"/>
              </w:rPr>
              <w:t>(in millions)</w:t>
            </w:r>
          </w:p>
        </w:tc>
        <w:tc>
          <w:tcPr>
            <w:tcW w:w="1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193"/>
              <w:spacing w:after="0" w:line="169" w:lineRule="exact"/>
              <w:rPr>
                <w:sz w:val="20"/>
                <w:szCs w:val="20"/>
                <w:color w:val="auto"/>
              </w:rPr>
            </w:pPr>
            <w:r>
              <w:rPr>
                <w:rFonts w:ascii="Calibri" w:cs="Calibri" w:eastAsia="Calibri" w:hAnsi="Calibri"/>
                <w:sz w:val="18"/>
                <w:szCs w:val="18"/>
                <w:b w:val="1"/>
                <w:bCs w:val="1"/>
                <w:color w:val="auto"/>
              </w:rPr>
              <w:t>2025</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173"/>
              <w:spacing w:after="0" w:line="169" w:lineRule="exact"/>
              <w:rPr>
                <w:sz w:val="20"/>
                <w:szCs w:val="20"/>
                <w:color w:val="auto"/>
              </w:rPr>
            </w:pPr>
            <w:r>
              <w:rPr>
                <w:rFonts w:ascii="Calibri" w:cs="Calibri" w:eastAsia="Calibri" w:hAnsi="Calibri"/>
                <w:sz w:val="18"/>
                <w:szCs w:val="18"/>
                <w:b w:val="1"/>
                <w:bCs w:val="1"/>
                <w:color w:val="auto"/>
              </w:rPr>
              <w:t>2026</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173"/>
              <w:spacing w:after="0" w:line="169" w:lineRule="exact"/>
              <w:rPr>
                <w:sz w:val="20"/>
                <w:szCs w:val="20"/>
                <w:color w:val="auto"/>
              </w:rPr>
            </w:pPr>
            <w:r>
              <w:rPr>
                <w:rFonts w:ascii="Calibri" w:cs="Calibri" w:eastAsia="Calibri" w:hAnsi="Calibri"/>
                <w:sz w:val="18"/>
                <w:szCs w:val="18"/>
                <w:b w:val="1"/>
                <w:bCs w:val="1"/>
                <w:color w:val="auto"/>
              </w:rPr>
              <w:t>2027</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193"/>
              <w:spacing w:after="0" w:line="169" w:lineRule="exact"/>
              <w:rPr>
                <w:sz w:val="20"/>
                <w:szCs w:val="20"/>
                <w:color w:val="auto"/>
              </w:rPr>
            </w:pPr>
            <w:r>
              <w:rPr>
                <w:rFonts w:ascii="Calibri" w:cs="Calibri" w:eastAsia="Calibri" w:hAnsi="Calibri"/>
                <w:sz w:val="18"/>
                <w:szCs w:val="18"/>
                <w:b w:val="1"/>
                <w:bCs w:val="1"/>
                <w:color w:val="auto"/>
              </w:rPr>
              <w:t>2028</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173"/>
              <w:spacing w:after="0" w:line="169" w:lineRule="exact"/>
              <w:rPr>
                <w:sz w:val="20"/>
                <w:szCs w:val="20"/>
                <w:color w:val="auto"/>
              </w:rPr>
            </w:pPr>
            <w:r>
              <w:rPr>
                <w:rFonts w:ascii="Calibri" w:cs="Calibri" w:eastAsia="Calibri" w:hAnsi="Calibri"/>
                <w:sz w:val="18"/>
                <w:szCs w:val="18"/>
                <w:b w:val="1"/>
                <w:bCs w:val="1"/>
                <w:color w:val="auto"/>
              </w:rPr>
              <w:t>2029</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ind w:right="153"/>
              <w:spacing w:after="0" w:line="169" w:lineRule="exact"/>
              <w:rPr>
                <w:sz w:val="20"/>
                <w:szCs w:val="20"/>
                <w:color w:val="auto"/>
              </w:rPr>
            </w:pPr>
            <w:r>
              <w:rPr>
                <w:rFonts w:ascii="Calibri" w:cs="Calibri" w:eastAsia="Calibri" w:hAnsi="Calibri"/>
                <w:sz w:val="18"/>
                <w:szCs w:val="18"/>
                <w:b w:val="1"/>
                <w:bCs w:val="1"/>
                <w:color w:val="auto"/>
              </w:rPr>
              <w:t>2030+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3340" w:type="dxa"/>
            <w:vAlign w:val="bottom"/>
            <w:vMerge w:val="restart"/>
          </w:tcPr>
          <w:p>
            <w:pPr>
              <w:ind w:left="20"/>
              <w:spacing w:after="0" w:line="210" w:lineRule="exact"/>
              <w:rPr>
                <w:sz w:val="20"/>
                <w:szCs w:val="20"/>
                <w:color w:val="auto"/>
              </w:rPr>
            </w:pPr>
            <w:r>
              <w:rPr>
                <w:rFonts w:ascii="Calibri" w:cs="Calibri" w:eastAsia="Calibri" w:hAnsi="Calibri"/>
                <w:sz w:val="17"/>
                <w:szCs w:val="17"/>
                <w:color w:val="auto"/>
              </w:rPr>
              <w:t xml:space="preserve">Long-term debt </w:t>
            </w:r>
            <w:r>
              <w:rPr>
                <w:rFonts w:ascii="Calibri" w:cs="Calibri" w:eastAsia="Calibri" w:hAnsi="Calibri"/>
                <w:sz w:val="22"/>
                <w:szCs w:val="22"/>
                <w:color w:val="auto"/>
                <w:vertAlign w:val="superscript"/>
              </w:rPr>
              <w:t>(1)</w:t>
            </w: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40" w:type="dxa"/>
            <w:vAlign w:val="bottom"/>
            <w:vMerge w:val="restart"/>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40" w:type="dxa"/>
            <w:vAlign w:val="bottom"/>
            <w:vMerge w:val="restart"/>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60" w:type="dxa"/>
            <w:vAlign w:val="bottom"/>
            <w:vMerge w:val="restart"/>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40" w:type="dxa"/>
            <w:vAlign w:val="bottom"/>
            <w:vMerge w:val="restart"/>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40" w:type="dxa"/>
            <w:vAlign w:val="bottom"/>
            <w:vMerge w:val="restart"/>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3340" w:type="dxa"/>
            <w:vAlign w:val="bottom"/>
            <w:vMerge w:val="continue"/>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Calibri" w:cs="Calibri" w:eastAsia="Calibri" w:hAnsi="Calibri"/>
                <w:sz w:val="16"/>
                <w:szCs w:val="16"/>
                <w:color w:val="auto"/>
                <w:w w:val="97"/>
              </w:rPr>
              <w:t>$</w:t>
            </w:r>
          </w:p>
        </w:tc>
        <w:tc>
          <w:tcPr>
            <w:tcW w:w="720" w:type="dxa"/>
            <w:vAlign w:val="bottom"/>
          </w:tcPr>
          <w:p>
            <w:pPr>
              <w:jc w:val="right"/>
              <w:spacing w:after="0" w:line="149" w:lineRule="exact"/>
              <w:rPr>
                <w:sz w:val="20"/>
                <w:szCs w:val="20"/>
                <w:color w:val="auto"/>
              </w:rPr>
            </w:pPr>
            <w:r>
              <w:rPr>
                <w:rFonts w:ascii="Calibri" w:cs="Calibri" w:eastAsia="Calibri" w:hAnsi="Calibri"/>
                <w:sz w:val="16"/>
                <w:szCs w:val="16"/>
                <w:color w:val="auto"/>
              </w:rPr>
              <w:t>572</w:t>
            </w:r>
          </w:p>
        </w:tc>
        <w:tc>
          <w:tcPr>
            <w:tcW w:w="24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Calibri" w:cs="Calibri" w:eastAsia="Calibri" w:hAnsi="Calibri"/>
                <w:sz w:val="16"/>
                <w:szCs w:val="16"/>
                <w:color w:val="auto"/>
              </w:rPr>
              <w:t>$</w:t>
            </w:r>
          </w:p>
        </w:tc>
        <w:tc>
          <w:tcPr>
            <w:tcW w:w="720" w:type="dxa"/>
            <w:vAlign w:val="bottom"/>
          </w:tcPr>
          <w:p>
            <w:pPr>
              <w:jc w:val="right"/>
              <w:spacing w:after="0" w:line="149" w:lineRule="exact"/>
              <w:rPr>
                <w:sz w:val="20"/>
                <w:szCs w:val="20"/>
                <w:color w:val="auto"/>
              </w:rPr>
            </w:pPr>
            <w:r>
              <w:rPr>
                <w:rFonts w:ascii="Calibri" w:cs="Calibri" w:eastAsia="Calibri" w:hAnsi="Calibri"/>
                <w:sz w:val="16"/>
                <w:szCs w:val="16"/>
                <w:color w:val="auto"/>
              </w:rPr>
              <w:t>1</w:t>
            </w:r>
          </w:p>
        </w:tc>
        <w:tc>
          <w:tcPr>
            <w:tcW w:w="240" w:type="dxa"/>
            <w:vAlign w:val="bottom"/>
            <w:vMerge w:val="continue"/>
          </w:tcPr>
          <w:p>
            <w:pPr>
              <w:spacing w:after="0"/>
              <w:rPr>
                <w:sz w:val="12"/>
                <w:szCs w:val="12"/>
                <w:color w:val="auto"/>
              </w:rPr>
            </w:pPr>
          </w:p>
        </w:tc>
        <w:tc>
          <w:tcPr>
            <w:tcW w:w="180" w:type="dxa"/>
            <w:vAlign w:val="bottom"/>
          </w:tcPr>
          <w:p>
            <w:pPr>
              <w:jc w:val="right"/>
              <w:ind w:right="1"/>
              <w:spacing w:after="0" w:line="149" w:lineRule="exact"/>
              <w:rPr>
                <w:sz w:val="20"/>
                <w:szCs w:val="20"/>
                <w:color w:val="auto"/>
              </w:rPr>
            </w:pPr>
            <w:r>
              <w:rPr>
                <w:rFonts w:ascii="Calibri" w:cs="Calibri" w:eastAsia="Calibri" w:hAnsi="Calibri"/>
                <w:sz w:val="16"/>
                <w:szCs w:val="16"/>
                <w:color w:val="auto"/>
                <w:w w:val="97"/>
              </w:rPr>
              <w:t>$</w:t>
            </w:r>
          </w:p>
        </w:tc>
        <w:tc>
          <w:tcPr>
            <w:tcW w:w="720" w:type="dxa"/>
            <w:vAlign w:val="bottom"/>
          </w:tcPr>
          <w:p>
            <w:pPr>
              <w:jc w:val="right"/>
              <w:spacing w:after="0" w:line="149" w:lineRule="exact"/>
              <w:rPr>
                <w:sz w:val="20"/>
                <w:szCs w:val="20"/>
                <w:color w:val="auto"/>
              </w:rPr>
            </w:pPr>
            <w:r>
              <w:rPr>
                <w:rFonts w:ascii="Calibri" w:cs="Calibri" w:eastAsia="Calibri" w:hAnsi="Calibri"/>
                <w:sz w:val="16"/>
                <w:szCs w:val="16"/>
                <w:color w:val="auto"/>
              </w:rPr>
              <w:t>1</w:t>
            </w:r>
          </w:p>
        </w:tc>
        <w:tc>
          <w:tcPr>
            <w:tcW w:w="240" w:type="dxa"/>
            <w:vAlign w:val="bottom"/>
            <w:vMerge w:val="continue"/>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Calibri" w:cs="Calibri" w:eastAsia="Calibri" w:hAnsi="Calibri"/>
                <w:sz w:val="16"/>
                <w:szCs w:val="16"/>
                <w:color w:val="auto"/>
                <w:w w:val="97"/>
              </w:rPr>
              <w:t>$</w:t>
            </w:r>
          </w:p>
        </w:tc>
        <w:tc>
          <w:tcPr>
            <w:tcW w:w="780" w:type="dxa"/>
            <w:vAlign w:val="bottom"/>
          </w:tcPr>
          <w:p>
            <w:pPr>
              <w:jc w:val="right"/>
              <w:spacing w:after="0" w:line="149" w:lineRule="exact"/>
              <w:rPr>
                <w:sz w:val="20"/>
                <w:szCs w:val="20"/>
                <w:color w:val="auto"/>
              </w:rPr>
            </w:pPr>
            <w:r>
              <w:rPr>
                <w:rFonts w:ascii="Calibri" w:cs="Calibri" w:eastAsia="Calibri" w:hAnsi="Calibri"/>
                <w:sz w:val="16"/>
                <w:szCs w:val="16"/>
                <w:color w:val="auto"/>
              </w:rPr>
              <w:t>2</w:t>
            </w:r>
          </w:p>
        </w:tc>
        <w:tc>
          <w:tcPr>
            <w:tcW w:w="260" w:type="dxa"/>
            <w:vAlign w:val="bottom"/>
            <w:vMerge w:val="continue"/>
          </w:tcPr>
          <w:p>
            <w:pPr>
              <w:spacing w:after="0"/>
              <w:rPr>
                <w:sz w:val="12"/>
                <w:szCs w:val="12"/>
                <w:color w:val="auto"/>
              </w:rPr>
            </w:pPr>
          </w:p>
        </w:tc>
        <w:tc>
          <w:tcPr>
            <w:tcW w:w="180" w:type="dxa"/>
            <w:vAlign w:val="bottom"/>
          </w:tcPr>
          <w:p>
            <w:pPr>
              <w:jc w:val="right"/>
              <w:ind w:right="1"/>
              <w:spacing w:after="0" w:line="149" w:lineRule="exact"/>
              <w:rPr>
                <w:sz w:val="20"/>
                <w:szCs w:val="20"/>
                <w:color w:val="auto"/>
              </w:rPr>
            </w:pPr>
            <w:r>
              <w:rPr>
                <w:rFonts w:ascii="Calibri" w:cs="Calibri" w:eastAsia="Calibri" w:hAnsi="Calibri"/>
                <w:sz w:val="16"/>
                <w:szCs w:val="16"/>
                <w:color w:val="auto"/>
                <w:w w:val="97"/>
              </w:rPr>
              <w:t>$</w:t>
            </w:r>
          </w:p>
        </w:tc>
        <w:tc>
          <w:tcPr>
            <w:tcW w:w="720" w:type="dxa"/>
            <w:vAlign w:val="bottom"/>
          </w:tcPr>
          <w:p>
            <w:pPr>
              <w:jc w:val="right"/>
              <w:spacing w:after="0" w:line="149" w:lineRule="exact"/>
              <w:rPr>
                <w:sz w:val="20"/>
                <w:szCs w:val="20"/>
                <w:color w:val="auto"/>
              </w:rPr>
            </w:pPr>
            <w:r>
              <w:rPr>
                <w:rFonts w:ascii="Calibri" w:cs="Calibri" w:eastAsia="Calibri" w:hAnsi="Calibri"/>
                <w:sz w:val="16"/>
                <w:szCs w:val="16"/>
                <w:color w:val="auto"/>
              </w:rPr>
              <w:t>561</w:t>
            </w:r>
          </w:p>
        </w:tc>
        <w:tc>
          <w:tcPr>
            <w:tcW w:w="240" w:type="dxa"/>
            <w:vAlign w:val="bottom"/>
            <w:vMerge w:val="continue"/>
          </w:tcPr>
          <w:p>
            <w:pPr>
              <w:spacing w:after="0"/>
              <w:rPr>
                <w:sz w:val="12"/>
                <w:szCs w:val="12"/>
                <w:color w:val="auto"/>
              </w:rPr>
            </w:pPr>
          </w:p>
        </w:tc>
        <w:tc>
          <w:tcPr>
            <w:tcW w:w="180" w:type="dxa"/>
            <w:vAlign w:val="bottom"/>
          </w:tcPr>
          <w:p>
            <w:pPr>
              <w:jc w:val="right"/>
              <w:ind w:right="1"/>
              <w:spacing w:after="0" w:line="149" w:lineRule="exact"/>
              <w:rPr>
                <w:sz w:val="20"/>
                <w:szCs w:val="20"/>
                <w:color w:val="auto"/>
              </w:rPr>
            </w:pPr>
            <w:r>
              <w:rPr>
                <w:rFonts w:ascii="Calibri" w:cs="Calibri" w:eastAsia="Calibri" w:hAnsi="Calibri"/>
                <w:sz w:val="16"/>
                <w:szCs w:val="16"/>
                <w:color w:val="auto"/>
                <w:w w:val="97"/>
              </w:rPr>
              <w:t>$</w:t>
            </w:r>
          </w:p>
        </w:tc>
        <w:tc>
          <w:tcPr>
            <w:tcW w:w="720" w:type="dxa"/>
            <w:vAlign w:val="bottom"/>
          </w:tcPr>
          <w:p>
            <w:pPr>
              <w:jc w:val="right"/>
              <w:spacing w:after="0" w:line="149" w:lineRule="exact"/>
              <w:rPr>
                <w:sz w:val="20"/>
                <w:szCs w:val="20"/>
                <w:color w:val="auto"/>
              </w:rPr>
            </w:pPr>
            <w:r>
              <w:rPr>
                <w:rFonts w:ascii="Calibri" w:cs="Calibri" w:eastAsia="Calibri" w:hAnsi="Calibri"/>
                <w:sz w:val="16"/>
                <w:szCs w:val="16"/>
                <w:color w:val="auto"/>
              </w:rPr>
              <w:t>1</w:t>
            </w:r>
          </w:p>
        </w:tc>
        <w:tc>
          <w:tcPr>
            <w:tcW w:w="240" w:type="dxa"/>
            <w:vAlign w:val="bottom"/>
            <w:vMerge w:val="continue"/>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Calibri" w:cs="Calibri" w:eastAsia="Calibri" w:hAnsi="Calibri"/>
                <w:sz w:val="16"/>
                <w:szCs w:val="16"/>
                <w:color w:val="auto"/>
              </w:rPr>
              <w:t>$</w:t>
            </w:r>
          </w:p>
        </w:tc>
        <w:tc>
          <w:tcPr>
            <w:tcW w:w="740" w:type="dxa"/>
            <w:vAlign w:val="bottom"/>
          </w:tcPr>
          <w:p>
            <w:pPr>
              <w:jc w:val="right"/>
              <w:spacing w:after="0" w:line="149" w:lineRule="exact"/>
              <w:rPr>
                <w:sz w:val="20"/>
                <w:szCs w:val="20"/>
                <w:color w:val="auto"/>
              </w:rPr>
            </w:pPr>
            <w:r>
              <w:rPr>
                <w:rFonts w:ascii="Calibri" w:cs="Calibri" w:eastAsia="Calibri" w:hAnsi="Calibri"/>
                <w:sz w:val="16"/>
                <w:szCs w:val="16"/>
                <w:color w:val="auto"/>
              </w:rPr>
              <w:t>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6"/>
        </w:trPr>
        <w:tc>
          <w:tcPr>
            <w:tcW w:w="3340" w:type="dxa"/>
            <w:vAlign w:val="bottom"/>
          </w:tcPr>
          <w:p>
            <w:pPr>
              <w:ind w:left="20"/>
              <w:spacing w:after="0" w:line="276" w:lineRule="exact"/>
              <w:rPr>
                <w:sz w:val="20"/>
                <w:szCs w:val="20"/>
                <w:color w:val="auto"/>
              </w:rPr>
            </w:pPr>
            <w:r>
              <w:rPr>
                <w:rFonts w:ascii="Calibri" w:cs="Calibri" w:eastAsia="Calibri" w:hAnsi="Calibri"/>
                <w:sz w:val="18"/>
                <w:szCs w:val="18"/>
                <w:color w:val="auto"/>
              </w:rPr>
              <w:t xml:space="preserve">Interest payments on debt </w:t>
            </w:r>
            <w:r>
              <w:rPr>
                <w:rFonts w:ascii="Calibri" w:cs="Calibri" w:eastAsia="Calibri" w:hAnsi="Calibri"/>
                <w:sz w:val="24"/>
                <w:szCs w:val="24"/>
                <w:color w:val="auto"/>
                <w:vertAlign w:val="superscript"/>
              </w:rPr>
              <w:t>(2)</w:t>
            </w: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alibri" w:cs="Calibri" w:eastAsia="Calibri" w:hAnsi="Calibri"/>
                <w:sz w:val="18"/>
                <w:szCs w:val="18"/>
                <w:color w:val="auto"/>
              </w:rPr>
              <w:t>158</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alibri" w:cs="Calibri" w:eastAsia="Calibri" w:hAnsi="Calibri"/>
                <w:sz w:val="18"/>
                <w:szCs w:val="18"/>
                <w:color w:val="auto"/>
              </w:rPr>
              <w:t>38</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alibri" w:cs="Calibri" w:eastAsia="Calibri" w:hAnsi="Calibri"/>
                <w:sz w:val="18"/>
                <w:szCs w:val="18"/>
                <w:color w:val="auto"/>
              </w:rPr>
              <w:t>40</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alibri" w:cs="Calibri" w:eastAsia="Calibri" w:hAnsi="Calibri"/>
                <w:sz w:val="18"/>
                <w:szCs w:val="18"/>
                <w:color w:val="auto"/>
              </w:rPr>
              <w:t>41</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alibri" w:cs="Calibri" w:eastAsia="Calibri" w:hAnsi="Calibri"/>
                <w:sz w:val="18"/>
                <w:szCs w:val="18"/>
                <w:color w:val="auto"/>
              </w:rPr>
              <w:t>37</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alibri" w:cs="Calibri" w:eastAsia="Calibri" w:hAnsi="Calibri"/>
                <w:sz w:val="18"/>
                <w:szCs w:val="18"/>
                <w:color w:val="auto"/>
              </w:rPr>
              <w:t>1</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alibri" w:cs="Calibri" w:eastAsia="Calibri" w:hAnsi="Calibri"/>
                <w:sz w:val="18"/>
                <w:szCs w:val="18"/>
                <w:color w:val="auto"/>
              </w:rPr>
              <w:t>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340" w:type="dxa"/>
            <w:vAlign w:val="bottom"/>
          </w:tcPr>
          <w:p>
            <w:pPr>
              <w:ind w:left="20"/>
              <w:spacing w:after="0" w:line="156" w:lineRule="exact"/>
              <w:rPr>
                <w:sz w:val="20"/>
                <w:szCs w:val="20"/>
                <w:color w:val="auto"/>
              </w:rPr>
            </w:pPr>
            <w:r>
              <w:rPr>
                <w:rFonts w:ascii="Calibri" w:cs="Calibri" w:eastAsia="Calibri" w:hAnsi="Calibri"/>
                <w:sz w:val="16"/>
                <w:szCs w:val="16"/>
                <w:color w:val="auto"/>
              </w:rPr>
              <w:t>Operatng lease obligatons</w:t>
            </w:r>
          </w:p>
        </w:tc>
        <w:tc>
          <w:tcPr>
            <w:tcW w:w="180" w:type="dxa"/>
            <w:vAlign w:val="bottom"/>
          </w:tcPr>
          <w:p>
            <w:pPr>
              <w:spacing w:after="0"/>
              <w:rPr>
                <w:sz w:val="13"/>
                <w:szCs w:val="13"/>
                <w:color w:val="auto"/>
              </w:rPr>
            </w:pPr>
          </w:p>
        </w:tc>
        <w:tc>
          <w:tcPr>
            <w:tcW w:w="720" w:type="dxa"/>
            <w:vAlign w:val="bottom"/>
          </w:tcPr>
          <w:p>
            <w:pPr>
              <w:jc w:val="right"/>
              <w:spacing w:after="0" w:line="156" w:lineRule="exact"/>
              <w:rPr>
                <w:sz w:val="20"/>
                <w:szCs w:val="20"/>
                <w:color w:val="auto"/>
              </w:rPr>
            </w:pPr>
            <w:r>
              <w:rPr>
                <w:rFonts w:ascii="Calibri" w:cs="Calibri" w:eastAsia="Calibri" w:hAnsi="Calibri"/>
                <w:sz w:val="16"/>
                <w:szCs w:val="16"/>
                <w:color w:val="auto"/>
              </w:rPr>
              <w:t>46</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line="156" w:lineRule="exact"/>
              <w:rPr>
                <w:sz w:val="20"/>
                <w:szCs w:val="20"/>
                <w:color w:val="auto"/>
              </w:rPr>
            </w:pPr>
            <w:r>
              <w:rPr>
                <w:rFonts w:ascii="Calibri" w:cs="Calibri" w:eastAsia="Calibri" w:hAnsi="Calibri"/>
                <w:sz w:val="16"/>
                <w:szCs w:val="16"/>
                <w:color w:val="auto"/>
              </w:rPr>
              <w:t>14</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line="156" w:lineRule="exact"/>
              <w:rPr>
                <w:sz w:val="20"/>
                <w:szCs w:val="20"/>
                <w:color w:val="auto"/>
              </w:rPr>
            </w:pPr>
            <w:r>
              <w:rPr>
                <w:rFonts w:ascii="Calibri" w:cs="Calibri" w:eastAsia="Calibri" w:hAnsi="Calibri"/>
                <w:sz w:val="16"/>
                <w:szCs w:val="16"/>
                <w:color w:val="auto"/>
              </w:rPr>
              <w:t>8</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line="156" w:lineRule="exact"/>
              <w:rPr>
                <w:sz w:val="20"/>
                <w:szCs w:val="20"/>
                <w:color w:val="auto"/>
              </w:rPr>
            </w:pPr>
            <w:r>
              <w:rPr>
                <w:rFonts w:ascii="Calibri" w:cs="Calibri" w:eastAsia="Calibri" w:hAnsi="Calibri"/>
                <w:sz w:val="16"/>
                <w:szCs w:val="16"/>
                <w:color w:val="auto"/>
              </w:rPr>
              <w:t>6</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line="156" w:lineRule="exact"/>
              <w:rPr>
                <w:sz w:val="20"/>
                <w:szCs w:val="20"/>
                <w:color w:val="auto"/>
              </w:rPr>
            </w:pPr>
            <w:r>
              <w:rPr>
                <w:rFonts w:ascii="Calibri" w:cs="Calibri" w:eastAsia="Calibri" w:hAnsi="Calibri"/>
                <w:sz w:val="16"/>
                <w:szCs w:val="16"/>
                <w:color w:val="auto"/>
              </w:rPr>
              <w:t>5</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line="156" w:lineRule="exact"/>
              <w:rPr>
                <w:sz w:val="20"/>
                <w:szCs w:val="20"/>
                <w:color w:val="auto"/>
              </w:rPr>
            </w:pPr>
            <w:r>
              <w:rPr>
                <w:rFonts w:ascii="Calibri" w:cs="Calibri" w:eastAsia="Calibri" w:hAnsi="Calibri"/>
                <w:sz w:val="16"/>
                <w:szCs w:val="16"/>
                <w:color w:val="auto"/>
              </w:rPr>
              <w:t>4</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jc w:val="right"/>
              <w:spacing w:after="0" w:line="156" w:lineRule="exact"/>
              <w:rPr>
                <w:sz w:val="20"/>
                <w:szCs w:val="20"/>
                <w:color w:val="auto"/>
              </w:rPr>
            </w:pPr>
            <w:r>
              <w:rPr>
                <w:rFonts w:ascii="Calibri" w:cs="Calibri" w:eastAsia="Calibri" w:hAnsi="Calibri"/>
                <w:sz w:val="16"/>
                <w:szCs w:val="16"/>
                <w:color w:val="auto"/>
              </w:rPr>
              <w:t>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6"/>
        </w:trPr>
        <w:tc>
          <w:tcPr>
            <w:tcW w:w="3340" w:type="dxa"/>
            <w:vAlign w:val="bottom"/>
          </w:tcPr>
          <w:p>
            <w:pPr>
              <w:ind w:left="20"/>
              <w:spacing w:after="0" w:line="276" w:lineRule="exact"/>
              <w:rPr>
                <w:sz w:val="20"/>
                <w:szCs w:val="20"/>
                <w:color w:val="auto"/>
              </w:rPr>
            </w:pPr>
            <w:r>
              <w:rPr>
                <w:rFonts w:ascii="Calibri" w:cs="Calibri" w:eastAsia="Calibri" w:hAnsi="Calibri"/>
                <w:sz w:val="18"/>
                <w:szCs w:val="18"/>
                <w:color w:val="auto"/>
              </w:rPr>
              <w:t xml:space="preserve">Purchase obligatons </w:t>
            </w:r>
            <w:r>
              <w:rPr>
                <w:rFonts w:ascii="Calibri" w:cs="Calibri" w:eastAsia="Calibri" w:hAnsi="Calibri"/>
                <w:sz w:val="24"/>
                <w:szCs w:val="24"/>
                <w:color w:val="auto"/>
                <w:vertAlign w:val="superscript"/>
              </w:rPr>
              <w:t>(3)</w:t>
            </w: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alibri" w:cs="Calibri" w:eastAsia="Calibri" w:hAnsi="Calibri"/>
                <w:sz w:val="18"/>
                <w:szCs w:val="18"/>
                <w:color w:val="auto"/>
              </w:rPr>
              <w:t>19</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alibri" w:cs="Calibri" w:eastAsia="Calibri" w:hAnsi="Calibri"/>
                <w:sz w:val="18"/>
                <w:szCs w:val="18"/>
                <w:color w:val="auto"/>
              </w:rPr>
              <w:t>9</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alibri" w:cs="Calibri" w:eastAsia="Calibri" w:hAnsi="Calibri"/>
                <w:sz w:val="18"/>
                <w:szCs w:val="18"/>
                <w:color w:val="auto"/>
              </w:rPr>
              <w:t>6</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alibri" w:cs="Calibri" w:eastAsia="Calibri" w:hAnsi="Calibri"/>
                <w:sz w:val="18"/>
                <w:szCs w:val="18"/>
                <w:color w:val="auto"/>
              </w:rPr>
              <w:t>2</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alibri" w:cs="Calibri" w:eastAsia="Calibri" w:hAnsi="Calibri"/>
                <w:sz w:val="18"/>
                <w:szCs w:val="18"/>
                <w:color w:val="auto"/>
              </w:rPr>
              <w:t>1</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alibri" w:cs="Calibri" w:eastAsia="Calibri" w:hAnsi="Calibri"/>
                <w:sz w:val="18"/>
                <w:szCs w:val="18"/>
                <w:color w:val="auto"/>
              </w:rPr>
              <w:t>1</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gridSpan w:val="2"/>
          </w:tcPr>
          <w:p>
            <w:pPr>
              <w:jc w:val="right"/>
              <w:ind w:right="120"/>
              <w:spacing w:after="0"/>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156"/>
        </w:trPr>
        <w:tc>
          <w:tcPr>
            <w:tcW w:w="3340" w:type="dxa"/>
            <w:vAlign w:val="bottom"/>
            <w:shd w:val="clear" w:color="auto" w:fill="CFF0FC"/>
          </w:tcPr>
          <w:p>
            <w:pPr>
              <w:ind w:left="20"/>
              <w:spacing w:after="0" w:line="156" w:lineRule="exact"/>
              <w:rPr>
                <w:sz w:val="20"/>
                <w:szCs w:val="20"/>
                <w:color w:val="auto"/>
              </w:rPr>
            </w:pPr>
            <w:r>
              <w:rPr>
                <w:rFonts w:ascii="Calibri" w:cs="Calibri" w:eastAsia="Calibri" w:hAnsi="Calibri"/>
                <w:sz w:val="16"/>
                <w:szCs w:val="16"/>
                <w:color w:val="auto"/>
              </w:rPr>
              <w:t>Convertble preferred stock cash</w:t>
            </w:r>
          </w:p>
        </w:tc>
        <w:tc>
          <w:tcPr>
            <w:tcW w:w="1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3340" w:type="dxa"/>
            <w:vAlign w:val="bottom"/>
            <w:tcBorders>
              <w:bottom w:val="single" w:sz="8" w:color="CFF0FC"/>
            </w:tcBorders>
            <w:shd w:val="clear" w:color="auto" w:fill="CFF0FC"/>
          </w:tcPr>
          <w:p>
            <w:pPr>
              <w:ind w:left="140"/>
              <w:spacing w:after="0" w:line="263" w:lineRule="exact"/>
              <w:rPr>
                <w:sz w:val="20"/>
                <w:szCs w:val="20"/>
                <w:color w:val="auto"/>
              </w:rPr>
            </w:pPr>
            <w:r>
              <w:rPr>
                <w:rFonts w:ascii="Calibri" w:cs="Calibri" w:eastAsia="Calibri" w:hAnsi="Calibri"/>
                <w:sz w:val="18"/>
                <w:szCs w:val="18"/>
                <w:color w:val="auto"/>
              </w:rPr>
              <w:t xml:space="preserve">dividends </w:t>
            </w:r>
            <w:r>
              <w:rPr>
                <w:rFonts w:ascii="Calibri" w:cs="Calibri" w:eastAsia="Calibri" w:hAnsi="Calibri"/>
                <w:sz w:val="24"/>
                <w:szCs w:val="24"/>
                <w:color w:val="auto"/>
                <w:vertAlign w:val="superscript"/>
              </w:rPr>
              <w:t>(4)</w:t>
            </w:r>
          </w:p>
        </w:tc>
        <w:tc>
          <w:tcPr>
            <w:tcW w:w="180" w:type="dxa"/>
            <w:vAlign w:val="bottom"/>
            <w:tcBorders>
              <w:bottom w:val="single" w:sz="8" w:color="auto"/>
            </w:tcBorders>
            <w:shd w:val="clear" w:color="auto" w:fill="CFF0FC"/>
          </w:tcPr>
          <w:p>
            <w:pPr>
              <w:spacing w:after="0"/>
              <w:rPr>
                <w:sz w:val="22"/>
                <w:szCs w:val="2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8"/>
                <w:szCs w:val="18"/>
                <w:color w:val="auto"/>
              </w:rPr>
              <w:t>7</w:t>
            </w:r>
          </w:p>
        </w:tc>
        <w:tc>
          <w:tcPr>
            <w:tcW w:w="24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8"/>
                <w:szCs w:val="18"/>
                <w:color w:val="auto"/>
              </w:rPr>
              <w:t>4</w:t>
            </w:r>
          </w:p>
        </w:tc>
        <w:tc>
          <w:tcPr>
            <w:tcW w:w="24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8"/>
                <w:szCs w:val="18"/>
                <w:color w:val="auto"/>
              </w:rPr>
              <w:t>3</w:t>
            </w:r>
          </w:p>
        </w:tc>
        <w:tc>
          <w:tcPr>
            <w:tcW w:w="24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8"/>
                <w:szCs w:val="18"/>
                <w:color w:val="auto"/>
              </w:rPr>
              <w:t>—</w:t>
            </w:r>
          </w:p>
        </w:tc>
        <w:tc>
          <w:tcPr>
            <w:tcW w:w="26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8"/>
                <w:szCs w:val="18"/>
                <w:color w:val="auto"/>
              </w:rPr>
              <w:t>—</w:t>
            </w:r>
          </w:p>
        </w:tc>
        <w:tc>
          <w:tcPr>
            <w:tcW w:w="24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8"/>
                <w:szCs w:val="18"/>
                <w:color w:val="auto"/>
              </w:rPr>
              <w:t>—</w:t>
            </w:r>
          </w:p>
        </w:tc>
        <w:tc>
          <w:tcPr>
            <w:tcW w:w="24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8"/>
                <w:szCs w:val="18"/>
                <w:color w:val="auto"/>
              </w:rPr>
              <w:t>—</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340" w:type="dxa"/>
            <w:vAlign w:val="bottom"/>
          </w:tcPr>
          <w:p>
            <w:pPr>
              <w:ind w:left="200"/>
              <w:spacing w:after="0" w:line="210" w:lineRule="exact"/>
              <w:rPr>
                <w:sz w:val="20"/>
                <w:szCs w:val="20"/>
                <w:color w:val="auto"/>
              </w:rPr>
            </w:pPr>
            <w:r>
              <w:rPr>
                <w:rFonts w:ascii="Calibri" w:cs="Calibri" w:eastAsia="Calibri" w:hAnsi="Calibri"/>
                <w:sz w:val="22"/>
                <w:szCs w:val="22"/>
                <w:color w:val="auto"/>
                <w:vertAlign w:val="subscript"/>
              </w:rPr>
              <w:t>Total</w:t>
            </w:r>
            <w:r>
              <w:rPr>
                <w:rFonts w:ascii="Calibri" w:cs="Calibri" w:eastAsia="Calibri" w:hAnsi="Calibri"/>
                <w:sz w:val="10"/>
                <w:szCs w:val="10"/>
                <w:color w:val="auto"/>
              </w:rPr>
              <w:t xml:space="preserve"> (5) (6) (7)</w:t>
            </w:r>
          </w:p>
        </w:tc>
        <w:tc>
          <w:tcPr>
            <w:tcW w:w="180" w:type="dxa"/>
            <w:vAlign w:val="bottom"/>
          </w:tcPr>
          <w:p>
            <w:pPr>
              <w:jc w:val="right"/>
              <w:spacing w:after="0" w:line="209" w:lineRule="exact"/>
              <w:rPr>
                <w:sz w:val="20"/>
                <w:szCs w:val="20"/>
                <w:color w:val="auto"/>
              </w:rPr>
            </w:pPr>
            <w:r>
              <w:rPr>
                <w:rFonts w:ascii="Calibri" w:cs="Calibri" w:eastAsia="Calibri" w:hAnsi="Calibri"/>
                <w:sz w:val="18"/>
                <w:szCs w:val="18"/>
                <w:color w:val="auto"/>
                <w:w w:val="87"/>
              </w:rPr>
              <w:t>$</w:t>
            </w:r>
          </w:p>
        </w:tc>
        <w:tc>
          <w:tcPr>
            <w:tcW w:w="720" w:type="dxa"/>
            <w:vAlign w:val="bottom"/>
          </w:tcPr>
          <w:p>
            <w:pPr>
              <w:jc w:val="right"/>
              <w:spacing w:after="0" w:line="209" w:lineRule="exact"/>
              <w:rPr>
                <w:sz w:val="20"/>
                <w:szCs w:val="20"/>
                <w:color w:val="auto"/>
              </w:rPr>
            </w:pPr>
            <w:r>
              <w:rPr>
                <w:rFonts w:ascii="Calibri" w:cs="Calibri" w:eastAsia="Calibri" w:hAnsi="Calibri"/>
                <w:sz w:val="18"/>
                <w:szCs w:val="18"/>
                <w:color w:val="auto"/>
              </w:rPr>
              <w:t>802</w:t>
            </w:r>
          </w:p>
        </w:tc>
        <w:tc>
          <w:tcPr>
            <w:tcW w:w="240" w:type="dxa"/>
            <w:vAlign w:val="bottom"/>
          </w:tcPr>
          <w:p>
            <w:pPr>
              <w:spacing w:after="0"/>
              <w:rPr>
                <w:sz w:val="18"/>
                <w:szCs w:val="18"/>
                <w:color w:val="auto"/>
              </w:rPr>
            </w:pPr>
          </w:p>
        </w:tc>
        <w:tc>
          <w:tcPr>
            <w:tcW w:w="200" w:type="dxa"/>
            <w:vAlign w:val="bottom"/>
          </w:tcPr>
          <w:p>
            <w:pPr>
              <w:jc w:val="right"/>
              <w:spacing w:after="0" w:line="209" w:lineRule="exact"/>
              <w:rPr>
                <w:sz w:val="20"/>
                <w:szCs w:val="20"/>
                <w:color w:val="auto"/>
              </w:rPr>
            </w:pPr>
            <w:r>
              <w:rPr>
                <w:rFonts w:ascii="Calibri" w:cs="Calibri" w:eastAsia="Calibri" w:hAnsi="Calibri"/>
                <w:sz w:val="18"/>
                <w:szCs w:val="18"/>
                <w:color w:val="auto"/>
              </w:rPr>
              <w:t>$</w:t>
            </w:r>
          </w:p>
        </w:tc>
        <w:tc>
          <w:tcPr>
            <w:tcW w:w="720" w:type="dxa"/>
            <w:vAlign w:val="bottom"/>
          </w:tcPr>
          <w:p>
            <w:pPr>
              <w:jc w:val="right"/>
              <w:spacing w:after="0" w:line="209" w:lineRule="exact"/>
              <w:rPr>
                <w:sz w:val="20"/>
                <w:szCs w:val="20"/>
                <w:color w:val="auto"/>
              </w:rPr>
            </w:pPr>
            <w:r>
              <w:rPr>
                <w:rFonts w:ascii="Calibri" w:cs="Calibri" w:eastAsia="Calibri" w:hAnsi="Calibri"/>
                <w:sz w:val="18"/>
                <w:szCs w:val="18"/>
                <w:color w:val="auto"/>
              </w:rPr>
              <w:t>66</w:t>
            </w:r>
          </w:p>
        </w:tc>
        <w:tc>
          <w:tcPr>
            <w:tcW w:w="420" w:type="dxa"/>
            <w:vAlign w:val="bottom"/>
            <w:gridSpan w:val="2"/>
          </w:tcPr>
          <w:p>
            <w:pPr>
              <w:jc w:val="right"/>
              <w:ind w:right="1"/>
              <w:spacing w:after="0" w:line="209" w:lineRule="exact"/>
              <w:rPr>
                <w:sz w:val="20"/>
                <w:szCs w:val="20"/>
                <w:color w:val="auto"/>
              </w:rPr>
            </w:pPr>
            <w:r>
              <w:rPr>
                <w:rFonts w:ascii="Calibri" w:cs="Calibri" w:eastAsia="Calibri" w:hAnsi="Calibri"/>
                <w:sz w:val="18"/>
                <w:szCs w:val="18"/>
                <w:color w:val="auto"/>
              </w:rPr>
              <w:t>$</w:t>
            </w:r>
          </w:p>
        </w:tc>
        <w:tc>
          <w:tcPr>
            <w:tcW w:w="720" w:type="dxa"/>
            <w:vAlign w:val="bottom"/>
          </w:tcPr>
          <w:p>
            <w:pPr>
              <w:jc w:val="right"/>
              <w:spacing w:after="0" w:line="209" w:lineRule="exact"/>
              <w:rPr>
                <w:sz w:val="20"/>
                <w:szCs w:val="20"/>
                <w:color w:val="auto"/>
              </w:rPr>
            </w:pPr>
            <w:r>
              <w:rPr>
                <w:rFonts w:ascii="Calibri" w:cs="Calibri" w:eastAsia="Calibri" w:hAnsi="Calibri"/>
                <w:sz w:val="18"/>
                <w:szCs w:val="18"/>
                <w:color w:val="auto"/>
              </w:rPr>
              <w:t>58</w:t>
            </w:r>
          </w:p>
        </w:tc>
        <w:tc>
          <w:tcPr>
            <w:tcW w:w="360" w:type="dxa"/>
            <w:vAlign w:val="bottom"/>
            <w:gridSpan w:val="2"/>
          </w:tcPr>
          <w:p>
            <w:pPr>
              <w:jc w:val="right"/>
              <w:spacing w:after="0" w:line="209" w:lineRule="exact"/>
              <w:rPr>
                <w:sz w:val="20"/>
                <w:szCs w:val="20"/>
                <w:color w:val="auto"/>
              </w:rPr>
            </w:pPr>
            <w:r>
              <w:rPr>
                <w:rFonts w:ascii="Calibri" w:cs="Calibri" w:eastAsia="Calibri" w:hAnsi="Calibri"/>
                <w:sz w:val="18"/>
                <w:szCs w:val="18"/>
                <w:color w:val="auto"/>
              </w:rPr>
              <w:t>$</w:t>
            </w:r>
          </w:p>
        </w:tc>
        <w:tc>
          <w:tcPr>
            <w:tcW w:w="780" w:type="dxa"/>
            <w:vAlign w:val="bottom"/>
          </w:tcPr>
          <w:p>
            <w:pPr>
              <w:jc w:val="right"/>
              <w:spacing w:after="0" w:line="209" w:lineRule="exact"/>
              <w:rPr>
                <w:sz w:val="20"/>
                <w:szCs w:val="20"/>
                <w:color w:val="auto"/>
              </w:rPr>
            </w:pPr>
            <w:r>
              <w:rPr>
                <w:rFonts w:ascii="Calibri" w:cs="Calibri" w:eastAsia="Calibri" w:hAnsi="Calibri"/>
                <w:sz w:val="18"/>
                <w:szCs w:val="18"/>
                <w:color w:val="auto"/>
              </w:rPr>
              <w:t>51</w:t>
            </w:r>
          </w:p>
        </w:tc>
        <w:tc>
          <w:tcPr>
            <w:tcW w:w="440" w:type="dxa"/>
            <w:vAlign w:val="bottom"/>
            <w:gridSpan w:val="2"/>
          </w:tcPr>
          <w:p>
            <w:pPr>
              <w:jc w:val="right"/>
              <w:ind w:right="1"/>
              <w:spacing w:after="0" w:line="209" w:lineRule="exact"/>
              <w:rPr>
                <w:sz w:val="20"/>
                <w:szCs w:val="20"/>
                <w:color w:val="auto"/>
              </w:rPr>
            </w:pPr>
            <w:r>
              <w:rPr>
                <w:rFonts w:ascii="Calibri" w:cs="Calibri" w:eastAsia="Calibri" w:hAnsi="Calibri"/>
                <w:sz w:val="18"/>
                <w:szCs w:val="18"/>
                <w:color w:val="auto"/>
              </w:rPr>
              <w:t>$</w:t>
            </w:r>
          </w:p>
        </w:tc>
        <w:tc>
          <w:tcPr>
            <w:tcW w:w="720" w:type="dxa"/>
            <w:vAlign w:val="bottom"/>
          </w:tcPr>
          <w:p>
            <w:pPr>
              <w:jc w:val="right"/>
              <w:spacing w:after="0" w:line="209" w:lineRule="exact"/>
              <w:rPr>
                <w:sz w:val="20"/>
                <w:szCs w:val="20"/>
                <w:color w:val="auto"/>
              </w:rPr>
            </w:pPr>
            <w:r>
              <w:rPr>
                <w:rFonts w:ascii="Calibri" w:cs="Calibri" w:eastAsia="Calibri" w:hAnsi="Calibri"/>
                <w:sz w:val="18"/>
                <w:szCs w:val="18"/>
                <w:color w:val="auto"/>
              </w:rPr>
              <w:t>604</w:t>
            </w:r>
          </w:p>
        </w:tc>
        <w:tc>
          <w:tcPr>
            <w:tcW w:w="420" w:type="dxa"/>
            <w:vAlign w:val="bottom"/>
            <w:gridSpan w:val="2"/>
          </w:tcPr>
          <w:p>
            <w:pPr>
              <w:jc w:val="right"/>
              <w:ind w:right="1"/>
              <w:spacing w:after="0" w:line="209" w:lineRule="exact"/>
              <w:rPr>
                <w:sz w:val="20"/>
                <w:szCs w:val="20"/>
                <w:color w:val="auto"/>
              </w:rPr>
            </w:pPr>
            <w:r>
              <w:rPr>
                <w:rFonts w:ascii="Calibri" w:cs="Calibri" w:eastAsia="Calibri" w:hAnsi="Calibri"/>
                <w:sz w:val="18"/>
                <w:szCs w:val="18"/>
                <w:color w:val="auto"/>
              </w:rPr>
              <w:t>$</w:t>
            </w:r>
          </w:p>
        </w:tc>
        <w:tc>
          <w:tcPr>
            <w:tcW w:w="720" w:type="dxa"/>
            <w:vAlign w:val="bottom"/>
          </w:tcPr>
          <w:p>
            <w:pPr>
              <w:jc w:val="right"/>
              <w:spacing w:after="0" w:line="209" w:lineRule="exact"/>
              <w:rPr>
                <w:sz w:val="20"/>
                <w:szCs w:val="20"/>
                <w:color w:val="auto"/>
              </w:rPr>
            </w:pPr>
            <w:r>
              <w:rPr>
                <w:rFonts w:ascii="Calibri" w:cs="Calibri" w:eastAsia="Calibri" w:hAnsi="Calibri"/>
                <w:sz w:val="18"/>
                <w:szCs w:val="18"/>
                <w:color w:val="auto"/>
              </w:rPr>
              <w:t>7</w:t>
            </w:r>
          </w:p>
        </w:tc>
        <w:tc>
          <w:tcPr>
            <w:tcW w:w="420" w:type="dxa"/>
            <w:vAlign w:val="bottom"/>
            <w:gridSpan w:val="2"/>
          </w:tcPr>
          <w:p>
            <w:pPr>
              <w:jc w:val="right"/>
              <w:spacing w:after="0" w:line="209" w:lineRule="exact"/>
              <w:rPr>
                <w:sz w:val="20"/>
                <w:szCs w:val="20"/>
                <w:color w:val="auto"/>
              </w:rPr>
            </w:pPr>
            <w:r>
              <w:rPr>
                <w:rFonts w:ascii="Calibri" w:cs="Calibri" w:eastAsia="Calibri" w:hAnsi="Calibri"/>
                <w:sz w:val="18"/>
                <w:szCs w:val="18"/>
                <w:color w:val="auto"/>
              </w:rPr>
              <w:t>$</w:t>
            </w:r>
          </w:p>
        </w:tc>
        <w:tc>
          <w:tcPr>
            <w:tcW w:w="740" w:type="dxa"/>
            <w:vAlign w:val="bottom"/>
          </w:tcPr>
          <w:p>
            <w:pPr>
              <w:jc w:val="right"/>
              <w:spacing w:after="0" w:line="209" w:lineRule="exact"/>
              <w:rPr>
                <w:sz w:val="20"/>
                <w:szCs w:val="20"/>
                <w:color w:val="auto"/>
              </w:rPr>
            </w:pPr>
            <w:r>
              <w:rPr>
                <w:rFonts w:ascii="Calibri" w:cs="Calibri" w:eastAsia="Calibri" w:hAnsi="Calibri"/>
                <w:sz w:val="18"/>
                <w:szCs w:val="18"/>
                <w:color w:val="auto"/>
              </w:rPr>
              <w:t>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-985520</wp:posOffset>
            </wp:positionV>
            <wp:extent cx="7132320" cy="1371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-710565</wp:posOffset>
            </wp:positionV>
            <wp:extent cx="7132320" cy="1371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-170815</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-170815</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-170815</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-170815</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-170815</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-170815</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49" w:lineRule="exact"/>
        <w:rPr>
          <w:sz w:val="20"/>
          <w:szCs w:val="20"/>
          <w:color w:val="auto"/>
        </w:rPr>
      </w:pPr>
    </w:p>
    <w:p>
      <w:pPr>
        <w:ind w:left="280" w:right="100" w:hanging="272"/>
        <w:spacing w:after="0" w:line="228" w:lineRule="auto"/>
        <w:tabs>
          <w:tab w:leader="none" w:pos="280" w:val="left"/>
        </w:tabs>
        <w:numPr>
          <w:ilvl w:val="0"/>
          <w:numId w:val="33"/>
        </w:numPr>
        <w:rPr>
          <w:rFonts w:ascii="Calibri" w:cs="Calibri" w:eastAsia="Calibri" w:hAnsi="Calibri"/>
          <w:sz w:val="24"/>
          <w:szCs w:val="24"/>
          <w:color w:val="auto"/>
          <w:vertAlign w:val="superscript"/>
        </w:rPr>
      </w:pPr>
      <w:r>
        <w:rPr>
          <w:rFonts w:ascii="Calibri" w:cs="Calibri" w:eastAsia="Calibri" w:hAnsi="Calibri"/>
          <w:sz w:val="18"/>
          <w:szCs w:val="18"/>
          <w:color w:val="auto"/>
        </w:rPr>
        <w:t>Primarily represents the maturity values of Kodak's long-term debt obligatons as of December 31, 2024. The loans made under the Amended and Restated Term Loan Credit Agreement become due on August 15, 2028 or the date that is 91 days prior to the maturity date or mandatory redempton date of any of the Company’s then outstanding Convertble Securites or any extensions or refnancings of any of the foregoing. The loans made under the Amended and Restated Term Loan Credit Agreement receive 5% paid-in-kind interest at maturity. Paid-in-kind interest is included in the principal amount due. The contractual obligatons do not refect any contngent mandatory annual principal prepayments that may be required to be made upon achieving certain excess cash fow targets or from the Net Proceeds from the sale of Target Non-Core Assets, as such terms are defned in the Amended and Restated Term Loan Credit Agreement. On February 26, 2025, the Company entered into an amendment to the Amended and Restated Term Credit Agreement to modify the maturity date of the Term Loans to the earlier of August 15, 2028 or May 21, 2026, the date that is fve days prior to the maturity date or mandatory redempton date of any of the Company's then-outstanding Convertble Securites or any extensions or refnancing of any of the foregoing. Refer to Note 8, "Debt and Credit Facilites."</w:t>
      </w:r>
    </w:p>
    <w:p>
      <w:pPr>
        <w:spacing w:after="0" w:line="2" w:lineRule="exact"/>
        <w:rPr>
          <w:rFonts w:ascii="Calibri" w:cs="Calibri" w:eastAsia="Calibri" w:hAnsi="Calibri"/>
          <w:sz w:val="24"/>
          <w:szCs w:val="24"/>
          <w:color w:val="auto"/>
          <w:vertAlign w:val="superscript"/>
        </w:rPr>
      </w:pPr>
    </w:p>
    <w:p>
      <w:pPr>
        <w:ind w:left="280" w:right="140" w:hanging="272"/>
        <w:spacing w:after="0" w:line="201" w:lineRule="auto"/>
        <w:tabs>
          <w:tab w:leader="none" w:pos="280" w:val="left"/>
        </w:tabs>
        <w:numPr>
          <w:ilvl w:val="0"/>
          <w:numId w:val="33"/>
        </w:numPr>
        <w:rPr>
          <w:rFonts w:ascii="Calibri" w:cs="Calibri" w:eastAsia="Calibri" w:hAnsi="Calibri"/>
          <w:sz w:val="24"/>
          <w:szCs w:val="24"/>
          <w:color w:val="auto"/>
          <w:vertAlign w:val="superscript"/>
        </w:rPr>
      </w:pPr>
      <w:r>
        <w:rPr>
          <w:rFonts w:ascii="Calibri" w:cs="Calibri" w:eastAsia="Calibri" w:hAnsi="Calibri"/>
          <w:sz w:val="18"/>
          <w:szCs w:val="18"/>
          <w:color w:val="auto"/>
        </w:rPr>
        <w:t>Includes cash interest payments on the Amended and Restated Term Loan Credit Agreement, the RED-Rochester LLC debt and commitment fees for the Amended and Restated L/C Facility Agreement.</w:t>
      </w:r>
    </w:p>
    <w:p>
      <w:pPr>
        <w:spacing w:after="0" w:line="2" w:lineRule="exact"/>
        <w:rPr>
          <w:rFonts w:ascii="Calibri" w:cs="Calibri" w:eastAsia="Calibri" w:hAnsi="Calibri"/>
          <w:sz w:val="24"/>
          <w:szCs w:val="24"/>
          <w:color w:val="auto"/>
          <w:vertAlign w:val="superscript"/>
        </w:rPr>
      </w:pPr>
    </w:p>
    <w:p>
      <w:pPr>
        <w:ind w:left="280" w:right="60" w:hanging="272"/>
        <w:spacing w:after="0" w:line="217" w:lineRule="auto"/>
        <w:tabs>
          <w:tab w:leader="none" w:pos="280" w:val="left"/>
        </w:tabs>
        <w:numPr>
          <w:ilvl w:val="0"/>
          <w:numId w:val="33"/>
        </w:numPr>
        <w:rPr>
          <w:rFonts w:ascii="Calibri" w:cs="Calibri" w:eastAsia="Calibri" w:hAnsi="Calibri"/>
          <w:sz w:val="24"/>
          <w:szCs w:val="24"/>
          <w:color w:val="auto"/>
          <w:vertAlign w:val="superscript"/>
        </w:rPr>
      </w:pPr>
      <w:r>
        <w:rPr>
          <w:rFonts w:ascii="Calibri" w:cs="Calibri" w:eastAsia="Calibri" w:hAnsi="Calibri"/>
          <w:sz w:val="18"/>
          <w:szCs w:val="18"/>
          <w:color w:val="auto"/>
        </w:rPr>
        <w:t>Purchase obligatons include agreements related to raw materials, supplies, producton and administratve services, as well as marketng and advertsing, that are enforceable and legally binding on Kodak and that specify all signifcant terms, including: fxed or minimum quanttes to be purchased; fxed, minimum or variable price provisions; and the approximate tming of the transacton. Purchase obligatons exclude agreements that are cancelable without penalty.</w:t>
      </w:r>
    </w:p>
    <w:p>
      <w:pPr>
        <w:spacing w:after="0" w:line="3" w:lineRule="exact"/>
        <w:rPr>
          <w:rFonts w:ascii="Calibri" w:cs="Calibri" w:eastAsia="Calibri" w:hAnsi="Calibri"/>
          <w:sz w:val="24"/>
          <w:szCs w:val="24"/>
          <w:color w:val="auto"/>
          <w:vertAlign w:val="superscript"/>
        </w:rPr>
      </w:pPr>
    </w:p>
    <w:p>
      <w:pPr>
        <w:ind w:left="280" w:right="20" w:hanging="272"/>
        <w:spacing w:after="0" w:line="225" w:lineRule="auto"/>
        <w:tabs>
          <w:tab w:leader="none" w:pos="280" w:val="left"/>
        </w:tabs>
        <w:numPr>
          <w:ilvl w:val="0"/>
          <w:numId w:val="33"/>
        </w:numPr>
        <w:rPr>
          <w:rFonts w:ascii="Calibri" w:cs="Calibri" w:eastAsia="Calibri" w:hAnsi="Calibri"/>
          <w:sz w:val="24"/>
          <w:szCs w:val="24"/>
          <w:color w:val="auto"/>
          <w:vertAlign w:val="superscript"/>
        </w:rPr>
      </w:pPr>
      <w:r>
        <w:rPr>
          <w:rFonts w:ascii="Calibri" w:cs="Calibri" w:eastAsia="Calibri" w:hAnsi="Calibri"/>
          <w:sz w:val="18"/>
          <w:szCs w:val="18"/>
          <w:color w:val="auto"/>
        </w:rPr>
        <w:t>On February 26, 2021, the Company issued 1,000,000 shares of Series B Preferred Stock, and 1,000,000 shares of Series C Preferred Stock. The Series B and Series C Preferred Stock have a liquidaton preference of $100 per share. The holders of Series B Preferred Stock are enttled to cumulatve dividends payable quarterly in cash at a rate of 4% per annum. The holder of Series C Preferred Stock is enttled to cumulatve dividends payable quarterly in additonal shares of Series C Preferred Stock. If holders of the Series B and Series C Preferred stock convert their shares into common stock, dividends will decrease. The Company is required to redeem all shares not converted prior to May 28, 2026 at $100 per share plus the amount of any accrued and unpaid dividends. Due to uncertainty regarding the number of shares that will be redeemed, the redempton amount has not been included in the above table. Refer to Note 9, "Redeemable, Convertble Preferred Stock."</w:t>
      </w:r>
    </w:p>
    <w:p>
      <w:pPr>
        <w:spacing w:after="0" w:line="1" w:lineRule="exact"/>
        <w:rPr>
          <w:rFonts w:ascii="Calibri" w:cs="Calibri" w:eastAsia="Calibri" w:hAnsi="Calibri"/>
          <w:sz w:val="24"/>
          <w:szCs w:val="24"/>
          <w:color w:val="auto"/>
          <w:vertAlign w:val="superscript"/>
        </w:rPr>
      </w:pPr>
    </w:p>
    <w:p>
      <w:pPr>
        <w:ind w:left="280" w:right="640" w:hanging="272"/>
        <w:spacing w:after="0" w:line="201" w:lineRule="auto"/>
        <w:tabs>
          <w:tab w:leader="none" w:pos="280" w:val="left"/>
        </w:tabs>
        <w:numPr>
          <w:ilvl w:val="0"/>
          <w:numId w:val="33"/>
        </w:numPr>
        <w:rPr>
          <w:rFonts w:ascii="Calibri" w:cs="Calibri" w:eastAsia="Calibri" w:hAnsi="Calibri"/>
          <w:sz w:val="24"/>
          <w:szCs w:val="24"/>
          <w:color w:val="auto"/>
          <w:vertAlign w:val="superscript"/>
        </w:rPr>
      </w:pPr>
      <w:r>
        <w:rPr>
          <w:rFonts w:ascii="Calibri" w:cs="Calibri" w:eastAsia="Calibri" w:hAnsi="Calibri"/>
          <w:sz w:val="18"/>
          <w:szCs w:val="18"/>
          <w:color w:val="auto"/>
        </w:rPr>
        <w:t>Due to uncertainty regarding the completon of tax audits and possible outcomes, an estmate of the tming of payments related to uncertain tax positons and interest cannot be made. See Note 17, “Income Taxes,” for additonal informaton regarding Kodak's uncertain tax positons.</w:t>
      </w:r>
    </w:p>
    <w:p>
      <w:pPr>
        <w:spacing w:after="0" w:line="2" w:lineRule="exact"/>
        <w:rPr>
          <w:rFonts w:ascii="Calibri" w:cs="Calibri" w:eastAsia="Calibri" w:hAnsi="Calibri"/>
          <w:sz w:val="24"/>
          <w:szCs w:val="24"/>
          <w:color w:val="auto"/>
          <w:vertAlign w:val="superscript"/>
        </w:rPr>
      </w:pPr>
    </w:p>
    <w:p>
      <w:pPr>
        <w:ind w:left="280" w:right="100" w:hanging="272"/>
        <w:spacing w:after="0" w:line="211" w:lineRule="auto"/>
        <w:tabs>
          <w:tab w:leader="none" w:pos="280" w:val="left"/>
        </w:tabs>
        <w:numPr>
          <w:ilvl w:val="0"/>
          <w:numId w:val="33"/>
        </w:numPr>
        <w:rPr>
          <w:rFonts w:ascii="Calibri" w:cs="Calibri" w:eastAsia="Calibri" w:hAnsi="Calibri"/>
          <w:sz w:val="24"/>
          <w:szCs w:val="24"/>
          <w:color w:val="auto"/>
          <w:vertAlign w:val="superscript"/>
        </w:rPr>
      </w:pPr>
      <w:r>
        <w:rPr>
          <w:rFonts w:ascii="Calibri" w:cs="Calibri" w:eastAsia="Calibri" w:hAnsi="Calibri"/>
          <w:sz w:val="18"/>
          <w:szCs w:val="18"/>
          <w:color w:val="auto"/>
        </w:rPr>
        <w:t>For 2025, the Company currently forecasts $10 million in contributons and net beneft payments for its Non-U.S. major defned beneft retrement plans and other postretrement beneft plans. Expected contributons are excluded from the contractual obligatons table because they do not represent contractual cash outlows, as they are dependent on numerous factors which may result in a wide range of outcomes.</w:t>
      </w:r>
    </w:p>
    <w:p>
      <w:pPr>
        <w:spacing w:after="0" w:line="4" w:lineRule="exact"/>
        <w:rPr>
          <w:rFonts w:ascii="Calibri" w:cs="Calibri" w:eastAsia="Calibri" w:hAnsi="Calibri"/>
          <w:sz w:val="24"/>
          <w:szCs w:val="24"/>
          <w:color w:val="auto"/>
          <w:vertAlign w:val="superscript"/>
        </w:rPr>
      </w:pPr>
    </w:p>
    <w:p>
      <w:pPr>
        <w:ind w:left="280" w:right="160" w:hanging="272"/>
        <w:spacing w:after="0" w:line="201" w:lineRule="auto"/>
        <w:tabs>
          <w:tab w:leader="none" w:pos="280" w:val="left"/>
        </w:tabs>
        <w:numPr>
          <w:ilvl w:val="0"/>
          <w:numId w:val="33"/>
        </w:numPr>
        <w:rPr>
          <w:rFonts w:ascii="Calibri" w:cs="Calibri" w:eastAsia="Calibri" w:hAnsi="Calibri"/>
          <w:sz w:val="24"/>
          <w:szCs w:val="24"/>
          <w:color w:val="auto"/>
          <w:vertAlign w:val="superscript"/>
        </w:rPr>
      </w:pPr>
      <w:r>
        <w:rPr>
          <w:rFonts w:ascii="Calibri" w:cs="Calibri" w:eastAsia="Calibri" w:hAnsi="Calibri"/>
          <w:sz w:val="18"/>
          <w:szCs w:val="18"/>
          <w:color w:val="auto"/>
        </w:rPr>
        <w:t>Because tming of their future cash outlows is uncertain, the other long-term liabilites presented in Note 7, “Other Long-Term Liabilites,” are excluded from this table.</w:t>
      </w:r>
    </w:p>
    <w:p>
      <w:pPr>
        <w:spacing w:after="0" w:line="17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6" w:name="page47"/>
    <w:bookmarkEnd w:id="46"/>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CRITICAL ACCOUNTING POLICIES AND ESTIMATES</w:t>
      </w:r>
    </w:p>
    <w:p>
      <w:pPr>
        <w:spacing w:after="0" w:line="177"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Preparaton of the Company’s Consolidated Financial Statements in conformity with accountng principles generally accepted in the United States (U.S. GAAP) requires management to make estmates and assumptons that afect the reported amounts of assets, liabilites, revenues and expenses. Signifcant accountng policies used in the preparaton of the Consolidated Financial Statements are more fully described in Note 1, “Basis of Presentaton and Summary of Signifcant Accountng Policies.” The accountng policies most critcal to the preparaton of the consolidated fnancial statements and require the most difcult, subjectve or complex judgments are described below.</w:t>
      </w:r>
    </w:p>
    <w:p>
      <w:pPr>
        <w:spacing w:after="0" w:line="17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Revenue Recogniton</w:t>
      </w:r>
    </w:p>
    <w:p>
      <w:pPr>
        <w:spacing w:after="0" w:line="190"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Kodak sells a wide portolio of products and services to its customers. Kodak’s agreements have varying terms and conditons depending on the goods and services being sold, the rights and obligatons conveyed and the legal jurisdicton of the arrangement. While most of Kodak’s agreements have standard terms and conditons, more complex equipment arrangements may contain nonstandard terms and conditons that require signifcant contract interpretaton to determine the appropriate accountng.</w:t>
      </w:r>
    </w:p>
    <w:p>
      <w:pPr>
        <w:spacing w:after="0" w:line="179" w:lineRule="exact"/>
        <w:rPr>
          <w:sz w:val="20"/>
          <w:szCs w:val="20"/>
          <w:color w:val="auto"/>
        </w:rPr>
      </w:pPr>
    </w:p>
    <w:p>
      <w:pPr>
        <w:ind w:right="540"/>
        <w:spacing w:after="0" w:line="235" w:lineRule="auto"/>
        <w:rPr>
          <w:sz w:val="20"/>
          <w:szCs w:val="20"/>
          <w:color w:val="auto"/>
        </w:rPr>
      </w:pPr>
      <w:r>
        <w:rPr>
          <w:rFonts w:ascii="Calibri" w:cs="Calibri" w:eastAsia="Calibri" w:hAnsi="Calibri"/>
          <w:sz w:val="18"/>
          <w:szCs w:val="18"/>
          <w:color w:val="auto"/>
        </w:rPr>
        <w:t>For equipment sales, revenue recogniton may depend on completon of installaton based on the type of equipment, level of customer specifc customizaton and other contractual terms. In instances in which the agreement with the customer contains a customer acceptance clause, revenue is deferred untl customer acceptance is obtained, provided the customer acceptance clause is considered to be substantve.</w:t>
      </w:r>
    </w:p>
    <w:p>
      <w:pPr>
        <w:spacing w:after="0" w:line="178" w:lineRule="exact"/>
        <w:rPr>
          <w:sz w:val="20"/>
          <w:szCs w:val="20"/>
          <w:color w:val="auto"/>
        </w:rPr>
      </w:pPr>
    </w:p>
    <w:p>
      <w:pPr>
        <w:ind w:right="180"/>
        <w:spacing w:after="0" w:line="235" w:lineRule="auto"/>
        <w:rPr>
          <w:sz w:val="20"/>
          <w:szCs w:val="20"/>
          <w:color w:val="auto"/>
        </w:rPr>
      </w:pPr>
      <w:r>
        <w:rPr>
          <w:rFonts w:ascii="Calibri" w:cs="Calibri" w:eastAsia="Calibri" w:hAnsi="Calibri"/>
          <w:sz w:val="18"/>
          <w:szCs w:val="18"/>
          <w:color w:val="auto"/>
        </w:rPr>
        <w:t>Kodak’s brand licensing agreements (symbolic licenses) may include upfront payments with a defned license period or a perpetual license term. Signifcant judgment is required to determine the term over which revenue will be recognized and whether a signifcant fnancing component exists. No signifcant brand licensing agreements were entered into in 2024.</w:t>
      </w:r>
    </w:p>
    <w:p>
      <w:pPr>
        <w:spacing w:after="0" w:line="18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Taxes</w:t>
      </w:r>
    </w:p>
    <w:p>
      <w:pPr>
        <w:spacing w:after="0" w:line="177" w:lineRule="exact"/>
        <w:rPr>
          <w:sz w:val="20"/>
          <w:szCs w:val="20"/>
          <w:color w:val="auto"/>
        </w:rPr>
      </w:pPr>
    </w:p>
    <w:p>
      <w:pPr>
        <w:ind w:right="380"/>
        <w:spacing w:after="0" w:line="235" w:lineRule="auto"/>
        <w:rPr>
          <w:sz w:val="20"/>
          <w:szCs w:val="20"/>
          <w:color w:val="auto"/>
        </w:rPr>
      </w:pPr>
      <w:r>
        <w:rPr>
          <w:rFonts w:ascii="Calibri" w:cs="Calibri" w:eastAsia="Calibri" w:hAnsi="Calibri"/>
          <w:sz w:val="18"/>
          <w:szCs w:val="18"/>
          <w:color w:val="auto"/>
        </w:rPr>
        <w:t>Kodak accounts for income taxes using the asset and liability method. This approach requires the recogniton of deferred tax assets and liabilites for the expected future tax consequences of operatng losses, credit carryforwards and temporary diferences between the carrying amounts and tax basis of Kodak’s assets and liabilites.</w:t>
      </w:r>
    </w:p>
    <w:p>
      <w:pPr>
        <w:spacing w:after="0" w:line="178" w:lineRule="exact"/>
        <w:rPr>
          <w:sz w:val="20"/>
          <w:szCs w:val="20"/>
          <w:color w:val="auto"/>
        </w:rPr>
      </w:pPr>
    </w:p>
    <w:p>
      <w:pPr>
        <w:ind w:right="140"/>
        <w:spacing w:after="0" w:line="235" w:lineRule="auto"/>
        <w:rPr>
          <w:sz w:val="20"/>
          <w:szCs w:val="20"/>
          <w:color w:val="auto"/>
        </w:rPr>
      </w:pPr>
      <w:r>
        <w:rPr>
          <w:rFonts w:ascii="Calibri" w:cs="Calibri" w:eastAsia="Calibri" w:hAnsi="Calibri"/>
          <w:sz w:val="18"/>
          <w:szCs w:val="18"/>
          <w:color w:val="auto"/>
        </w:rPr>
        <w:t>Kodak records a valuaton allowance to reduce its net deferred tax assets to the amount that is more likely than not to be realized. Management is required to exercise judgment in assessing the realizability of Kodak’s deferred tax assets, considering all available positve and negatve evidence. Inherent in this process is the requirement to estmate forecasted earnings, future taxable income, and prudent and feasible tax planning strategies on a jurisdicton-by-jurisdicton basis. It is possible that actual results will difer from assumptons and require adjustments to allowances. Future periods may also provide positve evidence sufcient to conclude that all or part of the valuaton allowance recorded in each jurisdicton can be reversed. However, when an accumulaton of recent losses or other negatve evidence exists, it can be challenging to use forecasted earnings as a source of income when determining whether deferred tax assets can be realized.</w:t>
      </w:r>
    </w:p>
    <w:p>
      <w:pPr>
        <w:spacing w:after="0" w:line="195"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Kodak’s ability to utlize its U.S. net operatng losses (“NOLs”) and tax credits may be subject to limitatons imposed by Secton 382 of the Internal Revenue Code. Secton 382 limits the utlizaton of NOLs in the event of signifcant changes in the stock ownership of the Company. An ownership change occurs if, among other things, the aggregate ownership of stockholders owning fve percent of Kodak’s stock increases by more than 50 percentage points over a three-year rolling period. An ownership change can also occur by other items, such as the sale of Kodak shares that are owned by its 5% shareholders. Future transactons, when combined with reported transactons within the testng period, could aggregate an ownership change during the testng period in excess of 50 percentage points.</w:t>
      </w:r>
    </w:p>
    <w:p>
      <w:pPr>
        <w:spacing w:after="0" w:line="181" w:lineRule="exact"/>
        <w:rPr>
          <w:sz w:val="20"/>
          <w:szCs w:val="20"/>
          <w:color w:val="auto"/>
        </w:rPr>
      </w:pPr>
    </w:p>
    <w:p>
      <w:pPr>
        <w:ind w:right="40"/>
        <w:spacing w:after="0" w:line="254" w:lineRule="auto"/>
        <w:rPr>
          <w:sz w:val="20"/>
          <w:szCs w:val="20"/>
          <w:color w:val="auto"/>
        </w:rPr>
      </w:pPr>
      <w:r>
        <w:rPr>
          <w:rFonts w:ascii="Calibri" w:cs="Calibri" w:eastAsia="Calibri" w:hAnsi="Calibri"/>
          <w:sz w:val="17"/>
          <w:szCs w:val="17"/>
          <w:color w:val="auto"/>
        </w:rPr>
        <w:t>A Secton 382 ownership change would signifcantly impair Kodak’s ability to utlize NOLs and tax credits in the U.S. As of December 31, 2024, Kodak had available U.S. NOL carry-forwards for income tax purposes of approximately $1,677 million and unused foreign tax credits of $134 million. Any impairment of these tax atributes would be fully ofset by a corresponding decrease in Kodak’s U.S. valuaton allowance, which would result in no net tax provision.</w:t>
      </w:r>
    </w:p>
    <w:p>
      <w:pPr>
        <w:spacing w:after="0" w:line="165" w:lineRule="exact"/>
        <w:rPr>
          <w:sz w:val="20"/>
          <w:szCs w:val="20"/>
          <w:color w:val="auto"/>
        </w:rPr>
      </w:pPr>
    </w:p>
    <w:p>
      <w:pPr>
        <w:ind w:right="260"/>
        <w:spacing w:after="0" w:line="258" w:lineRule="auto"/>
        <w:rPr>
          <w:sz w:val="20"/>
          <w:szCs w:val="20"/>
          <w:color w:val="auto"/>
        </w:rPr>
      </w:pPr>
      <w:r>
        <w:rPr>
          <w:rFonts w:ascii="Calibri" w:cs="Calibri" w:eastAsia="Calibri" w:hAnsi="Calibri"/>
          <w:sz w:val="17"/>
          <w:szCs w:val="17"/>
          <w:color w:val="auto"/>
        </w:rPr>
        <w:t>Kodak intends to repatriate its ofshore earnings when prudent. Accordingly, it recorded deferred tax liabilites of $15 million and $16 million for potental taxes on undistributed earnings as of December 31, 2024 and 2023, respectvely. These taxes are primarily atributable to foreign withholding taxes.</w:t>
      </w:r>
    </w:p>
    <w:p>
      <w:pPr>
        <w:spacing w:after="0" w:line="175"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Kodak operates within multple taxing jurisdictons worldwide and is subject to audit in these jurisdictons. These audits can involve complex issues, which may require many years to resolve. Management believes that adequate provisions have been made for such issues, however, there is the possibility that the ultmate resoluton of such issues could have an adverse efect on the earnings of</w:t>
      </w:r>
    </w:p>
    <w:p>
      <w:pPr>
        <w:spacing w:after="0" w:line="173"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7" w:name="page48"/>
    <w:bookmarkEnd w:id="47"/>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Kodak. Conversely, if these issues are resolved favorably, the related provisions would be reduced, thus having a positve impact on earnings. Management’s ongoing assessments of the outcomes of these issues and related tax positons requires judgment.</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Pension and Other Postretrement Benefts</w:t>
      </w:r>
    </w:p>
    <w:p>
      <w:pPr>
        <w:spacing w:after="0" w:line="177"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Kodak’s defned beneft pension and other postretrement beneft costs and obligatons are estmated using several key assumptons. The assumptons that have the most signifcant efect on the Company’s consolidated fnancial positon and results of operatons are the expected rate of return on plan assets (“EROA”) and discount rates. Actual results that difer from Kodak’s assumptons are recorded as unrecognized gains and losses as a component of accumulated other comprehensive (loss) income in shareholders’ equity and are amortzed to earnings over the estmated future service period of the actve partcipants in the plan or, if the plan is almost entrely inactve, the average remaining lifetme expectancy of inactve partcipants, to the extent such total net unrecognized gains and losses exceed 10% of the greater of the plan's projected beneft obligaton ("PBO") or the calculated value of plan assets. Signifcant diferences in actual experience or signifcant changes in future assumptons would afect Kodak’s pension and other postretrement beneft costs and obligatons.</w:t>
      </w:r>
    </w:p>
    <w:p>
      <w:pPr>
        <w:spacing w:after="0" w:line="19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Return on Plan Assets</w:t>
      </w:r>
    </w:p>
    <w:p>
      <w:pPr>
        <w:spacing w:after="0" w:line="177"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EROA is a long-term assumpton, which Kodak reviews annually. Kodak utlizes asset and liability modeling studies to adjust asset exposures to conform to its investment strategy, and to review its liability hedging program. These studies generate forward-looking estmates of correlaton, risk and return which are used in the development of the EROA. The EROA is estmated utlizing a forward-looking building block model which factors in the expected risk of each asset category, return, and correlaton over a fve to seven-year horizon, and weighs the exposures by the strategic asset allocaton.</w:t>
      </w:r>
    </w:p>
    <w:p>
      <w:pPr>
        <w:spacing w:after="0" w:line="179"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Historical inputs are utlized in the forecastng model, including historical asset returns with adjustments based on the forward-looking view. Kodak aggregates investments into major asset categories based on the underlying benchmark of the strategy. Each allocaton to these major asset categories is determined to accomplish unique objectves, including enhancing portolio return, providing portolio diversifcaton, or hedging plan liabilites, in accordance with the overall investment strategy.</w:t>
      </w:r>
    </w:p>
    <w:p>
      <w:pPr>
        <w:spacing w:after="0" w:line="192"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The EROA, once set, is applied to the calculated value of plan assets in the determinaton of the expected return component of Kodak’s pension expense. Kodak uses a calculated value of plan assets, which recognizes gains and losses in the fair value of assets over a four-year period, to calculate expected return on plan assets.</w:t>
      </w:r>
    </w:p>
    <w:p>
      <w:pPr>
        <w:spacing w:after="0" w:line="178" w:lineRule="exact"/>
        <w:rPr>
          <w:sz w:val="20"/>
          <w:szCs w:val="20"/>
          <w:color w:val="auto"/>
        </w:rPr>
      </w:pPr>
    </w:p>
    <w:p>
      <w:pPr>
        <w:ind w:right="140"/>
        <w:spacing w:after="0" w:line="235" w:lineRule="auto"/>
        <w:rPr>
          <w:sz w:val="20"/>
          <w:szCs w:val="20"/>
          <w:color w:val="auto"/>
        </w:rPr>
      </w:pPr>
      <w:r>
        <w:rPr>
          <w:rFonts w:ascii="Calibri" w:cs="Calibri" w:eastAsia="Calibri" w:hAnsi="Calibri"/>
          <w:sz w:val="18"/>
          <w:szCs w:val="18"/>
          <w:color w:val="auto"/>
        </w:rPr>
        <w:t>At December 31, 2024, the calculated value of the assets of Kodak’s major U.S. and non-U.S. defned beneft pension plans was approximately $4.1 billion and the fair value of the assets of Kodak’s major U.S. and non-U.S. defned beneft pension plans was approximately $3.6 billion. Asset gains and losses that are not yet refected in the calculated value of plan assets are not included in amortzaton of unrecognized gains and losses.</w:t>
      </w:r>
    </w:p>
    <w:p>
      <w:pPr>
        <w:spacing w:after="0" w:line="178"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Kodak’s major U.S. defned beneft pension plan accounts for substantally all of Kodak’s net pension income and represents approximately 86% of the total fair value of major plan assets as of December 31, 2024. The following table presents actual and expected return on plan assets, as well as the corresponding percentages for Kodak’s major U.S. defned beneft pension plan:</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360" w:type="dxa"/>
            <w:vAlign w:val="bottom"/>
            <w:gridSpan w:val="5"/>
          </w:tcPr>
          <w:p>
            <w:pPr>
              <w:jc w:val="right"/>
              <w:ind w:right="380"/>
              <w:spacing w:after="0"/>
              <w:rPr>
                <w:sz w:val="20"/>
                <w:szCs w:val="20"/>
                <w:color w:val="auto"/>
              </w:rPr>
            </w:pPr>
            <w:r>
              <w:rPr>
                <w:rFonts w:ascii="Calibri" w:cs="Calibri" w:eastAsia="Calibri" w:hAnsi="Calibri"/>
                <w:sz w:val="18"/>
                <w:szCs w:val="18"/>
                <w:b w:val="1"/>
                <w:bCs w:val="1"/>
                <w:color w:val="auto"/>
              </w:rPr>
              <w:t>Year Ended December 31,</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18"/>
                <w:szCs w:val="18"/>
                <w:color w:val="auto"/>
              </w:rPr>
            </w:pPr>
          </w:p>
        </w:tc>
        <w:tc>
          <w:tcPr>
            <w:tcW w:w="860" w:type="dxa"/>
            <w:vAlign w:val="bottom"/>
          </w:tcPr>
          <w:p>
            <w:pPr>
              <w:jc w:val="right"/>
              <w:spacing w:after="0" w:line="216" w:lineRule="exact"/>
              <w:rPr>
                <w:sz w:val="20"/>
                <w:szCs w:val="20"/>
                <w:color w:val="auto"/>
              </w:rPr>
            </w:pPr>
            <w:r>
              <w:rPr>
                <w:rFonts w:ascii="Calibri" w:cs="Calibri" w:eastAsia="Calibri" w:hAnsi="Calibri"/>
                <w:sz w:val="18"/>
                <w:szCs w:val="18"/>
                <w:b w:val="1"/>
                <w:bCs w:val="1"/>
                <w:color w:val="auto"/>
              </w:rPr>
              <w:t>2024</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70"/>
              <w:spacing w:after="0" w:line="216" w:lineRule="exact"/>
              <w:rPr>
                <w:sz w:val="20"/>
                <w:szCs w:val="20"/>
                <w:color w:val="auto"/>
              </w:rPr>
            </w:pPr>
            <w:r>
              <w:rPr>
                <w:rFonts w:ascii="Calibri" w:cs="Calibri" w:eastAsia="Calibri" w:hAnsi="Calibri"/>
                <w:sz w:val="18"/>
                <w:szCs w:val="18"/>
                <w:b w:val="1"/>
                <w:bCs w:val="1"/>
                <w:color w:val="auto"/>
              </w:rPr>
              <w:t>2023</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70"/>
              <w:spacing w:after="0" w:line="216" w:lineRule="exact"/>
              <w:rPr>
                <w:sz w:val="20"/>
                <w:szCs w:val="20"/>
                <w:color w:val="auto"/>
              </w:rPr>
            </w:pPr>
            <w:r>
              <w:rPr>
                <w:rFonts w:ascii="Calibri" w:cs="Calibri" w:eastAsia="Calibri" w:hAnsi="Calibri"/>
                <w:sz w:val="18"/>
                <w:szCs w:val="18"/>
                <w:b w:val="1"/>
                <w:bCs w:val="1"/>
                <w:color w:val="auto"/>
              </w:rPr>
              <w:t>2022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6240" w:type="dxa"/>
            <w:vAlign w:val="bottom"/>
            <w:vMerge w:val="restart"/>
          </w:tcPr>
          <w:p>
            <w:pPr>
              <w:ind w:left="20"/>
              <w:spacing w:after="0"/>
              <w:rPr>
                <w:sz w:val="20"/>
                <w:szCs w:val="20"/>
                <w:color w:val="auto"/>
              </w:rPr>
            </w:pPr>
            <w:r>
              <w:rPr>
                <w:rFonts w:ascii="Calibri" w:cs="Calibri" w:eastAsia="Calibri" w:hAnsi="Calibri"/>
                <w:sz w:val="14"/>
                <w:szCs w:val="14"/>
                <w:color w:val="auto"/>
              </w:rPr>
              <w:t>(in millions)</w:t>
            </w: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240" w:type="dxa"/>
            <w:vAlign w:val="bottom"/>
            <w:vMerge w:val="continue"/>
          </w:tcPr>
          <w:p>
            <w:pPr>
              <w:spacing w:after="0"/>
              <w:rPr>
                <w:sz w:val="16"/>
                <w:szCs w:val="16"/>
                <w:color w:val="auto"/>
              </w:rPr>
            </w:pPr>
          </w:p>
        </w:tc>
        <w:tc>
          <w:tcPr>
            <w:tcW w:w="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240" w:type="dxa"/>
            <w:vAlign w:val="bottom"/>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Actual return on plan assets</w:t>
            </w:r>
          </w:p>
        </w:tc>
        <w:tc>
          <w:tcPr>
            <w:tcW w:w="860" w:type="dxa"/>
            <w:vAlign w:val="bottom"/>
            <w:shd w:val="clear" w:color="auto" w:fill="CFF0FC"/>
          </w:tcPr>
          <w:p>
            <w:pPr>
              <w:jc w:val="right"/>
              <w:ind w:right="670"/>
              <w:spacing w:after="0" w:line="215" w:lineRule="exact"/>
              <w:rPr>
                <w:sz w:val="20"/>
                <w:szCs w:val="20"/>
                <w:color w:val="auto"/>
              </w:rPr>
            </w:pPr>
            <w:r>
              <w:rPr>
                <w:rFonts w:ascii="Calibri" w:cs="Calibri" w:eastAsia="Calibri" w:hAnsi="Calibri"/>
                <w:sz w:val="18"/>
                <w:szCs w:val="18"/>
                <w:color w:val="auto"/>
                <w:w w:val="87"/>
              </w:rPr>
              <w:t>$</w:t>
            </w:r>
          </w:p>
        </w:tc>
        <w:tc>
          <w:tcPr>
            <w:tcW w:w="760" w:type="dxa"/>
            <w:vAlign w:val="bottom"/>
            <w:gridSpan w:val="2"/>
            <w:shd w:val="clear" w:color="auto" w:fill="CFF0FC"/>
          </w:tcPr>
          <w:p>
            <w:pPr>
              <w:jc w:val="right"/>
              <w:ind w:right="210"/>
              <w:spacing w:after="0" w:line="215" w:lineRule="exact"/>
              <w:rPr>
                <w:sz w:val="20"/>
                <w:szCs w:val="20"/>
                <w:color w:val="auto"/>
              </w:rPr>
            </w:pPr>
            <w:r>
              <w:rPr>
                <w:rFonts w:ascii="Calibri" w:cs="Calibri" w:eastAsia="Calibri" w:hAnsi="Calibri"/>
                <w:sz w:val="18"/>
                <w:szCs w:val="18"/>
                <w:color w:val="auto"/>
              </w:rPr>
              <w:t>(149 )</w:t>
            </w:r>
          </w:p>
        </w:tc>
        <w:tc>
          <w:tcPr>
            <w:tcW w:w="280" w:type="dxa"/>
            <w:vAlign w:val="bottom"/>
            <w:shd w:val="clear" w:color="auto" w:fill="CFF0FC"/>
          </w:tcPr>
          <w:p>
            <w:pPr>
              <w:jc w:val="right"/>
              <w:ind w:right="90"/>
              <w:spacing w:after="0" w:line="215" w:lineRule="exact"/>
              <w:rPr>
                <w:sz w:val="20"/>
                <w:szCs w:val="20"/>
                <w:color w:val="auto"/>
              </w:rPr>
            </w:pPr>
            <w:r>
              <w:rPr>
                <w:rFonts w:ascii="Calibri" w:cs="Calibri" w:eastAsia="Calibri" w:hAnsi="Calibri"/>
                <w:sz w:val="18"/>
                <w:szCs w:val="18"/>
                <w:color w:val="auto"/>
                <w:w w:val="87"/>
              </w:rPr>
              <w:t>$</w:t>
            </w:r>
          </w:p>
        </w:tc>
        <w:tc>
          <w:tcPr>
            <w:tcW w:w="9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170</w:t>
            </w:r>
          </w:p>
        </w:tc>
        <w:tc>
          <w:tcPr>
            <w:tcW w:w="720" w:type="dxa"/>
            <w:vAlign w:val="bottom"/>
            <w:gridSpan w:val="2"/>
            <w:shd w:val="clear" w:color="auto" w:fill="CFF0FC"/>
          </w:tcPr>
          <w:p>
            <w:pPr>
              <w:jc w:val="right"/>
              <w:ind w:right="180"/>
              <w:spacing w:after="0" w:line="215" w:lineRule="exact"/>
              <w:rPr>
                <w:sz w:val="20"/>
                <w:szCs w:val="20"/>
                <w:color w:val="auto"/>
              </w:rPr>
            </w:pPr>
            <w:r>
              <w:rPr>
                <w:rFonts w:ascii="Calibri" w:cs="Calibri" w:eastAsia="Calibri" w:hAnsi="Calibri"/>
                <w:sz w:val="18"/>
                <w:szCs w:val="18"/>
                <w:color w:val="auto"/>
              </w:rPr>
              <w:t>$</w:t>
            </w:r>
          </w:p>
        </w:tc>
        <w:tc>
          <w:tcPr>
            <w:tcW w:w="1080" w:type="dxa"/>
            <w:vAlign w:val="bottom"/>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(152 )</w:t>
            </w: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240" w:type="dxa"/>
            <w:vAlign w:val="bottom"/>
          </w:tcPr>
          <w:p>
            <w:pPr>
              <w:ind w:left="20"/>
              <w:spacing w:after="0" w:line="215" w:lineRule="exact"/>
              <w:rPr>
                <w:sz w:val="20"/>
                <w:szCs w:val="20"/>
                <w:color w:val="auto"/>
              </w:rPr>
            </w:pPr>
            <w:r>
              <w:rPr>
                <w:rFonts w:ascii="Calibri" w:cs="Calibri" w:eastAsia="Calibri" w:hAnsi="Calibri"/>
                <w:sz w:val="18"/>
                <w:szCs w:val="18"/>
                <w:color w:val="auto"/>
              </w:rPr>
              <w:t>Expected return on plan assets</w:t>
            </w:r>
          </w:p>
        </w:tc>
        <w:tc>
          <w:tcPr>
            <w:tcW w:w="860" w:type="dxa"/>
            <w:vAlign w:val="bottom"/>
          </w:tcPr>
          <w:p>
            <w:pPr>
              <w:spacing w:after="0"/>
              <w:rPr>
                <w:sz w:val="18"/>
                <w:szCs w:val="18"/>
                <w:color w:val="auto"/>
              </w:rPr>
            </w:pPr>
          </w:p>
        </w:tc>
        <w:tc>
          <w:tcPr>
            <w:tcW w:w="380" w:type="dxa"/>
            <w:vAlign w:val="bottom"/>
          </w:tcPr>
          <w:p>
            <w:pPr>
              <w:jc w:val="right"/>
              <w:spacing w:after="0" w:line="215" w:lineRule="exact"/>
              <w:rPr>
                <w:sz w:val="20"/>
                <w:szCs w:val="20"/>
                <w:color w:val="auto"/>
              </w:rPr>
            </w:pPr>
            <w:r>
              <w:rPr>
                <w:rFonts w:ascii="Calibri" w:cs="Calibri" w:eastAsia="Calibri" w:hAnsi="Calibri"/>
                <w:sz w:val="18"/>
                <w:szCs w:val="18"/>
                <w:color w:val="auto"/>
              </w:rPr>
              <w:t>248</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257</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178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00" w:type="dxa"/>
            <w:vAlign w:val="bottom"/>
            <w:gridSpan w:val="2"/>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240" w:type="dxa"/>
            <w:vAlign w:val="bottom"/>
          </w:tcPr>
          <w:p>
            <w:pPr>
              <w:ind w:left="20"/>
              <w:spacing w:after="0" w:line="215" w:lineRule="exact"/>
              <w:rPr>
                <w:sz w:val="20"/>
                <w:szCs w:val="20"/>
                <w:color w:val="auto"/>
              </w:rPr>
            </w:pPr>
            <w:r>
              <w:rPr>
                <w:rFonts w:ascii="Calibri" w:cs="Calibri" w:eastAsia="Calibri" w:hAnsi="Calibri"/>
                <w:sz w:val="18"/>
                <w:szCs w:val="18"/>
                <w:color w:val="auto"/>
              </w:rPr>
              <w:t>Actual rate of return on plan assets</w:t>
            </w:r>
          </w:p>
        </w:tc>
        <w:tc>
          <w:tcPr>
            <w:tcW w:w="860" w:type="dxa"/>
            <w:vAlign w:val="bottom"/>
          </w:tcPr>
          <w:p>
            <w:pPr>
              <w:spacing w:after="0"/>
              <w:rPr>
                <w:sz w:val="18"/>
                <w:szCs w:val="18"/>
                <w:color w:val="auto"/>
              </w:rPr>
            </w:pPr>
          </w:p>
        </w:tc>
        <w:tc>
          <w:tcPr>
            <w:tcW w:w="760" w:type="dxa"/>
            <w:vAlign w:val="bottom"/>
            <w:gridSpan w:val="2"/>
          </w:tcPr>
          <w:p>
            <w:pPr>
              <w:jc w:val="right"/>
              <w:ind w:right="90"/>
              <w:spacing w:after="0" w:line="215" w:lineRule="exact"/>
              <w:rPr>
                <w:sz w:val="20"/>
                <w:szCs w:val="20"/>
                <w:color w:val="auto"/>
              </w:rPr>
            </w:pPr>
            <w:r>
              <w:rPr>
                <w:rFonts w:ascii="Calibri" w:cs="Calibri" w:eastAsia="Calibri" w:hAnsi="Calibri"/>
                <w:sz w:val="18"/>
                <w:szCs w:val="18"/>
                <w:color w:val="auto"/>
              </w:rPr>
              <w:t>(2.7 %)</w:t>
            </w:r>
          </w:p>
        </w:tc>
        <w:tc>
          <w:tcPr>
            <w:tcW w:w="280" w:type="dxa"/>
            <w:vAlign w:val="bottom"/>
          </w:tcPr>
          <w:p>
            <w:pPr>
              <w:spacing w:after="0"/>
              <w:rPr>
                <w:sz w:val="18"/>
                <w:szCs w:val="18"/>
                <w:color w:val="auto"/>
              </w:rPr>
            </w:pP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3.9</w:t>
            </w:r>
          </w:p>
        </w:tc>
        <w:tc>
          <w:tcPr>
            <w:tcW w:w="44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280" w:type="dxa"/>
            <w:vAlign w:val="bottom"/>
          </w:tcPr>
          <w:p>
            <w:pPr>
              <w:spacing w:after="0"/>
              <w:rPr>
                <w:sz w:val="18"/>
                <w:szCs w:val="18"/>
                <w:color w:val="auto"/>
              </w:rPr>
            </w:pPr>
          </w:p>
        </w:tc>
        <w:tc>
          <w:tcPr>
            <w:tcW w:w="1280" w:type="dxa"/>
            <w:vAlign w:val="bottom"/>
            <w:gridSpan w:val="3"/>
          </w:tcPr>
          <w:p>
            <w:pPr>
              <w:jc w:val="right"/>
              <w:spacing w:after="0" w:line="215" w:lineRule="exact"/>
              <w:rPr>
                <w:sz w:val="20"/>
                <w:szCs w:val="20"/>
                <w:color w:val="auto"/>
              </w:rPr>
            </w:pPr>
            <w:r>
              <w:rPr>
                <w:rFonts w:ascii="Calibri" w:cs="Calibri" w:eastAsia="Calibri" w:hAnsi="Calibri"/>
                <w:sz w:val="18"/>
                <w:szCs w:val="18"/>
                <w:color w:val="auto"/>
              </w:rPr>
              <w:t>(6.1 ) %</w:t>
            </w:r>
          </w:p>
        </w:tc>
        <w:tc>
          <w:tcPr>
            <w:tcW w:w="0" w:type="dxa"/>
            <w:vAlign w:val="bottom"/>
          </w:tcPr>
          <w:p>
            <w:pPr>
              <w:spacing w:after="0"/>
              <w:rPr>
                <w:sz w:val="1"/>
                <w:szCs w:val="1"/>
                <w:color w:val="auto"/>
              </w:rPr>
            </w:pPr>
          </w:p>
        </w:tc>
      </w:tr>
      <w:tr>
        <w:trPr>
          <w:trHeight w:val="217"/>
        </w:trPr>
        <w:tc>
          <w:tcPr>
            <w:tcW w:w="624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Expected rate of return on plan assets</w:t>
            </w:r>
          </w:p>
        </w:tc>
        <w:tc>
          <w:tcPr>
            <w:tcW w:w="8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50"/>
              <w:spacing w:after="0" w:line="216" w:lineRule="exact"/>
              <w:rPr>
                <w:sz w:val="20"/>
                <w:szCs w:val="20"/>
                <w:color w:val="auto"/>
              </w:rPr>
            </w:pPr>
            <w:r>
              <w:rPr>
                <w:rFonts w:ascii="Calibri" w:cs="Calibri" w:eastAsia="Calibri" w:hAnsi="Calibri"/>
                <w:sz w:val="18"/>
                <w:szCs w:val="18"/>
                <w:color w:val="auto"/>
              </w:rPr>
              <w:t>7.1 %</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7.5</w:t>
            </w:r>
          </w:p>
        </w:tc>
        <w:tc>
          <w:tcPr>
            <w:tcW w:w="440" w:type="dxa"/>
            <w:vAlign w:val="bottom"/>
            <w:shd w:val="clear" w:color="auto" w:fill="CFF0FC"/>
          </w:tcPr>
          <w:p>
            <w:pPr>
              <w:jc w:val="right"/>
              <w:ind w:right="90"/>
              <w:spacing w:after="0" w:line="216" w:lineRule="exact"/>
              <w:rPr>
                <w:sz w:val="20"/>
                <w:szCs w:val="20"/>
                <w:color w:val="auto"/>
              </w:rPr>
            </w:pPr>
            <w:r>
              <w:rPr>
                <w:rFonts w:ascii="Calibri" w:cs="Calibri" w:eastAsia="Calibri" w:hAnsi="Calibri"/>
                <w:sz w:val="18"/>
                <w:szCs w:val="18"/>
                <w:color w:val="auto"/>
              </w:rPr>
              <w:t>%</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5.3</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The actual rate of return on Kodak’s major U.S. defned beneft pension plan for 2024 was negatve 2.7% which was lower than the expected rate of return of 7.1%, and was driven by the sale of KRIP Illiquid Assets and change in investment strategy initated in April 2024 designed to preserve and maximize the value of KRIP's over-funding by reducing investment risk and improving the overall liquidity of KRIP. See Note 19, "Retrement Plans" for further discussion. For 2023 the actual rate of return was 3.9%, which was lower than the expected rate of return of 7.5%, driven by lower than expected returns in the private equity asset class. For 2022 the actual rate of return was negatve 6.1%, lower than the expected rate of return of 5.3%, driven by lower than expected bond performance due to rising interest rates. The expected average rate of return on plan assets is a long-term, forward-looking assumpton and will likely difer from the actual return in any specifc year.</w:t>
      </w:r>
    </w:p>
    <w:p>
      <w:pPr>
        <w:spacing w:after="0" w:line="190"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48" w:name="page49"/>
    <w:bookmarkEnd w:id="48"/>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140"/>
        <w:spacing w:after="0" w:line="235" w:lineRule="auto"/>
        <w:rPr>
          <w:sz w:val="20"/>
          <w:szCs w:val="20"/>
          <w:color w:val="auto"/>
        </w:rPr>
      </w:pPr>
      <w:r>
        <w:rPr>
          <w:rFonts w:ascii="Calibri" w:cs="Calibri" w:eastAsia="Calibri" w:hAnsi="Calibri"/>
          <w:sz w:val="18"/>
          <w:szCs w:val="18"/>
          <w:color w:val="auto"/>
        </w:rPr>
        <w:t>Gains or losses from direct investments in derivatve instruments by Kodak’s major U.S. defned beneft pension plan can be volatle from year to year and could materially afect the fair value of plan assets. The total net realized (losses) gains from these derivatve investments that were included in the actual return on plan assets balance in the table above for the years ending December 31, 2024, 2023 and 2022 were approximately ($18) million, ($1) million and ($128) million, respectvely. Refer to the Derivatve Instruments discussion below for additonal informaton.</w:t>
      </w:r>
    </w:p>
    <w:p>
      <w:pPr>
        <w:spacing w:after="0" w:line="179" w:lineRule="exact"/>
        <w:rPr>
          <w:sz w:val="20"/>
          <w:szCs w:val="20"/>
          <w:color w:val="auto"/>
        </w:rPr>
      </w:pPr>
    </w:p>
    <w:p>
      <w:pPr>
        <w:ind w:right="80"/>
        <w:spacing w:after="0" w:line="251" w:lineRule="auto"/>
        <w:rPr>
          <w:sz w:val="20"/>
          <w:szCs w:val="20"/>
          <w:color w:val="auto"/>
        </w:rPr>
      </w:pPr>
      <w:r>
        <w:rPr>
          <w:rFonts w:ascii="Calibri" w:cs="Calibri" w:eastAsia="Calibri" w:hAnsi="Calibri"/>
          <w:sz w:val="17"/>
          <w:szCs w:val="17"/>
          <w:color w:val="auto"/>
        </w:rPr>
        <w:t>Approximately $0.9 billion and $2.7 billion of the total fair value of Kodak’s major U.S. defned pension plan as of December 31, 2024 and 2023, respectvely, represents plan assets where the fair market value is not readily determinable and are measured using the net asset value (“NAV”) per share expedient. The decrease in investments valued at NAV compared to December 31, 2023 was related to the sale of KRIP Illiquid Assets and the redempton of hedge funds as part of KRIP’s change in investment strategy in April 2024. The majority of the hedge fund investments remaining at December 31, 2024 have been or are expected to be redeemed in 2025, with the excepton of one fund which has a required redempton period that extends beyond 2025. For private equity funds, the investors do not have an opton to redeem their interest in these funds but rather receive distributons from tme to tme through the liquidaton of the underlying investments in the funds. Other than the sale of KRIP's Illiquid Assets in 2024, secondary sales of a material porton of the investments in these funds are infrequent and, historically, immaterial portons of these funds were sold for values not signifcantly diferent from NAV.</w:t>
      </w:r>
    </w:p>
    <w:p>
      <w:pPr>
        <w:spacing w:after="0" w:line="16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Discount Rates:</w:t>
      </w:r>
    </w:p>
    <w:p>
      <w:pPr>
        <w:spacing w:after="0" w:line="190"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color w:val="auto"/>
        </w:rPr>
        <w:t>Generally, Kodak bases the discount rate assumpton for its signifcant plans on high quality corporate bond yields in the respectve countries as of the measurement date. Specifcally, for its U.S., Canadian, Euro-zone and UK plans, Kodak determines a discount rate using a cash fow model to incorporate the expected tming of beneft payments and an AA-rated corporate bond yield curve. For Kodak’s U.S. Plan, spot rates of the FTSE Above Median Pension Discount Curve are used. For Kodak’s non-U.S. plans, discount rates are determined by comparison to published local high-quality bond yields or indices considering estmated plan duraton and removing any outlying bonds, as warranted.</w:t>
      </w:r>
    </w:p>
    <w:p>
      <w:pPr>
        <w:spacing w:after="0" w:line="175" w:lineRule="exact"/>
        <w:rPr>
          <w:sz w:val="20"/>
          <w:szCs w:val="20"/>
          <w:color w:val="auto"/>
        </w:rPr>
      </w:pPr>
    </w:p>
    <w:p>
      <w:pPr>
        <w:spacing w:after="0"/>
        <w:rPr>
          <w:sz w:val="20"/>
          <w:szCs w:val="20"/>
          <w:color w:val="auto"/>
        </w:rPr>
      </w:pPr>
      <w:r>
        <w:rPr>
          <w:rFonts w:ascii="Calibri" w:cs="Calibri" w:eastAsia="Calibri" w:hAnsi="Calibri"/>
          <w:sz w:val="18"/>
          <w:szCs w:val="18"/>
          <w:color w:val="auto"/>
        </w:rPr>
        <w:t>Changes in discount rates for Kodak’s major U.S. defned beneft plan has the most signifcant efect on the total PBO for Kodak's plans.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340" w:type="dxa"/>
            <w:vAlign w:val="bottom"/>
            <w:gridSpan w:val="4"/>
          </w:tcPr>
          <w:p>
            <w:pPr>
              <w:spacing w:after="0"/>
              <w:rPr>
                <w:sz w:val="20"/>
                <w:szCs w:val="20"/>
                <w:color w:val="auto"/>
              </w:rPr>
            </w:pPr>
            <w:r>
              <w:rPr>
                <w:rFonts w:ascii="Calibri" w:cs="Calibri" w:eastAsia="Calibri" w:hAnsi="Calibri"/>
                <w:sz w:val="18"/>
                <w:szCs w:val="18"/>
                <w:color w:val="auto"/>
              </w:rPr>
              <w:t>The table below shows the discount rates for Kodak’s major U.S. pension plan for the years shown:</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459"/>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20" w:type="dxa"/>
            <w:vAlign w:val="bottom"/>
            <w:gridSpan w:val="4"/>
          </w:tcPr>
          <w:p>
            <w:pPr>
              <w:jc w:val="center"/>
              <w:ind w:right="220"/>
              <w:spacing w:after="0"/>
              <w:rPr>
                <w:sz w:val="20"/>
                <w:szCs w:val="20"/>
                <w:color w:val="auto"/>
              </w:rPr>
            </w:pPr>
            <w:r>
              <w:rPr>
                <w:rFonts w:ascii="Calibri" w:cs="Calibri" w:eastAsia="Calibri" w:hAnsi="Calibri"/>
                <w:sz w:val="18"/>
                <w:szCs w:val="18"/>
                <w:b w:val="1"/>
                <w:bCs w:val="1"/>
                <w:color w:val="auto"/>
                <w:w w:val="96"/>
              </w:rPr>
              <w:t>Year Ended December 31,</w:t>
            </w: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0"/>
        </w:trPr>
        <w:tc>
          <w:tcPr>
            <w:tcW w:w="7340" w:type="dxa"/>
            <w:vAlign w:val="bottom"/>
            <w:gridSpan w:val="4"/>
          </w:tcPr>
          <w:p>
            <w:pPr>
              <w:jc w:val="right"/>
              <w:ind w:right="80"/>
              <w:spacing w:after="0"/>
              <w:rPr>
                <w:sz w:val="20"/>
                <w:szCs w:val="20"/>
                <w:color w:val="auto"/>
              </w:rPr>
            </w:pPr>
            <w:r>
              <w:rPr>
                <w:rFonts w:ascii="Calibri" w:cs="Calibri" w:eastAsia="Calibri" w:hAnsi="Calibri"/>
                <w:sz w:val="18"/>
                <w:szCs w:val="18"/>
                <w:b w:val="1"/>
                <w:bCs w:val="1"/>
                <w:color w:val="auto"/>
              </w:rPr>
              <w:t>2024</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ind w:right="396"/>
              <w:spacing w:after="0"/>
              <w:rPr>
                <w:sz w:val="20"/>
                <w:szCs w:val="20"/>
                <w:color w:val="auto"/>
              </w:rPr>
            </w:pPr>
            <w:r>
              <w:rPr>
                <w:rFonts w:ascii="Calibri" w:cs="Calibri" w:eastAsia="Calibri" w:hAnsi="Calibri"/>
                <w:sz w:val="18"/>
                <w:szCs w:val="18"/>
                <w:b w:val="1"/>
                <w:bCs w:val="1"/>
                <w:color w:val="auto"/>
              </w:rPr>
              <w:t>2023</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416"/>
              <w:spacing w:after="0"/>
              <w:rPr>
                <w:sz w:val="20"/>
                <w:szCs w:val="20"/>
                <w:color w:val="auto"/>
              </w:rPr>
            </w:pPr>
            <w:r>
              <w:rPr>
                <w:rFonts w:ascii="Calibri" w:cs="Calibri" w:eastAsia="Calibri" w:hAnsi="Calibri"/>
                <w:sz w:val="18"/>
                <w:szCs w:val="18"/>
                <w:b w:val="1"/>
                <w:bCs w:val="1"/>
                <w:color w:val="auto"/>
              </w:rPr>
              <w:t>2022</w:t>
            </w:r>
          </w:p>
        </w:tc>
        <w:tc>
          <w:tcPr>
            <w:tcW w:w="160" w:type="dxa"/>
            <w:vAlign w:val="bottom"/>
          </w:tcPr>
          <w:p>
            <w:pPr>
              <w:spacing w:after="0"/>
              <w:rPr>
                <w:sz w:val="19"/>
                <w:szCs w:val="19"/>
                <w:color w:val="auto"/>
              </w:rPr>
            </w:pPr>
          </w:p>
        </w:tc>
      </w:tr>
      <w:tr>
        <w:trPr>
          <w:trHeight w:val="23"/>
        </w:trPr>
        <w:tc>
          <w:tcPr>
            <w:tcW w:w="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31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17"/>
        </w:trPr>
        <w:tc>
          <w:tcPr>
            <w:tcW w:w="20" w:type="dxa"/>
            <w:vAlign w:val="bottom"/>
            <w:shd w:val="clear" w:color="auto" w:fill="CFF0FC"/>
          </w:tcPr>
          <w:p>
            <w:pPr>
              <w:spacing w:after="0"/>
              <w:rPr>
                <w:sz w:val="18"/>
                <w:szCs w:val="18"/>
                <w:color w:val="auto"/>
              </w:rPr>
            </w:pPr>
          </w:p>
        </w:tc>
        <w:tc>
          <w:tcPr>
            <w:tcW w:w="7320" w:type="dxa"/>
            <w:vAlign w:val="bottom"/>
            <w:gridSpan w:val="3"/>
            <w:shd w:val="clear" w:color="auto" w:fill="CFF0FC"/>
          </w:tcPr>
          <w:p>
            <w:pPr>
              <w:spacing w:after="0" w:line="156" w:lineRule="exact"/>
              <w:rPr>
                <w:sz w:val="20"/>
                <w:szCs w:val="20"/>
                <w:color w:val="auto"/>
              </w:rPr>
            </w:pPr>
            <w:r>
              <w:rPr>
                <w:rFonts w:ascii="Calibri" w:cs="Calibri" w:eastAsia="Calibri" w:hAnsi="Calibri"/>
                <w:sz w:val="16"/>
                <w:szCs w:val="16"/>
                <w:color w:val="auto"/>
              </w:rPr>
              <w:t>Discount Rates - Projected Beneft Obligaton:</w:t>
            </w:r>
          </w:p>
        </w:tc>
        <w:tc>
          <w:tcPr>
            <w:tcW w:w="680" w:type="dxa"/>
            <w:vAlign w:val="bottom"/>
            <w:gridSpan w:val="2"/>
            <w:shd w:val="clear" w:color="auto" w:fill="CFF0FC"/>
          </w:tcPr>
          <w:p>
            <w:pPr>
              <w:jc w:val="right"/>
              <w:ind w:right="50"/>
              <w:spacing w:after="0" w:line="156" w:lineRule="exact"/>
              <w:rPr>
                <w:sz w:val="20"/>
                <w:szCs w:val="20"/>
                <w:color w:val="auto"/>
              </w:rPr>
            </w:pPr>
            <w:r>
              <w:rPr>
                <w:rFonts w:ascii="Calibri" w:cs="Calibri" w:eastAsia="Calibri" w:hAnsi="Calibri"/>
                <w:sz w:val="16"/>
                <w:szCs w:val="16"/>
                <w:color w:val="auto"/>
              </w:rPr>
              <w:t>5.45 %</w:t>
            </w:r>
          </w:p>
        </w:tc>
        <w:tc>
          <w:tcPr>
            <w:tcW w:w="1600" w:type="dxa"/>
            <w:vAlign w:val="bottom"/>
            <w:gridSpan w:val="2"/>
            <w:shd w:val="clear" w:color="auto" w:fill="CFF0FC"/>
          </w:tcPr>
          <w:p>
            <w:pPr>
              <w:jc w:val="right"/>
              <w:ind w:right="120"/>
              <w:spacing w:after="0" w:line="156" w:lineRule="exact"/>
              <w:rPr>
                <w:sz w:val="20"/>
                <w:szCs w:val="20"/>
                <w:color w:val="auto"/>
              </w:rPr>
            </w:pPr>
            <w:r>
              <w:rPr>
                <w:rFonts w:ascii="Calibri" w:cs="Calibri" w:eastAsia="Calibri" w:hAnsi="Calibri"/>
                <w:sz w:val="16"/>
                <w:szCs w:val="16"/>
                <w:color w:val="auto"/>
              </w:rPr>
              <w:t>4.92 %</w:t>
            </w:r>
          </w:p>
        </w:tc>
        <w:tc>
          <w:tcPr>
            <w:tcW w:w="2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0"/>
              <w:spacing w:after="0" w:line="156" w:lineRule="exact"/>
              <w:rPr>
                <w:sz w:val="20"/>
                <w:szCs w:val="20"/>
                <w:color w:val="auto"/>
              </w:rPr>
            </w:pPr>
            <w:r>
              <w:rPr>
                <w:rFonts w:ascii="Calibri" w:cs="Calibri" w:eastAsia="Calibri" w:hAnsi="Calibri"/>
                <w:sz w:val="16"/>
                <w:szCs w:val="16"/>
                <w:color w:val="auto"/>
              </w:rPr>
              <w:t>5.13 %</w:t>
            </w:r>
          </w:p>
        </w:tc>
      </w:tr>
      <w:tr>
        <w:trPr>
          <w:trHeight w:val="215"/>
        </w:trPr>
        <w:tc>
          <w:tcPr>
            <w:tcW w:w="20" w:type="dxa"/>
            <w:vAlign w:val="bottom"/>
            <w:tcBorders>
              <w:top w:val="single" w:sz="8" w:color="CFF0FC"/>
            </w:tcBorders>
          </w:tcPr>
          <w:p>
            <w:pPr>
              <w:spacing w:after="0"/>
              <w:rPr>
                <w:sz w:val="18"/>
                <w:szCs w:val="18"/>
                <w:color w:val="auto"/>
              </w:rPr>
            </w:pPr>
          </w:p>
        </w:tc>
        <w:tc>
          <w:tcPr>
            <w:tcW w:w="3260" w:type="dxa"/>
            <w:vAlign w:val="bottom"/>
            <w:tcBorders>
              <w:top w:val="single" w:sz="8" w:color="auto"/>
            </w:tcBorders>
          </w:tcPr>
          <w:p>
            <w:pPr>
              <w:spacing w:after="0" w:line="215" w:lineRule="exact"/>
              <w:rPr>
                <w:sz w:val="20"/>
                <w:szCs w:val="20"/>
                <w:color w:val="auto"/>
              </w:rPr>
            </w:pPr>
            <w:r>
              <w:rPr>
                <w:rFonts w:ascii="Calibri" w:cs="Calibri" w:eastAsia="Calibri" w:hAnsi="Calibri"/>
                <w:sz w:val="18"/>
                <w:szCs w:val="18"/>
                <w:color w:val="auto"/>
              </w:rPr>
              <w:t>U.S. Plan</w:t>
            </w:r>
          </w:p>
        </w:tc>
        <w:tc>
          <w:tcPr>
            <w:tcW w:w="4060" w:type="dxa"/>
            <w:vAlign w:val="bottom"/>
            <w:tcBorders>
              <w:top w:val="single" w:sz="8" w:color="CFF0FC"/>
            </w:tcBorders>
            <w:gridSpan w:val="2"/>
          </w:tcPr>
          <w:p>
            <w:pPr>
              <w:spacing w:after="0"/>
              <w:rPr>
                <w:sz w:val="18"/>
                <w:szCs w:val="18"/>
                <w:color w:val="auto"/>
              </w:rPr>
            </w:pPr>
          </w:p>
        </w:tc>
        <w:tc>
          <w:tcPr>
            <w:tcW w:w="400" w:type="dxa"/>
            <w:vAlign w:val="bottom"/>
            <w:tcBorders>
              <w:top w:val="single" w:sz="8" w:color="CFF0FC"/>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1320" w:type="dxa"/>
            <w:vAlign w:val="bottom"/>
            <w:tcBorders>
              <w:top w:val="single" w:sz="8" w:color="CFF0FC"/>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10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r>
    </w:tbl>
    <w:p>
      <w:pPr>
        <w:spacing w:after="0" w:line="222"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color w:val="auto"/>
        </w:rPr>
        <w:t>As discount rates refect the market rate on the measurement date, the rates can be volatle from year to year. The increase in the discount rate for Kodak’s major U.S. defned beneft pension plan from December 31, 2023 to December 31, 2024 resulted in a decrease in the PBO of approximately $83 million at December 31, 2024. The decrease in the discount rate for Kodak’s major U.S. defned beneft pension plan from December 31, 2022 to December 31, 2023 resulted in an increase in the PBO of approximately $40 million at December 31, 2023.</w:t>
      </w:r>
    </w:p>
    <w:p>
      <w:pPr>
        <w:spacing w:after="0" w:line="18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Sensitvity Analysis:</w:t>
      </w:r>
    </w:p>
    <w:p>
      <w:pPr>
        <w:spacing w:after="0" w:line="177" w:lineRule="exact"/>
        <w:rPr>
          <w:sz w:val="20"/>
          <w:szCs w:val="20"/>
          <w:color w:val="auto"/>
        </w:rPr>
      </w:pPr>
    </w:p>
    <w:p>
      <w:pPr>
        <w:ind w:right="380"/>
        <w:spacing w:after="0" w:line="235" w:lineRule="auto"/>
        <w:rPr>
          <w:sz w:val="20"/>
          <w:szCs w:val="20"/>
          <w:color w:val="auto"/>
        </w:rPr>
      </w:pPr>
      <w:r>
        <w:rPr>
          <w:rFonts w:ascii="Calibri" w:cs="Calibri" w:eastAsia="Calibri" w:hAnsi="Calibri"/>
          <w:sz w:val="18"/>
          <w:szCs w:val="18"/>
          <w:color w:val="auto"/>
        </w:rPr>
        <w:t>The following table illustrates the sensitvity to a change to certain key assumptons used in the calculaton of expense for the year ending December 31, 2024 and the PBO at December 31, 2024 for Kodak's major U.S. and non-U.S. defned beneft pension plans: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40" w:type="dxa"/>
            <w:vAlign w:val="bottom"/>
            <w:gridSpan w:val="3"/>
          </w:tcPr>
          <w:p>
            <w:pPr>
              <w:jc w:val="center"/>
              <w:ind w:right="510"/>
              <w:spacing w:after="0"/>
              <w:rPr>
                <w:sz w:val="20"/>
                <w:szCs w:val="20"/>
                <w:color w:val="auto"/>
              </w:rPr>
            </w:pPr>
            <w:r>
              <w:rPr>
                <w:rFonts w:ascii="Calibri" w:cs="Calibri" w:eastAsia="Calibri" w:hAnsi="Calibri"/>
                <w:sz w:val="18"/>
                <w:szCs w:val="18"/>
                <w:b w:val="1"/>
                <w:bCs w:val="1"/>
                <w:color w:val="auto"/>
                <w:w w:val="96"/>
              </w:rPr>
              <w:t>Impact on 2025</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40" w:type="dxa"/>
            <w:vAlign w:val="bottom"/>
            <w:gridSpan w:val="3"/>
          </w:tcPr>
          <w:p>
            <w:pPr>
              <w:jc w:val="center"/>
              <w:ind w:right="230"/>
              <w:spacing w:after="0"/>
              <w:rPr>
                <w:sz w:val="20"/>
                <w:szCs w:val="20"/>
                <w:color w:val="auto"/>
              </w:rPr>
            </w:pPr>
            <w:r>
              <w:rPr>
                <w:rFonts w:ascii="Calibri" w:cs="Calibri" w:eastAsia="Calibri" w:hAnsi="Calibri"/>
                <w:sz w:val="18"/>
                <w:szCs w:val="18"/>
                <w:b w:val="1"/>
                <w:bCs w:val="1"/>
                <w:color w:val="auto"/>
                <w:w w:val="97"/>
              </w:rPr>
              <w:t>Impact on PBO</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18"/>
                <w:szCs w:val="18"/>
                <w:color w:val="auto"/>
              </w:rPr>
            </w:pPr>
          </w:p>
        </w:tc>
        <w:tc>
          <w:tcPr>
            <w:tcW w:w="2700" w:type="dxa"/>
            <w:vAlign w:val="bottom"/>
            <w:gridSpan w:val="4"/>
          </w:tcPr>
          <w:p>
            <w:pPr>
              <w:jc w:val="center"/>
              <w:ind w:left="170"/>
              <w:spacing w:after="0" w:line="216" w:lineRule="exact"/>
              <w:rPr>
                <w:sz w:val="20"/>
                <w:szCs w:val="20"/>
                <w:color w:val="auto"/>
              </w:rPr>
            </w:pPr>
            <w:r>
              <w:rPr>
                <w:rFonts w:ascii="Calibri" w:cs="Calibri" w:eastAsia="Calibri" w:hAnsi="Calibri"/>
                <w:sz w:val="18"/>
                <w:szCs w:val="18"/>
                <w:b w:val="1"/>
                <w:bCs w:val="1"/>
                <w:color w:val="auto"/>
                <w:w w:val="96"/>
              </w:rPr>
              <w:t>Pre-Tax Pension Expense</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20" w:type="dxa"/>
            <w:vAlign w:val="bottom"/>
            <w:gridSpan w:val="4"/>
          </w:tcPr>
          <w:p>
            <w:pPr>
              <w:jc w:val="center"/>
              <w:ind w:left="370"/>
              <w:spacing w:after="0" w:line="216" w:lineRule="exact"/>
              <w:rPr>
                <w:sz w:val="20"/>
                <w:szCs w:val="20"/>
                <w:color w:val="auto"/>
              </w:rPr>
            </w:pPr>
            <w:r>
              <w:rPr>
                <w:rFonts w:ascii="Calibri" w:cs="Calibri" w:eastAsia="Calibri" w:hAnsi="Calibri"/>
                <w:sz w:val="18"/>
                <w:szCs w:val="18"/>
                <w:b w:val="1"/>
                <w:bCs w:val="1"/>
                <w:color w:val="auto"/>
                <w:w w:val="97"/>
              </w:rPr>
              <w:t>December 31, 2024</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18"/>
                <w:szCs w:val="18"/>
                <w:color w:val="auto"/>
              </w:rPr>
            </w:pPr>
          </w:p>
        </w:tc>
        <w:tc>
          <w:tcPr>
            <w:tcW w:w="2700" w:type="dxa"/>
            <w:vAlign w:val="bottom"/>
            <w:gridSpan w:val="4"/>
          </w:tcPr>
          <w:p>
            <w:pPr>
              <w:jc w:val="center"/>
              <w:ind w:left="170"/>
              <w:spacing w:after="0" w:line="216" w:lineRule="exact"/>
              <w:rPr>
                <w:sz w:val="20"/>
                <w:szCs w:val="20"/>
                <w:color w:val="auto"/>
              </w:rPr>
            </w:pPr>
            <w:r>
              <w:rPr>
                <w:rFonts w:ascii="Calibri" w:cs="Calibri" w:eastAsia="Calibri" w:hAnsi="Calibri"/>
                <w:sz w:val="18"/>
                <w:szCs w:val="18"/>
                <w:b w:val="1"/>
                <w:bCs w:val="1"/>
                <w:color w:val="auto"/>
                <w:w w:val="98"/>
              </w:rPr>
              <w:t>Increase (Decrease)</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20" w:type="dxa"/>
            <w:vAlign w:val="bottom"/>
            <w:gridSpan w:val="4"/>
          </w:tcPr>
          <w:p>
            <w:pPr>
              <w:jc w:val="center"/>
              <w:ind w:left="370"/>
              <w:spacing w:after="0" w:line="216" w:lineRule="exact"/>
              <w:rPr>
                <w:sz w:val="20"/>
                <w:szCs w:val="20"/>
                <w:color w:val="auto"/>
              </w:rPr>
            </w:pPr>
            <w:r>
              <w:rPr>
                <w:rFonts w:ascii="Calibri" w:cs="Calibri" w:eastAsia="Calibri" w:hAnsi="Calibri"/>
                <w:sz w:val="18"/>
                <w:szCs w:val="18"/>
                <w:b w:val="1"/>
                <w:bCs w:val="1"/>
                <w:color w:val="auto"/>
                <w:w w:val="98"/>
              </w:rPr>
              <w:t>Increase (Decrease)</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52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vMerge w:val="restart"/>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240" w:type="dxa"/>
            <w:vAlign w:val="bottom"/>
          </w:tcPr>
          <w:p>
            <w:pPr>
              <w:ind w:left="20"/>
              <w:spacing w:after="0"/>
              <w:rPr>
                <w:sz w:val="20"/>
                <w:szCs w:val="20"/>
                <w:color w:val="auto"/>
              </w:rPr>
            </w:pPr>
            <w:r>
              <w:rPr>
                <w:rFonts w:ascii="Calibri" w:cs="Calibri" w:eastAsia="Calibri" w:hAnsi="Calibri"/>
                <w:sz w:val="14"/>
                <w:szCs w:val="14"/>
                <w:color w:val="auto"/>
              </w:rPr>
              <w:t>(in millions)</w:t>
            </w:r>
          </w:p>
        </w:tc>
        <w:tc>
          <w:tcPr>
            <w:tcW w:w="86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U.S.</w:t>
            </w:r>
          </w:p>
        </w:tc>
        <w:tc>
          <w:tcPr>
            <w:tcW w:w="5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Borders>
              <w:bottom w:val="single" w:sz="8" w:color="auto"/>
            </w:tcBorders>
          </w:tcPr>
          <w:p>
            <w:pPr>
              <w:jc w:val="right"/>
              <w:ind w:right="10"/>
              <w:spacing w:after="0" w:line="209" w:lineRule="exact"/>
              <w:rPr>
                <w:sz w:val="20"/>
                <w:szCs w:val="20"/>
                <w:color w:val="auto"/>
              </w:rPr>
            </w:pPr>
            <w:r>
              <w:rPr>
                <w:rFonts w:ascii="Calibri" w:cs="Calibri" w:eastAsia="Calibri" w:hAnsi="Calibri"/>
                <w:sz w:val="18"/>
                <w:szCs w:val="18"/>
                <w:b w:val="1"/>
                <w:bCs w:val="1"/>
                <w:color w:val="auto"/>
              </w:rPr>
              <w:t>Non-U.S.</w:t>
            </w:r>
          </w:p>
        </w:tc>
        <w:tc>
          <w:tcPr>
            <w:tcW w:w="260" w:type="dxa"/>
            <w:vAlign w:val="bottom"/>
            <w:tcBorders>
              <w:bottom w:val="single" w:sz="8" w:color="auto"/>
            </w:tcBorders>
          </w:tcPr>
          <w:p>
            <w:pPr>
              <w:spacing w:after="0"/>
              <w:rPr>
                <w:sz w:val="18"/>
                <w:szCs w:val="18"/>
                <w:color w:val="auto"/>
              </w:rPr>
            </w:pPr>
          </w:p>
        </w:tc>
        <w:tc>
          <w:tcPr>
            <w:tcW w:w="240" w:type="dxa"/>
            <w:vAlign w:val="bottom"/>
            <w:vMerge w:val="continue"/>
          </w:tcPr>
          <w:p>
            <w:pPr>
              <w:spacing w:after="0"/>
              <w:rPr>
                <w:sz w:val="18"/>
                <w:szCs w:val="18"/>
                <w:color w:val="auto"/>
              </w:rPr>
            </w:pPr>
          </w:p>
        </w:tc>
        <w:tc>
          <w:tcPr>
            <w:tcW w:w="780" w:type="dxa"/>
            <w:vAlign w:val="bottom"/>
            <w:tcBorders>
              <w:bottom w:val="single" w:sz="8" w:color="auto"/>
            </w:tcBorders>
          </w:tcPr>
          <w:p>
            <w:pPr>
              <w:ind w:left="460"/>
              <w:spacing w:after="0" w:line="209" w:lineRule="exact"/>
              <w:rPr>
                <w:sz w:val="20"/>
                <w:szCs w:val="20"/>
                <w:color w:val="auto"/>
              </w:rPr>
            </w:pPr>
            <w:r>
              <w:rPr>
                <w:rFonts w:ascii="Calibri" w:cs="Calibri" w:eastAsia="Calibri" w:hAnsi="Calibri"/>
                <w:sz w:val="18"/>
                <w:szCs w:val="18"/>
                <w:b w:val="1"/>
                <w:bCs w:val="1"/>
                <w:color w:val="auto"/>
              </w:rPr>
              <w:t>U.S.</w:t>
            </w:r>
          </w:p>
        </w:tc>
        <w:tc>
          <w:tcPr>
            <w:tcW w:w="4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Borders>
              <w:bottom w:val="single" w:sz="8" w:color="auto"/>
            </w:tcBorders>
            <w:gridSpan w:val="2"/>
          </w:tcPr>
          <w:p>
            <w:pPr>
              <w:jc w:val="right"/>
              <w:ind w:right="190"/>
              <w:spacing w:after="0" w:line="209" w:lineRule="exact"/>
              <w:rPr>
                <w:sz w:val="20"/>
                <w:szCs w:val="20"/>
                <w:color w:val="auto"/>
              </w:rPr>
            </w:pPr>
            <w:r>
              <w:rPr>
                <w:rFonts w:ascii="Calibri" w:cs="Calibri" w:eastAsia="Calibri" w:hAnsi="Calibri"/>
                <w:sz w:val="18"/>
                <w:szCs w:val="18"/>
                <w:b w:val="1"/>
                <w:bCs w:val="1"/>
                <w:color w:val="auto"/>
              </w:rPr>
              <w:t>Non-U.S.</w:t>
            </w:r>
          </w:p>
        </w:tc>
        <w:tc>
          <w:tcPr>
            <w:tcW w:w="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4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color w:val="auto"/>
              </w:rPr>
              <w:t>Change in assumpton:</w:t>
            </w:r>
          </w:p>
        </w:tc>
        <w:tc>
          <w:tcPr>
            <w:tcW w:w="8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240" w:type="dxa"/>
            <w:vAlign w:val="bottom"/>
          </w:tcPr>
          <w:p>
            <w:pPr>
              <w:ind w:left="200"/>
              <w:spacing w:after="0" w:line="215" w:lineRule="exact"/>
              <w:rPr>
                <w:sz w:val="20"/>
                <w:szCs w:val="20"/>
                <w:color w:val="auto"/>
              </w:rPr>
            </w:pPr>
            <w:r>
              <w:rPr>
                <w:rFonts w:ascii="Calibri" w:cs="Calibri" w:eastAsia="Calibri" w:hAnsi="Calibri"/>
                <w:sz w:val="18"/>
                <w:szCs w:val="18"/>
                <w:color w:val="auto"/>
              </w:rPr>
              <w:t>25 basis point decrease in discount rate</w:t>
            </w:r>
          </w:p>
        </w:tc>
        <w:tc>
          <w:tcPr>
            <w:tcW w:w="860" w:type="dxa"/>
            <w:vAlign w:val="bottom"/>
          </w:tcPr>
          <w:p>
            <w:pPr>
              <w:jc w:val="right"/>
              <w:ind w:right="670"/>
              <w:spacing w:after="0" w:line="215" w:lineRule="exact"/>
              <w:rPr>
                <w:sz w:val="20"/>
                <w:szCs w:val="20"/>
                <w:color w:val="auto"/>
              </w:rPr>
            </w:pPr>
            <w:r>
              <w:rPr>
                <w:rFonts w:ascii="Calibri" w:cs="Calibri" w:eastAsia="Calibri" w:hAnsi="Calibri"/>
                <w:sz w:val="18"/>
                <w:szCs w:val="18"/>
                <w:color w:val="auto"/>
                <w:w w:val="87"/>
              </w:rPr>
              <w:t>$</w:t>
            </w:r>
          </w:p>
        </w:tc>
        <w:tc>
          <w:tcPr>
            <w:tcW w:w="500" w:type="dxa"/>
            <w:vAlign w:val="bottom"/>
          </w:tcPr>
          <w:p>
            <w:pPr>
              <w:jc w:val="right"/>
              <w:spacing w:after="0" w:line="215" w:lineRule="exact"/>
              <w:rPr>
                <w:sz w:val="20"/>
                <w:szCs w:val="20"/>
                <w:color w:val="auto"/>
              </w:rPr>
            </w:pPr>
            <w:r>
              <w:rPr>
                <w:rFonts w:ascii="Calibri" w:cs="Calibri" w:eastAsia="Calibri" w:hAnsi="Calibri"/>
                <w:sz w:val="18"/>
                <w:szCs w:val="18"/>
                <w:color w:val="auto"/>
              </w:rPr>
              <w:t>5</w:t>
            </w:r>
          </w:p>
        </w:tc>
        <w:tc>
          <w:tcPr>
            <w:tcW w:w="240" w:type="dxa"/>
            <w:vAlign w:val="bottom"/>
          </w:tcPr>
          <w:p>
            <w:pPr>
              <w:spacing w:after="0"/>
              <w:rPr>
                <w:sz w:val="18"/>
                <w:szCs w:val="18"/>
                <w:color w:val="auto"/>
              </w:rPr>
            </w:pPr>
          </w:p>
        </w:tc>
        <w:tc>
          <w:tcPr>
            <w:tcW w:w="1100" w:type="dxa"/>
            <w:vAlign w:val="bottom"/>
          </w:tcPr>
          <w:p>
            <w:pPr>
              <w:jc w:val="right"/>
              <w:ind w:right="910"/>
              <w:spacing w:after="0" w:line="215" w:lineRule="exact"/>
              <w:rPr>
                <w:sz w:val="20"/>
                <w:szCs w:val="20"/>
                <w:color w:val="auto"/>
              </w:rPr>
            </w:pPr>
            <w:r>
              <w:rPr>
                <w:rFonts w:ascii="Calibri" w:cs="Calibri" w:eastAsia="Calibri" w:hAnsi="Calibri"/>
                <w:sz w:val="18"/>
                <w:szCs w:val="18"/>
                <w:color w:val="auto"/>
                <w:w w:val="87"/>
              </w:rPr>
              <w:t>$</w:t>
            </w:r>
          </w:p>
        </w:tc>
        <w:tc>
          <w:tcPr>
            <w:tcW w:w="1280" w:type="dxa"/>
            <w:vAlign w:val="bottom"/>
            <w:gridSpan w:val="3"/>
          </w:tcPr>
          <w:p>
            <w:pPr>
              <w:ind w:left="100"/>
              <w:spacing w:after="0" w:line="215" w:lineRule="exact"/>
              <w:rPr>
                <w:sz w:val="20"/>
                <w:szCs w:val="20"/>
                <w:color w:val="auto"/>
              </w:rPr>
            </w:pPr>
            <w:r>
              <w:rPr>
                <w:rFonts w:ascii="Calibri" w:cs="Calibri" w:eastAsia="Calibri" w:hAnsi="Calibri"/>
                <w:sz w:val="18"/>
                <w:szCs w:val="18"/>
                <w:color w:val="auto"/>
              </w:rPr>
              <w:t>—   $</w:t>
            </w:r>
          </w:p>
        </w:tc>
        <w:tc>
          <w:tcPr>
            <w:tcW w:w="440" w:type="dxa"/>
            <w:vAlign w:val="bottom"/>
          </w:tcPr>
          <w:p>
            <w:pPr>
              <w:jc w:val="right"/>
              <w:spacing w:after="0" w:line="215" w:lineRule="exact"/>
              <w:rPr>
                <w:sz w:val="20"/>
                <w:szCs w:val="20"/>
                <w:color w:val="auto"/>
              </w:rPr>
            </w:pPr>
            <w:r>
              <w:rPr>
                <w:rFonts w:ascii="Calibri" w:cs="Calibri" w:eastAsia="Calibri" w:hAnsi="Calibri"/>
                <w:sz w:val="18"/>
                <w:szCs w:val="18"/>
                <w:color w:val="auto"/>
              </w:rPr>
              <w:t>38</w:t>
            </w:r>
          </w:p>
        </w:tc>
        <w:tc>
          <w:tcPr>
            <w:tcW w:w="240" w:type="dxa"/>
            <w:vAlign w:val="bottom"/>
          </w:tcPr>
          <w:p>
            <w:pPr>
              <w:spacing w:after="0"/>
              <w:rPr>
                <w:sz w:val="18"/>
                <w:szCs w:val="18"/>
                <w:color w:val="auto"/>
              </w:rPr>
            </w:pPr>
          </w:p>
        </w:tc>
        <w:tc>
          <w:tcPr>
            <w:tcW w:w="760" w:type="dxa"/>
            <w:vAlign w:val="bottom"/>
          </w:tcPr>
          <w:p>
            <w:pPr>
              <w:jc w:val="right"/>
              <w:ind w:right="570"/>
              <w:spacing w:after="0" w:line="215" w:lineRule="exact"/>
              <w:rPr>
                <w:sz w:val="20"/>
                <w:szCs w:val="20"/>
                <w:color w:val="auto"/>
              </w:rPr>
            </w:pPr>
            <w:r>
              <w:rPr>
                <w:rFonts w:ascii="Calibri" w:cs="Calibri" w:eastAsia="Calibri" w:hAnsi="Calibri"/>
                <w:sz w:val="18"/>
                <w:szCs w:val="18"/>
                <w:color w:val="auto"/>
                <w:w w:val="87"/>
              </w:rPr>
              <w:t>$</w:t>
            </w:r>
          </w:p>
        </w:tc>
        <w:tc>
          <w:tcPr>
            <w:tcW w:w="460" w:type="dxa"/>
            <w:vAlign w:val="bottom"/>
          </w:tcPr>
          <w:p>
            <w:pPr>
              <w:jc w:val="right"/>
              <w:spacing w:after="0" w:line="215" w:lineRule="exact"/>
              <w:rPr>
                <w:sz w:val="20"/>
                <w:szCs w:val="20"/>
                <w:color w:val="auto"/>
              </w:rPr>
            </w:pPr>
            <w:r>
              <w:rPr>
                <w:rFonts w:ascii="Calibri" w:cs="Calibri" w:eastAsia="Calibri" w:hAnsi="Calibri"/>
                <w:sz w:val="18"/>
                <w:szCs w:val="18"/>
                <w:color w:val="auto"/>
              </w:rPr>
              <w:t>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240" w:type="dxa"/>
            <w:vAlign w:val="bottom"/>
            <w:shd w:val="clear" w:color="auto" w:fill="CFF0FC"/>
          </w:tcPr>
          <w:p>
            <w:pPr>
              <w:ind w:left="200"/>
              <w:spacing w:after="0" w:line="216" w:lineRule="exact"/>
              <w:rPr>
                <w:sz w:val="20"/>
                <w:szCs w:val="20"/>
                <w:color w:val="auto"/>
              </w:rPr>
            </w:pPr>
            <w:r>
              <w:rPr>
                <w:rFonts w:ascii="Calibri" w:cs="Calibri" w:eastAsia="Calibri" w:hAnsi="Calibri"/>
                <w:sz w:val="18"/>
                <w:szCs w:val="18"/>
                <w:color w:val="auto"/>
              </w:rPr>
              <w:t>25 basis point increase in discount rate</w:t>
            </w:r>
          </w:p>
        </w:tc>
        <w:tc>
          <w:tcPr>
            <w:tcW w:w="86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80"/>
              <w:spacing w:after="0" w:line="216" w:lineRule="exact"/>
              <w:rPr>
                <w:sz w:val="20"/>
                <w:szCs w:val="20"/>
                <w:color w:val="auto"/>
              </w:rPr>
            </w:pPr>
            <w:r>
              <w:rPr>
                <w:rFonts w:ascii="Calibri" w:cs="Calibri" w:eastAsia="Calibri" w:hAnsi="Calibri"/>
                <w:sz w:val="18"/>
                <w:szCs w:val="18"/>
                <w:color w:val="auto"/>
              </w:rPr>
              <w:t>(5 )</w:t>
            </w:r>
          </w:p>
        </w:tc>
        <w:tc>
          <w:tcPr>
            <w:tcW w:w="1100" w:type="dxa"/>
            <w:vAlign w:val="bottom"/>
            <w:shd w:val="clear" w:color="auto" w:fill="CFF0FC"/>
          </w:tcPr>
          <w:p>
            <w:pPr>
              <w:spacing w:after="0"/>
              <w:rPr>
                <w:sz w:val="18"/>
                <w:szCs w:val="18"/>
                <w:color w:val="auto"/>
              </w:rPr>
            </w:pPr>
          </w:p>
        </w:tc>
        <w:tc>
          <w:tcPr>
            <w:tcW w:w="1280" w:type="dxa"/>
            <w:vAlign w:val="bottom"/>
            <w:gridSpan w:val="3"/>
            <w:shd w:val="clear" w:color="auto" w:fill="CFF0FC"/>
          </w:tcPr>
          <w:p>
            <w:pPr>
              <w:jc w:val="right"/>
              <w:ind w:right="930"/>
              <w:spacing w:after="0" w:line="216" w:lineRule="exact"/>
              <w:rPr>
                <w:sz w:val="20"/>
                <w:szCs w:val="20"/>
                <w:color w:val="auto"/>
              </w:rPr>
            </w:pPr>
            <w:r>
              <w:rPr>
                <w:rFonts w:ascii="Calibri" w:cs="Calibri" w:eastAsia="Calibri" w:hAnsi="Calibri"/>
                <w:sz w:val="18"/>
                <w:szCs w:val="18"/>
                <w:color w:val="auto"/>
              </w:rPr>
              <w:t>—</w:t>
            </w:r>
          </w:p>
        </w:tc>
        <w:tc>
          <w:tcPr>
            <w:tcW w:w="680" w:type="dxa"/>
            <w:vAlign w:val="bottom"/>
            <w:gridSpan w:val="2"/>
            <w:shd w:val="clear" w:color="auto" w:fill="CFF0FC"/>
          </w:tcPr>
          <w:p>
            <w:pPr>
              <w:jc w:val="right"/>
              <w:ind w:right="180"/>
              <w:spacing w:after="0" w:line="216" w:lineRule="exact"/>
              <w:rPr>
                <w:sz w:val="20"/>
                <w:szCs w:val="20"/>
                <w:color w:val="auto"/>
              </w:rPr>
            </w:pPr>
            <w:r>
              <w:rPr>
                <w:rFonts w:ascii="Calibri" w:cs="Calibri" w:eastAsia="Calibri" w:hAnsi="Calibri"/>
                <w:sz w:val="18"/>
                <w:szCs w:val="18"/>
                <w:color w:val="auto"/>
              </w:rPr>
              <w:t>(37 )</w:t>
            </w:r>
          </w:p>
        </w:tc>
        <w:tc>
          <w:tcPr>
            <w:tcW w:w="76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60"/>
              <w:spacing w:after="0" w:line="216" w:lineRule="exact"/>
              <w:rPr>
                <w:sz w:val="20"/>
                <w:szCs w:val="20"/>
                <w:color w:val="auto"/>
              </w:rPr>
            </w:pPr>
            <w:r>
              <w:rPr>
                <w:rFonts w:ascii="Calibri" w:cs="Calibri" w:eastAsia="Calibri" w:hAnsi="Calibri"/>
                <w:sz w:val="18"/>
                <w:szCs w:val="18"/>
                <w:color w:val="auto"/>
              </w:rPr>
              <w:t>(10 )</w:t>
            </w:r>
          </w:p>
        </w:tc>
        <w:tc>
          <w:tcPr>
            <w:tcW w:w="0" w:type="dxa"/>
            <w:vAlign w:val="bottom"/>
          </w:tcPr>
          <w:p>
            <w:pPr>
              <w:spacing w:after="0"/>
              <w:rPr>
                <w:sz w:val="1"/>
                <w:szCs w:val="1"/>
                <w:color w:val="auto"/>
              </w:rPr>
            </w:pPr>
          </w:p>
        </w:tc>
      </w:tr>
      <w:tr>
        <w:trPr>
          <w:trHeight w:val="215"/>
        </w:trPr>
        <w:tc>
          <w:tcPr>
            <w:tcW w:w="5240" w:type="dxa"/>
            <w:vAlign w:val="bottom"/>
          </w:tcPr>
          <w:p>
            <w:pPr>
              <w:ind w:left="200"/>
              <w:spacing w:after="0" w:line="215" w:lineRule="exact"/>
              <w:rPr>
                <w:sz w:val="20"/>
                <w:szCs w:val="20"/>
                <w:color w:val="auto"/>
              </w:rPr>
            </w:pPr>
            <w:r>
              <w:rPr>
                <w:rFonts w:ascii="Calibri" w:cs="Calibri" w:eastAsia="Calibri" w:hAnsi="Calibri"/>
                <w:sz w:val="18"/>
                <w:szCs w:val="18"/>
                <w:color w:val="auto"/>
              </w:rPr>
              <w:t>25 basis point decrease in EROA</w:t>
            </w:r>
          </w:p>
        </w:tc>
        <w:tc>
          <w:tcPr>
            <w:tcW w:w="860" w:type="dxa"/>
            <w:vAlign w:val="bottom"/>
          </w:tcPr>
          <w:p>
            <w:pPr>
              <w:spacing w:after="0"/>
              <w:rPr>
                <w:sz w:val="18"/>
                <w:szCs w:val="18"/>
                <w:color w:val="auto"/>
              </w:rPr>
            </w:pPr>
          </w:p>
        </w:tc>
        <w:tc>
          <w:tcPr>
            <w:tcW w:w="500" w:type="dxa"/>
            <w:vAlign w:val="bottom"/>
          </w:tcPr>
          <w:p>
            <w:pPr>
              <w:jc w:val="right"/>
              <w:spacing w:after="0" w:line="215" w:lineRule="exact"/>
              <w:rPr>
                <w:sz w:val="20"/>
                <w:szCs w:val="20"/>
                <w:color w:val="auto"/>
              </w:rPr>
            </w:pPr>
            <w:r>
              <w:rPr>
                <w:rFonts w:ascii="Calibri" w:cs="Calibri" w:eastAsia="Calibri" w:hAnsi="Calibri"/>
                <w:sz w:val="18"/>
                <w:szCs w:val="18"/>
                <w:color w:val="auto"/>
              </w:rPr>
              <w:t>9</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jc w:val="right"/>
              <w:spacing w:after="0" w:line="215" w:lineRule="exact"/>
              <w:rPr>
                <w:sz w:val="20"/>
                <w:szCs w:val="20"/>
                <w:color w:val="auto"/>
              </w:rPr>
            </w:pPr>
            <w:r>
              <w:rPr>
                <w:rFonts w:ascii="Calibri" w:cs="Calibri" w:eastAsia="Calibri" w:hAnsi="Calibri"/>
                <w:sz w:val="18"/>
                <w:szCs w:val="18"/>
                <w:color w:val="auto"/>
              </w:rPr>
              <w:t>1</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N/A</w:t>
            </w:r>
          </w:p>
        </w:tc>
        <w:tc>
          <w:tcPr>
            <w:tcW w:w="760" w:type="dxa"/>
            <w:vAlign w:val="bottom"/>
          </w:tcPr>
          <w:p>
            <w:pPr>
              <w:spacing w:after="0"/>
              <w:rPr>
                <w:sz w:val="18"/>
                <w:szCs w:val="18"/>
                <w:color w:val="auto"/>
              </w:rPr>
            </w:pPr>
          </w:p>
        </w:tc>
        <w:tc>
          <w:tcPr>
            <w:tcW w:w="58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N/A</w:t>
            </w:r>
          </w:p>
        </w:tc>
        <w:tc>
          <w:tcPr>
            <w:tcW w:w="0" w:type="dxa"/>
            <w:vAlign w:val="bottom"/>
          </w:tcPr>
          <w:p>
            <w:pPr>
              <w:spacing w:after="0"/>
              <w:rPr>
                <w:sz w:val="1"/>
                <w:szCs w:val="1"/>
                <w:color w:val="auto"/>
              </w:rPr>
            </w:pPr>
          </w:p>
        </w:tc>
      </w:tr>
      <w:tr>
        <w:trPr>
          <w:trHeight w:val="217"/>
        </w:trPr>
        <w:tc>
          <w:tcPr>
            <w:tcW w:w="5240" w:type="dxa"/>
            <w:vAlign w:val="bottom"/>
            <w:shd w:val="clear" w:color="auto" w:fill="CFF0FC"/>
          </w:tcPr>
          <w:p>
            <w:pPr>
              <w:ind w:left="200"/>
              <w:spacing w:after="0" w:line="216" w:lineRule="exact"/>
              <w:rPr>
                <w:sz w:val="20"/>
                <w:szCs w:val="20"/>
                <w:color w:val="auto"/>
              </w:rPr>
            </w:pPr>
            <w:r>
              <w:rPr>
                <w:rFonts w:ascii="Calibri" w:cs="Calibri" w:eastAsia="Calibri" w:hAnsi="Calibri"/>
                <w:sz w:val="18"/>
                <w:szCs w:val="18"/>
                <w:color w:val="auto"/>
              </w:rPr>
              <w:t>25 basis point increase in EROA</w:t>
            </w:r>
          </w:p>
        </w:tc>
        <w:tc>
          <w:tcPr>
            <w:tcW w:w="86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80"/>
              <w:spacing w:after="0" w:line="216" w:lineRule="exact"/>
              <w:rPr>
                <w:sz w:val="20"/>
                <w:szCs w:val="20"/>
                <w:color w:val="auto"/>
              </w:rPr>
            </w:pPr>
            <w:r>
              <w:rPr>
                <w:rFonts w:ascii="Calibri" w:cs="Calibri" w:eastAsia="Calibri" w:hAnsi="Calibri"/>
                <w:sz w:val="18"/>
                <w:szCs w:val="18"/>
                <w:color w:val="auto"/>
              </w:rPr>
              <w:t>(9 )</w:t>
            </w:r>
          </w:p>
        </w:tc>
        <w:tc>
          <w:tcPr>
            <w:tcW w:w="110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160"/>
              <w:spacing w:after="0" w:line="216" w:lineRule="exact"/>
              <w:rPr>
                <w:sz w:val="20"/>
                <w:szCs w:val="20"/>
                <w:color w:val="auto"/>
              </w:rPr>
            </w:pPr>
            <w:r>
              <w:rPr>
                <w:rFonts w:ascii="Calibri" w:cs="Calibri" w:eastAsia="Calibri" w:hAnsi="Calibri"/>
                <w:sz w:val="18"/>
                <w:szCs w:val="18"/>
                <w:color w:val="auto"/>
              </w:rPr>
              <w:t>(1 )</w:t>
            </w:r>
          </w:p>
        </w:tc>
        <w:tc>
          <w:tcPr>
            <w:tcW w:w="78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240"/>
              <w:spacing w:after="0" w:line="216" w:lineRule="exact"/>
              <w:rPr>
                <w:sz w:val="20"/>
                <w:szCs w:val="20"/>
                <w:color w:val="auto"/>
              </w:rPr>
            </w:pPr>
            <w:r>
              <w:rPr>
                <w:rFonts w:ascii="Calibri" w:cs="Calibri" w:eastAsia="Calibri" w:hAnsi="Calibri"/>
                <w:sz w:val="18"/>
                <w:szCs w:val="18"/>
                <w:color w:val="auto"/>
              </w:rPr>
              <w:t>N/A</w:t>
            </w:r>
          </w:p>
        </w:tc>
        <w:tc>
          <w:tcPr>
            <w:tcW w:w="76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140"/>
              <w:spacing w:after="0" w:line="216" w:lineRule="exact"/>
              <w:rPr>
                <w:sz w:val="20"/>
                <w:szCs w:val="20"/>
                <w:color w:val="auto"/>
              </w:rPr>
            </w:pPr>
            <w:r>
              <w:rPr>
                <w:rFonts w:ascii="Calibri" w:cs="Calibri" w:eastAsia="Calibri" w:hAnsi="Calibri"/>
                <w:sz w:val="18"/>
                <w:szCs w:val="18"/>
                <w:color w:val="auto"/>
              </w:rPr>
              <w:t>N/A</w:t>
            </w:r>
          </w:p>
        </w:tc>
        <w:tc>
          <w:tcPr>
            <w:tcW w:w="0" w:type="dxa"/>
            <w:vAlign w:val="bottom"/>
          </w:tcPr>
          <w:p>
            <w:pPr>
              <w:spacing w:after="0"/>
              <w:rPr>
                <w:sz w:val="1"/>
                <w:szCs w:val="1"/>
                <w:color w:val="auto"/>
              </w:rPr>
            </w:pPr>
          </w:p>
        </w:tc>
      </w:tr>
      <w:tr>
        <w:trPr>
          <w:trHeight w:val="584"/>
        </w:trPr>
        <w:tc>
          <w:tcPr>
            <w:tcW w:w="5240" w:type="dxa"/>
            <w:vAlign w:val="bottom"/>
          </w:tcPr>
          <w:p>
            <w:pPr>
              <w:spacing w:after="0"/>
              <w:rPr>
                <w:sz w:val="24"/>
                <w:szCs w:val="24"/>
                <w:color w:val="auto"/>
              </w:rPr>
            </w:pPr>
          </w:p>
        </w:tc>
        <w:tc>
          <w:tcPr>
            <w:tcW w:w="860" w:type="dxa"/>
            <w:vAlign w:val="bottom"/>
          </w:tcPr>
          <w:p>
            <w:pPr>
              <w:jc w:val="right"/>
              <w:ind w:right="290"/>
              <w:spacing w:after="0"/>
              <w:rPr>
                <w:sz w:val="20"/>
                <w:szCs w:val="20"/>
                <w:color w:val="auto"/>
              </w:rPr>
            </w:pPr>
            <w:r>
              <w:rPr>
                <w:rFonts w:ascii="Calibri" w:cs="Calibri" w:eastAsia="Calibri" w:hAnsi="Calibri"/>
                <w:sz w:val="18"/>
                <w:szCs w:val="18"/>
                <w:color w:val="auto"/>
              </w:rPr>
              <w:t>49</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0"/>
        </w:trPr>
        <w:tc>
          <w:tcPr>
            <w:tcW w:w="52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9" w:name="page50"/>
    <w:bookmarkEnd w:id="49"/>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Total pension income from contnuing operatons before special terminaton benefts, curtailments and setlements for the major U.S. defned beneft pension plan was $151 million for 2024 and is expected to be approximately $76 million in 2025. The decrease in pension income for 2025 is driven primarily by lower EROA due to the change in investment strategy as discussed above. Pension expense from contnuing operatons before special terminaton benefts, curtailments and setlements for the major non-U.S. defned beneft pension plans was $3 million for 2024 and is projected to be less than $1 million in 2025.</w:t>
      </w:r>
    </w:p>
    <w:p>
      <w:pPr>
        <w:spacing w:after="0" w:line="18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Derivatve Instruments:</w:t>
      </w:r>
    </w:p>
    <w:p>
      <w:pPr>
        <w:spacing w:after="0" w:line="177"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Kodak’s major U.S. defned beneft plan utlizes derivatve investments primarily to hedge liability interest rate risk to U.S. government bonds. Kodak’s major U.S. defned beneft pension plan’s derivatve portolio consists of exchange traded futures contracts. As of December 31, 2024 and 2023 the notonal amount of these derivatve instruments was approximately $574 million and $384 million, respectvely. Daily variaton margin payments are made to or received from the counterparty for changes in the market value of futures contracts and are recorded as realized gains and losses in the actual return on plan assets balance. As these futures contracts have short-term maturites, the fair value of these derivatve instruments at December 31, 2024 and 2023 was ($5) million and $1 million, respectvely, which represents the unrealized losses and gains on these contracts. Refer to Note 19, “Retrement Plans” for additonal informaton.</w:t>
      </w:r>
    </w:p>
    <w:p>
      <w:pPr>
        <w:spacing w:after="0" w:line="181" w:lineRule="exact"/>
        <w:rPr>
          <w:sz w:val="20"/>
          <w:szCs w:val="20"/>
          <w:color w:val="auto"/>
        </w:rPr>
      </w:pPr>
    </w:p>
    <w:p>
      <w:pPr>
        <w:ind w:right="160"/>
        <w:spacing w:after="0" w:line="235" w:lineRule="auto"/>
        <w:rPr>
          <w:sz w:val="20"/>
          <w:szCs w:val="20"/>
          <w:color w:val="auto"/>
        </w:rPr>
      </w:pPr>
      <w:r>
        <w:rPr>
          <w:rFonts w:ascii="Calibri" w:cs="Calibri" w:eastAsia="Calibri" w:hAnsi="Calibri"/>
          <w:sz w:val="18"/>
          <w:szCs w:val="18"/>
          <w:color w:val="auto"/>
        </w:rPr>
        <w:t>An increase in interest rates is the primary factor that could precipitate material losses in Kodak’s major U.S. defned beneft plan's existng derivatves portolio. A 25-basis point increase in interest rates would cause a loss from the government bond derivatves of approximately $21 million. However, as illustrated in the above table, a 25-basis point increase in the discount rate used to measure the PBO of the U.S. Plan would cause a $37 million decrease in the PBO. Accordingly, while an increase in interest rates would expose the U.S. Plan’s derivatve investments to losses, it would also likely result in an ofsetng decrease to the U.S. Plan’s PBO.</w:t>
      </w:r>
    </w:p>
    <w:p>
      <w:pPr>
        <w:spacing w:after="0" w:line="193" w:lineRule="exact"/>
        <w:rPr>
          <w:sz w:val="20"/>
          <w:szCs w:val="20"/>
          <w:color w:val="auto"/>
        </w:rPr>
      </w:pPr>
    </w:p>
    <w:p>
      <w:pPr>
        <w:ind w:right="100"/>
        <w:spacing w:after="0" w:line="254" w:lineRule="auto"/>
        <w:rPr>
          <w:sz w:val="20"/>
          <w:szCs w:val="20"/>
          <w:color w:val="auto"/>
        </w:rPr>
      </w:pPr>
      <w:r>
        <w:rPr>
          <w:rFonts w:ascii="Calibri" w:cs="Calibri" w:eastAsia="Calibri" w:hAnsi="Calibri"/>
          <w:sz w:val="17"/>
          <w:szCs w:val="17"/>
          <w:color w:val="auto"/>
        </w:rPr>
        <w:t>Kodak’s major U.S. defned beneft plan has invested in a diversifed portolio of hedge funds that utlize a variety of investment strategies. The total NAV of these hedge funds was approximately $0.7 billion and $1.6 billion as of December 31, 2024 and 2023, respectvely. Separate from the major U.S. defned beneft plan’s direct investments in exchange traded futures contracts, hedge funds may utlize derivatve instruments to execute their investment strategy.</w:t>
      </w:r>
    </w:p>
    <w:p>
      <w:pPr>
        <w:spacing w:after="0" w:line="165"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color w:val="auto"/>
        </w:rPr>
        <w:t>Any gains or losses, as well as changes in the fair value of derivatve investments held by the hedge fund, are included in the hedge fund’s NAV. Losses could occur in the future from hedge fund investments which may result in part from the use of derivatve investments by the hedge funds. However, the maximum potental loss on any individual fund would be limited to the U.S. Plan’s investment in that fund.</w:t>
      </w:r>
    </w:p>
    <w:p>
      <w:pPr>
        <w:spacing w:after="0" w:line="173"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Inventories</w:t>
      </w:r>
    </w:p>
    <w:p>
      <w:pPr>
        <w:spacing w:after="0" w:line="190" w:lineRule="exact"/>
        <w:rPr>
          <w:sz w:val="20"/>
          <w:szCs w:val="20"/>
          <w:color w:val="auto"/>
        </w:rPr>
      </w:pPr>
    </w:p>
    <w:p>
      <w:pPr>
        <w:ind w:right="60"/>
        <w:spacing w:after="0" w:line="271" w:lineRule="auto"/>
        <w:rPr>
          <w:sz w:val="20"/>
          <w:szCs w:val="20"/>
          <w:color w:val="auto"/>
        </w:rPr>
      </w:pPr>
      <w:r>
        <w:rPr>
          <w:rFonts w:ascii="Calibri" w:cs="Calibri" w:eastAsia="Calibri" w:hAnsi="Calibri"/>
          <w:sz w:val="17"/>
          <w:szCs w:val="17"/>
          <w:color w:val="auto"/>
        </w:rPr>
        <w:t>Inventories are stated at the lower of average cost or net realizable value. Judgment is required to assess the ultmate demand for and realizable value of inventory. The analysis of inventory carrying values considers several factors including length of tme inventory is on hand, historical sales, product shelf life, product life cycle, product category and product obsolescence. T</w:t>
      </w:r>
      <w:r>
        <w:rPr>
          <w:rFonts w:ascii="Arial" w:cs="Arial" w:eastAsia="Arial" w:hAnsi="Arial"/>
          <w:sz w:val="15"/>
          <w:szCs w:val="15"/>
          <w:color w:val="auto"/>
        </w:rPr>
        <w:t>he Company also relies, in certain instances, on demand forecasts from its distributors, and</w:t>
      </w:r>
      <w:r>
        <w:rPr>
          <w:rFonts w:ascii="Calibri" w:cs="Calibri" w:eastAsia="Calibri" w:hAnsi="Calibri"/>
          <w:sz w:val="17"/>
          <w:szCs w:val="17"/>
          <w:color w:val="auto"/>
        </w:rPr>
        <w:t xml:space="preserve"> </w:t>
      </w:r>
      <w:r>
        <w:rPr>
          <w:rFonts w:ascii="Arial" w:cs="Arial" w:eastAsia="Arial" w:hAnsi="Arial"/>
          <w:sz w:val="15"/>
          <w:szCs w:val="15"/>
          <w:color w:val="auto"/>
        </w:rPr>
        <w:t>adverse changes in such demand forecasts, when they become known, are taken into consideration when analyzing the carrying values of inventories.</w:t>
      </w:r>
    </w:p>
    <w:p>
      <w:pPr>
        <w:spacing w:after="0" w:line="110"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New Accountng Pronouncements</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color w:val="auto"/>
        </w:rPr>
        <w:t>A descripton of new accountng pronouncements is contained in Note 1, “Basis of Presentaton and Summary of Signifcant Accountng Policies.”</w:t>
      </w:r>
    </w:p>
    <w:p>
      <w:pPr>
        <w:spacing w:after="0" w:line="185"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311150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50" w:name="page51"/>
    <w:bookmarkEnd w:id="50"/>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7A. QUANTITATIVE AND QUALITATIVE DISCLOSURES ABOUT MARKET RISK</w:t>
      </w:r>
    </w:p>
    <w:p>
      <w:pPr>
        <w:spacing w:after="0" w:line="177"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Kodak, as a result of its global operatng and fnancing actvites, is exposed to changes in foreign currency exchange rates, commodity prices, and interest rates, which may adversely afect its results of operatons and fnancial positon. In seeking to minimize the risks associated with such actvites, Kodak may enter into derivatve contracts. Kodak does not utlize fnancial instruments for trading or other speculatve purposes. Foreign currency forward contracts are used to hedge existng foreign currency denominated assets and liabilites, especially those of Kodak’s internatonal fnance center, as well as forecasted foreign currency denominated intercompany sales.</w:t>
      </w:r>
    </w:p>
    <w:p>
      <w:pPr>
        <w:spacing w:after="0" w:line="180" w:lineRule="exact"/>
        <w:rPr>
          <w:sz w:val="20"/>
          <w:szCs w:val="20"/>
          <w:color w:val="auto"/>
        </w:rPr>
      </w:pPr>
    </w:p>
    <w:p>
      <w:pPr>
        <w:ind w:right="100"/>
        <w:spacing w:after="0" w:line="235" w:lineRule="auto"/>
        <w:rPr>
          <w:sz w:val="20"/>
          <w:szCs w:val="20"/>
          <w:color w:val="auto"/>
        </w:rPr>
      </w:pPr>
      <w:r>
        <w:rPr>
          <w:rFonts w:ascii="Calibri" w:cs="Calibri" w:eastAsia="Calibri" w:hAnsi="Calibri"/>
          <w:sz w:val="18"/>
          <w:szCs w:val="18"/>
          <w:color w:val="auto"/>
        </w:rPr>
        <w:t>Kodak’s exposure to changes in interest rates results from its investng and borrowing actvites used to meet its liquidity needs. Long-term debt is generally used to fnance long-term investments, while short-term debt is used to meet working capital requirements.</w:t>
      </w:r>
    </w:p>
    <w:p>
      <w:pPr>
        <w:spacing w:after="0" w:line="191"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auto"/>
        </w:rPr>
        <w:t>Using a sensitvity analysis based on estmated fair value of open foreign currency forward contracts using available forward rates, if the U.S. dollar had been 10% stronger at December 31, 2024 and 2023, the fair value of open forward contracts would have decreased $17 million and $12 million, respectvely. Such changes in fair value would be substantally ofset by the revaluaton or setlement of the underlying positons hedged.</w:t>
      </w:r>
    </w:p>
    <w:p>
      <w:pPr>
        <w:spacing w:after="0" w:line="178" w:lineRule="exact"/>
        <w:rPr>
          <w:sz w:val="20"/>
          <w:szCs w:val="20"/>
          <w:color w:val="auto"/>
        </w:rPr>
      </w:pPr>
    </w:p>
    <w:p>
      <w:pPr>
        <w:jc w:val="both"/>
        <w:ind w:right="20"/>
        <w:spacing w:after="0" w:line="258" w:lineRule="auto"/>
        <w:rPr>
          <w:sz w:val="20"/>
          <w:szCs w:val="20"/>
          <w:color w:val="auto"/>
        </w:rPr>
      </w:pPr>
      <w:r>
        <w:rPr>
          <w:rFonts w:ascii="Calibri" w:cs="Calibri" w:eastAsia="Calibri" w:hAnsi="Calibri"/>
          <w:sz w:val="17"/>
          <w:szCs w:val="17"/>
          <w:color w:val="auto"/>
        </w:rPr>
        <w:t>The majority of the Company’s debt is fxed rate debt. The fair market value of fxed-rate debt is sensitve to changes in interest rates. At December 31, 2024 and 2023, a 10% change in market interest rates would change the fair value of the Company’s debt by approximately $6 million and $5 million, respectvely.</w:t>
      </w:r>
    </w:p>
    <w:p>
      <w:pPr>
        <w:spacing w:after="0" w:line="161"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color w:val="auto"/>
        </w:rPr>
        <w:t>Kodak’s fnancial instrument counterpartes are high-quality investment or commercial banks with signifcant experience with such instruments. Kodak manages exposure to counterparty credit risk by requiring specifc minimum credit standards and diversifcaton of counterpartes. Kodak has procedures to monitor the credit exposure amounts. The maximum credit exposure at December 31, 2024 was not signifcant to Kodak.</w:t>
      </w:r>
    </w:p>
    <w:p>
      <w:pPr>
        <w:spacing w:after="0" w:line="187" w:lineRule="exact"/>
        <w:rPr>
          <w:sz w:val="20"/>
          <w:szCs w:val="20"/>
          <w:color w:val="auto"/>
        </w:rPr>
      </w:pPr>
    </w:p>
    <w:p>
      <w:pPr>
        <w:jc w:val="center"/>
        <w:ind w:right="-59"/>
        <w:spacing w:after="0"/>
        <w:rPr>
          <w:sz w:val="20"/>
          <w:szCs w:val="20"/>
          <w:color w:val="auto"/>
        </w:rPr>
      </w:pPr>
      <w:r>
        <w:rPr>
          <w:rFonts w:ascii="Calibri" w:cs="Calibri" w:eastAsia="Calibri" w:hAnsi="Calibri"/>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sectPr>
      </w:pPr>
    </w:p>
    <w:bookmarkStart w:id="51" w:name="page52"/>
    <w:bookmarkEnd w:id="51"/>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8. FINANCIAL STATEMENTS AND SUPPLEMENTARY DATA</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Report of Independent Registered Public Accountng Firm</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color w:val="auto"/>
        </w:rPr>
        <w:t>To the Shareholders and the Board of Directors of Eastman Kodak Company</w:t>
      </w:r>
    </w:p>
    <w:p>
      <w:pPr>
        <w:spacing w:after="0" w:line="18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Opinion on the Financial Statements</w:t>
      </w:r>
    </w:p>
    <w:p>
      <w:pPr>
        <w:spacing w:after="0" w:line="17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have audited the accompanying consolidated statement of fnancial positon of Eastman Kodak Company (the Company) as of December 31, 2024 and 2023, the related consolidated statement of operatons, comprehensive (loss) income, equity (defcit) and cash fow for each of the three years in the period ended December 31, 2024, and the related notes and fnancial statement schedule listed in the Index at Item 15 (collectvely referred to as the “consolidated fnancial statements”). In our opinion, the consolidated fnancial statements present fairly, in all material respects, the fnancial positon of the Company at December 31, 2024 and 2023, and the results of its operatons and its cash fows for each of the three years in the period ended December 31, 2024, in conformity with U.S. generally accepted accountng principles.</w:t>
      </w:r>
    </w:p>
    <w:p>
      <w:pPr>
        <w:spacing w:after="0" w:line="18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also have audited, in accordance with the standards of the Public Company Accountng Oversight Board (United States) (PCAOB), the Company’s internal control over fnancial reportng as of December 31, 2024, based on criteria established in Internal Control—Integrated Framework issued by the Commitee of Sponsoring Organizatons of the Treadway Commission (2013 framework), and our report dated March 17, 2025 expressed an unqualifed opinion thereon.</w:t>
      </w:r>
    </w:p>
    <w:p>
      <w:pPr>
        <w:spacing w:after="0" w:line="18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Basis for Opinion</w:t>
      </w:r>
    </w:p>
    <w:p>
      <w:pPr>
        <w:spacing w:after="0" w:line="17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These fnancial statements are the responsibility of the Company's management. Our responsibility is to express an opinion on the Company’s fnancial statements based on our audits. We are a public accountng frm registered with the PCAOB and are required to be independent with respect to the Company in accordance with the U.S. federal securites laws and the applicable rules and regulatons of the Securites and Exchange Commission and the PCAOB.</w:t>
      </w:r>
    </w:p>
    <w:p>
      <w:pPr>
        <w:spacing w:after="0" w:line="32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conducted our audits in accordance with the standards of the PCAOB. Those standards require that we plan and perform the audit to obtain reasonable assurance about whether the fnancial statements are free of material misstatement, whether due to error or fraud. Our audits included performing procedures to assess the risks of material misstatement of the fnancial statements, whether due to error or fraud, and performing procedures that respond to those risks. Such procedures included examining, on a test basis, evidence regarding the amounts and disclosures in the fnancial statements. Our audits also included evaluatng the accountng principles used and signifcant estmates made by management, as well as evaluatng the overall presentaton of the fnancial statements. We believe that our audits provide a reasonable basis for our opinion.</w:t>
      </w:r>
    </w:p>
    <w:p>
      <w:pPr>
        <w:spacing w:after="0" w:line="32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Critcal Audit Mater</w:t>
      </w:r>
    </w:p>
    <w:p>
      <w:pPr>
        <w:spacing w:after="0" w:line="17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critcal audit mater communicated below is a mater arising from the current period audit of the fnancial statements that was communicated or required to be communicated to the audit commitee and that: (1) relates to accounts or disclosures that are material to the fnancial statements and (2) involved our especially challenging, subjectve or complex judgments. The communicaton of the critcal audit mater does not alter in any way our opinion on the consolidated fnancial statements, taken as a whole, and we are not, by communicatng the critcal audit mater below, providing a separate opinion on the critcal audit mater or on the account or disclosure to which it relates.</w:t>
      </w:r>
    </w:p>
    <w:p>
      <w:pPr>
        <w:spacing w:after="0" w:line="323" w:lineRule="exact"/>
        <w:rPr>
          <w:sz w:val="20"/>
          <w:szCs w:val="20"/>
          <w:color w:val="auto"/>
        </w:rPr>
      </w:pPr>
    </w:p>
    <w:p>
      <w:pPr>
        <w:ind w:left="1920"/>
        <w:spacing w:after="0"/>
        <w:rPr>
          <w:sz w:val="20"/>
          <w:szCs w:val="20"/>
          <w:color w:val="auto"/>
        </w:rPr>
      </w:pPr>
      <w:r>
        <w:rPr>
          <w:rFonts w:ascii="Calibri" w:cs="Calibri" w:eastAsia="Calibri" w:hAnsi="Calibri"/>
          <w:sz w:val="18"/>
          <w:szCs w:val="18"/>
          <w:b w:val="1"/>
          <w:bCs w:val="1"/>
          <w:i w:val="1"/>
          <w:iCs w:val="1"/>
          <w:color w:val="auto"/>
        </w:rPr>
        <w:t xml:space="preserve">Retrement Benefts </w:t>
      </w:r>
      <w:r>
        <w:rPr>
          <w:rFonts w:ascii="Calibri" w:cs="Calibri" w:eastAsia="Calibri" w:hAnsi="Calibri"/>
          <w:sz w:val="18"/>
          <w:szCs w:val="18"/>
          <w:color w:val="auto"/>
        </w:rPr>
        <w:t>–</w:t>
      </w:r>
      <w:r>
        <w:rPr>
          <w:rFonts w:ascii="Calibri" w:cs="Calibri" w:eastAsia="Calibri" w:hAnsi="Calibri"/>
          <w:sz w:val="18"/>
          <w:szCs w:val="18"/>
          <w:b w:val="1"/>
          <w:bCs w:val="1"/>
          <w:i w:val="1"/>
          <w:iCs w:val="1"/>
          <w:color w:val="auto"/>
        </w:rPr>
        <w:t xml:space="preserve"> U.S. Plan Projected Beneft Obligaton</w:t>
      </w:r>
    </w:p>
    <w:p>
      <w:pPr>
        <w:spacing w:after="0" w:line="1" w:lineRule="exact"/>
        <w:rPr>
          <w:sz w:val="20"/>
          <w:szCs w:val="20"/>
          <w:color w:val="auto"/>
        </w:rPr>
      </w:pPr>
    </w:p>
    <w:p>
      <w:pPr>
        <w:jc w:val="right"/>
        <w:ind w:left="20"/>
        <w:spacing w:after="0" w:line="235" w:lineRule="auto"/>
        <w:rPr>
          <w:sz w:val="20"/>
          <w:szCs w:val="20"/>
          <w:color w:val="auto"/>
        </w:rPr>
      </w:pPr>
      <w:r>
        <w:rPr>
          <w:rFonts w:ascii="Calibri" w:cs="Calibri" w:eastAsia="Calibri" w:hAnsi="Calibri"/>
          <w:sz w:val="18"/>
          <w:szCs w:val="18"/>
          <w:color w:val="auto"/>
        </w:rPr>
        <w:t xml:space="preserve">As described in Note 19 to the consolidated fnancial statements, at December 31, 2024 the Company’s projected beneft </w:t>
      </w:r>
      <w:r>
        <w:rPr>
          <w:rFonts w:ascii="Calibri" w:cs="Calibri" w:eastAsia="Calibri" w:hAnsi="Calibri"/>
          <w:sz w:val="18"/>
          <w:szCs w:val="18"/>
          <w:i w:val="1"/>
          <w:iCs w:val="1"/>
          <w:color w:val="auto"/>
        </w:rPr>
        <w:t xml:space="preserve">Descripton of the Mater  </w:t>
      </w:r>
      <w:r>
        <w:rPr>
          <w:rFonts w:ascii="Calibri" w:cs="Calibri" w:eastAsia="Calibri" w:hAnsi="Calibri"/>
          <w:sz w:val="18"/>
          <w:szCs w:val="18"/>
          <w:color w:val="auto"/>
        </w:rPr>
        <w:t>obligaton for its U.S. Plan was $2,184 million and the fair value of plan assets was $3,128 million, resultng in an overfunded</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status of $944 million. The projected beneft obligaton for the U.S. Plan was measured using actuarial techniques that incorporate</w:t>
      </w:r>
    </w:p>
    <w:p>
      <w:pPr>
        <w:ind w:left="1920"/>
        <w:spacing w:after="0" w:line="237" w:lineRule="auto"/>
        <w:rPr>
          <w:sz w:val="20"/>
          <w:szCs w:val="20"/>
          <w:color w:val="auto"/>
        </w:rPr>
      </w:pPr>
      <w:r>
        <w:rPr>
          <w:rFonts w:ascii="Calibri" w:cs="Calibri" w:eastAsia="Calibri" w:hAnsi="Calibri"/>
          <w:sz w:val="18"/>
          <w:szCs w:val="18"/>
          <w:color w:val="auto"/>
        </w:rPr>
        <w:t>management’s assumpton for the discount rate, as well as other assumptons.</w:t>
      </w:r>
    </w:p>
    <w:p>
      <w:pPr>
        <w:spacing w:after="0" w:line="218" w:lineRule="exact"/>
        <w:rPr>
          <w:sz w:val="20"/>
          <w:szCs w:val="20"/>
          <w:color w:val="auto"/>
        </w:rPr>
      </w:pPr>
    </w:p>
    <w:p>
      <w:pPr>
        <w:jc w:val="both"/>
        <w:ind w:left="1920"/>
        <w:spacing w:after="0" w:line="235" w:lineRule="auto"/>
        <w:rPr>
          <w:sz w:val="20"/>
          <w:szCs w:val="20"/>
          <w:color w:val="auto"/>
        </w:rPr>
      </w:pPr>
      <w:r>
        <w:rPr>
          <w:rFonts w:ascii="Calibri" w:cs="Calibri" w:eastAsia="Calibri" w:hAnsi="Calibri"/>
          <w:sz w:val="18"/>
          <w:szCs w:val="18"/>
          <w:color w:val="auto"/>
        </w:rPr>
        <w:t>Auditng the projected beneft obligaton of the U.S. Plan was complex and required the involvement of specialists as a result of certain assumptons, including the discount rate, used in the measurement process. The discount rate has a signifcant efect on the projected beneft obligaton.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311150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2" w:name="page53"/>
    <w:bookmarkEnd w:id="52"/>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309" w:lineRule="exact"/>
        <w:rPr>
          <w:sz w:val="20"/>
          <w:szCs w:val="20"/>
          <w:color w:val="auto"/>
        </w:rPr>
      </w:pPr>
    </w:p>
    <w:p>
      <w:pPr>
        <w:ind w:left="20"/>
        <w:spacing w:after="0"/>
        <w:tabs>
          <w:tab w:leader="none" w:pos="1900" w:val="left"/>
        </w:tabs>
        <w:rPr>
          <w:sz w:val="20"/>
          <w:szCs w:val="20"/>
          <w:color w:val="auto"/>
        </w:rPr>
      </w:pPr>
      <w:r>
        <w:rPr>
          <w:rFonts w:ascii="Calibri" w:cs="Calibri" w:eastAsia="Calibri" w:hAnsi="Calibri"/>
          <w:sz w:val="18"/>
          <w:szCs w:val="18"/>
          <w:i w:val="1"/>
          <w:iCs w:val="1"/>
          <w:color w:val="auto"/>
        </w:rPr>
        <w:t>How We Addressed the</w:t>
      </w:r>
      <w:r>
        <w:rPr>
          <w:sz w:val="20"/>
          <w:szCs w:val="20"/>
          <w:color w:val="auto"/>
        </w:rPr>
        <w:tab/>
      </w:r>
      <w:r>
        <w:rPr>
          <w:rFonts w:ascii="Calibri" w:cs="Calibri" w:eastAsia="Calibri" w:hAnsi="Calibri"/>
          <w:sz w:val="18"/>
          <w:szCs w:val="18"/>
          <w:color w:val="auto"/>
        </w:rPr>
        <w:t>We obtained an understanding, evaluated the design and tested the operatng efectveness of the Company's controls that</w:t>
      </w:r>
    </w:p>
    <w:p>
      <w:pPr>
        <w:spacing w:after="0" w:line="1" w:lineRule="exact"/>
        <w:rPr>
          <w:sz w:val="20"/>
          <w:szCs w:val="20"/>
          <w:color w:val="auto"/>
        </w:rPr>
      </w:pPr>
    </w:p>
    <w:p>
      <w:pPr>
        <w:jc w:val="both"/>
        <w:ind w:left="1920" w:right="60" w:hanging="1916"/>
        <w:spacing w:after="0" w:line="235" w:lineRule="auto"/>
        <w:tabs>
          <w:tab w:leader="none" w:pos="1900" w:val="left"/>
        </w:tabs>
        <w:rPr>
          <w:sz w:val="20"/>
          <w:szCs w:val="20"/>
          <w:color w:val="auto"/>
        </w:rPr>
      </w:pPr>
      <w:r>
        <w:rPr>
          <w:rFonts w:ascii="Calibri" w:cs="Calibri" w:eastAsia="Calibri" w:hAnsi="Calibri"/>
          <w:sz w:val="18"/>
          <w:szCs w:val="18"/>
          <w:i w:val="1"/>
          <w:iCs w:val="1"/>
          <w:color w:val="auto"/>
        </w:rPr>
        <w:t>Mater in Our Audit</w:t>
      </w:r>
      <w:r>
        <w:rPr>
          <w:sz w:val="20"/>
          <w:szCs w:val="20"/>
          <w:color w:val="auto"/>
        </w:rPr>
        <w:tab/>
      </w:r>
      <w:r>
        <w:rPr>
          <w:rFonts w:ascii="Calibri" w:cs="Calibri" w:eastAsia="Calibri" w:hAnsi="Calibri"/>
          <w:sz w:val="18"/>
          <w:szCs w:val="18"/>
          <w:color w:val="auto"/>
        </w:rPr>
        <w:t>address the risks of material misstatement relatng to the measurement and valuaton of the projected beneft obligaton. For example, we tested controls over management’s review of the inputs used to calculate the projected beneft obligaton and management's controls over the discount rate.</w:t>
      </w:r>
    </w:p>
    <w:p>
      <w:pPr>
        <w:spacing w:after="0" w:line="219" w:lineRule="exact"/>
        <w:rPr>
          <w:sz w:val="20"/>
          <w:szCs w:val="20"/>
          <w:color w:val="auto"/>
        </w:rPr>
      </w:pPr>
    </w:p>
    <w:p>
      <w:pPr>
        <w:jc w:val="both"/>
        <w:ind w:left="1920"/>
        <w:spacing w:after="0" w:line="249" w:lineRule="auto"/>
        <w:rPr>
          <w:sz w:val="20"/>
          <w:szCs w:val="20"/>
          <w:color w:val="auto"/>
        </w:rPr>
      </w:pPr>
      <w:r>
        <w:rPr>
          <w:rFonts w:ascii="Calibri" w:cs="Calibri" w:eastAsia="Calibri" w:hAnsi="Calibri"/>
          <w:sz w:val="18"/>
          <w:szCs w:val="18"/>
          <w:color w:val="auto"/>
        </w:rPr>
        <w:t>Our audit procedures included, among others, evaluatng the methodology used to determine the projected beneft obligaton and the discount rate. For example, we involved actuarial specialists to assist in evaluatng management’s methodology for determining the discount rate that refects the amount and duraton of the beneft payments used to measure the projected beneft obligaton. We also tested the completeness and accuracy of the underlying data used in the actuarial calculatons</w:t>
      </w:r>
      <w:r>
        <w:rPr>
          <w:rFonts w:ascii="Arial" w:cs="Arial" w:eastAsia="Arial" w:hAnsi="Arial"/>
          <w:sz w:val="18"/>
          <w:szCs w:val="18"/>
          <w:color w:val="auto"/>
        </w:rPr>
        <w: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alibri" w:cs="Calibri" w:eastAsia="Calibri" w:hAnsi="Calibri"/>
          <w:sz w:val="18"/>
          <w:szCs w:val="18"/>
          <w:color w:val="auto"/>
        </w:rPr>
        <w:t>/s/ Ernst &amp; Young LLP</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We have served as the Company’s auditor since 2020.</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Rochester, New York</w:t>
      </w:r>
    </w:p>
    <w:p>
      <w:pPr>
        <w:spacing w:after="0" w:line="235" w:lineRule="auto"/>
        <w:rPr>
          <w:sz w:val="20"/>
          <w:szCs w:val="20"/>
          <w:color w:val="auto"/>
        </w:rPr>
      </w:pPr>
      <w:r>
        <w:rPr>
          <w:rFonts w:ascii="Calibri" w:cs="Calibri" w:eastAsia="Calibri" w:hAnsi="Calibri"/>
          <w:sz w:val="18"/>
          <w:szCs w:val="18"/>
          <w:color w:val="auto"/>
        </w:rPr>
        <w:t>March 17, 2025</w:t>
      </w:r>
    </w:p>
    <w:p>
      <w:pPr>
        <w:spacing w:after="0" w:line="200" w:lineRule="exact"/>
        <w:rPr>
          <w:sz w:val="20"/>
          <w:szCs w:val="20"/>
          <w:color w:val="auto"/>
        </w:rPr>
      </w:pPr>
    </w:p>
    <w:p>
      <w:pPr>
        <w:spacing w:after="0" w:line="229" w:lineRule="exact"/>
        <w:rPr>
          <w:sz w:val="20"/>
          <w:szCs w:val="20"/>
          <w:color w:val="auto"/>
        </w:rPr>
      </w:pPr>
    </w:p>
    <w:p>
      <w:pPr>
        <w:ind w:left="120"/>
        <w:spacing w:after="0"/>
        <w:tabs>
          <w:tab w:leader="none" w:pos="1440" w:val="left"/>
          <w:tab w:leader="none" w:pos="2160" w:val="left"/>
          <w:tab w:leader="none" w:pos="4320" w:val="left"/>
          <w:tab w:leader="none" w:pos="6600" w:val="left"/>
          <w:tab w:leader="none" w:pos="8720" w:val="left"/>
        </w:tabs>
        <w:rPr>
          <w:sz w:val="20"/>
          <w:szCs w:val="20"/>
          <w:color w:val="auto"/>
        </w:rPr>
      </w:pPr>
      <w:r>
        <w:rPr>
          <w:rFonts w:ascii="Calibri" w:cs="Calibri" w:eastAsia="Calibri" w:hAnsi="Calibri"/>
          <w:sz w:val="18"/>
          <w:szCs w:val="18"/>
          <w:color w:val="auto"/>
        </w:rPr>
        <w:t># of PCAOB ID</w:t>
      </w:r>
      <w:r>
        <w:rPr>
          <w:sz w:val="20"/>
          <w:szCs w:val="20"/>
          <w:color w:val="auto"/>
        </w:rPr>
        <w:tab/>
      </w:r>
      <w:r>
        <w:rPr>
          <w:rFonts w:ascii="Calibri" w:cs="Calibri" w:eastAsia="Calibri" w:hAnsi="Calibri"/>
          <w:sz w:val="18"/>
          <w:szCs w:val="18"/>
          <w:color w:val="auto"/>
        </w:rPr>
        <w:t>EY-42;</w:t>
        <w:tab/>
        <w:t>Auditor Name:</w:t>
      </w:r>
      <w:r>
        <w:rPr>
          <w:sz w:val="20"/>
          <w:szCs w:val="20"/>
          <w:color w:val="auto"/>
        </w:rPr>
        <w:tab/>
      </w:r>
      <w:r>
        <w:rPr>
          <w:rFonts w:ascii="Calibri" w:cs="Calibri" w:eastAsia="Calibri" w:hAnsi="Calibri"/>
          <w:sz w:val="18"/>
          <w:szCs w:val="18"/>
          <w:color w:val="auto"/>
        </w:rPr>
        <w:t>Ernst &amp; Young</w:t>
      </w:r>
      <w:r>
        <w:rPr>
          <w:sz w:val="20"/>
          <w:szCs w:val="20"/>
          <w:color w:val="auto"/>
        </w:rPr>
        <w:tab/>
      </w:r>
      <w:r>
        <w:rPr>
          <w:rFonts w:ascii="Calibri" w:cs="Calibri" w:eastAsia="Calibri" w:hAnsi="Calibri"/>
          <w:sz w:val="18"/>
          <w:szCs w:val="18"/>
          <w:color w:val="auto"/>
        </w:rPr>
        <w:t>Auditor Locaton:</w:t>
      </w:r>
      <w:r>
        <w:rPr>
          <w:sz w:val="20"/>
          <w:szCs w:val="20"/>
          <w:color w:val="auto"/>
        </w:rPr>
        <w:tab/>
      </w:r>
      <w:r>
        <w:rPr>
          <w:rFonts w:ascii="Calibri" w:cs="Calibri" w:eastAsia="Calibri" w:hAnsi="Calibri"/>
          <w:sz w:val="17"/>
          <w:szCs w:val="17"/>
          <w:color w:val="auto"/>
        </w:rPr>
        <w:t>Rochester, New York, USA</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3" w:name="page54"/>
    <w:bookmarkEnd w:id="53"/>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Report of Independent Registered Public Accountng Firm</w:t>
      </w:r>
    </w:p>
    <w:p>
      <w:pPr>
        <w:spacing w:after="0" w:line="158" w:lineRule="exact"/>
        <w:rPr>
          <w:sz w:val="20"/>
          <w:szCs w:val="20"/>
          <w:color w:val="auto"/>
        </w:rPr>
      </w:pPr>
    </w:p>
    <w:p>
      <w:pPr>
        <w:spacing w:after="0"/>
        <w:rPr>
          <w:sz w:val="20"/>
          <w:szCs w:val="20"/>
          <w:color w:val="auto"/>
        </w:rPr>
      </w:pPr>
      <w:r>
        <w:rPr>
          <w:rFonts w:ascii="Calibri" w:cs="Calibri" w:eastAsia="Calibri" w:hAnsi="Calibri"/>
          <w:sz w:val="18"/>
          <w:szCs w:val="18"/>
          <w:color w:val="auto"/>
        </w:rPr>
        <w:t>To the Shareholders and the Board of Directors of Eastman Kodak Company</w:t>
      </w:r>
    </w:p>
    <w:p>
      <w:pPr>
        <w:spacing w:after="0" w:line="15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Opinion on Internal Control Over Financial Reportng</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have audited Eastman Kodak Company’s internal control over fnancial reportng as of December 31, 2024, based on criteria established in Internal Control—Integrated Framework issued by the Commitee of Sponsoring Organizatons of the Treadway Commission (2013 framework) (the COSO criteria). In our opinion, Eastman Kodak Company (the Company) maintained, in all material respects, efectve internal control over fnancial reportng as of December 31, 2024, based on the COSO criteria.</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also have audited, in accordance with the standards of the Public Company Accountng Oversight Board (United States) (PCAOB), the consolidated statement of fnancial positon of the Company as of December 31, 2024 and 2023, the related consolidated statement of operatons, comprehensive (loss) income, equity (defcit) and cash fow for each of the three years in the period ended December 31, 2024, and the related notes and fnancial statement schedule listed in the Index at Item 15 and our report dated March 17, 2025 expressed an unqualifed opinion thereon.</w:t>
      </w:r>
    </w:p>
    <w:p>
      <w:pPr>
        <w:spacing w:after="0" w:line="16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Basis for Opinion</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Company’s management is responsible for maintaining efectve internal control over fnancial reportng and for its assessment of the efectveness of internal control over fnancial reportng included in the accompanying Management’s Report on Internal Control Over Financial Reportng. Our responsibility is to express an opinion on the Company’s internal control over fnancial reportng based on our audit. We are a public accountng frm registered with the PCAOB and are required to be independent with respect to the Company in accordance with the U.S. federal securites laws and the applicable rules and regulatons of the Securites and Exchange Commission and the PCAOB.</w:t>
      </w:r>
    </w:p>
    <w:p>
      <w:pPr>
        <w:spacing w:after="0" w:line="16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conducted our audit in accordance with the standards of the PCAOB. Those standards require that we plan and perform the audit to obtain reasonable assurance about whether efectve internal control over fnancial reportng was maintained in all material respects.</w:t>
      </w:r>
    </w:p>
    <w:p>
      <w:pPr>
        <w:spacing w:after="0" w:line="1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audit included obtaining an understanding of internal control over fnancial reportng, assessing the risk that a material weakness exists, testng and evaluatng the design and operatng efectveness of internal control based on the assessed risk, and performing such other procedures as we considered necessary in the circumstances. We believe that our audit provides a reasonable basis for our opinion.</w:t>
      </w:r>
    </w:p>
    <w:p>
      <w:pPr>
        <w:spacing w:after="0" w:line="16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Defniton and Limitatons of Internal Control Over Financial Reportng</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 company’s internal control over fnancial reportng is a process designed to provide reasonable assurance regarding the reliability of fnancial reportng and the preparaton of fnancial statements for external purposes in accordance with generally accepted accountng principles. A company’s internal control over fnancial reportng includes those policies and procedures that (1) pertain to the maintenance of records that, in reasonable detail, accurately and fairly refect the transactons and dispositons of the assets of the company; (2) provide reasonable assurance that transactons are recorded as necessary to permit preparaton of fnancial statements in accordance with generally accepted accountng principles, and that receipts and expenditures of the company are being made only in accordance with authorizatons of management and directors of the company; and (3) provide reasonable assurance regarding preventon or tmely detecton of unauthorized acquisiton, use, or dispositon of the company’s assets that could have a material efect on the fnancial statements.</w:t>
      </w:r>
    </w:p>
    <w:p>
      <w:pPr>
        <w:spacing w:after="0" w:line="16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Because of its inherent limitatons, internal control over fnancial reportng may not prevent or detect misstatements. Also, projectons of any evaluaton of efectveness to future periods are subject to the risk that controls may become inadequate because of changes in conditons, or that the degree of compliance with the policies or procedures may deteriorate.</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Calibri" w:cs="Calibri" w:eastAsia="Calibri" w:hAnsi="Calibri"/>
          <w:sz w:val="18"/>
          <w:szCs w:val="18"/>
          <w:color w:val="auto"/>
        </w:rPr>
        <w:t>/s/ Ernst &amp; Young LLP</w:t>
      </w:r>
    </w:p>
    <w:p>
      <w:pPr>
        <w:spacing w:after="0" w:line="158" w:lineRule="exact"/>
        <w:rPr>
          <w:sz w:val="20"/>
          <w:szCs w:val="20"/>
          <w:color w:val="auto"/>
        </w:rPr>
      </w:pPr>
    </w:p>
    <w:p>
      <w:pPr>
        <w:spacing w:after="0"/>
        <w:rPr>
          <w:sz w:val="20"/>
          <w:szCs w:val="20"/>
          <w:color w:val="auto"/>
        </w:rPr>
      </w:pPr>
      <w:r>
        <w:rPr>
          <w:rFonts w:ascii="Calibri" w:cs="Calibri" w:eastAsia="Calibri" w:hAnsi="Calibri"/>
          <w:sz w:val="18"/>
          <w:szCs w:val="18"/>
          <w:color w:val="auto"/>
        </w:rPr>
        <w:t>Rochester, New York</w:t>
      </w:r>
    </w:p>
    <w:p>
      <w:pPr>
        <w:spacing w:after="0" w:line="235" w:lineRule="auto"/>
        <w:rPr>
          <w:sz w:val="20"/>
          <w:szCs w:val="20"/>
          <w:color w:val="auto"/>
        </w:rPr>
      </w:pPr>
      <w:r>
        <w:rPr>
          <w:rFonts w:ascii="Calibri" w:cs="Calibri" w:eastAsia="Calibri" w:hAnsi="Calibri"/>
          <w:sz w:val="18"/>
          <w:szCs w:val="18"/>
          <w:color w:val="auto"/>
        </w:rPr>
        <w:t>March 17, 2025</w:t>
      </w:r>
    </w:p>
    <w:p>
      <w:pPr>
        <w:spacing w:after="0" w:line="186"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4" w:name="page55"/>
    <w:bookmarkEnd w:id="54"/>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EASTMAN KODAK COMPANY</w:t>
      </w:r>
    </w:p>
    <w:p>
      <w:pPr>
        <w:spacing w:after="0" w:line="235" w:lineRule="auto"/>
        <w:rPr>
          <w:sz w:val="20"/>
          <w:szCs w:val="20"/>
          <w:color w:val="auto"/>
        </w:rPr>
      </w:pPr>
      <w:r>
        <w:rPr>
          <w:rFonts w:ascii="Calibri" w:cs="Calibri" w:eastAsia="Calibri" w:hAnsi="Calibri"/>
          <w:sz w:val="18"/>
          <w:szCs w:val="18"/>
          <w:b w:val="1"/>
          <w:bCs w:val="1"/>
          <w:color w:val="auto"/>
        </w:rPr>
        <w:t>CONSOLIDATED STATEMENT OF OPERATIONS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560" w:type="dxa"/>
            <w:vAlign w:val="bottom"/>
          </w:tcPr>
          <w:p>
            <w:pPr>
              <w:ind w:left="20"/>
              <w:spacing w:after="0"/>
              <w:rPr>
                <w:sz w:val="20"/>
                <w:szCs w:val="20"/>
                <w:color w:val="auto"/>
              </w:rPr>
            </w:pPr>
            <w:r>
              <w:rPr>
                <w:rFonts w:ascii="Calibri" w:cs="Calibri" w:eastAsia="Calibri" w:hAnsi="Calibri"/>
                <w:sz w:val="14"/>
                <w:szCs w:val="14"/>
                <w:color w:val="auto"/>
              </w:rPr>
              <w:t>(in millions, except per share data)</w:t>
            </w:r>
          </w:p>
        </w:tc>
        <w:tc>
          <w:tcPr>
            <w:tcW w:w="90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6"/>
          </w:tcPr>
          <w:p>
            <w:pPr>
              <w:ind w:left="460"/>
              <w:spacing w:after="0"/>
              <w:rPr>
                <w:sz w:val="20"/>
                <w:szCs w:val="20"/>
                <w:color w:val="auto"/>
              </w:rPr>
            </w:pPr>
            <w:r>
              <w:rPr>
                <w:rFonts w:ascii="Calibri" w:cs="Calibri" w:eastAsia="Calibri" w:hAnsi="Calibri"/>
                <w:sz w:val="18"/>
                <w:szCs w:val="18"/>
                <w:b w:val="1"/>
                <w:bCs w:val="1"/>
                <w:color w:val="auto"/>
                <w:w w:val="96"/>
              </w:rPr>
              <w:t>Year Ended December 31,</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6560" w:type="dxa"/>
            <w:vAlign w:val="bottom"/>
          </w:tcPr>
          <w:p>
            <w:pPr>
              <w:spacing w:after="0"/>
              <w:rPr>
                <w:sz w:val="18"/>
                <w:szCs w:val="18"/>
                <w:color w:val="auto"/>
              </w:rPr>
            </w:pPr>
          </w:p>
        </w:tc>
        <w:tc>
          <w:tcPr>
            <w:tcW w:w="900" w:type="dxa"/>
            <w:vAlign w:val="bottom"/>
            <w:tcBorders>
              <w:bottom w:val="single" w:sz="8" w:color="auto"/>
            </w:tcBorders>
          </w:tcPr>
          <w:p>
            <w:pPr>
              <w:jc w:val="right"/>
              <w:spacing w:after="0" w:line="212" w:lineRule="exact"/>
              <w:rPr>
                <w:sz w:val="20"/>
                <w:szCs w:val="20"/>
                <w:color w:val="auto"/>
              </w:rPr>
            </w:pPr>
            <w:r>
              <w:rPr>
                <w:rFonts w:ascii="Calibri" w:cs="Calibri" w:eastAsia="Calibri" w:hAnsi="Calibri"/>
                <w:sz w:val="18"/>
                <w:szCs w:val="18"/>
                <w:b w:val="1"/>
                <w:bCs w:val="1"/>
                <w:color w:val="auto"/>
              </w:rPr>
              <w:t>2024</w:t>
            </w:r>
          </w:p>
        </w:tc>
        <w:tc>
          <w:tcPr>
            <w:tcW w:w="4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0"/>
              <w:spacing w:after="0" w:line="212" w:lineRule="exact"/>
              <w:rPr>
                <w:sz w:val="20"/>
                <w:szCs w:val="20"/>
                <w:color w:val="auto"/>
              </w:rPr>
            </w:pPr>
            <w:r>
              <w:rPr>
                <w:rFonts w:ascii="Calibri" w:cs="Calibri" w:eastAsia="Calibri" w:hAnsi="Calibri"/>
                <w:sz w:val="18"/>
                <w:szCs w:val="18"/>
                <w:b w:val="1"/>
                <w:bCs w:val="1"/>
                <w:color w:val="auto"/>
              </w:rPr>
              <w:t>2023</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1"/>
              <w:spacing w:after="0" w:line="212" w:lineRule="exact"/>
              <w:rPr>
                <w:sz w:val="20"/>
                <w:szCs w:val="20"/>
                <w:color w:val="auto"/>
              </w:rPr>
            </w:pPr>
            <w:r>
              <w:rPr>
                <w:rFonts w:ascii="Calibri" w:cs="Calibri" w:eastAsia="Calibri" w:hAnsi="Calibri"/>
                <w:sz w:val="18"/>
                <w:szCs w:val="18"/>
                <w:b w:val="1"/>
                <w:bCs w:val="1"/>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color w:val="auto"/>
              </w:rPr>
              <w:t>Revenues</w:t>
            </w:r>
          </w:p>
        </w:tc>
        <w:tc>
          <w:tcPr>
            <w:tcW w:w="9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60" w:type="dxa"/>
            <w:vAlign w:val="bottom"/>
          </w:tcPr>
          <w:p>
            <w:pPr>
              <w:ind w:left="200"/>
              <w:spacing w:after="0" w:line="215" w:lineRule="exact"/>
              <w:rPr>
                <w:sz w:val="20"/>
                <w:szCs w:val="20"/>
                <w:color w:val="auto"/>
              </w:rPr>
            </w:pPr>
            <w:r>
              <w:rPr>
                <w:rFonts w:ascii="Calibri" w:cs="Calibri" w:eastAsia="Calibri" w:hAnsi="Calibri"/>
                <w:sz w:val="18"/>
                <w:szCs w:val="18"/>
                <w:color w:val="auto"/>
              </w:rPr>
              <w:t>Sales</w:t>
            </w:r>
          </w:p>
        </w:tc>
        <w:tc>
          <w:tcPr>
            <w:tcW w:w="900" w:type="dxa"/>
            <w:vAlign w:val="bottom"/>
          </w:tcPr>
          <w:p>
            <w:pPr>
              <w:jc w:val="right"/>
              <w:ind w:right="690"/>
              <w:spacing w:after="0" w:line="215" w:lineRule="exact"/>
              <w:rPr>
                <w:sz w:val="20"/>
                <w:szCs w:val="20"/>
                <w:color w:val="auto"/>
              </w:rPr>
            </w:pPr>
            <w:r>
              <w:rPr>
                <w:rFonts w:ascii="Calibri" w:cs="Calibri" w:eastAsia="Calibri" w:hAnsi="Calibri"/>
                <w:sz w:val="18"/>
                <w:szCs w:val="18"/>
                <w:color w:val="auto"/>
              </w:rPr>
              <w:t>$</w:t>
            </w:r>
          </w:p>
        </w:tc>
        <w:tc>
          <w:tcPr>
            <w:tcW w:w="460" w:type="dxa"/>
            <w:vAlign w:val="bottom"/>
          </w:tcPr>
          <w:p>
            <w:pPr>
              <w:jc w:val="right"/>
              <w:spacing w:after="0" w:line="215" w:lineRule="exact"/>
              <w:rPr>
                <w:sz w:val="20"/>
                <w:szCs w:val="20"/>
                <w:color w:val="auto"/>
              </w:rPr>
            </w:pPr>
            <w:r>
              <w:rPr>
                <w:rFonts w:ascii="Calibri" w:cs="Calibri" w:eastAsia="Calibri" w:hAnsi="Calibri"/>
                <w:sz w:val="18"/>
                <w:szCs w:val="18"/>
                <w:color w:val="auto"/>
              </w:rPr>
              <w:t>882</w:t>
            </w:r>
          </w:p>
        </w:tc>
        <w:tc>
          <w:tcPr>
            <w:tcW w:w="260" w:type="dxa"/>
            <w:vAlign w:val="bottom"/>
          </w:tcPr>
          <w:p>
            <w:pPr>
              <w:spacing w:after="0"/>
              <w:rPr>
                <w:sz w:val="18"/>
                <w:szCs w:val="18"/>
                <w:color w:val="auto"/>
              </w:rPr>
            </w:pPr>
          </w:p>
        </w:tc>
        <w:tc>
          <w:tcPr>
            <w:tcW w:w="30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917</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jc w:val="right"/>
              <w:ind w:right="121"/>
              <w:spacing w:after="0"/>
              <w:rPr>
                <w:sz w:val="20"/>
                <w:szCs w:val="20"/>
                <w:color w:val="auto"/>
              </w:rPr>
            </w:pPr>
            <w:r>
              <w:rPr>
                <w:rFonts w:ascii="Calibri" w:cs="Calibri" w:eastAsia="Calibri" w:hAnsi="Calibri"/>
                <w:sz w:val="16"/>
                <w:szCs w:val="16"/>
                <w:color w:val="auto"/>
                <w:w w:val="73"/>
              </w:rPr>
              <w:t>$</w:t>
            </w: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983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Borders>
              <w:bottom w:val="single" w:sz="8" w:color="CFF0FC"/>
            </w:tcBorders>
            <w:shd w:val="clear" w:color="auto" w:fill="CFF0FC"/>
          </w:tcPr>
          <w:p>
            <w:pPr>
              <w:ind w:left="200"/>
              <w:spacing w:after="0" w:line="216" w:lineRule="exact"/>
              <w:rPr>
                <w:sz w:val="20"/>
                <w:szCs w:val="20"/>
                <w:color w:val="auto"/>
              </w:rPr>
            </w:pPr>
            <w:r>
              <w:rPr>
                <w:rFonts w:ascii="Calibri" w:cs="Calibri" w:eastAsia="Calibri" w:hAnsi="Calibri"/>
                <w:sz w:val="18"/>
                <w:szCs w:val="18"/>
                <w:color w:val="auto"/>
              </w:rPr>
              <w:t>Services</w:t>
            </w:r>
          </w:p>
        </w:tc>
        <w:tc>
          <w:tcPr>
            <w:tcW w:w="90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161</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200</w:t>
            </w:r>
          </w:p>
        </w:tc>
        <w:tc>
          <w:tcPr>
            <w:tcW w:w="26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222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60" w:type="dxa"/>
            <w:vAlign w:val="bottom"/>
          </w:tcPr>
          <w:p>
            <w:pPr>
              <w:ind w:left="20"/>
              <w:spacing w:after="0" w:line="209" w:lineRule="exact"/>
              <w:rPr>
                <w:sz w:val="20"/>
                <w:szCs w:val="20"/>
                <w:color w:val="auto"/>
              </w:rPr>
            </w:pPr>
            <w:r>
              <w:rPr>
                <w:rFonts w:ascii="Calibri" w:cs="Calibri" w:eastAsia="Calibri" w:hAnsi="Calibri"/>
                <w:sz w:val="18"/>
                <w:szCs w:val="18"/>
                <w:color w:val="auto"/>
              </w:rPr>
              <w:t>Total net revenues</w:t>
            </w:r>
          </w:p>
        </w:tc>
        <w:tc>
          <w:tcPr>
            <w:tcW w:w="9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1,043</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1,117</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1,205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color w:val="auto"/>
              </w:rPr>
              <w:t>Cost of revenues</w:t>
            </w:r>
          </w:p>
        </w:tc>
        <w:tc>
          <w:tcPr>
            <w:tcW w:w="9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60" w:type="dxa"/>
            <w:vAlign w:val="bottom"/>
          </w:tcPr>
          <w:p>
            <w:pPr>
              <w:ind w:left="200"/>
              <w:spacing w:after="0" w:line="215" w:lineRule="exact"/>
              <w:rPr>
                <w:sz w:val="20"/>
                <w:szCs w:val="20"/>
                <w:color w:val="auto"/>
              </w:rPr>
            </w:pPr>
            <w:r>
              <w:rPr>
                <w:rFonts w:ascii="Calibri" w:cs="Calibri" w:eastAsia="Calibri" w:hAnsi="Calibri"/>
                <w:sz w:val="18"/>
                <w:szCs w:val="18"/>
                <w:color w:val="auto"/>
              </w:rPr>
              <w:t>Sales</w:t>
            </w:r>
          </w:p>
        </w:tc>
        <w:tc>
          <w:tcPr>
            <w:tcW w:w="900" w:type="dxa"/>
            <w:vAlign w:val="bottom"/>
          </w:tcPr>
          <w:p>
            <w:pPr>
              <w:spacing w:after="0"/>
              <w:rPr>
                <w:sz w:val="18"/>
                <w:szCs w:val="18"/>
                <w:color w:val="auto"/>
              </w:rPr>
            </w:pPr>
          </w:p>
        </w:tc>
        <w:tc>
          <w:tcPr>
            <w:tcW w:w="460" w:type="dxa"/>
            <w:vAlign w:val="bottom"/>
          </w:tcPr>
          <w:p>
            <w:pPr>
              <w:jc w:val="right"/>
              <w:spacing w:after="0" w:line="215" w:lineRule="exact"/>
              <w:rPr>
                <w:sz w:val="20"/>
                <w:szCs w:val="20"/>
                <w:color w:val="auto"/>
              </w:rPr>
            </w:pPr>
            <w:r>
              <w:rPr>
                <w:rFonts w:ascii="Calibri" w:cs="Calibri" w:eastAsia="Calibri" w:hAnsi="Calibri"/>
                <w:sz w:val="18"/>
                <w:szCs w:val="18"/>
                <w:color w:val="auto"/>
              </w:rPr>
              <w:t>720</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765</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885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Borders>
              <w:bottom w:val="single" w:sz="8" w:color="CFF0FC"/>
            </w:tcBorders>
            <w:shd w:val="clear" w:color="auto" w:fill="CFF0FC"/>
          </w:tcPr>
          <w:p>
            <w:pPr>
              <w:ind w:left="200"/>
              <w:spacing w:after="0" w:line="216" w:lineRule="exact"/>
              <w:rPr>
                <w:sz w:val="20"/>
                <w:szCs w:val="20"/>
                <w:color w:val="auto"/>
              </w:rPr>
            </w:pPr>
            <w:r>
              <w:rPr>
                <w:rFonts w:ascii="Calibri" w:cs="Calibri" w:eastAsia="Calibri" w:hAnsi="Calibri"/>
                <w:sz w:val="18"/>
                <w:szCs w:val="18"/>
                <w:color w:val="auto"/>
              </w:rPr>
              <w:t>Services</w:t>
            </w:r>
          </w:p>
        </w:tc>
        <w:tc>
          <w:tcPr>
            <w:tcW w:w="90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120</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142</w:t>
            </w:r>
          </w:p>
        </w:tc>
        <w:tc>
          <w:tcPr>
            <w:tcW w:w="26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150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tcPr>
          <w:p>
            <w:pPr>
              <w:ind w:left="20"/>
              <w:spacing w:after="0" w:line="209" w:lineRule="exact"/>
              <w:rPr>
                <w:sz w:val="20"/>
                <w:szCs w:val="20"/>
                <w:color w:val="auto"/>
              </w:rPr>
            </w:pPr>
            <w:r>
              <w:rPr>
                <w:rFonts w:ascii="Calibri" w:cs="Calibri" w:eastAsia="Calibri" w:hAnsi="Calibri"/>
                <w:sz w:val="18"/>
                <w:szCs w:val="18"/>
                <w:color w:val="auto"/>
              </w:rPr>
              <w:t>Total cost of revenues</w:t>
            </w:r>
          </w:p>
        </w:tc>
        <w:tc>
          <w:tcPr>
            <w:tcW w:w="9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840</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907</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1,035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shd w:val="clear" w:color="auto" w:fill="CFF0FC"/>
          </w:tcPr>
          <w:p>
            <w:pPr>
              <w:ind w:left="200"/>
              <w:spacing w:after="0" w:line="210" w:lineRule="exact"/>
              <w:rPr>
                <w:sz w:val="20"/>
                <w:szCs w:val="20"/>
                <w:color w:val="auto"/>
              </w:rPr>
            </w:pPr>
            <w:r>
              <w:rPr>
                <w:rFonts w:ascii="Calibri" w:cs="Calibri" w:eastAsia="Calibri" w:hAnsi="Calibri"/>
                <w:sz w:val="18"/>
                <w:szCs w:val="18"/>
                <w:color w:val="auto"/>
              </w:rPr>
              <w:t>Gross proft</w:t>
            </w:r>
          </w:p>
        </w:tc>
        <w:tc>
          <w:tcPr>
            <w:tcW w:w="90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203</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210</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170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60" w:type="dxa"/>
            <w:vAlign w:val="bottom"/>
          </w:tcPr>
          <w:p>
            <w:pPr>
              <w:ind w:left="20"/>
              <w:spacing w:after="0" w:line="215" w:lineRule="exact"/>
              <w:rPr>
                <w:sz w:val="20"/>
                <w:szCs w:val="20"/>
                <w:color w:val="auto"/>
              </w:rPr>
            </w:pPr>
            <w:r>
              <w:rPr>
                <w:rFonts w:ascii="Calibri" w:cs="Calibri" w:eastAsia="Calibri" w:hAnsi="Calibri"/>
                <w:sz w:val="18"/>
                <w:szCs w:val="18"/>
                <w:color w:val="auto"/>
              </w:rPr>
              <w:t>Selling, general and administratve expenses</w:t>
            </w:r>
          </w:p>
        </w:tc>
        <w:tc>
          <w:tcPr>
            <w:tcW w:w="900" w:type="dxa"/>
            <w:vAlign w:val="bottom"/>
          </w:tcPr>
          <w:p>
            <w:pPr>
              <w:spacing w:after="0"/>
              <w:rPr>
                <w:sz w:val="18"/>
                <w:szCs w:val="18"/>
                <w:color w:val="auto"/>
              </w:rPr>
            </w:pPr>
          </w:p>
        </w:tc>
        <w:tc>
          <w:tcPr>
            <w:tcW w:w="460" w:type="dxa"/>
            <w:vAlign w:val="bottom"/>
          </w:tcPr>
          <w:p>
            <w:pPr>
              <w:jc w:val="right"/>
              <w:spacing w:after="0" w:line="215" w:lineRule="exact"/>
              <w:rPr>
                <w:sz w:val="20"/>
                <w:szCs w:val="20"/>
                <w:color w:val="auto"/>
              </w:rPr>
            </w:pPr>
            <w:r>
              <w:rPr>
                <w:rFonts w:ascii="Calibri" w:cs="Calibri" w:eastAsia="Calibri" w:hAnsi="Calibri"/>
                <w:sz w:val="18"/>
                <w:szCs w:val="18"/>
                <w:color w:val="auto"/>
              </w:rPr>
              <w:t>179</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159</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153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56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Research and development costs</w:t>
            </w:r>
          </w:p>
        </w:tc>
        <w:tc>
          <w:tcPr>
            <w:tcW w:w="90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33</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34</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60" w:type="dxa"/>
            <w:vAlign w:val="bottom"/>
          </w:tcPr>
          <w:p>
            <w:pPr>
              <w:ind w:left="20"/>
              <w:spacing w:after="0" w:line="215" w:lineRule="exact"/>
              <w:rPr>
                <w:sz w:val="20"/>
                <w:szCs w:val="20"/>
                <w:color w:val="auto"/>
              </w:rPr>
            </w:pPr>
            <w:r>
              <w:rPr>
                <w:rFonts w:ascii="Calibri" w:cs="Calibri" w:eastAsia="Calibri" w:hAnsi="Calibri"/>
                <w:sz w:val="18"/>
                <w:szCs w:val="18"/>
                <w:color w:val="auto"/>
              </w:rPr>
              <w:t>Restructuring costs and other</w:t>
            </w:r>
          </w:p>
        </w:tc>
        <w:tc>
          <w:tcPr>
            <w:tcW w:w="900" w:type="dxa"/>
            <w:vAlign w:val="bottom"/>
          </w:tcPr>
          <w:p>
            <w:pPr>
              <w:spacing w:after="0"/>
              <w:rPr>
                <w:sz w:val="18"/>
                <w:szCs w:val="18"/>
                <w:color w:val="auto"/>
              </w:rPr>
            </w:pPr>
          </w:p>
        </w:tc>
        <w:tc>
          <w:tcPr>
            <w:tcW w:w="460" w:type="dxa"/>
            <w:vAlign w:val="bottom"/>
          </w:tcPr>
          <w:p>
            <w:pPr>
              <w:jc w:val="right"/>
              <w:spacing w:after="0" w:line="215" w:lineRule="exact"/>
              <w:rPr>
                <w:sz w:val="20"/>
                <w:szCs w:val="20"/>
                <w:color w:val="auto"/>
              </w:rPr>
            </w:pPr>
            <w:r>
              <w:rPr>
                <w:rFonts w:ascii="Calibri" w:cs="Calibri" w:eastAsia="Calibri" w:hAnsi="Calibri"/>
                <w:sz w:val="18"/>
                <w:szCs w:val="18"/>
                <w:color w:val="auto"/>
              </w:rPr>
              <w:t>8</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7</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Other operatng (income) expense, net</w:t>
            </w:r>
          </w:p>
        </w:tc>
        <w:tc>
          <w:tcPr>
            <w:tcW w:w="90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200"/>
              <w:spacing w:after="0" w:line="216" w:lineRule="exact"/>
              <w:rPr>
                <w:sz w:val="20"/>
                <w:szCs w:val="20"/>
                <w:color w:val="auto"/>
              </w:rPr>
            </w:pPr>
            <w:r>
              <w:rPr>
                <w:rFonts w:ascii="Calibri" w:cs="Calibri" w:eastAsia="Calibri" w:hAnsi="Calibri"/>
                <w:sz w:val="18"/>
                <w:szCs w:val="18"/>
                <w:color w:val="auto"/>
              </w:rPr>
              <w:t>(10 )</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6</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line="216" w:lineRule="exact"/>
              <w:rPr>
                <w:sz w:val="20"/>
                <w:szCs w:val="20"/>
                <w:color w:val="auto"/>
              </w:rPr>
            </w:pPr>
            <w:r>
              <w:rPr>
                <w:rFonts w:ascii="Calibri" w:cs="Calibri" w:eastAsia="Calibri" w:hAnsi="Calibri"/>
                <w:sz w:val="18"/>
                <w:szCs w:val="18"/>
                <w:color w:val="auto"/>
              </w:rPr>
              <w:t>(1 )</w:t>
            </w:r>
          </w:p>
        </w:tc>
        <w:tc>
          <w:tcPr>
            <w:tcW w:w="0" w:type="dxa"/>
            <w:vAlign w:val="bottom"/>
          </w:tcPr>
          <w:p>
            <w:pPr>
              <w:spacing w:after="0"/>
              <w:rPr>
                <w:sz w:val="1"/>
                <w:szCs w:val="1"/>
                <w:color w:val="auto"/>
              </w:rPr>
            </w:pPr>
          </w:p>
        </w:tc>
      </w:tr>
      <w:tr>
        <w:trPr>
          <w:trHeight w:val="188"/>
        </w:trPr>
        <w:tc>
          <w:tcPr>
            <w:tcW w:w="6560" w:type="dxa"/>
            <w:vAlign w:val="bottom"/>
            <w:tcBorders>
              <w:top w:val="single" w:sz="8" w:color="CFF0FC"/>
            </w:tcBorders>
          </w:tcPr>
          <w:p>
            <w:pPr>
              <w:ind w:left="20"/>
              <w:spacing w:after="0" w:line="187" w:lineRule="exact"/>
              <w:rPr>
                <w:sz w:val="20"/>
                <w:szCs w:val="20"/>
                <w:color w:val="auto"/>
              </w:rPr>
            </w:pPr>
            <w:r>
              <w:rPr>
                <w:rFonts w:ascii="Calibri" w:cs="Calibri" w:eastAsia="Calibri" w:hAnsi="Calibri"/>
                <w:sz w:val="18"/>
                <w:szCs w:val="18"/>
                <w:color w:val="auto"/>
              </w:rPr>
              <w:t>(Loss) earnings from contnuing operatons before interest expense,</w:t>
            </w:r>
          </w:p>
        </w:tc>
        <w:tc>
          <w:tcPr>
            <w:tcW w:w="90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260" w:type="dxa"/>
            <w:vAlign w:val="bottom"/>
            <w:tcBorders>
              <w:top w:val="single" w:sz="8" w:color="CFF0FC"/>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60" w:type="dxa"/>
            <w:vAlign w:val="bottom"/>
            <w:tcBorders>
              <w:top w:val="single" w:sz="8" w:color="CFF0FC"/>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560" w:type="dxa"/>
            <w:vAlign w:val="bottom"/>
          </w:tcPr>
          <w:p>
            <w:pPr>
              <w:ind w:left="140"/>
              <w:spacing w:after="0" w:line="215" w:lineRule="exact"/>
              <w:rPr>
                <w:sz w:val="20"/>
                <w:szCs w:val="20"/>
                <w:color w:val="auto"/>
              </w:rPr>
            </w:pPr>
            <w:r>
              <w:rPr>
                <w:rFonts w:ascii="Calibri" w:cs="Calibri" w:eastAsia="Calibri" w:hAnsi="Calibri"/>
                <w:sz w:val="18"/>
                <w:szCs w:val="18"/>
                <w:color w:val="auto"/>
              </w:rPr>
              <w:t>pension income excluding service cost component, loss on early</w:t>
            </w: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140"/>
              <w:spacing w:after="0" w:line="216" w:lineRule="exact"/>
              <w:rPr>
                <w:sz w:val="20"/>
                <w:szCs w:val="20"/>
                <w:color w:val="auto"/>
              </w:rPr>
            </w:pPr>
            <w:r>
              <w:rPr>
                <w:rFonts w:ascii="Calibri" w:cs="Calibri" w:eastAsia="Calibri" w:hAnsi="Calibri"/>
                <w:sz w:val="18"/>
                <w:szCs w:val="18"/>
                <w:color w:val="auto"/>
              </w:rPr>
              <w:t>extnguishment of debt, other (income) charges, net and income taxes</w:t>
            </w:r>
          </w:p>
        </w:tc>
        <w:tc>
          <w:tcPr>
            <w:tcW w:w="900" w:type="dxa"/>
            <w:vAlign w:val="bottom"/>
          </w:tcPr>
          <w:p>
            <w:pPr>
              <w:spacing w:after="0"/>
              <w:rPr>
                <w:sz w:val="18"/>
                <w:szCs w:val="18"/>
                <w:color w:val="auto"/>
              </w:rPr>
            </w:pPr>
          </w:p>
        </w:tc>
        <w:tc>
          <w:tcPr>
            <w:tcW w:w="720" w:type="dxa"/>
            <w:vAlign w:val="bottom"/>
            <w:gridSpan w:val="2"/>
          </w:tcPr>
          <w:p>
            <w:pPr>
              <w:jc w:val="right"/>
              <w:ind w:right="200"/>
              <w:spacing w:after="0" w:line="216" w:lineRule="exact"/>
              <w:rPr>
                <w:sz w:val="20"/>
                <w:szCs w:val="20"/>
                <w:color w:val="auto"/>
              </w:rPr>
            </w:pPr>
            <w:r>
              <w:rPr>
                <w:rFonts w:ascii="Calibri" w:cs="Calibri" w:eastAsia="Calibri" w:hAnsi="Calibri"/>
                <w:sz w:val="18"/>
                <w:szCs w:val="18"/>
                <w:color w:val="auto"/>
              </w:rPr>
              <w:t>(7 )</w:t>
            </w:r>
          </w:p>
        </w:tc>
        <w:tc>
          <w:tcPr>
            <w:tcW w:w="300" w:type="dxa"/>
            <w:vAlign w:val="bottom"/>
          </w:tcPr>
          <w:p>
            <w:pPr>
              <w:spacing w:after="0"/>
              <w:rPr>
                <w:sz w:val="18"/>
                <w:szCs w:val="18"/>
                <w:color w:val="auto"/>
              </w:rPr>
            </w:pPr>
          </w:p>
        </w:tc>
        <w:tc>
          <w:tcPr>
            <w:tcW w:w="1040" w:type="dxa"/>
            <w:vAlign w:val="bottom"/>
          </w:tcPr>
          <w:p>
            <w:pPr>
              <w:jc w:val="right"/>
              <w:spacing w:after="0" w:line="216" w:lineRule="exact"/>
              <w:rPr>
                <w:sz w:val="20"/>
                <w:szCs w:val="20"/>
                <w:color w:val="auto"/>
              </w:rPr>
            </w:pPr>
            <w:r>
              <w:rPr>
                <w:rFonts w:ascii="Calibri" w:cs="Calibri" w:eastAsia="Calibri" w:hAnsi="Calibri"/>
                <w:sz w:val="18"/>
                <w:szCs w:val="18"/>
                <w:color w:val="auto"/>
              </w:rPr>
              <w:t>4</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40"/>
              <w:spacing w:after="0" w:line="216" w:lineRule="exact"/>
              <w:rPr>
                <w:sz w:val="20"/>
                <w:szCs w:val="20"/>
                <w:color w:val="auto"/>
              </w:rPr>
            </w:pPr>
            <w:r>
              <w:rPr>
                <w:rFonts w:ascii="Calibri" w:cs="Calibri" w:eastAsia="Calibri" w:hAnsi="Calibri"/>
                <w:sz w:val="18"/>
                <w:szCs w:val="18"/>
                <w:color w:val="auto"/>
              </w:rPr>
              <w:t>(26 )</w:t>
            </w:r>
          </w:p>
        </w:tc>
        <w:tc>
          <w:tcPr>
            <w:tcW w:w="0" w:type="dxa"/>
            <w:vAlign w:val="bottom"/>
          </w:tcPr>
          <w:p>
            <w:pPr>
              <w:spacing w:after="0"/>
              <w:rPr>
                <w:sz w:val="1"/>
                <w:szCs w:val="1"/>
                <w:color w:val="auto"/>
              </w:rPr>
            </w:pPr>
          </w:p>
        </w:tc>
      </w:tr>
      <w:tr>
        <w:trPr>
          <w:trHeight w:val="23"/>
        </w:trPr>
        <w:tc>
          <w:tcPr>
            <w:tcW w:w="6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60" w:type="dxa"/>
            <w:vAlign w:val="bottom"/>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Interest expense</w:t>
            </w:r>
          </w:p>
        </w:tc>
        <w:tc>
          <w:tcPr>
            <w:tcW w:w="90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59</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52</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60" w:type="dxa"/>
            <w:vAlign w:val="bottom"/>
          </w:tcPr>
          <w:p>
            <w:pPr>
              <w:ind w:left="20"/>
              <w:spacing w:after="0" w:line="215" w:lineRule="exact"/>
              <w:rPr>
                <w:sz w:val="20"/>
                <w:szCs w:val="20"/>
                <w:color w:val="auto"/>
              </w:rPr>
            </w:pPr>
            <w:r>
              <w:rPr>
                <w:rFonts w:ascii="Calibri" w:cs="Calibri" w:eastAsia="Calibri" w:hAnsi="Calibri"/>
                <w:sz w:val="18"/>
                <w:szCs w:val="18"/>
                <w:color w:val="auto"/>
              </w:rPr>
              <w:t>Pension income excluding service cost component</w:t>
            </w:r>
          </w:p>
        </w:tc>
        <w:tc>
          <w:tcPr>
            <w:tcW w:w="900" w:type="dxa"/>
            <w:vAlign w:val="bottom"/>
          </w:tcPr>
          <w:p>
            <w:pPr>
              <w:spacing w:after="0"/>
              <w:rPr>
                <w:sz w:val="18"/>
                <w:szCs w:val="18"/>
                <w:color w:val="auto"/>
              </w:rPr>
            </w:pPr>
          </w:p>
        </w:tc>
        <w:tc>
          <w:tcPr>
            <w:tcW w:w="72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(173 )</w:t>
            </w:r>
          </w:p>
        </w:tc>
        <w:tc>
          <w:tcPr>
            <w:tcW w:w="300" w:type="dxa"/>
            <w:vAlign w:val="bottom"/>
          </w:tcPr>
          <w:p>
            <w:pPr>
              <w:spacing w:after="0"/>
              <w:rPr>
                <w:sz w:val="18"/>
                <w:szCs w:val="18"/>
                <w:color w:val="auto"/>
              </w:rPr>
            </w:pPr>
          </w:p>
        </w:tc>
        <w:tc>
          <w:tcPr>
            <w:tcW w:w="130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(161 )</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(98 )</w:t>
            </w:r>
          </w:p>
        </w:tc>
        <w:tc>
          <w:tcPr>
            <w:tcW w:w="0" w:type="dxa"/>
            <w:vAlign w:val="bottom"/>
          </w:tcPr>
          <w:p>
            <w:pPr>
              <w:spacing w:after="0"/>
              <w:rPr>
                <w:sz w:val="1"/>
                <w:szCs w:val="1"/>
                <w:color w:val="auto"/>
              </w:rPr>
            </w:pPr>
          </w:p>
        </w:tc>
      </w:tr>
      <w:tr>
        <w:trPr>
          <w:trHeight w:val="217"/>
        </w:trPr>
        <w:tc>
          <w:tcPr>
            <w:tcW w:w="656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Loss on early extnguishment of debt</w:t>
            </w:r>
          </w:p>
        </w:tc>
        <w:tc>
          <w:tcPr>
            <w:tcW w:w="90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280"/>
              <w:spacing w:after="0"/>
              <w:rPr>
                <w:sz w:val="20"/>
                <w:szCs w:val="20"/>
                <w:color w:val="auto"/>
              </w:rPr>
            </w:pPr>
            <w:r>
              <w:rPr>
                <w:rFonts w:ascii="Calibri" w:cs="Calibri" w:eastAsia="Calibri" w:hAnsi="Calibri"/>
                <w:sz w:val="15"/>
                <w:szCs w:val="15"/>
                <w:color w:val="auto"/>
              </w:rPr>
              <w:t>—</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27</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20"/>
              <w:spacing w:after="0"/>
              <w:rPr>
                <w:sz w:val="20"/>
                <w:szCs w:val="20"/>
                <w:color w:val="auto"/>
              </w:rPr>
            </w:pPr>
            <w:r>
              <w:rPr>
                <w:rFonts w:ascii="Calibri" w:cs="Calibri" w:eastAsia="Calibri" w:hAnsi="Calibri"/>
                <w:sz w:val="15"/>
                <w:szCs w:val="15"/>
                <w:color w:val="auto"/>
              </w:rPr>
              <w:t>—</w:t>
            </w:r>
          </w:p>
        </w:tc>
        <w:tc>
          <w:tcPr>
            <w:tcW w:w="0" w:type="dxa"/>
            <w:vAlign w:val="bottom"/>
          </w:tcPr>
          <w:p>
            <w:pPr>
              <w:spacing w:after="0"/>
              <w:rPr>
                <w:sz w:val="1"/>
                <w:szCs w:val="1"/>
                <w:color w:val="auto"/>
              </w:rPr>
            </w:pPr>
          </w:p>
        </w:tc>
      </w:tr>
      <w:tr>
        <w:trPr>
          <w:trHeight w:val="215"/>
        </w:trPr>
        <w:tc>
          <w:tcPr>
            <w:tcW w:w="6560" w:type="dxa"/>
            <w:vAlign w:val="bottom"/>
          </w:tcPr>
          <w:p>
            <w:pPr>
              <w:ind w:left="20"/>
              <w:spacing w:after="0" w:line="215" w:lineRule="exact"/>
              <w:rPr>
                <w:sz w:val="20"/>
                <w:szCs w:val="20"/>
                <w:color w:val="auto"/>
              </w:rPr>
            </w:pPr>
            <w:r>
              <w:rPr>
                <w:rFonts w:ascii="Calibri" w:cs="Calibri" w:eastAsia="Calibri" w:hAnsi="Calibri"/>
                <w:sz w:val="18"/>
                <w:szCs w:val="18"/>
                <w:color w:val="auto"/>
              </w:rPr>
              <w:t>Other (income) charges, net</w:t>
            </w:r>
          </w:p>
        </w:tc>
        <w:tc>
          <w:tcPr>
            <w:tcW w:w="900" w:type="dxa"/>
            <w:vAlign w:val="bottom"/>
          </w:tcPr>
          <w:p>
            <w:pPr>
              <w:spacing w:after="0"/>
              <w:rPr>
                <w:sz w:val="18"/>
                <w:szCs w:val="18"/>
                <w:color w:val="auto"/>
              </w:rPr>
            </w:pPr>
          </w:p>
        </w:tc>
        <w:tc>
          <w:tcPr>
            <w:tcW w:w="72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(3 )</w:t>
            </w:r>
          </w:p>
        </w:tc>
        <w:tc>
          <w:tcPr>
            <w:tcW w:w="300" w:type="dxa"/>
            <w:vAlign w:val="bottom"/>
          </w:tcPr>
          <w:p>
            <w:pPr>
              <w:spacing w:after="0"/>
              <w:rPr>
                <w:sz w:val="18"/>
                <w:szCs w:val="18"/>
                <w:color w:val="auto"/>
              </w:rPr>
            </w:pPr>
          </w:p>
        </w:tc>
        <w:tc>
          <w:tcPr>
            <w:tcW w:w="130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(1 )</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color w:val="auto"/>
              </w:rPr>
              <w:t>Earnings from contnuing operatons before income taxes</w:t>
            </w:r>
          </w:p>
        </w:tc>
        <w:tc>
          <w:tcPr>
            <w:tcW w:w="900" w:type="dxa"/>
            <w:vAlign w:val="bottom"/>
            <w:tcBorders>
              <w:top w:val="single" w:sz="8" w:color="auto"/>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110</w:t>
            </w:r>
          </w:p>
        </w:tc>
        <w:tc>
          <w:tcPr>
            <w:tcW w:w="26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87</w:t>
            </w:r>
          </w:p>
        </w:tc>
        <w:tc>
          <w:tcPr>
            <w:tcW w:w="260" w:type="dxa"/>
            <w:vAlign w:val="bottom"/>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31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60" w:type="dxa"/>
            <w:vAlign w:val="bottom"/>
          </w:tcPr>
          <w:p>
            <w:pPr>
              <w:ind w:left="20"/>
              <w:spacing w:after="0" w:line="215" w:lineRule="exact"/>
              <w:rPr>
                <w:sz w:val="20"/>
                <w:szCs w:val="20"/>
                <w:color w:val="auto"/>
              </w:rPr>
            </w:pPr>
            <w:r>
              <w:rPr>
                <w:rFonts w:ascii="Calibri" w:cs="Calibri" w:eastAsia="Calibri" w:hAnsi="Calibri"/>
                <w:sz w:val="18"/>
                <w:szCs w:val="18"/>
                <w:color w:val="auto"/>
              </w:rPr>
              <w:t>Provision for income taxes</w:t>
            </w:r>
          </w:p>
        </w:tc>
        <w:tc>
          <w:tcPr>
            <w:tcW w:w="9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8</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12</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560" w:type="dxa"/>
            <w:vAlign w:val="bottom"/>
            <w:tcBorders>
              <w:bottom w:val="single" w:sz="8" w:color="CFF0FC"/>
            </w:tcBorders>
            <w:shd w:val="clear" w:color="auto" w:fill="CFF0FC"/>
          </w:tcPr>
          <w:p>
            <w:pPr>
              <w:ind w:left="20"/>
              <w:spacing w:after="0" w:line="209" w:lineRule="exact"/>
              <w:rPr>
                <w:sz w:val="20"/>
                <w:szCs w:val="20"/>
                <w:color w:val="auto"/>
              </w:rPr>
            </w:pPr>
            <w:r>
              <w:rPr>
                <w:rFonts w:ascii="Calibri" w:cs="Calibri" w:eastAsia="Calibri" w:hAnsi="Calibri"/>
                <w:sz w:val="18"/>
                <w:szCs w:val="18"/>
                <w:color w:val="auto"/>
              </w:rPr>
              <w:t>NET EARNINGS</w:t>
            </w:r>
          </w:p>
        </w:tc>
        <w:tc>
          <w:tcPr>
            <w:tcW w:w="900" w:type="dxa"/>
            <w:vAlign w:val="bottom"/>
            <w:tcBorders>
              <w:bottom w:val="single" w:sz="8" w:color="auto"/>
            </w:tcBorders>
            <w:shd w:val="clear" w:color="auto" w:fill="CFF0FC"/>
          </w:tcPr>
          <w:p>
            <w:pPr>
              <w:jc w:val="right"/>
              <w:ind w:right="690"/>
              <w:spacing w:after="0" w:line="209" w:lineRule="exact"/>
              <w:rPr>
                <w:sz w:val="20"/>
                <w:szCs w:val="20"/>
                <w:color w:val="auto"/>
              </w:rPr>
            </w:pPr>
            <w:r>
              <w:rPr>
                <w:rFonts w:ascii="Calibri" w:cs="Calibri" w:eastAsia="Calibri" w:hAnsi="Calibri"/>
                <w:sz w:val="18"/>
                <w:szCs w:val="18"/>
                <w:color w:val="auto"/>
              </w:rPr>
              <w:t>$</w:t>
            </w:r>
          </w:p>
        </w:tc>
        <w:tc>
          <w:tcPr>
            <w:tcW w:w="46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102</w:t>
            </w: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line="209" w:lineRule="exact"/>
              <w:rPr>
                <w:sz w:val="20"/>
                <w:szCs w:val="20"/>
                <w:color w:val="auto"/>
              </w:rPr>
            </w:pPr>
            <w:r>
              <w:rPr>
                <w:rFonts w:ascii="Calibri" w:cs="Calibri" w:eastAsia="Calibri" w:hAnsi="Calibri"/>
                <w:sz w:val="18"/>
                <w:szCs w:val="18"/>
                <w:color w:val="auto"/>
                <w:w w:val="87"/>
              </w:rPr>
              <w:t>$</w:t>
            </w:r>
          </w:p>
        </w:tc>
        <w:tc>
          <w:tcPr>
            <w:tcW w:w="104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75</w:t>
            </w:r>
          </w:p>
        </w:tc>
        <w:tc>
          <w:tcPr>
            <w:tcW w:w="26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121"/>
              <w:spacing w:after="0"/>
              <w:rPr>
                <w:sz w:val="20"/>
                <w:szCs w:val="20"/>
                <w:color w:val="auto"/>
              </w:rPr>
            </w:pPr>
            <w:r>
              <w:rPr>
                <w:rFonts w:ascii="Calibri" w:cs="Calibri" w:eastAsia="Calibri" w:hAnsi="Calibri"/>
                <w:sz w:val="16"/>
                <w:szCs w:val="16"/>
                <w:color w:val="auto"/>
                <w:w w:val="73"/>
              </w:rPr>
              <w:t>$</w:t>
            </w:r>
          </w:p>
        </w:tc>
        <w:tc>
          <w:tcPr>
            <w:tcW w:w="106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26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6560" w:type="dxa"/>
            <w:vAlign w:val="bottom"/>
            <w:shd w:val="clear" w:color="auto" w:fill="CFF0FC"/>
          </w:tcPr>
          <w:p>
            <w:pPr>
              <w:ind w:left="20"/>
              <w:spacing w:after="0" w:line="194" w:lineRule="exact"/>
              <w:rPr>
                <w:sz w:val="20"/>
                <w:szCs w:val="20"/>
                <w:color w:val="auto"/>
              </w:rPr>
            </w:pPr>
            <w:r>
              <w:rPr>
                <w:rFonts w:ascii="Calibri" w:cs="Calibri" w:eastAsia="Calibri" w:hAnsi="Calibri"/>
                <w:sz w:val="18"/>
                <w:szCs w:val="18"/>
                <w:color w:val="auto"/>
              </w:rPr>
              <w:t>Basic earnings per share atributable to Eastman Kodak Company</w:t>
            </w:r>
          </w:p>
        </w:tc>
        <w:tc>
          <w:tcPr>
            <w:tcW w:w="900" w:type="dxa"/>
            <w:vAlign w:val="bottom"/>
            <w:vMerge w:val="restart"/>
            <w:shd w:val="clear" w:color="auto" w:fill="CFF0FC"/>
          </w:tcPr>
          <w:p>
            <w:pPr>
              <w:jc w:val="right"/>
              <w:ind w:right="690"/>
              <w:spacing w:after="0"/>
              <w:rPr>
                <w:sz w:val="20"/>
                <w:szCs w:val="20"/>
                <w:color w:val="auto"/>
              </w:rPr>
            </w:pPr>
            <w:r>
              <w:rPr>
                <w:rFonts w:ascii="Calibri" w:cs="Calibri" w:eastAsia="Calibri" w:hAnsi="Calibri"/>
                <w:sz w:val="18"/>
                <w:szCs w:val="18"/>
                <w:color w:val="auto"/>
              </w:rPr>
              <w:t>$</w:t>
            </w:r>
          </w:p>
        </w:tc>
        <w:tc>
          <w:tcPr>
            <w:tcW w:w="46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color w:val="auto"/>
              </w:rPr>
              <w:t>0.97</w:t>
            </w:r>
          </w:p>
        </w:tc>
        <w:tc>
          <w:tcPr>
            <w:tcW w:w="260" w:type="dxa"/>
            <w:vAlign w:val="bottom"/>
            <w:shd w:val="clear" w:color="auto" w:fill="CFF0FC"/>
          </w:tcPr>
          <w:p>
            <w:pPr>
              <w:spacing w:after="0"/>
              <w:rPr>
                <w:sz w:val="16"/>
                <w:szCs w:val="16"/>
                <w:color w:val="auto"/>
              </w:rPr>
            </w:pPr>
          </w:p>
        </w:tc>
        <w:tc>
          <w:tcPr>
            <w:tcW w:w="300" w:type="dxa"/>
            <w:vAlign w:val="bottom"/>
            <w:vMerge w:val="restart"/>
            <w:shd w:val="clear" w:color="auto" w:fill="CFF0FC"/>
          </w:tcPr>
          <w:p>
            <w:pPr>
              <w:jc w:val="right"/>
              <w:ind w:right="110"/>
              <w:spacing w:after="0"/>
              <w:rPr>
                <w:sz w:val="20"/>
                <w:szCs w:val="20"/>
                <w:color w:val="auto"/>
              </w:rPr>
            </w:pPr>
            <w:r>
              <w:rPr>
                <w:rFonts w:ascii="Calibri" w:cs="Calibri" w:eastAsia="Calibri" w:hAnsi="Calibri"/>
                <w:sz w:val="18"/>
                <w:szCs w:val="18"/>
                <w:color w:val="auto"/>
                <w:w w:val="87"/>
              </w:rPr>
              <w:t>$</w:t>
            </w:r>
          </w:p>
        </w:tc>
        <w:tc>
          <w:tcPr>
            <w:tcW w:w="104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color w:val="auto"/>
              </w:rPr>
              <w:t>0.71</w:t>
            </w:r>
          </w:p>
        </w:tc>
        <w:tc>
          <w:tcPr>
            <w:tcW w:w="2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80" w:type="dxa"/>
            <w:vAlign w:val="bottom"/>
            <w:vMerge w:val="restart"/>
            <w:shd w:val="clear" w:color="auto" w:fill="CFF0FC"/>
          </w:tcPr>
          <w:p>
            <w:pPr>
              <w:jc w:val="right"/>
              <w:ind w:right="121"/>
              <w:spacing w:after="0"/>
              <w:rPr>
                <w:sz w:val="20"/>
                <w:szCs w:val="20"/>
                <w:color w:val="auto"/>
              </w:rPr>
            </w:pPr>
            <w:r>
              <w:rPr>
                <w:rFonts w:ascii="Calibri" w:cs="Calibri" w:eastAsia="Calibri" w:hAnsi="Calibri"/>
                <w:sz w:val="16"/>
                <w:szCs w:val="16"/>
                <w:color w:val="auto"/>
                <w:w w:val="73"/>
              </w:rPr>
              <w:t>$</w:t>
            </w:r>
          </w:p>
        </w:tc>
        <w:tc>
          <w:tcPr>
            <w:tcW w:w="106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color w:val="auto"/>
              </w:rPr>
              <w:t>0.16</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560" w:type="dxa"/>
            <w:vAlign w:val="bottom"/>
            <w:tcBorders>
              <w:bottom w:val="single" w:sz="8" w:color="CFF0FC"/>
            </w:tcBorders>
            <w:shd w:val="clear" w:color="auto" w:fill="CFF0FC"/>
          </w:tcPr>
          <w:p>
            <w:pPr>
              <w:ind w:left="140"/>
              <w:spacing w:after="0" w:line="198" w:lineRule="exact"/>
              <w:rPr>
                <w:sz w:val="20"/>
                <w:szCs w:val="20"/>
                <w:color w:val="auto"/>
              </w:rPr>
            </w:pPr>
            <w:r>
              <w:rPr>
                <w:rFonts w:ascii="Calibri" w:cs="Calibri" w:eastAsia="Calibri" w:hAnsi="Calibri"/>
                <w:sz w:val="18"/>
                <w:szCs w:val="18"/>
                <w:color w:val="auto"/>
              </w:rPr>
              <w:t>common shareholders</w:t>
            </w:r>
          </w:p>
        </w:tc>
        <w:tc>
          <w:tcPr>
            <w:tcW w:w="900" w:type="dxa"/>
            <w:vAlign w:val="bottom"/>
            <w:tcBorders>
              <w:bottom w:val="single" w:sz="8" w:color="auto"/>
            </w:tcBorders>
            <w:vMerge w:val="continue"/>
            <w:shd w:val="clear" w:color="auto" w:fill="CFF0FC"/>
          </w:tcPr>
          <w:p>
            <w:pPr>
              <w:spacing w:after="0"/>
              <w:rPr>
                <w:sz w:val="20"/>
                <w:szCs w:val="20"/>
                <w:color w:val="auto"/>
              </w:rPr>
            </w:pPr>
          </w:p>
        </w:tc>
        <w:tc>
          <w:tcPr>
            <w:tcW w:w="460" w:type="dxa"/>
            <w:vAlign w:val="bottom"/>
            <w:tcBorders>
              <w:bottom w:val="single" w:sz="8" w:color="auto"/>
            </w:tcBorders>
            <w:vMerge w:val="continue"/>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vMerge w:val="continue"/>
            <w:shd w:val="clear" w:color="auto" w:fill="CFF0FC"/>
          </w:tcPr>
          <w:p>
            <w:pPr>
              <w:spacing w:after="0"/>
              <w:rPr>
                <w:sz w:val="20"/>
                <w:szCs w:val="20"/>
                <w:color w:val="auto"/>
              </w:rPr>
            </w:pPr>
          </w:p>
        </w:tc>
        <w:tc>
          <w:tcPr>
            <w:tcW w:w="1040" w:type="dxa"/>
            <w:vAlign w:val="bottom"/>
            <w:tcBorders>
              <w:bottom w:val="single" w:sz="8" w:color="auto"/>
            </w:tcBorders>
            <w:vMerge w:val="continue"/>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280" w:type="dxa"/>
            <w:vAlign w:val="bottom"/>
            <w:tcBorders>
              <w:bottom w:val="single" w:sz="8" w:color="auto"/>
            </w:tcBorders>
            <w:vMerge w:val="continue"/>
            <w:shd w:val="clear" w:color="auto" w:fill="CFF0FC"/>
          </w:tcPr>
          <w:p>
            <w:pPr>
              <w:spacing w:after="0"/>
              <w:rPr>
                <w:sz w:val="20"/>
                <w:szCs w:val="20"/>
                <w:color w:val="auto"/>
              </w:rPr>
            </w:pPr>
          </w:p>
        </w:tc>
        <w:tc>
          <w:tcPr>
            <w:tcW w:w="106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6560" w:type="dxa"/>
            <w:vAlign w:val="bottom"/>
            <w:shd w:val="clear" w:color="auto" w:fill="CFF0FC"/>
          </w:tcPr>
          <w:p>
            <w:pPr>
              <w:ind w:left="20"/>
              <w:spacing w:after="0" w:line="194" w:lineRule="exact"/>
              <w:rPr>
                <w:sz w:val="20"/>
                <w:szCs w:val="20"/>
                <w:color w:val="auto"/>
              </w:rPr>
            </w:pPr>
            <w:r>
              <w:rPr>
                <w:rFonts w:ascii="Calibri" w:cs="Calibri" w:eastAsia="Calibri" w:hAnsi="Calibri"/>
                <w:sz w:val="18"/>
                <w:szCs w:val="18"/>
                <w:color w:val="auto"/>
              </w:rPr>
              <w:t>Diluted earnings per share atributable to Eastman Kodak Company</w:t>
            </w:r>
          </w:p>
        </w:tc>
        <w:tc>
          <w:tcPr>
            <w:tcW w:w="900" w:type="dxa"/>
            <w:vAlign w:val="bottom"/>
            <w:vMerge w:val="restart"/>
            <w:shd w:val="clear" w:color="auto" w:fill="CFF0FC"/>
          </w:tcPr>
          <w:p>
            <w:pPr>
              <w:jc w:val="right"/>
              <w:ind w:right="690"/>
              <w:spacing w:after="0"/>
              <w:rPr>
                <w:sz w:val="20"/>
                <w:szCs w:val="20"/>
                <w:color w:val="auto"/>
              </w:rPr>
            </w:pPr>
            <w:r>
              <w:rPr>
                <w:rFonts w:ascii="Calibri" w:cs="Calibri" w:eastAsia="Calibri" w:hAnsi="Calibri"/>
                <w:sz w:val="18"/>
                <w:szCs w:val="18"/>
                <w:color w:val="auto"/>
              </w:rPr>
              <w:t>$</w:t>
            </w:r>
          </w:p>
        </w:tc>
        <w:tc>
          <w:tcPr>
            <w:tcW w:w="46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color w:val="auto"/>
              </w:rPr>
              <w:t>0.90</w:t>
            </w:r>
          </w:p>
        </w:tc>
        <w:tc>
          <w:tcPr>
            <w:tcW w:w="260" w:type="dxa"/>
            <w:vAlign w:val="bottom"/>
            <w:shd w:val="clear" w:color="auto" w:fill="CFF0FC"/>
          </w:tcPr>
          <w:p>
            <w:pPr>
              <w:spacing w:after="0"/>
              <w:rPr>
                <w:sz w:val="16"/>
                <w:szCs w:val="16"/>
                <w:color w:val="auto"/>
              </w:rPr>
            </w:pPr>
          </w:p>
        </w:tc>
        <w:tc>
          <w:tcPr>
            <w:tcW w:w="300" w:type="dxa"/>
            <w:vAlign w:val="bottom"/>
            <w:vMerge w:val="restart"/>
            <w:shd w:val="clear" w:color="auto" w:fill="CFF0FC"/>
          </w:tcPr>
          <w:p>
            <w:pPr>
              <w:jc w:val="right"/>
              <w:ind w:right="110"/>
              <w:spacing w:after="0"/>
              <w:rPr>
                <w:sz w:val="20"/>
                <w:szCs w:val="20"/>
                <w:color w:val="auto"/>
              </w:rPr>
            </w:pPr>
            <w:r>
              <w:rPr>
                <w:rFonts w:ascii="Calibri" w:cs="Calibri" w:eastAsia="Calibri" w:hAnsi="Calibri"/>
                <w:sz w:val="18"/>
                <w:szCs w:val="18"/>
                <w:color w:val="auto"/>
                <w:w w:val="87"/>
              </w:rPr>
              <w:t>$</w:t>
            </w:r>
          </w:p>
        </w:tc>
        <w:tc>
          <w:tcPr>
            <w:tcW w:w="104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color w:val="auto"/>
              </w:rPr>
              <w:t>0.67</w:t>
            </w:r>
          </w:p>
        </w:tc>
        <w:tc>
          <w:tcPr>
            <w:tcW w:w="2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80" w:type="dxa"/>
            <w:vAlign w:val="bottom"/>
            <w:vMerge w:val="restart"/>
            <w:shd w:val="clear" w:color="auto" w:fill="CFF0FC"/>
          </w:tcPr>
          <w:p>
            <w:pPr>
              <w:jc w:val="right"/>
              <w:ind w:right="121"/>
              <w:spacing w:after="0"/>
              <w:rPr>
                <w:sz w:val="20"/>
                <w:szCs w:val="20"/>
                <w:color w:val="auto"/>
              </w:rPr>
            </w:pPr>
            <w:r>
              <w:rPr>
                <w:rFonts w:ascii="Calibri" w:cs="Calibri" w:eastAsia="Calibri" w:hAnsi="Calibri"/>
                <w:sz w:val="16"/>
                <w:szCs w:val="16"/>
                <w:color w:val="auto"/>
                <w:w w:val="73"/>
              </w:rPr>
              <w:t>$</w:t>
            </w:r>
          </w:p>
        </w:tc>
        <w:tc>
          <w:tcPr>
            <w:tcW w:w="106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color w:val="auto"/>
              </w:rPr>
              <w:t>0.16</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560" w:type="dxa"/>
            <w:vAlign w:val="bottom"/>
            <w:tcBorders>
              <w:bottom w:val="single" w:sz="8" w:color="CFF0FC"/>
            </w:tcBorders>
            <w:shd w:val="clear" w:color="auto" w:fill="CFF0FC"/>
          </w:tcPr>
          <w:p>
            <w:pPr>
              <w:ind w:left="140"/>
              <w:spacing w:after="0" w:line="198" w:lineRule="exact"/>
              <w:rPr>
                <w:sz w:val="20"/>
                <w:szCs w:val="20"/>
                <w:color w:val="auto"/>
              </w:rPr>
            </w:pPr>
            <w:r>
              <w:rPr>
                <w:rFonts w:ascii="Calibri" w:cs="Calibri" w:eastAsia="Calibri" w:hAnsi="Calibri"/>
                <w:sz w:val="18"/>
                <w:szCs w:val="18"/>
                <w:color w:val="auto"/>
              </w:rPr>
              <w:t>common shareholders</w:t>
            </w:r>
          </w:p>
        </w:tc>
        <w:tc>
          <w:tcPr>
            <w:tcW w:w="900" w:type="dxa"/>
            <w:vAlign w:val="bottom"/>
            <w:tcBorders>
              <w:bottom w:val="single" w:sz="8" w:color="auto"/>
            </w:tcBorders>
            <w:vMerge w:val="continue"/>
            <w:shd w:val="clear" w:color="auto" w:fill="CFF0FC"/>
          </w:tcPr>
          <w:p>
            <w:pPr>
              <w:spacing w:after="0"/>
              <w:rPr>
                <w:sz w:val="20"/>
                <w:szCs w:val="20"/>
                <w:color w:val="auto"/>
              </w:rPr>
            </w:pPr>
          </w:p>
        </w:tc>
        <w:tc>
          <w:tcPr>
            <w:tcW w:w="460" w:type="dxa"/>
            <w:vAlign w:val="bottom"/>
            <w:tcBorders>
              <w:bottom w:val="single" w:sz="8" w:color="auto"/>
            </w:tcBorders>
            <w:vMerge w:val="continue"/>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vMerge w:val="continue"/>
            <w:shd w:val="clear" w:color="auto" w:fill="CFF0FC"/>
          </w:tcPr>
          <w:p>
            <w:pPr>
              <w:spacing w:after="0"/>
              <w:rPr>
                <w:sz w:val="20"/>
                <w:szCs w:val="20"/>
                <w:color w:val="auto"/>
              </w:rPr>
            </w:pPr>
          </w:p>
        </w:tc>
        <w:tc>
          <w:tcPr>
            <w:tcW w:w="1040" w:type="dxa"/>
            <w:vAlign w:val="bottom"/>
            <w:tcBorders>
              <w:bottom w:val="single" w:sz="8" w:color="auto"/>
            </w:tcBorders>
            <w:vMerge w:val="continue"/>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280" w:type="dxa"/>
            <w:vAlign w:val="bottom"/>
            <w:tcBorders>
              <w:bottom w:val="single" w:sz="8" w:color="auto"/>
            </w:tcBorders>
            <w:vMerge w:val="continue"/>
            <w:shd w:val="clear" w:color="auto" w:fill="CFF0FC"/>
          </w:tcPr>
          <w:p>
            <w:pPr>
              <w:spacing w:after="0"/>
              <w:rPr>
                <w:sz w:val="20"/>
                <w:szCs w:val="20"/>
                <w:color w:val="auto"/>
              </w:rPr>
            </w:pPr>
          </w:p>
        </w:tc>
        <w:tc>
          <w:tcPr>
            <w:tcW w:w="106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Number of common shares used in basic and diluted earnings per share:</w:t>
            </w:r>
          </w:p>
        </w:tc>
        <w:tc>
          <w:tcPr>
            <w:tcW w:w="9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60" w:type="dxa"/>
            <w:vAlign w:val="bottom"/>
          </w:tcPr>
          <w:p>
            <w:pPr>
              <w:ind w:left="200"/>
              <w:spacing w:after="0" w:line="215" w:lineRule="exact"/>
              <w:rPr>
                <w:sz w:val="20"/>
                <w:szCs w:val="20"/>
                <w:color w:val="auto"/>
              </w:rPr>
            </w:pPr>
            <w:r>
              <w:rPr>
                <w:rFonts w:ascii="Calibri" w:cs="Calibri" w:eastAsia="Calibri" w:hAnsi="Calibri"/>
                <w:sz w:val="18"/>
                <w:szCs w:val="18"/>
                <w:color w:val="auto"/>
              </w:rPr>
              <w:t>Basic</w:t>
            </w:r>
          </w:p>
        </w:tc>
        <w:tc>
          <w:tcPr>
            <w:tcW w:w="900" w:type="dxa"/>
            <w:vAlign w:val="bottom"/>
          </w:tcPr>
          <w:p>
            <w:pPr>
              <w:spacing w:after="0"/>
              <w:rPr>
                <w:sz w:val="18"/>
                <w:szCs w:val="18"/>
                <w:color w:val="auto"/>
              </w:rPr>
            </w:pPr>
          </w:p>
        </w:tc>
        <w:tc>
          <w:tcPr>
            <w:tcW w:w="460" w:type="dxa"/>
            <w:vAlign w:val="bottom"/>
          </w:tcPr>
          <w:p>
            <w:pPr>
              <w:jc w:val="right"/>
              <w:spacing w:after="0" w:line="215" w:lineRule="exact"/>
              <w:rPr>
                <w:sz w:val="20"/>
                <w:szCs w:val="20"/>
                <w:color w:val="auto"/>
              </w:rPr>
            </w:pPr>
            <w:r>
              <w:rPr>
                <w:rFonts w:ascii="Calibri" w:cs="Calibri" w:eastAsia="Calibri" w:hAnsi="Calibri"/>
                <w:sz w:val="18"/>
                <w:szCs w:val="18"/>
                <w:color w:val="auto"/>
              </w:rPr>
              <w:t>80.1</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79.4</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78.9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560" w:type="dxa"/>
            <w:vAlign w:val="bottom"/>
            <w:shd w:val="clear" w:color="auto" w:fill="CFF0FC"/>
          </w:tcPr>
          <w:p>
            <w:pPr>
              <w:ind w:left="200"/>
              <w:spacing w:after="0" w:line="216" w:lineRule="exact"/>
              <w:rPr>
                <w:sz w:val="20"/>
                <w:szCs w:val="20"/>
                <w:color w:val="auto"/>
              </w:rPr>
            </w:pPr>
            <w:r>
              <w:rPr>
                <w:rFonts w:ascii="Calibri" w:cs="Calibri" w:eastAsia="Calibri" w:hAnsi="Calibri"/>
                <w:sz w:val="18"/>
                <w:szCs w:val="18"/>
                <w:color w:val="auto"/>
              </w:rPr>
              <w:t>Diluted</w:t>
            </w:r>
          </w:p>
        </w:tc>
        <w:tc>
          <w:tcPr>
            <w:tcW w:w="90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92.3</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90.5</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80.6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-4199890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-4199890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-4199890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-3634105</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-3634105</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-3634105</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-2794000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-2794000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-2794000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-1396365</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-1379220</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-1396365</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-1379220</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-1396365</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-1379220</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-985520</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-967740</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-985520</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-967740</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-985520</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-967740</wp:posOffset>
            </wp:positionV>
            <wp:extent cx="685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-573405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-556895</wp:posOffset>
            </wp:positionV>
            <wp:extent cx="685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-573405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-556895</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-573405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-556895</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Calibri" w:cs="Calibri" w:eastAsia="Calibri" w:hAnsi="Calibri"/>
          <w:sz w:val="18"/>
          <w:szCs w:val="18"/>
          <w:color w:val="auto"/>
        </w:rPr>
        <w:t>The accompanying notes are an integral part of these consolidated fnancial statements.</w:t>
      </w:r>
    </w:p>
    <w:p>
      <w:pPr>
        <w:spacing w:after="0" w:line="185" w:lineRule="exact"/>
        <w:rPr>
          <w:sz w:val="20"/>
          <w:szCs w:val="20"/>
          <w:color w:val="auto"/>
        </w:rPr>
      </w:pPr>
    </w:p>
    <w:p>
      <w:pPr>
        <w:ind w:left="5540"/>
        <w:spacing w:after="0"/>
        <w:rPr>
          <w:sz w:val="20"/>
          <w:szCs w:val="20"/>
          <w:color w:val="auto"/>
        </w:rPr>
      </w:pPr>
      <w:r>
        <w:rPr>
          <w:rFonts w:ascii="Calibri" w:cs="Calibri" w:eastAsia="Calibri" w:hAnsi="Calibri"/>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5" w:name="page56"/>
    <w:bookmarkEnd w:id="55"/>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EASTMAN KODAK COMPANY</w:t>
      </w:r>
    </w:p>
    <w:p>
      <w:pPr>
        <w:spacing w:after="0" w:line="235" w:lineRule="auto"/>
        <w:rPr>
          <w:sz w:val="20"/>
          <w:szCs w:val="20"/>
          <w:color w:val="auto"/>
        </w:rPr>
      </w:pPr>
      <w:r>
        <w:rPr>
          <w:rFonts w:ascii="Calibri" w:cs="Calibri" w:eastAsia="Calibri" w:hAnsi="Calibri"/>
          <w:sz w:val="18"/>
          <w:szCs w:val="18"/>
          <w:b w:val="1"/>
          <w:bCs w:val="1"/>
          <w:color w:val="auto"/>
        </w:rPr>
        <w:t>CONSOLIDATED STATEMENT OF COMPREHENSIVE (LOSS) INCOME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20" w:type="dxa"/>
            <w:vAlign w:val="bottom"/>
          </w:tcPr>
          <w:p>
            <w:pPr>
              <w:spacing w:after="0"/>
              <w:rPr>
                <w:sz w:val="20"/>
                <w:szCs w:val="20"/>
                <w:color w:val="auto"/>
              </w:rPr>
            </w:pPr>
            <w:r>
              <w:rPr>
                <w:rFonts w:ascii="Calibri" w:cs="Calibri" w:eastAsia="Calibri" w:hAnsi="Calibri"/>
                <w:sz w:val="14"/>
                <w:szCs w:val="14"/>
                <w:color w:val="auto"/>
              </w:rPr>
              <w:t>(in millions)</w:t>
            </w: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20" w:type="dxa"/>
            <w:vAlign w:val="bottom"/>
            <w:gridSpan w:val="4"/>
            <w:vMerge w:val="restart"/>
          </w:tcPr>
          <w:p>
            <w:pPr>
              <w:jc w:val="right"/>
              <w:ind w:right="20"/>
              <w:spacing w:after="0"/>
              <w:rPr>
                <w:sz w:val="20"/>
                <w:szCs w:val="20"/>
                <w:color w:val="auto"/>
              </w:rPr>
            </w:pPr>
            <w:r>
              <w:rPr>
                <w:rFonts w:ascii="Calibri" w:cs="Calibri" w:eastAsia="Calibri" w:hAnsi="Calibri"/>
                <w:sz w:val="18"/>
                <w:szCs w:val="18"/>
                <w:b w:val="1"/>
                <w:bCs w:val="1"/>
                <w:color w:val="auto"/>
                <w:w w:val="97"/>
              </w:rPr>
              <w:t>Year Ended December 31,</w:t>
            </w: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6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20" w:type="dxa"/>
            <w:vAlign w:val="bottom"/>
            <w:gridSpan w:val="4"/>
            <w:vMerge w:val="continue"/>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64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420" w:type="dxa"/>
            <w:vAlign w:val="bottom"/>
          </w:tcPr>
          <w:p>
            <w:pPr>
              <w:spacing w:after="0"/>
              <w:rPr>
                <w:sz w:val="18"/>
                <w:szCs w:val="18"/>
                <w:color w:val="auto"/>
              </w:rPr>
            </w:pPr>
          </w:p>
        </w:tc>
        <w:tc>
          <w:tcPr>
            <w:tcW w:w="96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2024</w:t>
            </w:r>
          </w:p>
        </w:tc>
        <w:tc>
          <w:tcPr>
            <w:tcW w:w="4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0"/>
              <w:spacing w:after="0" w:line="209" w:lineRule="exact"/>
              <w:rPr>
                <w:sz w:val="20"/>
                <w:szCs w:val="20"/>
                <w:color w:val="auto"/>
              </w:rPr>
            </w:pPr>
            <w:r>
              <w:rPr>
                <w:rFonts w:ascii="Calibri" w:cs="Calibri" w:eastAsia="Calibri" w:hAnsi="Calibri"/>
                <w:sz w:val="18"/>
                <w:szCs w:val="18"/>
                <w:b w:val="1"/>
                <w:bCs w:val="1"/>
                <w:color w:val="auto"/>
              </w:rPr>
              <w:t>2023</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0"/>
              <w:spacing w:after="0" w:line="209" w:lineRule="exact"/>
              <w:rPr>
                <w:sz w:val="20"/>
                <w:szCs w:val="20"/>
                <w:color w:val="auto"/>
              </w:rPr>
            </w:pPr>
            <w:r>
              <w:rPr>
                <w:rFonts w:ascii="Calibri" w:cs="Calibri" w:eastAsia="Calibri" w:hAnsi="Calibri"/>
                <w:sz w:val="18"/>
                <w:szCs w:val="18"/>
                <w:b w:val="1"/>
                <w:bCs w:val="1"/>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2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b w:val="1"/>
                <w:bCs w:val="1"/>
                <w:color w:val="auto"/>
              </w:rPr>
              <w:t>NET EARNINGS</w:t>
            </w:r>
          </w:p>
        </w:tc>
        <w:tc>
          <w:tcPr>
            <w:tcW w:w="960" w:type="dxa"/>
            <w:vAlign w:val="bottom"/>
            <w:shd w:val="clear" w:color="auto" w:fill="CFF0FC"/>
          </w:tcPr>
          <w:p>
            <w:pPr>
              <w:jc w:val="right"/>
              <w:ind w:right="770"/>
              <w:spacing w:after="0" w:line="210" w:lineRule="exact"/>
              <w:rPr>
                <w:sz w:val="20"/>
                <w:szCs w:val="20"/>
                <w:color w:val="auto"/>
              </w:rPr>
            </w:pPr>
            <w:r>
              <w:rPr>
                <w:rFonts w:ascii="Calibri" w:cs="Calibri" w:eastAsia="Calibri" w:hAnsi="Calibri"/>
                <w:sz w:val="18"/>
                <w:szCs w:val="18"/>
                <w:color w:val="auto"/>
                <w:w w:val="87"/>
              </w:rPr>
              <w:t>$</w:t>
            </w:r>
          </w:p>
        </w:tc>
        <w:tc>
          <w:tcPr>
            <w:tcW w:w="44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102</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line="210" w:lineRule="exact"/>
              <w:rPr>
                <w:sz w:val="20"/>
                <w:szCs w:val="20"/>
                <w:color w:val="auto"/>
              </w:rPr>
            </w:pPr>
            <w:r>
              <w:rPr>
                <w:rFonts w:ascii="Calibri" w:cs="Calibri" w:eastAsia="Calibri" w:hAnsi="Calibri"/>
                <w:sz w:val="18"/>
                <w:szCs w:val="18"/>
                <w:color w:val="auto"/>
                <w:w w:val="87"/>
              </w:rPr>
              <w:t>$</w:t>
            </w:r>
          </w:p>
        </w:tc>
        <w:tc>
          <w:tcPr>
            <w:tcW w:w="108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75</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line="210" w:lineRule="exact"/>
              <w:rPr>
                <w:sz w:val="20"/>
                <w:szCs w:val="20"/>
                <w:color w:val="auto"/>
              </w:rPr>
            </w:pPr>
            <w:r>
              <w:rPr>
                <w:rFonts w:ascii="Calibri" w:cs="Calibri" w:eastAsia="Calibri" w:hAnsi="Calibri"/>
                <w:sz w:val="18"/>
                <w:szCs w:val="18"/>
                <w:color w:val="auto"/>
                <w:w w:val="87"/>
              </w:rPr>
              <w:t>$</w:t>
            </w:r>
          </w:p>
        </w:tc>
        <w:tc>
          <w:tcPr>
            <w:tcW w:w="108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26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Other comprehensive (loss) income, net:</w:t>
            </w:r>
          </w:p>
        </w:tc>
        <w:tc>
          <w:tcPr>
            <w:tcW w:w="9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420" w:type="dxa"/>
            <w:vAlign w:val="bottom"/>
          </w:tcPr>
          <w:p>
            <w:pPr>
              <w:ind w:left="20"/>
              <w:spacing w:after="0" w:line="215" w:lineRule="exact"/>
              <w:rPr>
                <w:sz w:val="20"/>
                <w:szCs w:val="20"/>
                <w:color w:val="auto"/>
              </w:rPr>
            </w:pPr>
            <w:r>
              <w:rPr>
                <w:rFonts w:ascii="Calibri" w:cs="Calibri" w:eastAsia="Calibri" w:hAnsi="Calibri"/>
                <w:sz w:val="18"/>
                <w:szCs w:val="18"/>
                <w:color w:val="auto"/>
              </w:rPr>
              <w:t>Currency translaton adjustments</w:t>
            </w:r>
          </w:p>
        </w:tc>
        <w:tc>
          <w:tcPr>
            <w:tcW w:w="960" w:type="dxa"/>
            <w:vAlign w:val="bottom"/>
          </w:tcPr>
          <w:p>
            <w:pPr>
              <w:spacing w:after="0"/>
              <w:rPr>
                <w:sz w:val="18"/>
                <w:szCs w:val="18"/>
                <w:color w:val="auto"/>
              </w:rPr>
            </w:pPr>
          </w:p>
        </w:tc>
        <w:tc>
          <w:tcPr>
            <w:tcW w:w="700" w:type="dxa"/>
            <w:vAlign w:val="bottom"/>
            <w:gridSpan w:val="2"/>
          </w:tcPr>
          <w:p>
            <w:pPr>
              <w:jc w:val="right"/>
              <w:ind w:right="110"/>
              <w:spacing w:after="0" w:line="215" w:lineRule="exact"/>
              <w:rPr>
                <w:sz w:val="20"/>
                <w:szCs w:val="20"/>
                <w:color w:val="auto"/>
              </w:rPr>
            </w:pPr>
            <w:r>
              <w:rPr>
                <w:rFonts w:ascii="Calibri" w:cs="Calibri" w:eastAsia="Calibri" w:hAnsi="Calibri"/>
                <w:sz w:val="18"/>
                <w:szCs w:val="18"/>
                <w:color w:val="auto"/>
              </w:rPr>
              <w:t>(16 )</w:t>
            </w:r>
          </w:p>
        </w:tc>
        <w:tc>
          <w:tcPr>
            <w:tcW w:w="320" w:type="dxa"/>
            <w:vAlign w:val="bottom"/>
          </w:tcPr>
          <w:p>
            <w:pPr>
              <w:spacing w:after="0"/>
              <w:rPr>
                <w:sz w:val="18"/>
                <w:szCs w:val="18"/>
                <w:color w:val="auto"/>
              </w:rPr>
            </w:pPr>
          </w:p>
        </w:tc>
        <w:tc>
          <w:tcPr>
            <w:tcW w:w="134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(8 )</w:t>
            </w:r>
          </w:p>
        </w:tc>
        <w:tc>
          <w:tcPr>
            <w:tcW w:w="320" w:type="dxa"/>
            <w:vAlign w:val="bottom"/>
          </w:tcPr>
          <w:p>
            <w:pPr>
              <w:spacing w:after="0"/>
              <w:rPr>
                <w:sz w:val="18"/>
                <w:szCs w:val="18"/>
                <w:color w:val="auto"/>
              </w:rPr>
            </w:pPr>
          </w:p>
        </w:tc>
        <w:tc>
          <w:tcPr>
            <w:tcW w:w="118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(12 )</w:t>
            </w:r>
          </w:p>
        </w:tc>
        <w:tc>
          <w:tcPr>
            <w:tcW w:w="0" w:type="dxa"/>
            <w:vAlign w:val="bottom"/>
          </w:tcPr>
          <w:p>
            <w:pPr>
              <w:spacing w:after="0"/>
              <w:rPr>
                <w:sz w:val="1"/>
                <w:szCs w:val="1"/>
                <w:color w:val="auto"/>
              </w:rPr>
            </w:pPr>
          </w:p>
        </w:tc>
      </w:tr>
      <w:tr>
        <w:trPr>
          <w:trHeight w:val="194"/>
        </w:trPr>
        <w:tc>
          <w:tcPr>
            <w:tcW w:w="6420" w:type="dxa"/>
            <w:vAlign w:val="bottom"/>
            <w:shd w:val="clear" w:color="auto" w:fill="CFF0FC"/>
          </w:tcPr>
          <w:p>
            <w:pPr>
              <w:ind w:left="20"/>
              <w:spacing w:after="0" w:line="194" w:lineRule="exact"/>
              <w:rPr>
                <w:sz w:val="20"/>
                <w:szCs w:val="20"/>
                <w:color w:val="auto"/>
              </w:rPr>
            </w:pPr>
            <w:r>
              <w:rPr>
                <w:rFonts w:ascii="Calibri" w:cs="Calibri" w:eastAsia="Calibri" w:hAnsi="Calibri"/>
                <w:sz w:val="18"/>
                <w:szCs w:val="18"/>
                <w:color w:val="auto"/>
              </w:rPr>
              <w:t>Pension and other postretrement beneft plan obligaton actvity,</w:t>
            </w:r>
          </w:p>
        </w:tc>
        <w:tc>
          <w:tcPr>
            <w:tcW w:w="960" w:type="dxa"/>
            <w:vAlign w:val="bottom"/>
            <w:shd w:val="clear" w:color="auto" w:fill="CFF0FC"/>
          </w:tcPr>
          <w:p>
            <w:pPr>
              <w:spacing w:after="0"/>
              <w:rPr>
                <w:sz w:val="16"/>
                <w:szCs w:val="16"/>
                <w:color w:val="auto"/>
              </w:rPr>
            </w:pPr>
          </w:p>
        </w:tc>
        <w:tc>
          <w:tcPr>
            <w:tcW w:w="700" w:type="dxa"/>
            <w:vAlign w:val="bottom"/>
            <w:gridSpan w:val="2"/>
            <w:vMerge w:val="restart"/>
            <w:shd w:val="clear" w:color="auto" w:fill="CFF0FC"/>
          </w:tcPr>
          <w:p>
            <w:pPr>
              <w:jc w:val="right"/>
              <w:ind w:right="110"/>
              <w:spacing w:after="0"/>
              <w:rPr>
                <w:sz w:val="20"/>
                <w:szCs w:val="20"/>
                <w:color w:val="auto"/>
              </w:rPr>
            </w:pPr>
            <w:r>
              <w:rPr>
                <w:rFonts w:ascii="Calibri" w:cs="Calibri" w:eastAsia="Calibri" w:hAnsi="Calibri"/>
                <w:sz w:val="18"/>
                <w:szCs w:val="18"/>
                <w:color w:val="auto"/>
              </w:rPr>
              <w:t>(369 )</w:t>
            </w:r>
          </w:p>
        </w:tc>
        <w:tc>
          <w:tcPr>
            <w:tcW w:w="320" w:type="dxa"/>
            <w:vAlign w:val="bottom"/>
            <w:shd w:val="clear" w:color="auto" w:fill="CFF0FC"/>
          </w:tcPr>
          <w:p>
            <w:pPr>
              <w:spacing w:after="0"/>
              <w:rPr>
                <w:sz w:val="16"/>
                <w:szCs w:val="16"/>
                <w:color w:val="auto"/>
              </w:rPr>
            </w:pPr>
          </w:p>
        </w:tc>
        <w:tc>
          <w:tcPr>
            <w:tcW w:w="1340" w:type="dxa"/>
            <w:vAlign w:val="bottom"/>
            <w:gridSpan w:val="2"/>
            <w:vMerge w:val="restart"/>
            <w:shd w:val="clear" w:color="auto" w:fill="CFF0FC"/>
          </w:tcPr>
          <w:p>
            <w:pPr>
              <w:jc w:val="right"/>
              <w:ind w:right="200"/>
              <w:spacing w:after="0"/>
              <w:rPr>
                <w:sz w:val="20"/>
                <w:szCs w:val="20"/>
                <w:color w:val="auto"/>
              </w:rPr>
            </w:pPr>
            <w:r>
              <w:rPr>
                <w:rFonts w:ascii="Calibri" w:cs="Calibri" w:eastAsia="Calibri" w:hAnsi="Calibri"/>
                <w:sz w:val="18"/>
                <w:szCs w:val="18"/>
                <w:color w:val="auto"/>
              </w:rPr>
              <w:t>(173 )</w:t>
            </w:r>
          </w:p>
        </w:tc>
        <w:tc>
          <w:tcPr>
            <w:tcW w:w="320" w:type="dxa"/>
            <w:vAlign w:val="bottom"/>
            <w:shd w:val="clear" w:color="auto" w:fill="CFF0FC"/>
          </w:tcPr>
          <w:p>
            <w:pPr>
              <w:spacing w:after="0"/>
              <w:rPr>
                <w:sz w:val="16"/>
                <w:szCs w:val="16"/>
                <w:color w:val="auto"/>
              </w:rPr>
            </w:pPr>
          </w:p>
        </w:tc>
        <w:tc>
          <w:tcPr>
            <w:tcW w:w="108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color w:val="auto"/>
              </w:rPr>
              <w:t>253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6420" w:type="dxa"/>
            <w:vAlign w:val="bottom"/>
            <w:shd w:val="clear" w:color="auto" w:fill="CFF0FC"/>
          </w:tcPr>
          <w:p>
            <w:pPr>
              <w:ind w:left="140"/>
              <w:spacing w:after="0" w:line="215" w:lineRule="exact"/>
              <w:rPr>
                <w:sz w:val="20"/>
                <w:szCs w:val="20"/>
                <w:color w:val="auto"/>
              </w:rPr>
            </w:pPr>
            <w:r>
              <w:rPr>
                <w:rFonts w:ascii="Calibri" w:cs="Calibri" w:eastAsia="Calibri" w:hAnsi="Calibri"/>
                <w:sz w:val="18"/>
                <w:szCs w:val="18"/>
                <w:color w:val="auto"/>
              </w:rPr>
              <w:t>net of tax</w:t>
            </w:r>
          </w:p>
        </w:tc>
        <w:tc>
          <w:tcPr>
            <w:tcW w:w="960" w:type="dxa"/>
            <w:vAlign w:val="bottom"/>
            <w:shd w:val="clear" w:color="auto" w:fill="CFF0FC"/>
          </w:tcPr>
          <w:p>
            <w:pPr>
              <w:spacing w:after="0"/>
              <w:rPr>
                <w:sz w:val="19"/>
                <w:szCs w:val="19"/>
                <w:color w:val="auto"/>
              </w:rPr>
            </w:pPr>
          </w:p>
        </w:tc>
        <w:tc>
          <w:tcPr>
            <w:tcW w:w="700" w:type="dxa"/>
            <w:vAlign w:val="bottom"/>
            <w:gridSpan w:val="2"/>
            <w:vMerge w:val="continue"/>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40" w:type="dxa"/>
            <w:vAlign w:val="bottom"/>
            <w:gridSpan w:val="2"/>
            <w:vMerge w:val="continue"/>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6420" w:type="dxa"/>
            <w:vAlign w:val="bottom"/>
          </w:tcPr>
          <w:p>
            <w:pPr>
              <w:ind w:left="20"/>
              <w:spacing w:after="0" w:line="214" w:lineRule="exact"/>
              <w:rPr>
                <w:sz w:val="20"/>
                <w:szCs w:val="20"/>
                <w:color w:val="auto"/>
              </w:rPr>
            </w:pPr>
            <w:r>
              <w:rPr>
                <w:rFonts w:ascii="Calibri" w:cs="Calibri" w:eastAsia="Calibri" w:hAnsi="Calibri"/>
                <w:sz w:val="18"/>
                <w:szCs w:val="18"/>
                <w:color w:val="auto"/>
              </w:rPr>
              <w:t>Other comprehensive (loss) income, net atributable to Eastman Kodak Company</w:t>
            </w:r>
          </w:p>
        </w:tc>
        <w:tc>
          <w:tcPr>
            <w:tcW w:w="960" w:type="dxa"/>
            <w:vAlign w:val="bottom"/>
          </w:tcPr>
          <w:p>
            <w:pPr>
              <w:spacing w:after="0"/>
              <w:rPr>
                <w:sz w:val="18"/>
                <w:szCs w:val="18"/>
                <w:color w:val="auto"/>
              </w:rPr>
            </w:pPr>
          </w:p>
        </w:tc>
        <w:tc>
          <w:tcPr>
            <w:tcW w:w="700" w:type="dxa"/>
            <w:vAlign w:val="bottom"/>
            <w:gridSpan w:val="2"/>
          </w:tcPr>
          <w:p>
            <w:pPr>
              <w:jc w:val="right"/>
              <w:ind w:right="110"/>
              <w:spacing w:after="0" w:line="214" w:lineRule="exact"/>
              <w:rPr>
                <w:sz w:val="20"/>
                <w:szCs w:val="20"/>
                <w:color w:val="auto"/>
              </w:rPr>
            </w:pPr>
            <w:r>
              <w:rPr>
                <w:rFonts w:ascii="Calibri" w:cs="Calibri" w:eastAsia="Calibri" w:hAnsi="Calibri"/>
                <w:sz w:val="18"/>
                <w:szCs w:val="18"/>
                <w:color w:val="auto"/>
              </w:rPr>
              <w:t>(385 )</w:t>
            </w:r>
          </w:p>
        </w:tc>
        <w:tc>
          <w:tcPr>
            <w:tcW w:w="320" w:type="dxa"/>
            <w:vAlign w:val="bottom"/>
          </w:tcPr>
          <w:p>
            <w:pPr>
              <w:spacing w:after="0"/>
              <w:rPr>
                <w:sz w:val="18"/>
                <w:szCs w:val="18"/>
                <w:color w:val="auto"/>
              </w:rPr>
            </w:pPr>
          </w:p>
        </w:tc>
        <w:tc>
          <w:tcPr>
            <w:tcW w:w="1340" w:type="dxa"/>
            <w:vAlign w:val="bottom"/>
            <w:gridSpan w:val="2"/>
          </w:tcPr>
          <w:p>
            <w:pPr>
              <w:jc w:val="right"/>
              <w:ind w:right="200"/>
              <w:spacing w:after="0" w:line="214" w:lineRule="exact"/>
              <w:rPr>
                <w:sz w:val="20"/>
                <w:szCs w:val="20"/>
                <w:color w:val="auto"/>
              </w:rPr>
            </w:pPr>
            <w:r>
              <w:rPr>
                <w:rFonts w:ascii="Calibri" w:cs="Calibri" w:eastAsia="Calibri" w:hAnsi="Calibri"/>
                <w:sz w:val="18"/>
                <w:szCs w:val="18"/>
                <w:color w:val="auto"/>
              </w:rPr>
              <w:t>(181 )</w:t>
            </w:r>
          </w:p>
        </w:tc>
        <w:tc>
          <w:tcPr>
            <w:tcW w:w="320" w:type="dxa"/>
            <w:vAlign w:val="bottom"/>
          </w:tcPr>
          <w:p>
            <w:pPr>
              <w:spacing w:after="0"/>
              <w:rPr>
                <w:sz w:val="18"/>
                <w:szCs w:val="18"/>
                <w:color w:val="auto"/>
              </w:rPr>
            </w:pPr>
          </w:p>
        </w:tc>
        <w:tc>
          <w:tcPr>
            <w:tcW w:w="1080" w:type="dxa"/>
            <w:vAlign w:val="bottom"/>
          </w:tcPr>
          <w:p>
            <w:pPr>
              <w:jc w:val="right"/>
              <w:spacing w:after="0" w:line="214" w:lineRule="exact"/>
              <w:rPr>
                <w:sz w:val="20"/>
                <w:szCs w:val="20"/>
                <w:color w:val="auto"/>
              </w:rPr>
            </w:pPr>
            <w:r>
              <w:rPr>
                <w:rFonts w:ascii="Calibri" w:cs="Calibri" w:eastAsia="Calibri" w:hAnsi="Calibri"/>
                <w:sz w:val="18"/>
                <w:szCs w:val="18"/>
                <w:color w:val="auto"/>
              </w:rPr>
              <w:t>241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420" w:type="dxa"/>
            <w:vAlign w:val="bottom"/>
            <w:shd w:val="clear" w:color="auto" w:fill="CFF0FC"/>
          </w:tcPr>
          <w:p>
            <w:pPr>
              <w:ind w:left="20"/>
              <w:spacing w:after="0" w:line="209" w:lineRule="exact"/>
              <w:rPr>
                <w:sz w:val="20"/>
                <w:szCs w:val="20"/>
                <w:color w:val="auto"/>
              </w:rPr>
            </w:pPr>
            <w:r>
              <w:rPr>
                <w:rFonts w:ascii="Calibri" w:cs="Calibri" w:eastAsia="Calibri" w:hAnsi="Calibri"/>
                <w:sz w:val="18"/>
                <w:szCs w:val="18"/>
                <w:color w:val="auto"/>
              </w:rPr>
              <w:t>COMPREHENSIVE (LOSS) INCOME, NET</w:t>
            </w:r>
          </w:p>
        </w:tc>
        <w:tc>
          <w:tcPr>
            <w:tcW w:w="960" w:type="dxa"/>
            <w:vAlign w:val="bottom"/>
            <w:shd w:val="clear" w:color="auto" w:fill="CFF0FC"/>
          </w:tcPr>
          <w:p>
            <w:pPr>
              <w:jc w:val="right"/>
              <w:ind w:right="770"/>
              <w:spacing w:after="0" w:line="209" w:lineRule="exact"/>
              <w:rPr>
                <w:sz w:val="20"/>
                <w:szCs w:val="20"/>
                <w:color w:val="auto"/>
              </w:rPr>
            </w:pPr>
            <w:r>
              <w:rPr>
                <w:rFonts w:ascii="Calibri" w:cs="Calibri" w:eastAsia="Calibri" w:hAnsi="Calibri"/>
                <w:sz w:val="18"/>
                <w:szCs w:val="18"/>
                <w:color w:val="auto"/>
                <w:w w:val="87"/>
              </w:rPr>
              <w:t>$</w:t>
            </w:r>
          </w:p>
        </w:tc>
        <w:tc>
          <w:tcPr>
            <w:tcW w:w="700" w:type="dxa"/>
            <w:vAlign w:val="bottom"/>
            <w:gridSpan w:val="2"/>
            <w:shd w:val="clear" w:color="auto" w:fill="CFF0FC"/>
          </w:tcPr>
          <w:p>
            <w:pPr>
              <w:jc w:val="right"/>
              <w:ind w:right="110"/>
              <w:spacing w:after="0" w:line="209" w:lineRule="exact"/>
              <w:rPr>
                <w:sz w:val="20"/>
                <w:szCs w:val="20"/>
                <w:color w:val="auto"/>
              </w:rPr>
            </w:pPr>
            <w:r>
              <w:rPr>
                <w:rFonts w:ascii="Calibri" w:cs="Calibri" w:eastAsia="Calibri" w:hAnsi="Calibri"/>
                <w:sz w:val="18"/>
                <w:szCs w:val="18"/>
                <w:color w:val="auto"/>
              </w:rPr>
              <w:t>(283 )</w:t>
            </w:r>
          </w:p>
        </w:tc>
        <w:tc>
          <w:tcPr>
            <w:tcW w:w="320" w:type="dxa"/>
            <w:vAlign w:val="bottom"/>
            <w:shd w:val="clear" w:color="auto" w:fill="CFF0FC"/>
          </w:tcPr>
          <w:p>
            <w:pPr>
              <w:jc w:val="right"/>
              <w:ind w:right="130"/>
              <w:spacing w:after="0" w:line="209" w:lineRule="exact"/>
              <w:rPr>
                <w:sz w:val="20"/>
                <w:szCs w:val="20"/>
                <w:color w:val="auto"/>
              </w:rPr>
            </w:pPr>
            <w:r>
              <w:rPr>
                <w:rFonts w:ascii="Calibri" w:cs="Calibri" w:eastAsia="Calibri" w:hAnsi="Calibri"/>
                <w:sz w:val="18"/>
                <w:szCs w:val="18"/>
                <w:color w:val="auto"/>
                <w:w w:val="87"/>
              </w:rPr>
              <w:t>$</w:t>
            </w:r>
          </w:p>
        </w:tc>
        <w:tc>
          <w:tcPr>
            <w:tcW w:w="1340" w:type="dxa"/>
            <w:vAlign w:val="bottom"/>
            <w:gridSpan w:val="2"/>
            <w:shd w:val="clear" w:color="auto" w:fill="CFF0FC"/>
          </w:tcPr>
          <w:p>
            <w:pPr>
              <w:jc w:val="right"/>
              <w:ind w:right="200"/>
              <w:spacing w:after="0" w:line="209" w:lineRule="exact"/>
              <w:rPr>
                <w:sz w:val="20"/>
                <w:szCs w:val="20"/>
                <w:color w:val="auto"/>
              </w:rPr>
            </w:pPr>
            <w:r>
              <w:rPr>
                <w:rFonts w:ascii="Calibri" w:cs="Calibri" w:eastAsia="Calibri" w:hAnsi="Calibri"/>
                <w:sz w:val="18"/>
                <w:szCs w:val="18"/>
                <w:color w:val="auto"/>
              </w:rPr>
              <w:t>(106 )</w:t>
            </w:r>
          </w:p>
        </w:tc>
        <w:tc>
          <w:tcPr>
            <w:tcW w:w="320" w:type="dxa"/>
            <w:vAlign w:val="bottom"/>
            <w:shd w:val="clear" w:color="auto" w:fill="CFF0FC"/>
          </w:tcPr>
          <w:p>
            <w:pPr>
              <w:jc w:val="right"/>
              <w:ind w:right="130"/>
              <w:spacing w:after="0" w:line="209" w:lineRule="exact"/>
              <w:rPr>
                <w:sz w:val="20"/>
                <w:szCs w:val="20"/>
                <w:color w:val="auto"/>
              </w:rPr>
            </w:pPr>
            <w:r>
              <w:rPr>
                <w:rFonts w:ascii="Calibri" w:cs="Calibri" w:eastAsia="Calibri" w:hAnsi="Calibri"/>
                <w:sz w:val="18"/>
                <w:szCs w:val="18"/>
                <w:color w:val="auto"/>
                <w:w w:val="87"/>
              </w:rPr>
              <w:t>$</w:t>
            </w:r>
          </w:p>
        </w:tc>
        <w:tc>
          <w:tcPr>
            <w:tcW w:w="108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267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2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-316865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-316865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-25400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-8255</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-25400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-8255</wp:posOffset>
            </wp:positionV>
            <wp:extent cx="685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Calibri" w:cs="Calibri" w:eastAsia="Calibri" w:hAnsi="Calibri"/>
          <w:sz w:val="18"/>
          <w:szCs w:val="18"/>
          <w:color w:val="auto"/>
        </w:rPr>
        <w:t>The accompanying notes are an integral part of these consolidated fnancial statements.</w:t>
      </w:r>
    </w:p>
    <w:p>
      <w:pPr>
        <w:spacing w:after="0" w:line="185" w:lineRule="exact"/>
        <w:rPr>
          <w:sz w:val="20"/>
          <w:szCs w:val="20"/>
          <w:color w:val="auto"/>
        </w:rPr>
      </w:pPr>
    </w:p>
    <w:p>
      <w:pPr>
        <w:ind w:left="5540"/>
        <w:spacing w:after="0"/>
        <w:rPr>
          <w:sz w:val="20"/>
          <w:szCs w:val="20"/>
          <w:color w:val="auto"/>
        </w:rPr>
      </w:pPr>
      <w:r>
        <w:rPr>
          <w:rFonts w:ascii="Calibri" w:cs="Calibri" w:eastAsia="Calibri" w:hAnsi="Calibri"/>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6" w:name="page57"/>
    <w:bookmarkEnd w:id="56"/>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EASTMAN KODAK COMPANY</w:t>
      </w:r>
    </w:p>
    <w:p>
      <w:pPr>
        <w:spacing w:after="0" w:line="235" w:lineRule="auto"/>
        <w:rPr>
          <w:sz w:val="20"/>
          <w:szCs w:val="20"/>
          <w:color w:val="auto"/>
        </w:rPr>
      </w:pPr>
      <w:r>
        <w:rPr>
          <w:rFonts w:ascii="Calibri" w:cs="Calibri" w:eastAsia="Calibri" w:hAnsi="Calibri"/>
          <w:sz w:val="18"/>
          <w:szCs w:val="18"/>
          <w:b w:val="1"/>
          <w:bCs w:val="1"/>
          <w:color w:val="auto"/>
        </w:rPr>
        <w:t>CONSOLIDATED STATEMENT OF FINANCIAL POSITION</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20"/>
                <w:szCs w:val="20"/>
                <w:color w:val="auto"/>
              </w:rPr>
            </w:pPr>
            <w:r>
              <w:rPr>
                <w:rFonts w:ascii="Calibri" w:cs="Calibri" w:eastAsia="Calibri" w:hAnsi="Calibri"/>
                <w:sz w:val="14"/>
                <w:szCs w:val="14"/>
                <w:color w:val="auto"/>
              </w:rPr>
              <w:t>(in millions, except per share data)</w:t>
            </w:r>
          </w:p>
        </w:tc>
        <w:tc>
          <w:tcPr>
            <w:tcW w:w="980" w:type="dxa"/>
            <w:vAlign w:val="bottom"/>
          </w:tcPr>
          <w:p>
            <w:pPr>
              <w:spacing w:after="0"/>
              <w:rPr>
                <w:sz w:val="14"/>
                <w:szCs w:val="14"/>
                <w:color w:val="auto"/>
              </w:rPr>
            </w:pPr>
          </w:p>
        </w:tc>
        <w:tc>
          <w:tcPr>
            <w:tcW w:w="1460" w:type="dxa"/>
            <w:vAlign w:val="bottom"/>
            <w:gridSpan w:val="3"/>
            <w:vMerge w:val="restart"/>
          </w:tcPr>
          <w:p>
            <w:pPr>
              <w:jc w:val="right"/>
              <w:spacing w:after="0"/>
              <w:rPr>
                <w:sz w:val="20"/>
                <w:szCs w:val="20"/>
                <w:color w:val="auto"/>
              </w:rPr>
            </w:pPr>
            <w:r>
              <w:rPr>
                <w:rFonts w:ascii="Calibri" w:cs="Calibri" w:eastAsia="Calibri" w:hAnsi="Calibri"/>
                <w:sz w:val="18"/>
                <w:szCs w:val="18"/>
                <w:b w:val="1"/>
                <w:bCs w:val="1"/>
                <w:color w:val="auto"/>
                <w:w w:val="97"/>
              </w:rPr>
              <w:t>As of December 31,</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7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60" w:type="dxa"/>
            <w:vAlign w:val="bottom"/>
            <w:gridSpan w:val="3"/>
            <w:vMerge w:val="continue"/>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77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720" w:type="dxa"/>
            <w:vAlign w:val="bottom"/>
          </w:tcPr>
          <w:p>
            <w:pPr>
              <w:spacing w:after="0"/>
              <w:rPr>
                <w:sz w:val="18"/>
                <w:szCs w:val="18"/>
                <w:color w:val="auto"/>
              </w:rPr>
            </w:pPr>
          </w:p>
        </w:tc>
        <w:tc>
          <w:tcPr>
            <w:tcW w:w="98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2024</w:t>
            </w:r>
          </w:p>
        </w:tc>
        <w:tc>
          <w:tcPr>
            <w:tcW w:w="58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30"/>
              <w:spacing w:after="0" w:line="209" w:lineRule="exact"/>
              <w:rPr>
                <w:sz w:val="20"/>
                <w:szCs w:val="20"/>
                <w:color w:val="auto"/>
              </w:rPr>
            </w:pPr>
            <w:r>
              <w:rPr>
                <w:rFonts w:ascii="Calibri" w:cs="Calibri" w:eastAsia="Calibri" w:hAnsi="Calibri"/>
                <w:sz w:val="18"/>
                <w:szCs w:val="18"/>
                <w:b w:val="1"/>
                <w:bCs w:val="1"/>
                <w:color w:val="auto"/>
                <w:w w:val="93"/>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b w:val="1"/>
                <w:bCs w:val="1"/>
                <w:color w:val="auto"/>
              </w:rPr>
              <w:t>ASSETS</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20" w:type="dxa"/>
            <w:vAlign w:val="bottom"/>
          </w:tcPr>
          <w:p>
            <w:pPr>
              <w:ind w:left="20"/>
              <w:spacing w:after="0" w:line="215" w:lineRule="exact"/>
              <w:rPr>
                <w:sz w:val="20"/>
                <w:szCs w:val="20"/>
                <w:color w:val="auto"/>
              </w:rPr>
            </w:pPr>
            <w:r>
              <w:rPr>
                <w:rFonts w:ascii="Calibri" w:cs="Calibri" w:eastAsia="Calibri" w:hAnsi="Calibri"/>
                <w:sz w:val="18"/>
                <w:szCs w:val="18"/>
                <w:color w:val="auto"/>
              </w:rPr>
              <w:t>Cash and cash equivalents</w:t>
            </w:r>
          </w:p>
        </w:tc>
        <w:tc>
          <w:tcPr>
            <w:tcW w:w="980" w:type="dxa"/>
            <w:vAlign w:val="bottom"/>
          </w:tcPr>
          <w:p>
            <w:pPr>
              <w:jc w:val="right"/>
              <w:ind w:right="790"/>
              <w:spacing w:after="0" w:line="215" w:lineRule="exact"/>
              <w:rPr>
                <w:sz w:val="20"/>
                <w:szCs w:val="20"/>
                <w:color w:val="auto"/>
              </w:rPr>
            </w:pPr>
            <w:r>
              <w:rPr>
                <w:rFonts w:ascii="Calibri" w:cs="Calibri" w:eastAsia="Calibri" w:hAnsi="Calibri"/>
                <w:sz w:val="18"/>
                <w:szCs w:val="18"/>
                <w:color w:val="auto"/>
                <w:w w:val="87"/>
              </w:rPr>
              <w:t>$</w:t>
            </w:r>
          </w:p>
        </w:tc>
        <w:tc>
          <w:tcPr>
            <w:tcW w:w="580" w:type="dxa"/>
            <w:vAlign w:val="bottom"/>
          </w:tcPr>
          <w:p>
            <w:pPr>
              <w:jc w:val="right"/>
              <w:spacing w:after="0" w:line="215" w:lineRule="exact"/>
              <w:rPr>
                <w:sz w:val="20"/>
                <w:szCs w:val="20"/>
                <w:color w:val="auto"/>
              </w:rPr>
            </w:pPr>
            <w:r>
              <w:rPr>
                <w:rFonts w:ascii="Calibri" w:cs="Calibri" w:eastAsia="Calibri" w:hAnsi="Calibri"/>
                <w:sz w:val="18"/>
                <w:szCs w:val="18"/>
                <w:color w:val="auto"/>
              </w:rPr>
              <w:t>201</w:t>
            </w:r>
          </w:p>
        </w:tc>
        <w:tc>
          <w:tcPr>
            <w:tcW w:w="280" w:type="dxa"/>
            <w:vAlign w:val="bottom"/>
          </w:tcPr>
          <w:p>
            <w:pPr>
              <w:spacing w:after="0"/>
              <w:rPr>
                <w:sz w:val="18"/>
                <w:szCs w:val="18"/>
                <w:color w:val="auto"/>
              </w:rPr>
            </w:pPr>
          </w:p>
        </w:tc>
        <w:tc>
          <w:tcPr>
            <w:tcW w:w="600" w:type="dxa"/>
            <w:vAlign w:val="bottom"/>
          </w:tcPr>
          <w:p>
            <w:pPr>
              <w:jc w:val="right"/>
              <w:ind w:right="390"/>
              <w:spacing w:after="0" w:line="215" w:lineRule="exact"/>
              <w:rPr>
                <w:sz w:val="20"/>
                <w:szCs w:val="20"/>
                <w:color w:val="auto"/>
              </w:rPr>
            </w:pPr>
            <w:r>
              <w:rPr>
                <w:rFonts w:ascii="Calibri" w:cs="Calibri" w:eastAsia="Calibri" w:hAnsi="Calibri"/>
                <w:sz w:val="18"/>
                <w:szCs w:val="18"/>
                <w:color w:val="auto"/>
              </w:rPr>
              <w:t>$</w:t>
            </w: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255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72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Trade receivables, net of allowances of $7 and $8 respectvely</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138</w:t>
            </w:r>
          </w:p>
        </w:tc>
        <w:tc>
          <w:tcPr>
            <w:tcW w:w="2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195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20" w:type="dxa"/>
            <w:vAlign w:val="bottom"/>
          </w:tcPr>
          <w:p>
            <w:pPr>
              <w:ind w:left="20"/>
              <w:spacing w:after="0" w:line="215" w:lineRule="exact"/>
              <w:rPr>
                <w:sz w:val="20"/>
                <w:szCs w:val="20"/>
                <w:color w:val="auto"/>
              </w:rPr>
            </w:pPr>
            <w:r>
              <w:rPr>
                <w:rFonts w:ascii="Calibri" w:cs="Calibri" w:eastAsia="Calibri" w:hAnsi="Calibri"/>
                <w:sz w:val="18"/>
                <w:szCs w:val="18"/>
                <w:color w:val="auto"/>
              </w:rPr>
              <w:t>Inventories, net</w:t>
            </w:r>
          </w:p>
        </w:tc>
        <w:tc>
          <w:tcPr>
            <w:tcW w:w="980" w:type="dxa"/>
            <w:vAlign w:val="bottom"/>
          </w:tcPr>
          <w:p>
            <w:pPr>
              <w:spacing w:after="0"/>
              <w:rPr>
                <w:sz w:val="18"/>
                <w:szCs w:val="18"/>
                <w:color w:val="auto"/>
              </w:rPr>
            </w:pPr>
          </w:p>
        </w:tc>
        <w:tc>
          <w:tcPr>
            <w:tcW w:w="580" w:type="dxa"/>
            <w:vAlign w:val="bottom"/>
          </w:tcPr>
          <w:p>
            <w:pPr>
              <w:jc w:val="right"/>
              <w:spacing w:after="0" w:line="215" w:lineRule="exact"/>
              <w:rPr>
                <w:sz w:val="20"/>
                <w:szCs w:val="20"/>
                <w:color w:val="auto"/>
              </w:rPr>
            </w:pPr>
            <w:r>
              <w:rPr>
                <w:rFonts w:ascii="Calibri" w:cs="Calibri" w:eastAsia="Calibri" w:hAnsi="Calibri"/>
                <w:sz w:val="18"/>
                <w:szCs w:val="18"/>
                <w:color w:val="auto"/>
              </w:rPr>
              <w:t>219</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217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72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Other current assets</w:t>
            </w:r>
          </w:p>
        </w:tc>
        <w:tc>
          <w:tcPr>
            <w:tcW w:w="9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37</w:t>
            </w:r>
          </w:p>
        </w:tc>
        <w:tc>
          <w:tcPr>
            <w:tcW w:w="280" w:type="dxa"/>
            <w:vAlign w:val="bottom"/>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45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tcPr>
          <w:p>
            <w:pPr>
              <w:ind w:left="200"/>
              <w:spacing w:after="0" w:line="195" w:lineRule="exact"/>
              <w:rPr>
                <w:sz w:val="20"/>
                <w:szCs w:val="20"/>
                <w:color w:val="auto"/>
              </w:rPr>
            </w:pPr>
            <w:r>
              <w:rPr>
                <w:rFonts w:ascii="Calibri" w:cs="Calibri" w:eastAsia="Calibri" w:hAnsi="Calibri"/>
                <w:sz w:val="18"/>
                <w:szCs w:val="18"/>
                <w:color w:val="auto"/>
              </w:rPr>
              <w:t>Total current assets</w:t>
            </w:r>
          </w:p>
        </w:tc>
        <w:tc>
          <w:tcPr>
            <w:tcW w:w="980" w:type="dxa"/>
            <w:vAlign w:val="bottom"/>
          </w:tcPr>
          <w:p>
            <w:pPr>
              <w:spacing w:after="0"/>
              <w:rPr>
                <w:sz w:val="18"/>
                <w:szCs w:val="18"/>
                <w:color w:val="auto"/>
              </w:rPr>
            </w:pPr>
          </w:p>
        </w:tc>
        <w:tc>
          <w:tcPr>
            <w:tcW w:w="580" w:type="dxa"/>
            <w:vAlign w:val="bottom"/>
          </w:tcPr>
          <w:p>
            <w:pPr>
              <w:jc w:val="right"/>
              <w:spacing w:after="0" w:line="209" w:lineRule="exact"/>
              <w:rPr>
                <w:sz w:val="20"/>
                <w:szCs w:val="20"/>
                <w:color w:val="auto"/>
              </w:rPr>
            </w:pPr>
            <w:r>
              <w:rPr>
                <w:rFonts w:ascii="Calibri" w:cs="Calibri" w:eastAsia="Calibri" w:hAnsi="Calibri"/>
                <w:sz w:val="18"/>
                <w:szCs w:val="18"/>
                <w:color w:val="auto"/>
              </w:rPr>
              <w:t>595</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jc w:val="right"/>
              <w:spacing w:after="0" w:line="209" w:lineRule="exact"/>
              <w:rPr>
                <w:sz w:val="20"/>
                <w:szCs w:val="20"/>
                <w:color w:val="auto"/>
              </w:rPr>
            </w:pPr>
            <w:r>
              <w:rPr>
                <w:rFonts w:ascii="Calibri" w:cs="Calibri" w:eastAsia="Calibri" w:hAnsi="Calibri"/>
                <w:sz w:val="18"/>
                <w:szCs w:val="18"/>
                <w:color w:val="auto"/>
              </w:rPr>
              <w:t>712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72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Property, plant and equipment, net</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189</w:t>
            </w:r>
          </w:p>
        </w:tc>
        <w:tc>
          <w:tcPr>
            <w:tcW w:w="2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169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20" w:type="dxa"/>
            <w:vAlign w:val="bottom"/>
          </w:tcPr>
          <w:p>
            <w:pPr>
              <w:ind w:left="20"/>
              <w:spacing w:after="0" w:line="215" w:lineRule="exact"/>
              <w:rPr>
                <w:sz w:val="20"/>
                <w:szCs w:val="20"/>
                <w:color w:val="auto"/>
              </w:rPr>
            </w:pPr>
            <w:r>
              <w:rPr>
                <w:rFonts w:ascii="Calibri" w:cs="Calibri" w:eastAsia="Calibri" w:hAnsi="Calibri"/>
                <w:sz w:val="18"/>
                <w:szCs w:val="18"/>
                <w:color w:val="auto"/>
              </w:rPr>
              <w:t>Goodwill</w:t>
            </w:r>
          </w:p>
        </w:tc>
        <w:tc>
          <w:tcPr>
            <w:tcW w:w="980" w:type="dxa"/>
            <w:vAlign w:val="bottom"/>
          </w:tcPr>
          <w:p>
            <w:pPr>
              <w:spacing w:after="0"/>
              <w:rPr>
                <w:sz w:val="18"/>
                <w:szCs w:val="18"/>
                <w:color w:val="auto"/>
              </w:rPr>
            </w:pPr>
          </w:p>
        </w:tc>
        <w:tc>
          <w:tcPr>
            <w:tcW w:w="580" w:type="dxa"/>
            <w:vAlign w:val="bottom"/>
          </w:tcPr>
          <w:p>
            <w:pPr>
              <w:jc w:val="right"/>
              <w:spacing w:after="0" w:line="215" w:lineRule="exact"/>
              <w:rPr>
                <w:sz w:val="20"/>
                <w:szCs w:val="20"/>
                <w:color w:val="auto"/>
              </w:rPr>
            </w:pPr>
            <w:r>
              <w:rPr>
                <w:rFonts w:ascii="Calibri" w:cs="Calibri" w:eastAsia="Calibri" w:hAnsi="Calibri"/>
                <w:sz w:val="18"/>
                <w:szCs w:val="18"/>
                <w:color w:val="auto"/>
              </w:rPr>
              <w:t>12</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72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Intangible assets, net</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20</w:t>
            </w:r>
          </w:p>
        </w:tc>
        <w:tc>
          <w:tcPr>
            <w:tcW w:w="2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20" w:type="dxa"/>
            <w:vAlign w:val="bottom"/>
          </w:tcPr>
          <w:p>
            <w:pPr>
              <w:ind w:left="20"/>
              <w:spacing w:after="0" w:line="215" w:lineRule="exact"/>
              <w:rPr>
                <w:sz w:val="20"/>
                <w:szCs w:val="20"/>
                <w:color w:val="auto"/>
              </w:rPr>
            </w:pPr>
            <w:r>
              <w:rPr>
                <w:rFonts w:ascii="Calibri" w:cs="Calibri" w:eastAsia="Calibri" w:hAnsi="Calibri"/>
                <w:sz w:val="18"/>
                <w:szCs w:val="18"/>
                <w:color w:val="auto"/>
              </w:rPr>
              <w:t>Operatng lease right-of-use assets</w:t>
            </w:r>
          </w:p>
        </w:tc>
        <w:tc>
          <w:tcPr>
            <w:tcW w:w="980" w:type="dxa"/>
            <w:vAlign w:val="bottom"/>
          </w:tcPr>
          <w:p>
            <w:pPr>
              <w:spacing w:after="0"/>
              <w:rPr>
                <w:sz w:val="18"/>
                <w:szCs w:val="18"/>
                <w:color w:val="auto"/>
              </w:rPr>
            </w:pPr>
          </w:p>
        </w:tc>
        <w:tc>
          <w:tcPr>
            <w:tcW w:w="580" w:type="dxa"/>
            <w:vAlign w:val="bottom"/>
          </w:tcPr>
          <w:p>
            <w:pPr>
              <w:jc w:val="right"/>
              <w:spacing w:after="0" w:line="215" w:lineRule="exact"/>
              <w:rPr>
                <w:sz w:val="20"/>
                <w:szCs w:val="20"/>
                <w:color w:val="auto"/>
              </w:rPr>
            </w:pPr>
            <w:r>
              <w:rPr>
                <w:rFonts w:ascii="Calibri" w:cs="Calibri" w:eastAsia="Calibri" w:hAnsi="Calibri"/>
                <w:sz w:val="18"/>
                <w:szCs w:val="18"/>
                <w:color w:val="auto"/>
              </w:rPr>
              <w:t>27</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72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Restricted cash</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92</w:t>
            </w:r>
          </w:p>
        </w:tc>
        <w:tc>
          <w:tcPr>
            <w:tcW w:w="2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110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20" w:type="dxa"/>
            <w:vAlign w:val="bottom"/>
          </w:tcPr>
          <w:p>
            <w:pPr>
              <w:ind w:left="20"/>
              <w:spacing w:after="0" w:line="215" w:lineRule="exact"/>
              <w:rPr>
                <w:sz w:val="20"/>
                <w:szCs w:val="20"/>
                <w:color w:val="auto"/>
              </w:rPr>
            </w:pPr>
            <w:r>
              <w:rPr>
                <w:rFonts w:ascii="Calibri" w:cs="Calibri" w:eastAsia="Calibri" w:hAnsi="Calibri"/>
                <w:sz w:val="18"/>
                <w:szCs w:val="18"/>
                <w:color w:val="auto"/>
              </w:rPr>
              <w:t>Pension and other postretrement assets</w:t>
            </w:r>
          </w:p>
        </w:tc>
        <w:tc>
          <w:tcPr>
            <w:tcW w:w="980" w:type="dxa"/>
            <w:vAlign w:val="bottom"/>
          </w:tcPr>
          <w:p>
            <w:pPr>
              <w:spacing w:after="0"/>
              <w:rPr>
                <w:sz w:val="18"/>
                <w:szCs w:val="18"/>
                <w:color w:val="auto"/>
              </w:rPr>
            </w:pPr>
          </w:p>
        </w:tc>
        <w:tc>
          <w:tcPr>
            <w:tcW w:w="580" w:type="dxa"/>
            <w:vAlign w:val="bottom"/>
          </w:tcPr>
          <w:p>
            <w:pPr>
              <w:jc w:val="right"/>
              <w:spacing w:after="0" w:line="215" w:lineRule="exact"/>
              <w:rPr>
                <w:sz w:val="20"/>
                <w:szCs w:val="20"/>
                <w:color w:val="auto"/>
              </w:rPr>
            </w:pPr>
            <w:r>
              <w:rPr>
                <w:rFonts w:ascii="Calibri" w:cs="Calibri" w:eastAsia="Calibri" w:hAnsi="Calibri"/>
                <w:sz w:val="18"/>
                <w:szCs w:val="18"/>
                <w:color w:val="auto"/>
              </w:rPr>
              <w:t>989</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1,216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Borders>
              <w:bottom w:val="single" w:sz="8" w:color="CFF0FC"/>
            </w:tcBorders>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Other long-term assets</w:t>
            </w:r>
          </w:p>
        </w:tc>
        <w:tc>
          <w:tcPr>
            <w:tcW w:w="9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77</w:t>
            </w:r>
          </w:p>
        </w:tc>
        <w:tc>
          <w:tcPr>
            <w:tcW w:w="28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82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tcPr>
          <w:p>
            <w:pPr>
              <w:ind w:left="200"/>
              <w:spacing w:after="0" w:line="209" w:lineRule="exact"/>
              <w:rPr>
                <w:sz w:val="20"/>
                <w:szCs w:val="20"/>
                <w:color w:val="auto"/>
              </w:rPr>
            </w:pPr>
            <w:r>
              <w:rPr>
                <w:rFonts w:ascii="Calibri" w:cs="Calibri" w:eastAsia="Calibri" w:hAnsi="Calibri"/>
                <w:sz w:val="18"/>
                <w:szCs w:val="18"/>
                <w:b w:val="1"/>
                <w:bCs w:val="1"/>
                <w:color w:val="auto"/>
              </w:rPr>
              <w:t>TOTAL ASSETS</w:t>
            </w:r>
          </w:p>
        </w:tc>
        <w:tc>
          <w:tcPr>
            <w:tcW w:w="980" w:type="dxa"/>
            <w:vAlign w:val="bottom"/>
            <w:tcBorders>
              <w:bottom w:val="single" w:sz="8" w:color="auto"/>
            </w:tcBorders>
          </w:tcPr>
          <w:p>
            <w:pPr>
              <w:jc w:val="right"/>
              <w:ind w:right="790"/>
              <w:spacing w:after="0" w:line="209" w:lineRule="exact"/>
              <w:rPr>
                <w:sz w:val="20"/>
                <w:szCs w:val="20"/>
                <w:color w:val="auto"/>
              </w:rPr>
            </w:pPr>
            <w:r>
              <w:rPr>
                <w:rFonts w:ascii="Calibri" w:cs="Calibri" w:eastAsia="Calibri" w:hAnsi="Calibri"/>
                <w:sz w:val="18"/>
                <w:szCs w:val="18"/>
                <w:b w:val="1"/>
                <w:bCs w:val="1"/>
                <w:color w:val="auto"/>
                <w:w w:val="87"/>
              </w:rPr>
              <w:t>$</w:t>
            </w:r>
          </w:p>
        </w:tc>
        <w:tc>
          <w:tcPr>
            <w:tcW w:w="58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2,001</w:t>
            </w:r>
          </w:p>
        </w:tc>
        <w:tc>
          <w:tcPr>
            <w:tcW w:w="280" w:type="dxa"/>
            <w:vAlign w:val="bottom"/>
          </w:tcPr>
          <w:p>
            <w:pPr>
              <w:spacing w:after="0"/>
              <w:rPr>
                <w:sz w:val="18"/>
                <w:szCs w:val="18"/>
                <w:color w:val="auto"/>
              </w:rPr>
            </w:pPr>
          </w:p>
        </w:tc>
        <w:tc>
          <w:tcPr>
            <w:tcW w:w="600" w:type="dxa"/>
            <w:vAlign w:val="bottom"/>
            <w:tcBorders>
              <w:bottom w:val="single" w:sz="8" w:color="auto"/>
            </w:tcBorders>
          </w:tcPr>
          <w:p>
            <w:pPr>
              <w:jc w:val="right"/>
              <w:ind w:right="390"/>
              <w:spacing w:after="0" w:line="209" w:lineRule="exact"/>
              <w:rPr>
                <w:sz w:val="20"/>
                <w:szCs w:val="20"/>
                <w:color w:val="auto"/>
              </w:rPr>
            </w:pPr>
            <w:r>
              <w:rPr>
                <w:rFonts w:ascii="Calibri" w:cs="Calibri" w:eastAsia="Calibri" w:hAnsi="Calibri"/>
                <w:sz w:val="18"/>
                <w:szCs w:val="18"/>
                <w:b w:val="1"/>
                <w:bCs w:val="1"/>
                <w:color w:val="auto"/>
              </w:rPr>
              <w:t>$</w:t>
            </w:r>
          </w:p>
        </w:tc>
        <w:tc>
          <w:tcPr>
            <w:tcW w:w="98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2,355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720" w:type="dxa"/>
            <w:vAlign w:val="bottom"/>
          </w:tcPr>
          <w:p>
            <w:pPr>
              <w:ind w:left="20"/>
              <w:spacing w:after="0" w:line="215" w:lineRule="exact"/>
              <w:rPr>
                <w:sz w:val="20"/>
                <w:szCs w:val="20"/>
                <w:color w:val="auto"/>
              </w:rPr>
            </w:pPr>
            <w:r>
              <w:rPr>
                <w:rFonts w:ascii="Calibri" w:cs="Calibri" w:eastAsia="Calibri" w:hAnsi="Calibri"/>
                <w:sz w:val="18"/>
                <w:szCs w:val="18"/>
                <w:b w:val="1"/>
                <w:bCs w:val="1"/>
                <w:color w:val="auto"/>
              </w:rPr>
              <w:t>LIABILITIES, REDEEMABLE, CONVERTIBLE PREFERRED STOCK AND EQUITY</w:t>
            </w: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72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Accounts payable, trade</w:t>
            </w:r>
          </w:p>
        </w:tc>
        <w:tc>
          <w:tcPr>
            <w:tcW w:w="980" w:type="dxa"/>
            <w:vAlign w:val="bottom"/>
            <w:shd w:val="clear" w:color="auto" w:fill="CFF0FC"/>
          </w:tcPr>
          <w:p>
            <w:pPr>
              <w:jc w:val="right"/>
              <w:ind w:right="790"/>
              <w:spacing w:after="0" w:line="216" w:lineRule="exact"/>
              <w:rPr>
                <w:sz w:val="20"/>
                <w:szCs w:val="20"/>
                <w:color w:val="auto"/>
              </w:rPr>
            </w:pPr>
            <w:r>
              <w:rPr>
                <w:rFonts w:ascii="Calibri" w:cs="Calibri" w:eastAsia="Calibri" w:hAnsi="Calibri"/>
                <w:sz w:val="18"/>
                <w:szCs w:val="18"/>
                <w:color w:val="auto"/>
                <w:w w:val="87"/>
              </w:rPr>
              <w:t>$</w:t>
            </w:r>
          </w:p>
        </w:tc>
        <w:tc>
          <w:tcPr>
            <w:tcW w:w="5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120</w:t>
            </w:r>
          </w:p>
        </w:tc>
        <w:tc>
          <w:tcPr>
            <w:tcW w:w="28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390"/>
              <w:spacing w:after="0" w:line="216" w:lineRule="exact"/>
              <w:rPr>
                <w:sz w:val="20"/>
                <w:szCs w:val="20"/>
                <w:color w:val="auto"/>
              </w:rPr>
            </w:pPr>
            <w:r>
              <w:rPr>
                <w:rFonts w:ascii="Calibri" w:cs="Calibri" w:eastAsia="Calibri" w:hAnsi="Calibri"/>
                <w:sz w:val="18"/>
                <w:szCs w:val="18"/>
                <w:color w:val="auto"/>
              </w:rPr>
              <w:t>$</w:t>
            </w:r>
          </w:p>
        </w:tc>
        <w:tc>
          <w:tcPr>
            <w:tcW w:w="9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125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20" w:type="dxa"/>
            <w:vAlign w:val="bottom"/>
          </w:tcPr>
          <w:p>
            <w:pPr>
              <w:ind w:left="20"/>
              <w:spacing w:after="0" w:line="215" w:lineRule="exact"/>
              <w:rPr>
                <w:sz w:val="20"/>
                <w:szCs w:val="20"/>
                <w:color w:val="auto"/>
              </w:rPr>
            </w:pPr>
            <w:r>
              <w:rPr>
                <w:rFonts w:ascii="Calibri" w:cs="Calibri" w:eastAsia="Calibri" w:hAnsi="Calibri"/>
                <w:sz w:val="18"/>
                <w:szCs w:val="18"/>
                <w:color w:val="auto"/>
              </w:rPr>
              <w:t>Short-term borrowings and current porton of long-term debt</w:t>
            </w:r>
          </w:p>
        </w:tc>
        <w:tc>
          <w:tcPr>
            <w:tcW w:w="980" w:type="dxa"/>
            <w:vAlign w:val="bottom"/>
          </w:tcPr>
          <w:p>
            <w:pPr>
              <w:spacing w:after="0"/>
              <w:rPr>
                <w:sz w:val="18"/>
                <w:szCs w:val="18"/>
                <w:color w:val="auto"/>
              </w:rPr>
            </w:pPr>
          </w:p>
        </w:tc>
        <w:tc>
          <w:tcPr>
            <w:tcW w:w="580" w:type="dxa"/>
            <w:vAlign w:val="bottom"/>
          </w:tcPr>
          <w:p>
            <w:pPr>
              <w:jc w:val="right"/>
              <w:spacing w:after="0" w:line="215" w:lineRule="exact"/>
              <w:rPr>
                <w:sz w:val="20"/>
                <w:szCs w:val="20"/>
                <w:color w:val="auto"/>
              </w:rPr>
            </w:pPr>
            <w:r>
              <w:rPr>
                <w:rFonts w:ascii="Calibri" w:cs="Calibri" w:eastAsia="Calibri" w:hAnsi="Calibri"/>
                <w:sz w:val="18"/>
                <w:szCs w:val="18"/>
                <w:color w:val="auto"/>
              </w:rPr>
              <w:t>1</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72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Current porton of operatng leases</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11</w:t>
            </w:r>
          </w:p>
        </w:tc>
        <w:tc>
          <w:tcPr>
            <w:tcW w:w="2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20" w:type="dxa"/>
            <w:vAlign w:val="bottom"/>
          </w:tcPr>
          <w:p>
            <w:pPr>
              <w:ind w:left="20"/>
              <w:spacing w:after="0" w:line="215" w:lineRule="exact"/>
              <w:rPr>
                <w:sz w:val="20"/>
                <w:szCs w:val="20"/>
                <w:color w:val="auto"/>
              </w:rPr>
            </w:pPr>
            <w:r>
              <w:rPr>
                <w:rFonts w:ascii="Calibri" w:cs="Calibri" w:eastAsia="Calibri" w:hAnsi="Calibri"/>
                <w:sz w:val="18"/>
                <w:szCs w:val="18"/>
                <w:color w:val="auto"/>
              </w:rPr>
              <w:t>Other current liabilites</w:t>
            </w: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129</w:t>
            </w:r>
          </w:p>
        </w:tc>
        <w:tc>
          <w:tcPr>
            <w:tcW w:w="28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ind w:left="200"/>
              <w:spacing w:after="0" w:line="210" w:lineRule="exact"/>
              <w:rPr>
                <w:sz w:val="20"/>
                <w:szCs w:val="20"/>
                <w:color w:val="auto"/>
              </w:rPr>
            </w:pPr>
            <w:r>
              <w:rPr>
                <w:rFonts w:ascii="Calibri" w:cs="Calibri" w:eastAsia="Calibri" w:hAnsi="Calibri"/>
                <w:sz w:val="18"/>
                <w:szCs w:val="18"/>
                <w:color w:val="auto"/>
              </w:rPr>
              <w:t>Total current liabilites</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261</w:t>
            </w:r>
          </w:p>
        </w:tc>
        <w:tc>
          <w:tcPr>
            <w:tcW w:w="2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283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20" w:type="dxa"/>
            <w:vAlign w:val="bottom"/>
          </w:tcPr>
          <w:p>
            <w:pPr>
              <w:ind w:left="20"/>
              <w:spacing w:after="0" w:line="215" w:lineRule="exact"/>
              <w:rPr>
                <w:sz w:val="20"/>
                <w:szCs w:val="20"/>
                <w:color w:val="auto"/>
              </w:rPr>
            </w:pPr>
            <w:r>
              <w:rPr>
                <w:rFonts w:ascii="Calibri" w:cs="Calibri" w:eastAsia="Calibri" w:hAnsi="Calibri"/>
                <w:sz w:val="18"/>
                <w:szCs w:val="18"/>
                <w:color w:val="auto"/>
              </w:rPr>
              <w:t>Long-term debt, net of current porton</w:t>
            </w:r>
          </w:p>
        </w:tc>
        <w:tc>
          <w:tcPr>
            <w:tcW w:w="980" w:type="dxa"/>
            <w:vAlign w:val="bottom"/>
          </w:tcPr>
          <w:p>
            <w:pPr>
              <w:spacing w:after="0"/>
              <w:rPr>
                <w:sz w:val="18"/>
                <w:szCs w:val="18"/>
                <w:color w:val="auto"/>
              </w:rPr>
            </w:pPr>
          </w:p>
        </w:tc>
        <w:tc>
          <w:tcPr>
            <w:tcW w:w="580" w:type="dxa"/>
            <w:vAlign w:val="bottom"/>
          </w:tcPr>
          <w:p>
            <w:pPr>
              <w:jc w:val="right"/>
              <w:spacing w:after="0" w:line="215" w:lineRule="exact"/>
              <w:rPr>
                <w:sz w:val="20"/>
                <w:szCs w:val="20"/>
                <w:color w:val="auto"/>
              </w:rPr>
            </w:pPr>
            <w:r>
              <w:rPr>
                <w:rFonts w:ascii="Calibri" w:cs="Calibri" w:eastAsia="Calibri" w:hAnsi="Calibri"/>
                <w:sz w:val="18"/>
                <w:szCs w:val="18"/>
                <w:color w:val="auto"/>
              </w:rPr>
              <w:t>466</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457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72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Pension and other postretrement liabilites</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197</w:t>
            </w:r>
          </w:p>
        </w:tc>
        <w:tc>
          <w:tcPr>
            <w:tcW w:w="2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237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20" w:type="dxa"/>
            <w:vAlign w:val="bottom"/>
          </w:tcPr>
          <w:p>
            <w:pPr>
              <w:ind w:left="20"/>
              <w:spacing w:after="0" w:line="215" w:lineRule="exact"/>
              <w:rPr>
                <w:sz w:val="20"/>
                <w:szCs w:val="20"/>
                <w:color w:val="auto"/>
              </w:rPr>
            </w:pPr>
            <w:r>
              <w:rPr>
                <w:rFonts w:ascii="Calibri" w:cs="Calibri" w:eastAsia="Calibri" w:hAnsi="Calibri"/>
                <w:sz w:val="18"/>
                <w:szCs w:val="18"/>
                <w:color w:val="auto"/>
              </w:rPr>
              <w:t>Operatng leases, net of current porton</w:t>
            </w:r>
          </w:p>
        </w:tc>
        <w:tc>
          <w:tcPr>
            <w:tcW w:w="980" w:type="dxa"/>
            <w:vAlign w:val="bottom"/>
          </w:tcPr>
          <w:p>
            <w:pPr>
              <w:spacing w:after="0"/>
              <w:rPr>
                <w:sz w:val="18"/>
                <w:szCs w:val="18"/>
                <w:color w:val="auto"/>
              </w:rPr>
            </w:pPr>
          </w:p>
        </w:tc>
        <w:tc>
          <w:tcPr>
            <w:tcW w:w="580" w:type="dxa"/>
            <w:vAlign w:val="bottom"/>
          </w:tcPr>
          <w:p>
            <w:pPr>
              <w:jc w:val="right"/>
              <w:spacing w:after="0" w:line="215" w:lineRule="exact"/>
              <w:rPr>
                <w:sz w:val="20"/>
                <w:szCs w:val="20"/>
                <w:color w:val="auto"/>
              </w:rPr>
            </w:pPr>
            <w:r>
              <w:rPr>
                <w:rFonts w:ascii="Calibri" w:cs="Calibri" w:eastAsia="Calibri" w:hAnsi="Calibri"/>
                <w:sz w:val="18"/>
                <w:szCs w:val="18"/>
                <w:color w:val="auto"/>
              </w:rPr>
              <w:t>21</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Borders>
              <w:bottom w:val="single" w:sz="8" w:color="CFF0FC"/>
            </w:tcBorders>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Other long-term liabilites</w:t>
            </w:r>
          </w:p>
        </w:tc>
        <w:tc>
          <w:tcPr>
            <w:tcW w:w="9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197</w:t>
            </w:r>
          </w:p>
        </w:tc>
        <w:tc>
          <w:tcPr>
            <w:tcW w:w="28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213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tcPr>
          <w:p>
            <w:pPr>
              <w:ind w:left="200"/>
              <w:spacing w:after="0" w:line="209" w:lineRule="exact"/>
              <w:rPr>
                <w:sz w:val="20"/>
                <w:szCs w:val="20"/>
                <w:color w:val="auto"/>
              </w:rPr>
            </w:pPr>
            <w:r>
              <w:rPr>
                <w:rFonts w:ascii="Calibri" w:cs="Calibri" w:eastAsia="Calibri" w:hAnsi="Calibri"/>
                <w:sz w:val="18"/>
                <w:szCs w:val="18"/>
                <w:color w:val="auto"/>
              </w:rPr>
              <w:t>Total liabilites</w:t>
            </w: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1,142</w:t>
            </w:r>
          </w:p>
        </w:tc>
        <w:tc>
          <w:tcPr>
            <w:tcW w:w="28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1,214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20" w:type="dxa"/>
            <w:vAlign w:val="bottom"/>
          </w:tcPr>
          <w:p>
            <w:pPr>
              <w:ind w:left="20"/>
              <w:spacing w:after="0" w:line="215" w:lineRule="exact"/>
              <w:rPr>
                <w:sz w:val="20"/>
                <w:szCs w:val="20"/>
                <w:color w:val="auto"/>
              </w:rPr>
            </w:pPr>
            <w:r>
              <w:rPr>
                <w:rFonts w:ascii="Calibri" w:cs="Calibri" w:eastAsia="Calibri" w:hAnsi="Calibri"/>
                <w:sz w:val="18"/>
                <w:szCs w:val="18"/>
                <w:color w:val="auto"/>
              </w:rPr>
              <w:t>Commitments and contngencies (Note 11)</w:t>
            </w: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7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7720" w:type="dxa"/>
            <w:vAlign w:val="bottom"/>
          </w:tcPr>
          <w:p>
            <w:pPr>
              <w:ind w:left="20"/>
              <w:spacing w:after="0" w:line="194" w:lineRule="exact"/>
              <w:rPr>
                <w:sz w:val="20"/>
                <w:szCs w:val="20"/>
                <w:color w:val="auto"/>
              </w:rPr>
            </w:pPr>
            <w:r>
              <w:rPr>
                <w:rFonts w:ascii="Calibri" w:cs="Calibri" w:eastAsia="Calibri" w:hAnsi="Calibri"/>
                <w:sz w:val="18"/>
                <w:szCs w:val="18"/>
                <w:color w:val="auto"/>
              </w:rPr>
              <w:t>Redeemable, convertble preferred stock, no par value, $100 per share</w:t>
            </w:r>
          </w:p>
        </w:tc>
        <w:tc>
          <w:tcPr>
            <w:tcW w:w="9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720" w:type="dxa"/>
            <w:vAlign w:val="bottom"/>
          </w:tcPr>
          <w:p>
            <w:pPr>
              <w:ind w:left="140"/>
              <w:spacing w:after="0" w:line="215" w:lineRule="exact"/>
              <w:rPr>
                <w:sz w:val="20"/>
                <w:szCs w:val="20"/>
                <w:color w:val="auto"/>
              </w:rPr>
            </w:pPr>
            <w:r>
              <w:rPr>
                <w:rFonts w:ascii="Calibri" w:cs="Calibri" w:eastAsia="Calibri" w:hAnsi="Calibri"/>
                <w:sz w:val="18"/>
                <w:szCs w:val="18"/>
                <w:color w:val="auto"/>
              </w:rPr>
              <w:t>liquidaton preference</w:t>
            </w:r>
          </w:p>
        </w:tc>
        <w:tc>
          <w:tcPr>
            <w:tcW w:w="980" w:type="dxa"/>
            <w:vAlign w:val="bottom"/>
          </w:tcPr>
          <w:p>
            <w:pPr>
              <w:spacing w:after="0"/>
              <w:rPr>
                <w:sz w:val="18"/>
                <w:szCs w:val="18"/>
                <w:color w:val="auto"/>
              </w:rPr>
            </w:pPr>
          </w:p>
        </w:tc>
        <w:tc>
          <w:tcPr>
            <w:tcW w:w="580" w:type="dxa"/>
            <w:vAlign w:val="bottom"/>
          </w:tcPr>
          <w:p>
            <w:pPr>
              <w:jc w:val="right"/>
              <w:spacing w:after="0" w:line="215" w:lineRule="exact"/>
              <w:rPr>
                <w:sz w:val="20"/>
                <w:szCs w:val="20"/>
                <w:color w:val="auto"/>
              </w:rPr>
            </w:pPr>
            <w:r>
              <w:rPr>
                <w:rFonts w:ascii="Calibri" w:cs="Calibri" w:eastAsia="Calibri" w:hAnsi="Calibri"/>
                <w:sz w:val="18"/>
                <w:szCs w:val="18"/>
                <w:color w:val="auto"/>
              </w:rPr>
              <w:t>218</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210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7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20" w:type="dxa"/>
            <w:vAlign w:val="bottom"/>
          </w:tcPr>
          <w:p>
            <w:pPr>
              <w:ind w:left="20"/>
              <w:spacing w:after="0" w:line="215" w:lineRule="exact"/>
              <w:rPr>
                <w:sz w:val="20"/>
                <w:szCs w:val="20"/>
                <w:color w:val="auto"/>
              </w:rPr>
            </w:pPr>
            <w:r>
              <w:rPr>
                <w:rFonts w:ascii="Calibri" w:cs="Calibri" w:eastAsia="Calibri" w:hAnsi="Calibri"/>
                <w:sz w:val="18"/>
                <w:szCs w:val="18"/>
                <w:b w:val="1"/>
                <w:bCs w:val="1"/>
                <w:color w:val="auto"/>
              </w:rPr>
              <w:t>Equity</w:t>
            </w: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72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Common stock, $0.01 par value</w:t>
            </w:r>
          </w:p>
        </w:tc>
        <w:tc>
          <w:tcPr>
            <w:tcW w:w="9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80"/>
              <w:spacing w:after="0" w:line="216" w:lineRule="exact"/>
              <w:rPr>
                <w:sz w:val="20"/>
                <w:szCs w:val="20"/>
                <w:color w:val="auto"/>
              </w:rPr>
            </w:pPr>
            <w:r>
              <w:rPr>
                <w:rFonts w:ascii="Calibri" w:cs="Calibri" w:eastAsia="Calibri" w:hAnsi="Calibri"/>
                <w:sz w:val="18"/>
                <w:szCs w:val="18"/>
                <w:color w:val="auto"/>
              </w:rPr>
              <w:t>—</w:t>
            </w:r>
          </w:p>
        </w:tc>
        <w:tc>
          <w:tcPr>
            <w:tcW w:w="6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20"/>
              <w:spacing w:after="0" w:line="216"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15"/>
        </w:trPr>
        <w:tc>
          <w:tcPr>
            <w:tcW w:w="7720" w:type="dxa"/>
            <w:vAlign w:val="bottom"/>
          </w:tcPr>
          <w:p>
            <w:pPr>
              <w:ind w:left="20"/>
              <w:spacing w:after="0" w:line="215" w:lineRule="exact"/>
              <w:rPr>
                <w:sz w:val="20"/>
                <w:szCs w:val="20"/>
                <w:color w:val="auto"/>
              </w:rPr>
            </w:pPr>
            <w:r>
              <w:rPr>
                <w:rFonts w:ascii="Calibri" w:cs="Calibri" w:eastAsia="Calibri" w:hAnsi="Calibri"/>
                <w:sz w:val="18"/>
                <w:szCs w:val="18"/>
                <w:color w:val="auto"/>
              </w:rPr>
              <w:t>Additonal paid in capital</w:t>
            </w:r>
          </w:p>
        </w:tc>
        <w:tc>
          <w:tcPr>
            <w:tcW w:w="980" w:type="dxa"/>
            <w:vAlign w:val="bottom"/>
          </w:tcPr>
          <w:p>
            <w:pPr>
              <w:spacing w:after="0"/>
              <w:rPr>
                <w:sz w:val="18"/>
                <w:szCs w:val="18"/>
                <w:color w:val="auto"/>
              </w:rPr>
            </w:pPr>
          </w:p>
        </w:tc>
        <w:tc>
          <w:tcPr>
            <w:tcW w:w="580" w:type="dxa"/>
            <w:vAlign w:val="bottom"/>
          </w:tcPr>
          <w:p>
            <w:pPr>
              <w:jc w:val="right"/>
              <w:spacing w:after="0" w:line="215" w:lineRule="exact"/>
              <w:rPr>
                <w:sz w:val="20"/>
                <w:szCs w:val="20"/>
                <w:color w:val="auto"/>
              </w:rPr>
            </w:pPr>
            <w:r>
              <w:rPr>
                <w:rFonts w:ascii="Calibri" w:cs="Calibri" w:eastAsia="Calibri" w:hAnsi="Calibri"/>
                <w:sz w:val="18"/>
                <w:szCs w:val="18"/>
                <w:color w:val="auto"/>
              </w:rPr>
              <w:t>1,150</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1,156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72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Treasury stock, at cost</w:t>
            </w:r>
          </w:p>
        </w:tc>
        <w:tc>
          <w:tcPr>
            <w:tcW w:w="9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0"/>
              <w:spacing w:after="0" w:line="216" w:lineRule="exact"/>
              <w:rPr>
                <w:sz w:val="20"/>
                <w:szCs w:val="20"/>
                <w:color w:val="auto"/>
              </w:rPr>
            </w:pPr>
            <w:r>
              <w:rPr>
                <w:rFonts w:ascii="Calibri" w:cs="Calibri" w:eastAsia="Calibri" w:hAnsi="Calibri"/>
                <w:sz w:val="18"/>
                <w:szCs w:val="18"/>
                <w:color w:val="auto"/>
              </w:rPr>
              <w:t>(12 )</w:t>
            </w:r>
          </w:p>
        </w:tc>
        <w:tc>
          <w:tcPr>
            <w:tcW w:w="6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line="216" w:lineRule="exact"/>
              <w:rPr>
                <w:sz w:val="20"/>
                <w:szCs w:val="20"/>
                <w:color w:val="auto"/>
              </w:rPr>
            </w:pPr>
            <w:r>
              <w:rPr>
                <w:rFonts w:ascii="Calibri" w:cs="Calibri" w:eastAsia="Calibri" w:hAnsi="Calibri"/>
                <w:sz w:val="18"/>
                <w:szCs w:val="18"/>
                <w:color w:val="auto"/>
              </w:rPr>
              <w:t>(11 )</w:t>
            </w:r>
          </w:p>
        </w:tc>
        <w:tc>
          <w:tcPr>
            <w:tcW w:w="0" w:type="dxa"/>
            <w:vAlign w:val="bottom"/>
          </w:tcPr>
          <w:p>
            <w:pPr>
              <w:spacing w:after="0"/>
              <w:rPr>
                <w:sz w:val="1"/>
                <w:szCs w:val="1"/>
                <w:color w:val="auto"/>
              </w:rPr>
            </w:pPr>
          </w:p>
        </w:tc>
      </w:tr>
      <w:tr>
        <w:trPr>
          <w:trHeight w:val="215"/>
        </w:trPr>
        <w:tc>
          <w:tcPr>
            <w:tcW w:w="7720" w:type="dxa"/>
            <w:vAlign w:val="bottom"/>
          </w:tcPr>
          <w:p>
            <w:pPr>
              <w:ind w:left="20"/>
              <w:spacing w:after="0" w:line="215" w:lineRule="exact"/>
              <w:rPr>
                <w:sz w:val="20"/>
                <w:szCs w:val="20"/>
                <w:color w:val="auto"/>
              </w:rPr>
            </w:pPr>
            <w:r>
              <w:rPr>
                <w:rFonts w:ascii="Calibri" w:cs="Calibri" w:eastAsia="Calibri" w:hAnsi="Calibri"/>
                <w:sz w:val="18"/>
                <w:szCs w:val="18"/>
                <w:color w:val="auto"/>
              </w:rPr>
              <w:t>Accumulated defcit</w:t>
            </w:r>
          </w:p>
        </w:tc>
        <w:tc>
          <w:tcPr>
            <w:tcW w:w="980" w:type="dxa"/>
            <w:vAlign w:val="bottom"/>
          </w:tcPr>
          <w:p>
            <w:pPr>
              <w:spacing w:after="0"/>
              <w:rPr>
                <w:sz w:val="18"/>
                <w:szCs w:val="18"/>
                <w:color w:val="auto"/>
              </w:rPr>
            </w:pPr>
          </w:p>
        </w:tc>
        <w:tc>
          <w:tcPr>
            <w:tcW w:w="86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(393 )</w:t>
            </w:r>
          </w:p>
        </w:tc>
        <w:tc>
          <w:tcPr>
            <w:tcW w:w="600" w:type="dxa"/>
            <w:vAlign w:val="bottom"/>
          </w:tcPr>
          <w:p>
            <w:pPr>
              <w:spacing w:after="0"/>
              <w:rPr>
                <w:sz w:val="18"/>
                <w:szCs w:val="18"/>
                <w:color w:val="auto"/>
              </w:rPr>
            </w:pPr>
          </w:p>
        </w:tc>
        <w:tc>
          <w:tcPr>
            <w:tcW w:w="108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(495 )</w:t>
            </w: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Accumulated other comprehensive (loss) income</w:t>
            </w:r>
          </w:p>
        </w:tc>
        <w:tc>
          <w:tcPr>
            <w:tcW w:w="9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0"/>
              <w:spacing w:after="0" w:line="216" w:lineRule="exact"/>
              <w:rPr>
                <w:sz w:val="20"/>
                <w:szCs w:val="20"/>
                <w:color w:val="auto"/>
              </w:rPr>
            </w:pPr>
            <w:r>
              <w:rPr>
                <w:rFonts w:ascii="Calibri" w:cs="Calibri" w:eastAsia="Calibri" w:hAnsi="Calibri"/>
                <w:sz w:val="18"/>
                <w:szCs w:val="18"/>
                <w:color w:val="auto"/>
              </w:rPr>
              <w:t>(104 )</w:t>
            </w:r>
          </w:p>
        </w:tc>
        <w:tc>
          <w:tcPr>
            <w:tcW w:w="6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281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tcBorders>
              <w:top w:val="single" w:sz="8" w:color="CFF0FC"/>
            </w:tcBorders>
          </w:tcPr>
          <w:p>
            <w:pPr>
              <w:ind w:left="200"/>
              <w:spacing w:after="0" w:line="209" w:lineRule="exact"/>
              <w:rPr>
                <w:sz w:val="20"/>
                <w:szCs w:val="20"/>
                <w:color w:val="auto"/>
              </w:rPr>
            </w:pPr>
            <w:r>
              <w:rPr>
                <w:rFonts w:ascii="Calibri" w:cs="Calibri" w:eastAsia="Calibri" w:hAnsi="Calibri"/>
                <w:sz w:val="18"/>
                <w:szCs w:val="18"/>
                <w:color w:val="auto"/>
              </w:rPr>
              <w:t>Total equity</w:t>
            </w:r>
          </w:p>
        </w:tc>
        <w:tc>
          <w:tcPr>
            <w:tcW w:w="98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641</w:t>
            </w:r>
          </w:p>
        </w:tc>
        <w:tc>
          <w:tcPr>
            <w:tcW w:w="280" w:type="dxa"/>
            <w:vAlign w:val="bottom"/>
            <w:tcBorders>
              <w:top w:val="single" w:sz="8" w:color="CFF0FC"/>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931</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720" w:type="dxa"/>
            <w:vAlign w:val="bottom"/>
            <w:tcBorders>
              <w:bottom w:val="single" w:sz="8" w:color="CFF0FC"/>
            </w:tcBorders>
            <w:shd w:val="clear" w:color="auto" w:fill="CFF0FC"/>
          </w:tcPr>
          <w:p>
            <w:pPr>
              <w:ind w:left="200"/>
              <w:spacing w:after="0" w:line="209" w:lineRule="exact"/>
              <w:rPr>
                <w:sz w:val="20"/>
                <w:szCs w:val="20"/>
                <w:color w:val="auto"/>
              </w:rPr>
            </w:pPr>
            <w:r>
              <w:rPr>
                <w:rFonts w:ascii="Calibri" w:cs="Calibri" w:eastAsia="Calibri" w:hAnsi="Calibri"/>
                <w:sz w:val="18"/>
                <w:szCs w:val="18"/>
                <w:b w:val="1"/>
                <w:bCs w:val="1"/>
                <w:color w:val="auto"/>
              </w:rPr>
              <w:t>TOTAL LIABILITIES, REDEEMABLE CONVERTIBLE PREFERRED STOCK AND EQUITY</w:t>
            </w:r>
          </w:p>
        </w:tc>
        <w:tc>
          <w:tcPr>
            <w:tcW w:w="980" w:type="dxa"/>
            <w:vAlign w:val="bottom"/>
            <w:tcBorders>
              <w:bottom w:val="single" w:sz="8" w:color="auto"/>
            </w:tcBorders>
            <w:shd w:val="clear" w:color="auto" w:fill="CFF0FC"/>
          </w:tcPr>
          <w:p>
            <w:pPr>
              <w:jc w:val="right"/>
              <w:ind w:right="790"/>
              <w:spacing w:after="0" w:line="209" w:lineRule="exact"/>
              <w:rPr>
                <w:sz w:val="20"/>
                <w:szCs w:val="20"/>
                <w:color w:val="auto"/>
              </w:rPr>
            </w:pPr>
            <w:r>
              <w:rPr>
                <w:rFonts w:ascii="Calibri" w:cs="Calibri" w:eastAsia="Calibri" w:hAnsi="Calibri"/>
                <w:sz w:val="18"/>
                <w:szCs w:val="18"/>
                <w:b w:val="1"/>
                <w:bCs w:val="1"/>
                <w:color w:val="auto"/>
                <w:w w:val="87"/>
              </w:rPr>
              <w:t>$</w:t>
            </w:r>
          </w:p>
        </w:tc>
        <w:tc>
          <w:tcPr>
            <w:tcW w:w="58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b w:val="1"/>
                <w:bCs w:val="1"/>
                <w:color w:val="auto"/>
              </w:rPr>
              <w:t>2,001</w:t>
            </w:r>
          </w:p>
        </w:tc>
        <w:tc>
          <w:tcPr>
            <w:tcW w:w="28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ind w:right="390"/>
              <w:spacing w:after="0" w:line="209" w:lineRule="exact"/>
              <w:rPr>
                <w:sz w:val="20"/>
                <w:szCs w:val="20"/>
                <w:color w:val="auto"/>
              </w:rPr>
            </w:pPr>
            <w:r>
              <w:rPr>
                <w:rFonts w:ascii="Calibri" w:cs="Calibri" w:eastAsia="Calibri" w:hAnsi="Calibri"/>
                <w:sz w:val="18"/>
                <w:szCs w:val="18"/>
                <w:b w:val="1"/>
                <w:bCs w:val="1"/>
                <w:color w:val="auto"/>
              </w:rPr>
              <w:t>$</w:t>
            </w:r>
          </w:p>
        </w:tc>
        <w:tc>
          <w:tcPr>
            <w:tcW w:w="98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b w:val="1"/>
                <w:bCs w:val="1"/>
                <w:color w:val="auto"/>
              </w:rPr>
              <w:t>2,355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-3805555</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-3805555</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-2116455</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-2116455</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-316230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Calibri" w:cs="Calibri" w:eastAsia="Calibri" w:hAnsi="Calibri"/>
          <w:sz w:val="18"/>
          <w:szCs w:val="18"/>
          <w:color w:val="auto"/>
        </w:rPr>
        <w:t>The accompanying notes are an integral part of these consolidated fnancial statements.</w:t>
      </w:r>
    </w:p>
    <w:p>
      <w:pPr>
        <w:spacing w:after="0" w:line="172" w:lineRule="exact"/>
        <w:rPr>
          <w:sz w:val="20"/>
          <w:szCs w:val="20"/>
          <w:color w:val="auto"/>
        </w:rPr>
      </w:pPr>
    </w:p>
    <w:p>
      <w:pPr>
        <w:ind w:left="5540"/>
        <w:spacing w:after="0"/>
        <w:rPr>
          <w:sz w:val="20"/>
          <w:szCs w:val="20"/>
          <w:color w:val="auto"/>
        </w:rPr>
      </w:pPr>
      <w:r>
        <w:rPr>
          <w:rFonts w:ascii="Calibri" w:cs="Calibri" w:eastAsia="Calibri" w:hAnsi="Calibri"/>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7" w:name="page58"/>
    <w:bookmarkEnd w:id="57"/>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EASTMAN KODAK COMPANY</w:t>
      </w:r>
    </w:p>
    <w:p>
      <w:pPr>
        <w:spacing w:after="0" w:line="235" w:lineRule="auto"/>
        <w:rPr>
          <w:sz w:val="20"/>
          <w:szCs w:val="20"/>
          <w:color w:val="auto"/>
        </w:rPr>
      </w:pPr>
      <w:r>
        <w:rPr>
          <w:rFonts w:ascii="Calibri" w:cs="Calibri" w:eastAsia="Calibri" w:hAnsi="Calibri"/>
          <w:sz w:val="18"/>
          <w:szCs w:val="18"/>
          <w:b w:val="1"/>
          <w:bCs w:val="1"/>
          <w:color w:val="auto"/>
        </w:rPr>
        <w:t>CONSOLIDATED STATEMENT OF EQUITY (DEFICIT)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00" w:type="dxa"/>
            <w:vAlign w:val="bottom"/>
          </w:tcPr>
          <w:p>
            <w:pPr>
              <w:spacing w:after="0"/>
              <w:rPr>
                <w:sz w:val="20"/>
                <w:szCs w:val="20"/>
                <w:color w:val="auto"/>
              </w:rPr>
            </w:pPr>
            <w:r>
              <w:rPr>
                <w:rFonts w:ascii="Calibri" w:cs="Calibri" w:eastAsia="Calibri" w:hAnsi="Calibri"/>
                <w:sz w:val="14"/>
                <w:szCs w:val="14"/>
                <w:color w:val="auto"/>
              </w:rPr>
              <w:t>(in millions, except share data)</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vMerge w:val="restart"/>
          </w:tcPr>
          <w:p>
            <w:pPr>
              <w:jc w:val="center"/>
              <w:ind w:right="340"/>
              <w:spacing w:after="0"/>
              <w:rPr>
                <w:sz w:val="20"/>
                <w:szCs w:val="20"/>
                <w:color w:val="auto"/>
              </w:rPr>
            </w:pPr>
            <w:r>
              <w:rPr>
                <w:rFonts w:ascii="Calibri" w:cs="Calibri" w:eastAsia="Calibri" w:hAnsi="Calibri"/>
                <w:sz w:val="15"/>
                <w:szCs w:val="15"/>
                <w:b w:val="1"/>
                <w:bCs w:val="1"/>
                <w:color w:val="auto"/>
              </w:rPr>
              <w:t>Accumulated</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restart"/>
          </w:tcPr>
          <w:p>
            <w:pPr>
              <w:jc w:val="center"/>
              <w:ind w:right="220"/>
              <w:spacing w:after="0"/>
              <w:rPr>
                <w:sz w:val="20"/>
                <w:szCs w:val="20"/>
                <w:color w:val="auto"/>
              </w:rPr>
            </w:pPr>
            <w:r>
              <w:rPr>
                <w:rFonts w:ascii="Calibri" w:cs="Calibri" w:eastAsia="Calibri" w:hAnsi="Calibri"/>
                <w:sz w:val="15"/>
                <w:szCs w:val="15"/>
                <w:b w:val="1"/>
                <w:bCs w:val="1"/>
                <w:color w:val="auto"/>
              </w:rPr>
              <w:t>Redeemable</w:t>
            </w:r>
          </w:p>
        </w:tc>
        <w:tc>
          <w:tcPr>
            <w:tcW w:w="0" w:type="dxa"/>
            <w:vAlign w:val="bottom"/>
          </w:tcPr>
          <w:p>
            <w:pPr>
              <w:spacing w:after="0"/>
              <w:rPr>
                <w:sz w:val="1"/>
                <w:szCs w:val="1"/>
                <w:color w:val="auto"/>
              </w:rPr>
            </w:pPr>
          </w:p>
        </w:tc>
      </w:tr>
      <w:tr>
        <w:trPr>
          <w:trHeight w:val="180"/>
        </w:trPr>
        <w:tc>
          <w:tcPr>
            <w:tcW w:w="3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320"/>
              <w:spacing w:after="0"/>
              <w:rPr>
                <w:sz w:val="20"/>
                <w:szCs w:val="20"/>
                <w:color w:val="auto"/>
              </w:rPr>
            </w:pPr>
            <w:r>
              <w:rPr>
                <w:rFonts w:ascii="Calibri" w:cs="Calibri" w:eastAsia="Calibri" w:hAnsi="Calibri"/>
                <w:sz w:val="15"/>
                <w:szCs w:val="15"/>
                <w:b w:val="1"/>
                <w:bCs w:val="1"/>
                <w:color w:val="auto"/>
              </w:rPr>
              <w:t>Additonal</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Calibri" w:cs="Calibri" w:eastAsia="Calibri" w:hAnsi="Calibri"/>
                <w:sz w:val="15"/>
                <w:szCs w:val="15"/>
                <w:b w:val="1"/>
                <w:bCs w:val="1"/>
                <w:color w:val="auto"/>
                <w:w w:val="99"/>
              </w:rPr>
              <w:t>Other</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Calibri" w:cs="Calibri" w:eastAsia="Calibri" w:hAnsi="Calibri"/>
                <w:sz w:val="15"/>
                <w:szCs w:val="15"/>
                <w:b w:val="1"/>
                <w:bCs w:val="1"/>
                <w:color w:val="auto"/>
              </w:rPr>
              <w:t>Convertble</w:t>
            </w: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740" w:type="dxa"/>
            <w:vAlign w:val="bottom"/>
            <w:gridSpan w:val="2"/>
          </w:tcPr>
          <w:p>
            <w:pPr>
              <w:ind w:left="80"/>
              <w:spacing w:after="0" w:line="162" w:lineRule="exact"/>
              <w:rPr>
                <w:sz w:val="20"/>
                <w:szCs w:val="20"/>
                <w:color w:val="auto"/>
              </w:rPr>
            </w:pPr>
            <w:r>
              <w:rPr>
                <w:rFonts w:ascii="Calibri" w:cs="Calibri" w:eastAsia="Calibri" w:hAnsi="Calibri"/>
                <w:sz w:val="15"/>
                <w:szCs w:val="15"/>
                <w:b w:val="1"/>
                <w:bCs w:val="1"/>
                <w:color w:val="auto"/>
              </w:rPr>
              <w:t>Common</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440"/>
              <w:spacing w:after="0" w:line="162" w:lineRule="exact"/>
              <w:rPr>
                <w:sz w:val="20"/>
                <w:szCs w:val="20"/>
                <w:color w:val="auto"/>
              </w:rPr>
            </w:pPr>
            <w:r>
              <w:rPr>
                <w:rFonts w:ascii="Calibri" w:cs="Calibri" w:eastAsia="Calibri" w:hAnsi="Calibri"/>
                <w:sz w:val="15"/>
                <w:szCs w:val="15"/>
                <w:b w:val="1"/>
                <w:bCs w:val="1"/>
                <w:color w:val="auto"/>
              </w:rPr>
              <w:t>Paid in</w:t>
            </w:r>
          </w:p>
        </w:tc>
        <w:tc>
          <w:tcPr>
            <w:tcW w:w="100" w:type="dxa"/>
            <w:vAlign w:val="bottom"/>
          </w:tcPr>
          <w:p>
            <w:pPr>
              <w:spacing w:after="0"/>
              <w:rPr>
                <w:sz w:val="14"/>
                <w:szCs w:val="14"/>
                <w:color w:val="auto"/>
              </w:rPr>
            </w:pPr>
          </w:p>
        </w:tc>
        <w:tc>
          <w:tcPr>
            <w:tcW w:w="1140" w:type="dxa"/>
            <w:vAlign w:val="bottom"/>
            <w:gridSpan w:val="2"/>
          </w:tcPr>
          <w:p>
            <w:pPr>
              <w:jc w:val="right"/>
              <w:ind w:right="320"/>
              <w:spacing w:after="0" w:line="162" w:lineRule="exact"/>
              <w:rPr>
                <w:sz w:val="20"/>
                <w:szCs w:val="20"/>
                <w:color w:val="auto"/>
              </w:rPr>
            </w:pPr>
            <w:r>
              <w:rPr>
                <w:rFonts w:ascii="Calibri" w:cs="Calibri" w:eastAsia="Calibri" w:hAnsi="Calibri"/>
                <w:sz w:val="15"/>
                <w:szCs w:val="15"/>
                <w:b w:val="1"/>
                <w:bCs w:val="1"/>
                <w:color w:val="auto"/>
                <w:w w:val="97"/>
              </w:rPr>
              <w:t>Accumulated</w:t>
            </w:r>
          </w:p>
        </w:tc>
        <w:tc>
          <w:tcPr>
            <w:tcW w:w="1380" w:type="dxa"/>
            <w:vAlign w:val="bottom"/>
            <w:gridSpan w:val="3"/>
          </w:tcPr>
          <w:p>
            <w:pPr>
              <w:jc w:val="center"/>
              <w:ind w:right="220"/>
              <w:spacing w:after="0" w:line="162" w:lineRule="exact"/>
              <w:rPr>
                <w:sz w:val="20"/>
                <w:szCs w:val="20"/>
                <w:color w:val="auto"/>
              </w:rPr>
            </w:pPr>
            <w:r>
              <w:rPr>
                <w:rFonts w:ascii="Calibri" w:cs="Calibri" w:eastAsia="Calibri" w:hAnsi="Calibri"/>
                <w:sz w:val="15"/>
                <w:szCs w:val="15"/>
                <w:b w:val="1"/>
                <w:bCs w:val="1"/>
                <w:color w:val="auto"/>
              </w:rPr>
              <w:t>Comprehensive</w:t>
            </w:r>
          </w:p>
        </w:tc>
        <w:tc>
          <w:tcPr>
            <w:tcW w:w="100" w:type="dxa"/>
            <w:vAlign w:val="bottom"/>
          </w:tcPr>
          <w:p>
            <w:pPr>
              <w:spacing w:after="0"/>
              <w:rPr>
                <w:sz w:val="14"/>
                <w:szCs w:val="14"/>
                <w:color w:val="auto"/>
              </w:rPr>
            </w:pPr>
          </w:p>
        </w:tc>
        <w:tc>
          <w:tcPr>
            <w:tcW w:w="860" w:type="dxa"/>
            <w:vAlign w:val="bottom"/>
            <w:gridSpan w:val="2"/>
          </w:tcPr>
          <w:p>
            <w:pPr>
              <w:jc w:val="right"/>
              <w:ind w:right="300"/>
              <w:spacing w:after="0" w:line="162" w:lineRule="exact"/>
              <w:rPr>
                <w:sz w:val="20"/>
                <w:szCs w:val="20"/>
                <w:color w:val="auto"/>
              </w:rPr>
            </w:pPr>
            <w:r>
              <w:rPr>
                <w:rFonts w:ascii="Calibri" w:cs="Calibri" w:eastAsia="Calibri" w:hAnsi="Calibri"/>
                <w:sz w:val="15"/>
                <w:szCs w:val="15"/>
                <w:b w:val="1"/>
                <w:bCs w:val="1"/>
                <w:color w:val="auto"/>
                <w:w w:val="99"/>
              </w:rPr>
              <w:t>Treasury</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20"/>
              <w:spacing w:after="0" w:line="162" w:lineRule="exact"/>
              <w:rPr>
                <w:sz w:val="20"/>
                <w:szCs w:val="20"/>
                <w:color w:val="auto"/>
              </w:rPr>
            </w:pPr>
            <w:r>
              <w:rPr>
                <w:rFonts w:ascii="Calibri" w:cs="Calibri" w:eastAsia="Calibri" w:hAnsi="Calibri"/>
                <w:sz w:val="15"/>
                <w:szCs w:val="15"/>
                <w:b w:val="1"/>
                <w:bCs w:val="1"/>
                <w:color w:val="auto"/>
              </w:rPr>
              <w:t>Preferred</w:t>
            </w:r>
          </w:p>
        </w:tc>
        <w:tc>
          <w:tcPr>
            <w:tcW w:w="0" w:type="dxa"/>
            <w:vAlign w:val="bottom"/>
          </w:tcPr>
          <w:p>
            <w:pPr>
              <w:spacing w:after="0"/>
              <w:rPr>
                <w:sz w:val="1"/>
                <w:szCs w:val="1"/>
                <w:color w:val="auto"/>
              </w:rPr>
            </w:pPr>
          </w:p>
        </w:tc>
      </w:tr>
      <w:tr>
        <w:trPr>
          <w:trHeight w:val="241"/>
        </w:trPr>
        <w:tc>
          <w:tcPr>
            <w:tcW w:w="35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ind w:left="60"/>
              <w:spacing w:after="0"/>
              <w:rPr>
                <w:sz w:val="20"/>
                <w:szCs w:val="20"/>
                <w:color w:val="auto"/>
              </w:rPr>
            </w:pPr>
            <w:r>
              <w:rPr>
                <w:rFonts w:ascii="Calibri" w:cs="Calibri" w:eastAsia="Calibri" w:hAnsi="Calibri"/>
                <w:sz w:val="15"/>
                <w:szCs w:val="15"/>
                <w:b w:val="1"/>
                <w:bCs w:val="1"/>
                <w:color w:val="auto"/>
              </w:rPr>
              <w:t>Stock</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44"/>
              <w:spacing w:after="0"/>
              <w:rPr>
                <w:sz w:val="20"/>
                <w:szCs w:val="20"/>
                <w:color w:val="auto"/>
              </w:rPr>
            </w:pPr>
            <w:r>
              <w:rPr>
                <w:rFonts w:ascii="Calibri" w:cs="Calibri" w:eastAsia="Calibri" w:hAnsi="Calibri"/>
                <w:sz w:val="15"/>
                <w:szCs w:val="15"/>
                <w:b w:val="1"/>
                <w:bCs w:val="1"/>
                <w:color w:val="auto"/>
              </w:rPr>
              <w:t>Capital</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24"/>
              <w:spacing w:after="0"/>
              <w:rPr>
                <w:sz w:val="20"/>
                <w:szCs w:val="20"/>
                <w:color w:val="auto"/>
              </w:rPr>
            </w:pPr>
            <w:r>
              <w:rPr>
                <w:rFonts w:ascii="Calibri" w:cs="Calibri" w:eastAsia="Calibri" w:hAnsi="Calibri"/>
                <w:sz w:val="15"/>
                <w:szCs w:val="15"/>
                <w:b w:val="1"/>
                <w:bCs w:val="1"/>
                <w:color w:val="auto"/>
              </w:rPr>
              <w:t>Defcit</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44"/>
              <w:spacing w:after="0"/>
              <w:rPr>
                <w:sz w:val="20"/>
                <w:szCs w:val="20"/>
                <w:color w:val="auto"/>
              </w:rPr>
            </w:pPr>
            <w:r>
              <w:rPr>
                <w:rFonts w:ascii="Calibri" w:cs="Calibri" w:eastAsia="Calibri" w:hAnsi="Calibri"/>
                <w:sz w:val="15"/>
                <w:szCs w:val="15"/>
                <w:b w:val="1"/>
                <w:bCs w:val="1"/>
                <w:color w:val="auto"/>
              </w:rPr>
              <w:t>Income (Loss)</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44"/>
              <w:spacing w:after="0"/>
              <w:rPr>
                <w:sz w:val="20"/>
                <w:szCs w:val="20"/>
                <w:color w:val="auto"/>
              </w:rPr>
            </w:pPr>
            <w:r>
              <w:rPr>
                <w:rFonts w:ascii="Calibri" w:cs="Calibri" w:eastAsia="Calibri" w:hAnsi="Calibri"/>
                <w:sz w:val="15"/>
                <w:szCs w:val="15"/>
                <w:b w:val="1"/>
                <w:bCs w:val="1"/>
                <w:color w:val="auto"/>
              </w:rPr>
              <w:t>Stock</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44"/>
              <w:spacing w:after="0"/>
              <w:rPr>
                <w:sz w:val="20"/>
                <w:szCs w:val="20"/>
                <w:color w:val="auto"/>
              </w:rPr>
            </w:pPr>
            <w:r>
              <w:rPr>
                <w:rFonts w:ascii="Calibri" w:cs="Calibri" w:eastAsia="Calibri" w:hAnsi="Calibri"/>
                <w:sz w:val="15"/>
                <w:szCs w:val="15"/>
                <w:b w:val="1"/>
                <w:bCs w:val="1"/>
                <w:color w:val="auto"/>
              </w:rPr>
              <w:t>Total</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44"/>
              <w:spacing w:after="0" w:line="236" w:lineRule="exact"/>
              <w:rPr>
                <w:sz w:val="20"/>
                <w:szCs w:val="20"/>
                <w:color w:val="auto"/>
              </w:rPr>
            </w:pPr>
            <w:r>
              <w:rPr>
                <w:rFonts w:ascii="Calibri" w:cs="Calibri" w:eastAsia="Calibri" w:hAnsi="Calibri"/>
                <w:sz w:val="15"/>
                <w:szCs w:val="15"/>
                <w:b w:val="1"/>
                <w:bCs w:val="1"/>
                <w:color w:val="auto"/>
                <w:w w:val="91"/>
              </w:rPr>
              <w:t xml:space="preserve">Stock </w:t>
            </w:r>
            <w:r>
              <w:rPr>
                <w:rFonts w:ascii="Calibri" w:cs="Calibri" w:eastAsia="Calibri" w:hAnsi="Calibri"/>
                <w:sz w:val="20"/>
                <w:szCs w:val="20"/>
                <w:b w:val="1"/>
                <w:bCs w:val="1"/>
                <w:color w:val="auto"/>
                <w:w w:val="91"/>
                <w:vertAlign w:val="superscript"/>
              </w:rPr>
              <w:t>(1)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500" w:type="dxa"/>
            <w:vAlign w:val="bottom"/>
            <w:shd w:val="clear" w:color="auto" w:fill="CFF0FC"/>
          </w:tcPr>
          <w:p>
            <w:pPr>
              <w:ind w:left="20"/>
              <w:spacing w:after="0"/>
              <w:rPr>
                <w:sz w:val="20"/>
                <w:szCs w:val="20"/>
                <w:color w:val="auto"/>
              </w:rPr>
            </w:pPr>
            <w:r>
              <w:rPr>
                <w:rFonts w:ascii="Calibri" w:cs="Calibri" w:eastAsia="Calibri" w:hAnsi="Calibri"/>
                <w:sz w:val="15"/>
                <w:szCs w:val="15"/>
                <w:color w:val="auto"/>
              </w:rPr>
              <w:t>Equity (defcit) as of December 31, 2021</w:t>
            </w:r>
          </w:p>
        </w:tc>
        <w:tc>
          <w:tcPr>
            <w:tcW w:w="140" w:type="dxa"/>
            <w:vAlign w:val="bottom"/>
            <w:shd w:val="clear" w:color="auto" w:fill="CFF0FC"/>
          </w:tcPr>
          <w:p>
            <w:pPr>
              <w:jc w:val="right"/>
              <w:spacing w:after="0"/>
              <w:rPr>
                <w:sz w:val="20"/>
                <w:szCs w:val="20"/>
                <w:color w:val="auto"/>
              </w:rPr>
            </w:pPr>
            <w:r>
              <w:rPr>
                <w:rFonts w:ascii="Calibri" w:cs="Calibri" w:eastAsia="Calibri" w:hAnsi="Calibri"/>
                <w:sz w:val="15"/>
                <w:szCs w:val="15"/>
                <w:color w:val="auto"/>
              </w:rPr>
              <w:t>$</w:t>
            </w:r>
          </w:p>
        </w:tc>
        <w:tc>
          <w:tcPr>
            <w:tcW w:w="600" w:type="dxa"/>
            <w:vAlign w:val="bottom"/>
            <w:shd w:val="clear" w:color="auto" w:fill="CFF0FC"/>
          </w:tcPr>
          <w:p>
            <w:pPr>
              <w:ind w:left="460"/>
              <w:spacing w:after="0"/>
              <w:rPr>
                <w:sz w:val="20"/>
                <w:szCs w:val="20"/>
                <w:color w:val="auto"/>
              </w:rPr>
            </w:pPr>
            <w:r>
              <w:rPr>
                <w:rFonts w:ascii="Calibri" w:cs="Calibri" w:eastAsia="Calibri" w:hAnsi="Calibri"/>
                <w:sz w:val="15"/>
                <w:szCs w:val="15"/>
                <w:color w:val="auto"/>
                <w:w w:val="88"/>
              </w:rPr>
              <w:t>—</w:t>
            </w:r>
          </w:p>
        </w:tc>
        <w:tc>
          <w:tcPr>
            <w:tcW w:w="320" w:type="dxa"/>
            <w:vAlign w:val="bottom"/>
            <w:gridSpan w:val="2"/>
            <w:shd w:val="clear" w:color="auto" w:fill="CFF0FC"/>
          </w:tcPr>
          <w:p>
            <w:pPr>
              <w:jc w:val="right"/>
              <w:spacing w:after="0"/>
              <w:rPr>
                <w:sz w:val="20"/>
                <w:szCs w:val="20"/>
                <w:color w:val="auto"/>
              </w:rPr>
            </w:pPr>
            <w:r>
              <w:rPr>
                <w:rFonts w:ascii="Calibri" w:cs="Calibri" w:eastAsia="Calibri" w:hAnsi="Calibri"/>
                <w:sz w:val="15"/>
                <w:szCs w:val="15"/>
                <w:color w:val="auto"/>
              </w:rPr>
              <w:t>$</w:t>
            </w:r>
          </w:p>
        </w:tc>
        <w:tc>
          <w:tcPr>
            <w:tcW w:w="780" w:type="dxa"/>
            <w:vAlign w:val="bottom"/>
            <w:shd w:val="clear" w:color="auto" w:fill="CFF0FC"/>
          </w:tcPr>
          <w:p>
            <w:pPr>
              <w:jc w:val="right"/>
              <w:spacing w:after="0"/>
              <w:rPr>
                <w:sz w:val="20"/>
                <w:szCs w:val="20"/>
                <w:color w:val="auto"/>
              </w:rPr>
            </w:pPr>
            <w:r>
              <w:rPr>
                <w:rFonts w:ascii="Calibri" w:cs="Calibri" w:eastAsia="Calibri" w:hAnsi="Calibri"/>
                <w:sz w:val="15"/>
                <w:szCs w:val="15"/>
                <w:color w:val="auto"/>
              </w:rPr>
              <w:t>1,166</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Calibri" w:cs="Calibri" w:eastAsia="Calibri" w:hAnsi="Calibri"/>
                <w:sz w:val="15"/>
                <w:szCs w:val="15"/>
                <w:color w:val="auto"/>
                <w:w w:val="78"/>
              </w:rPr>
              <w:t>$</w:t>
            </w:r>
          </w:p>
        </w:tc>
        <w:tc>
          <w:tcPr>
            <w:tcW w:w="1140" w:type="dxa"/>
            <w:vAlign w:val="bottom"/>
            <w:gridSpan w:val="2"/>
            <w:shd w:val="clear" w:color="auto" w:fill="CFF0FC"/>
          </w:tcPr>
          <w:p>
            <w:pPr>
              <w:jc w:val="right"/>
              <w:ind w:right="160"/>
              <w:spacing w:after="0"/>
              <w:rPr>
                <w:sz w:val="20"/>
                <w:szCs w:val="20"/>
                <w:color w:val="auto"/>
              </w:rPr>
            </w:pPr>
            <w:r>
              <w:rPr>
                <w:rFonts w:ascii="Calibri" w:cs="Calibri" w:eastAsia="Calibri" w:hAnsi="Calibri"/>
                <w:sz w:val="15"/>
                <w:szCs w:val="15"/>
                <w:color w:val="auto"/>
              </w:rPr>
              <w:t>(596 )</w:t>
            </w:r>
          </w:p>
        </w:tc>
        <w:tc>
          <w:tcPr>
            <w:tcW w:w="120" w:type="dxa"/>
            <w:vAlign w:val="bottom"/>
            <w:shd w:val="clear" w:color="auto" w:fill="CFF0FC"/>
          </w:tcPr>
          <w:p>
            <w:pPr>
              <w:jc w:val="right"/>
              <w:spacing w:after="0"/>
              <w:rPr>
                <w:sz w:val="20"/>
                <w:szCs w:val="20"/>
                <w:color w:val="auto"/>
              </w:rPr>
            </w:pPr>
            <w:r>
              <w:rPr>
                <w:rFonts w:ascii="Calibri" w:cs="Calibri" w:eastAsia="Calibri" w:hAnsi="Calibri"/>
                <w:sz w:val="15"/>
                <w:szCs w:val="15"/>
                <w:color w:val="auto"/>
                <w:w w:val="78"/>
              </w:rPr>
              <w:t>$</w:t>
            </w:r>
          </w:p>
        </w:tc>
        <w:tc>
          <w:tcPr>
            <w:tcW w:w="1040" w:type="dxa"/>
            <w:vAlign w:val="bottom"/>
            <w:shd w:val="clear" w:color="auto" w:fill="CFF0FC"/>
          </w:tcPr>
          <w:p>
            <w:pPr>
              <w:jc w:val="right"/>
              <w:spacing w:after="0"/>
              <w:rPr>
                <w:sz w:val="20"/>
                <w:szCs w:val="20"/>
                <w:color w:val="auto"/>
              </w:rPr>
            </w:pPr>
            <w:r>
              <w:rPr>
                <w:rFonts w:ascii="Calibri" w:cs="Calibri" w:eastAsia="Calibri" w:hAnsi="Calibri"/>
                <w:sz w:val="15"/>
                <w:szCs w:val="15"/>
                <w:color w:val="auto"/>
              </w:rPr>
              <w:t>221</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Calibri" w:cs="Calibri" w:eastAsia="Calibri" w:hAnsi="Calibri"/>
                <w:sz w:val="15"/>
                <w:szCs w:val="15"/>
                <w:color w:val="auto"/>
                <w:w w:val="78"/>
              </w:rPr>
              <w:t>$</w:t>
            </w:r>
          </w:p>
        </w:tc>
        <w:tc>
          <w:tcPr>
            <w:tcW w:w="860" w:type="dxa"/>
            <w:vAlign w:val="bottom"/>
            <w:gridSpan w:val="2"/>
            <w:shd w:val="clear" w:color="auto" w:fill="CFF0FC"/>
          </w:tcPr>
          <w:p>
            <w:pPr>
              <w:jc w:val="right"/>
              <w:ind w:right="140"/>
              <w:spacing w:after="0"/>
              <w:rPr>
                <w:sz w:val="20"/>
                <w:szCs w:val="20"/>
                <w:color w:val="auto"/>
              </w:rPr>
            </w:pPr>
            <w:r>
              <w:rPr>
                <w:rFonts w:ascii="Calibri" w:cs="Calibri" w:eastAsia="Calibri" w:hAnsi="Calibri"/>
                <w:sz w:val="15"/>
                <w:szCs w:val="15"/>
                <w:color w:val="auto"/>
              </w:rPr>
              <w:t>(10 )</w:t>
            </w:r>
          </w:p>
        </w:tc>
        <w:tc>
          <w:tcPr>
            <w:tcW w:w="16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Calibri" w:cs="Calibri" w:eastAsia="Calibri" w:hAnsi="Calibri"/>
                <w:sz w:val="15"/>
                <w:szCs w:val="15"/>
                <w:color w:val="auto"/>
              </w:rPr>
              <w:t>781</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Calibri" w:cs="Calibri" w:eastAsia="Calibri" w:hAnsi="Calibri"/>
                <w:sz w:val="15"/>
                <w:szCs w:val="15"/>
                <w:color w:val="auto"/>
              </w:rPr>
              <w:t>$</w:t>
            </w:r>
          </w:p>
        </w:tc>
        <w:tc>
          <w:tcPr>
            <w:tcW w:w="920" w:type="dxa"/>
            <w:vAlign w:val="bottom"/>
            <w:shd w:val="clear" w:color="auto" w:fill="CFF0FC"/>
          </w:tcPr>
          <w:p>
            <w:pPr>
              <w:jc w:val="right"/>
              <w:spacing w:after="0"/>
              <w:rPr>
                <w:sz w:val="20"/>
                <w:szCs w:val="20"/>
                <w:color w:val="auto"/>
              </w:rPr>
            </w:pPr>
            <w:r>
              <w:rPr>
                <w:rFonts w:ascii="Calibri" w:cs="Calibri" w:eastAsia="Calibri" w:hAnsi="Calibri"/>
                <w:sz w:val="15"/>
                <w:szCs w:val="15"/>
                <w:color w:val="auto"/>
              </w:rPr>
              <w:t>196</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500" w:type="dxa"/>
            <w:vAlign w:val="bottom"/>
          </w:tcPr>
          <w:p>
            <w:pPr>
              <w:ind w:left="20"/>
              <w:spacing w:after="0"/>
              <w:rPr>
                <w:sz w:val="20"/>
                <w:szCs w:val="20"/>
                <w:color w:val="auto"/>
              </w:rPr>
            </w:pPr>
            <w:r>
              <w:rPr>
                <w:rFonts w:ascii="Calibri" w:cs="Calibri" w:eastAsia="Calibri" w:hAnsi="Calibri"/>
                <w:sz w:val="15"/>
                <w:szCs w:val="15"/>
                <w:color w:val="auto"/>
              </w:rPr>
              <w:t>Net earnings</w:t>
            </w:r>
          </w:p>
        </w:tc>
        <w:tc>
          <w:tcPr>
            <w:tcW w:w="140" w:type="dxa"/>
            <w:vAlign w:val="bottom"/>
          </w:tcPr>
          <w:p>
            <w:pPr>
              <w:spacing w:after="0"/>
              <w:rPr>
                <w:sz w:val="16"/>
                <w:szCs w:val="16"/>
                <w:color w:val="auto"/>
              </w:rPr>
            </w:pPr>
          </w:p>
        </w:tc>
        <w:tc>
          <w:tcPr>
            <w:tcW w:w="600" w:type="dxa"/>
            <w:vAlign w:val="bottom"/>
          </w:tcPr>
          <w:p>
            <w:pPr>
              <w:ind w:left="460"/>
              <w:spacing w:after="0"/>
              <w:rPr>
                <w:sz w:val="20"/>
                <w:szCs w:val="20"/>
                <w:color w:val="auto"/>
              </w:rPr>
            </w:pPr>
            <w:r>
              <w:rPr>
                <w:rFonts w:ascii="Calibri" w:cs="Calibri" w:eastAsia="Calibri" w:hAnsi="Calibri"/>
                <w:sz w:val="15"/>
                <w:szCs w:val="15"/>
                <w:color w:val="auto"/>
                <w:w w:val="88"/>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240"/>
              <w:spacing w:after="0"/>
              <w:rPr>
                <w:sz w:val="20"/>
                <w:szCs w:val="20"/>
                <w:color w:val="auto"/>
              </w:rPr>
            </w:pPr>
            <w:r>
              <w:rPr>
                <w:rFonts w:ascii="Calibri" w:cs="Calibri" w:eastAsia="Calibri" w:hAnsi="Calibri"/>
                <w:sz w:val="15"/>
                <w:szCs w:val="15"/>
                <w:color w:val="auto"/>
              </w:rPr>
              <w: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alibri" w:cs="Calibri" w:eastAsia="Calibri" w:hAnsi="Calibri"/>
                <w:sz w:val="15"/>
                <w:szCs w:val="15"/>
                <w:color w:val="auto"/>
              </w:rPr>
              <w:t>26</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Calibri" w:cs="Calibri" w:eastAsia="Calibri" w:hAnsi="Calibri"/>
                <w:sz w:val="15"/>
                <w:szCs w:val="15"/>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Calibri" w:cs="Calibri" w:eastAsia="Calibri" w:hAnsi="Calibri"/>
                <w:sz w:val="15"/>
                <w:szCs w:val="15"/>
                <w:color w:val="auto"/>
              </w:rPr>
              <w:t>—</w:t>
            </w: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Calibri" w:cs="Calibri" w:eastAsia="Calibri" w:hAnsi="Calibri"/>
                <w:sz w:val="15"/>
                <w:szCs w:val="15"/>
                <w:color w:val="auto"/>
              </w:rPr>
              <w:t>26</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Calibri" w:cs="Calibri" w:eastAsia="Calibri" w:hAnsi="Calibri"/>
                <w:sz w:val="15"/>
                <w:szCs w:val="15"/>
                <w:color w:val="auto"/>
              </w:rPr>
              <w:t>—</w:t>
            </w:r>
          </w:p>
        </w:tc>
        <w:tc>
          <w:tcPr>
            <w:tcW w:w="0" w:type="dxa"/>
            <w:vAlign w:val="bottom"/>
          </w:tcPr>
          <w:p>
            <w:pPr>
              <w:spacing w:after="0"/>
              <w:rPr>
                <w:sz w:val="1"/>
                <w:szCs w:val="1"/>
                <w:color w:val="auto"/>
              </w:rPr>
            </w:pPr>
          </w:p>
        </w:tc>
      </w:tr>
      <w:tr>
        <w:trPr>
          <w:trHeight w:val="192"/>
        </w:trPr>
        <w:tc>
          <w:tcPr>
            <w:tcW w:w="3500" w:type="dxa"/>
            <w:vAlign w:val="bottom"/>
            <w:shd w:val="clear" w:color="auto" w:fill="CFF0FC"/>
          </w:tcPr>
          <w:p>
            <w:pPr>
              <w:ind w:left="20"/>
              <w:spacing w:after="0"/>
              <w:rPr>
                <w:sz w:val="20"/>
                <w:szCs w:val="20"/>
                <w:color w:val="auto"/>
              </w:rPr>
            </w:pPr>
            <w:r>
              <w:rPr>
                <w:rFonts w:ascii="Calibri" w:cs="Calibri" w:eastAsia="Calibri" w:hAnsi="Calibri"/>
                <w:sz w:val="15"/>
                <w:szCs w:val="15"/>
                <w:color w:val="auto"/>
              </w:rPr>
              <w:t>Other comprehensive (loss) income (net of tax):</w:t>
            </w:r>
          </w:p>
        </w:tc>
        <w:tc>
          <w:tcPr>
            <w:tcW w:w="14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500" w:type="dxa"/>
            <w:vAlign w:val="bottom"/>
          </w:tcPr>
          <w:p>
            <w:pPr>
              <w:ind w:left="160"/>
              <w:spacing w:after="0"/>
              <w:rPr>
                <w:sz w:val="20"/>
                <w:szCs w:val="20"/>
                <w:color w:val="auto"/>
              </w:rPr>
            </w:pPr>
            <w:r>
              <w:rPr>
                <w:rFonts w:ascii="Calibri" w:cs="Calibri" w:eastAsia="Calibri" w:hAnsi="Calibri"/>
                <w:sz w:val="15"/>
                <w:szCs w:val="15"/>
                <w:color w:val="auto"/>
              </w:rPr>
              <w:t>Currency translaton adjustments</w:t>
            </w:r>
          </w:p>
        </w:tc>
        <w:tc>
          <w:tcPr>
            <w:tcW w:w="140" w:type="dxa"/>
            <w:vAlign w:val="bottom"/>
          </w:tcPr>
          <w:p>
            <w:pPr>
              <w:spacing w:after="0"/>
              <w:rPr>
                <w:sz w:val="16"/>
                <w:szCs w:val="16"/>
                <w:color w:val="auto"/>
              </w:rPr>
            </w:pPr>
          </w:p>
        </w:tc>
        <w:tc>
          <w:tcPr>
            <w:tcW w:w="600" w:type="dxa"/>
            <w:vAlign w:val="bottom"/>
          </w:tcPr>
          <w:p>
            <w:pPr>
              <w:ind w:left="460"/>
              <w:spacing w:after="0"/>
              <w:rPr>
                <w:sz w:val="20"/>
                <w:szCs w:val="20"/>
                <w:color w:val="auto"/>
              </w:rPr>
            </w:pPr>
            <w:r>
              <w:rPr>
                <w:rFonts w:ascii="Calibri" w:cs="Calibri" w:eastAsia="Calibri" w:hAnsi="Calibri"/>
                <w:sz w:val="15"/>
                <w:szCs w:val="15"/>
                <w:color w:val="auto"/>
                <w:w w:val="88"/>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240"/>
              <w:spacing w:after="0"/>
              <w:rPr>
                <w:sz w:val="20"/>
                <w:szCs w:val="20"/>
                <w:color w:val="auto"/>
              </w:rPr>
            </w:pPr>
            <w:r>
              <w:rPr>
                <w:rFonts w:ascii="Calibri" w:cs="Calibri" w:eastAsia="Calibri" w:hAnsi="Calibri"/>
                <w:sz w:val="15"/>
                <w:szCs w:val="15"/>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Calibri" w:cs="Calibri" w:eastAsia="Calibri" w:hAnsi="Calibri"/>
                <w:sz w:val="15"/>
                <w:szCs w:val="15"/>
                <w:color w:val="auto"/>
              </w:rPr>
              <w:t>—</w:t>
            </w:r>
          </w:p>
        </w:tc>
        <w:tc>
          <w:tcPr>
            <w:tcW w:w="12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Calibri" w:cs="Calibri" w:eastAsia="Calibri" w:hAnsi="Calibri"/>
                <w:sz w:val="15"/>
                <w:szCs w:val="15"/>
                <w:color w:val="auto"/>
              </w:rPr>
              <w:t>(12 )</w:t>
            </w:r>
          </w:p>
        </w:tc>
        <w:tc>
          <w:tcPr>
            <w:tcW w:w="10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Calibri" w:cs="Calibri" w:eastAsia="Calibri" w:hAnsi="Calibri"/>
                <w:sz w:val="15"/>
                <w:szCs w:val="15"/>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Calibri" w:cs="Calibri" w:eastAsia="Calibri" w:hAnsi="Calibri"/>
                <w:sz w:val="15"/>
                <w:szCs w:val="15"/>
                <w:color w:val="auto"/>
              </w:rPr>
              <w:t>(12 )</w:t>
            </w:r>
          </w:p>
        </w:tc>
        <w:tc>
          <w:tcPr>
            <w:tcW w:w="10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Calibri" w:cs="Calibri" w:eastAsia="Calibri" w:hAnsi="Calibri"/>
                <w:sz w:val="15"/>
                <w:szCs w:val="15"/>
                <w:color w:val="auto"/>
              </w:rPr>
              <w:t>—</w:t>
            </w:r>
          </w:p>
        </w:tc>
        <w:tc>
          <w:tcPr>
            <w:tcW w:w="0" w:type="dxa"/>
            <w:vAlign w:val="bottom"/>
          </w:tcPr>
          <w:p>
            <w:pPr>
              <w:spacing w:after="0"/>
              <w:rPr>
                <w:sz w:val="1"/>
                <w:szCs w:val="1"/>
                <w:color w:val="auto"/>
              </w:rPr>
            </w:pPr>
          </w:p>
        </w:tc>
      </w:tr>
      <w:tr>
        <w:trPr>
          <w:trHeight w:val="169"/>
        </w:trPr>
        <w:tc>
          <w:tcPr>
            <w:tcW w:w="3500" w:type="dxa"/>
            <w:vAlign w:val="bottom"/>
            <w:shd w:val="clear" w:color="auto" w:fill="CFF0FC"/>
          </w:tcPr>
          <w:p>
            <w:pPr>
              <w:ind w:left="160"/>
              <w:spacing w:after="0" w:line="169" w:lineRule="exact"/>
              <w:rPr>
                <w:sz w:val="20"/>
                <w:szCs w:val="20"/>
                <w:color w:val="auto"/>
              </w:rPr>
            </w:pPr>
            <w:r>
              <w:rPr>
                <w:rFonts w:ascii="Calibri" w:cs="Calibri" w:eastAsia="Calibri" w:hAnsi="Calibri"/>
                <w:sz w:val="15"/>
                <w:szCs w:val="15"/>
                <w:color w:val="auto"/>
              </w:rPr>
              <w:t>Pension and other postretrement</w:t>
            </w:r>
          </w:p>
        </w:tc>
        <w:tc>
          <w:tcPr>
            <w:tcW w:w="14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500" w:type="dxa"/>
            <w:vAlign w:val="bottom"/>
            <w:tcBorders>
              <w:bottom w:val="single" w:sz="8" w:color="CFF0FC"/>
            </w:tcBorders>
            <w:shd w:val="clear" w:color="auto" w:fill="CFF0FC"/>
          </w:tcPr>
          <w:p>
            <w:pPr>
              <w:ind w:left="260"/>
              <w:spacing w:after="0"/>
              <w:rPr>
                <w:sz w:val="20"/>
                <w:szCs w:val="20"/>
                <w:color w:val="auto"/>
              </w:rPr>
            </w:pPr>
            <w:r>
              <w:rPr>
                <w:rFonts w:ascii="Calibri" w:cs="Calibri" w:eastAsia="Calibri" w:hAnsi="Calibri"/>
                <w:sz w:val="15"/>
                <w:szCs w:val="15"/>
                <w:color w:val="auto"/>
              </w:rPr>
              <w:t>liability adjustments</w:t>
            </w:r>
          </w:p>
        </w:tc>
        <w:tc>
          <w:tcPr>
            <w:tcW w:w="140" w:type="dxa"/>
            <w:vAlign w:val="bottom"/>
            <w:tcBorders>
              <w:bottom w:val="single" w:sz="8" w:color="CFF0FC"/>
            </w:tcBorders>
            <w:shd w:val="clear" w:color="auto" w:fill="CFF0FC"/>
          </w:tcPr>
          <w:p>
            <w:pPr>
              <w:spacing w:after="0"/>
              <w:rPr>
                <w:sz w:val="16"/>
                <w:szCs w:val="16"/>
                <w:color w:val="auto"/>
              </w:rPr>
            </w:pPr>
          </w:p>
        </w:tc>
        <w:tc>
          <w:tcPr>
            <w:tcW w:w="600" w:type="dxa"/>
            <w:vAlign w:val="bottom"/>
            <w:tcBorders>
              <w:bottom w:val="single" w:sz="8" w:color="CFF0FC"/>
            </w:tcBorders>
            <w:shd w:val="clear" w:color="auto" w:fill="CFF0FC"/>
          </w:tcPr>
          <w:p>
            <w:pPr>
              <w:ind w:left="460"/>
              <w:spacing w:after="0"/>
              <w:rPr>
                <w:sz w:val="20"/>
                <w:szCs w:val="20"/>
                <w:color w:val="auto"/>
              </w:rPr>
            </w:pPr>
            <w:r>
              <w:rPr>
                <w:rFonts w:ascii="Calibri" w:cs="Calibri" w:eastAsia="Calibri" w:hAnsi="Calibri"/>
                <w:sz w:val="15"/>
                <w:szCs w:val="15"/>
                <w:color w:val="auto"/>
                <w:w w:val="88"/>
              </w:rPr>
              <w:t>—</w:t>
            </w:r>
          </w:p>
        </w:tc>
        <w:tc>
          <w:tcPr>
            <w:tcW w:w="2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100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Calibri" w:cs="Calibri" w:eastAsia="Calibri" w:hAnsi="Calibri"/>
                <w:sz w:val="15"/>
                <w:szCs w:val="15"/>
                <w:color w:val="auto"/>
              </w:rPr>
              <w:t>—</w:t>
            </w:r>
          </w:p>
        </w:tc>
        <w:tc>
          <w:tcPr>
            <w:tcW w:w="100" w:type="dxa"/>
            <w:vAlign w:val="bottom"/>
            <w:tcBorders>
              <w:bottom w:val="single" w:sz="8" w:color="CFF0FC"/>
            </w:tcBorders>
            <w:shd w:val="clear" w:color="auto" w:fill="CFF0FC"/>
          </w:tcPr>
          <w:p>
            <w:pPr>
              <w:spacing w:after="0"/>
              <w:rPr>
                <w:sz w:val="16"/>
                <w:szCs w:val="16"/>
                <w:color w:val="auto"/>
              </w:rPr>
            </w:pPr>
          </w:p>
        </w:tc>
        <w:tc>
          <w:tcPr>
            <w:tcW w:w="114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Calibri" w:cs="Calibri" w:eastAsia="Calibri" w:hAnsi="Calibri"/>
                <w:sz w:val="15"/>
                <w:szCs w:val="15"/>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253</w:t>
            </w:r>
          </w:p>
        </w:tc>
        <w:tc>
          <w:tcPr>
            <w:tcW w:w="2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86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Calibri" w:cs="Calibri" w:eastAsia="Calibri" w:hAnsi="Calibri"/>
                <w:sz w:val="15"/>
                <w:szCs w:val="15"/>
                <w:color w:val="auto"/>
              </w:rPr>
              <w:t>—</w:t>
            </w:r>
          </w:p>
        </w:tc>
        <w:tc>
          <w:tcPr>
            <w:tcW w:w="160" w:type="dxa"/>
            <w:vAlign w:val="bottom"/>
            <w:tcBorders>
              <w:bottom w:val="single" w:sz="8" w:color="CFF0FC"/>
            </w:tcBorders>
            <w:shd w:val="clear" w:color="auto" w:fill="CFF0FC"/>
          </w:tcPr>
          <w:p>
            <w:pPr>
              <w:spacing w:after="0"/>
              <w:rPr>
                <w:sz w:val="16"/>
                <w:szCs w:val="16"/>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253</w:t>
            </w:r>
          </w:p>
        </w:tc>
        <w:tc>
          <w:tcPr>
            <w:tcW w:w="2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102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Calibri" w:cs="Calibri" w:eastAsia="Calibri" w:hAnsi="Calibri"/>
                <w:sz w:val="15"/>
                <w:szCs w:val="15"/>
                <w:color w:val="auto"/>
              </w:rPr>
              <w:t>—</w:t>
            </w:r>
          </w:p>
        </w:tc>
        <w:tc>
          <w:tcPr>
            <w:tcW w:w="0" w:type="dxa"/>
            <w:vAlign w:val="bottom"/>
          </w:tcPr>
          <w:p>
            <w:pPr>
              <w:spacing w:after="0"/>
              <w:rPr>
                <w:sz w:val="1"/>
                <w:szCs w:val="1"/>
                <w:color w:val="auto"/>
              </w:rPr>
            </w:pPr>
          </w:p>
        </w:tc>
      </w:tr>
      <w:tr>
        <w:trPr>
          <w:trHeight w:val="186"/>
        </w:trPr>
        <w:tc>
          <w:tcPr>
            <w:tcW w:w="3500" w:type="dxa"/>
            <w:vAlign w:val="bottom"/>
          </w:tcPr>
          <w:p>
            <w:pPr>
              <w:ind w:left="20"/>
              <w:spacing w:after="0"/>
              <w:rPr>
                <w:sz w:val="20"/>
                <w:szCs w:val="20"/>
                <w:color w:val="auto"/>
              </w:rPr>
            </w:pPr>
            <w:r>
              <w:rPr>
                <w:rFonts w:ascii="Calibri" w:cs="Calibri" w:eastAsia="Calibri" w:hAnsi="Calibri"/>
                <w:sz w:val="15"/>
                <w:szCs w:val="15"/>
                <w:color w:val="auto"/>
              </w:rPr>
              <w:t>Preferred stock cash and accrued dividends</w:t>
            </w:r>
          </w:p>
        </w:tc>
        <w:tc>
          <w:tcPr>
            <w:tcW w:w="140" w:type="dxa"/>
            <w:vAlign w:val="bottom"/>
          </w:tcPr>
          <w:p>
            <w:pPr>
              <w:spacing w:after="0"/>
              <w:rPr>
                <w:sz w:val="16"/>
                <w:szCs w:val="16"/>
                <w:color w:val="auto"/>
              </w:rPr>
            </w:pPr>
          </w:p>
        </w:tc>
        <w:tc>
          <w:tcPr>
            <w:tcW w:w="600" w:type="dxa"/>
            <w:vAlign w:val="bottom"/>
          </w:tcPr>
          <w:p>
            <w:pPr>
              <w:ind w:left="460"/>
              <w:spacing w:after="0"/>
              <w:rPr>
                <w:sz w:val="20"/>
                <w:szCs w:val="20"/>
                <w:color w:val="auto"/>
              </w:rPr>
            </w:pPr>
            <w:r>
              <w:rPr>
                <w:rFonts w:ascii="Calibri" w:cs="Calibri" w:eastAsia="Calibri" w:hAnsi="Calibri"/>
                <w:sz w:val="15"/>
                <w:szCs w:val="15"/>
                <w:color w:val="auto"/>
                <w:w w:val="88"/>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Calibri" w:cs="Calibri" w:eastAsia="Calibri" w:hAnsi="Calibri"/>
                <w:sz w:val="15"/>
                <w:szCs w:val="15"/>
                <w:color w:val="auto"/>
              </w:rPr>
              <w:t>(4 )</w:t>
            </w:r>
          </w:p>
        </w:tc>
        <w:tc>
          <w:tcPr>
            <w:tcW w:w="10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Calibri" w:cs="Calibri" w:eastAsia="Calibri" w:hAnsi="Calibri"/>
                <w:sz w:val="15"/>
                <w:szCs w:val="15"/>
                <w:color w:val="auto"/>
              </w:rPr>
              <w:t>—</w:t>
            </w:r>
          </w:p>
        </w:tc>
        <w:tc>
          <w:tcPr>
            <w:tcW w:w="12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Calibri" w:cs="Calibri" w:eastAsia="Calibri" w:hAnsi="Calibri"/>
                <w:sz w:val="15"/>
                <w:szCs w:val="15"/>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Calibri" w:cs="Calibri" w:eastAsia="Calibri" w:hAnsi="Calibri"/>
                <w:sz w:val="15"/>
                <w:szCs w:val="15"/>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Calibri" w:cs="Calibri" w:eastAsia="Calibri" w:hAnsi="Calibri"/>
                <w:sz w:val="15"/>
                <w:szCs w:val="15"/>
                <w:color w:val="auto"/>
              </w:rPr>
              <w:t>(4 )</w:t>
            </w:r>
          </w:p>
        </w:tc>
        <w:tc>
          <w:tcPr>
            <w:tcW w:w="10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Calibri" w:cs="Calibri" w:eastAsia="Calibri" w:hAnsi="Calibri"/>
                <w:sz w:val="15"/>
                <w:szCs w:val="15"/>
                <w:color w:val="auto"/>
              </w:rPr>
              <w:t>—</w:t>
            </w:r>
          </w:p>
        </w:tc>
        <w:tc>
          <w:tcPr>
            <w:tcW w:w="0" w:type="dxa"/>
            <w:vAlign w:val="bottom"/>
          </w:tcPr>
          <w:p>
            <w:pPr>
              <w:spacing w:after="0"/>
              <w:rPr>
                <w:sz w:val="1"/>
                <w:szCs w:val="1"/>
                <w:color w:val="auto"/>
              </w:rPr>
            </w:pPr>
          </w:p>
        </w:tc>
      </w:tr>
      <w:tr>
        <w:trPr>
          <w:trHeight w:val="192"/>
        </w:trPr>
        <w:tc>
          <w:tcPr>
            <w:tcW w:w="3500" w:type="dxa"/>
            <w:vAlign w:val="bottom"/>
            <w:shd w:val="clear" w:color="auto" w:fill="CFF0FC"/>
          </w:tcPr>
          <w:p>
            <w:pPr>
              <w:ind w:left="20"/>
              <w:spacing w:after="0"/>
              <w:rPr>
                <w:sz w:val="20"/>
                <w:szCs w:val="20"/>
                <w:color w:val="auto"/>
              </w:rPr>
            </w:pPr>
            <w:r>
              <w:rPr>
                <w:rFonts w:ascii="Calibri" w:cs="Calibri" w:eastAsia="Calibri" w:hAnsi="Calibri"/>
                <w:sz w:val="15"/>
                <w:szCs w:val="15"/>
                <w:color w:val="auto"/>
              </w:rPr>
              <w:t>Preferred stock in-kind dividends</w:t>
            </w:r>
          </w:p>
        </w:tc>
        <w:tc>
          <w:tcPr>
            <w:tcW w:w="140" w:type="dxa"/>
            <w:vAlign w:val="bottom"/>
            <w:shd w:val="clear" w:color="auto" w:fill="CFF0FC"/>
          </w:tcPr>
          <w:p>
            <w:pPr>
              <w:spacing w:after="0"/>
              <w:rPr>
                <w:sz w:val="16"/>
                <w:szCs w:val="16"/>
                <w:color w:val="auto"/>
              </w:rPr>
            </w:pPr>
          </w:p>
        </w:tc>
        <w:tc>
          <w:tcPr>
            <w:tcW w:w="600" w:type="dxa"/>
            <w:vAlign w:val="bottom"/>
            <w:shd w:val="clear" w:color="auto" w:fill="CFF0FC"/>
          </w:tcPr>
          <w:p>
            <w:pPr>
              <w:ind w:left="460"/>
              <w:spacing w:after="0"/>
              <w:rPr>
                <w:sz w:val="20"/>
                <w:szCs w:val="20"/>
                <w:color w:val="auto"/>
              </w:rPr>
            </w:pPr>
            <w:r>
              <w:rPr>
                <w:rFonts w:ascii="Calibri" w:cs="Calibri" w:eastAsia="Calibri" w:hAnsi="Calibri"/>
                <w:sz w:val="15"/>
                <w:szCs w:val="15"/>
                <w:color w:val="auto"/>
                <w:w w:val="88"/>
              </w:rPr>
              <w:t>—</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160"/>
              <w:spacing w:after="0"/>
              <w:rPr>
                <w:sz w:val="20"/>
                <w:szCs w:val="20"/>
                <w:color w:val="auto"/>
              </w:rPr>
            </w:pPr>
            <w:r>
              <w:rPr>
                <w:rFonts w:ascii="Calibri" w:cs="Calibri" w:eastAsia="Calibri" w:hAnsi="Calibri"/>
                <w:sz w:val="15"/>
                <w:szCs w:val="15"/>
                <w:color w:val="auto"/>
              </w:rPr>
              <w:t>(5 )</w:t>
            </w:r>
          </w:p>
        </w:tc>
        <w:tc>
          <w:tcPr>
            <w:tcW w:w="10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240"/>
              <w:spacing w:after="0"/>
              <w:rPr>
                <w:sz w:val="20"/>
                <w:szCs w:val="20"/>
                <w:color w:val="auto"/>
              </w:rPr>
            </w:pPr>
            <w:r>
              <w:rPr>
                <w:rFonts w:ascii="Calibri" w:cs="Calibri" w:eastAsia="Calibri" w:hAnsi="Calibri"/>
                <w:sz w:val="15"/>
                <w:szCs w:val="15"/>
                <w:color w:val="auto"/>
              </w:rPr>
              <w:t>—</w:t>
            </w:r>
          </w:p>
        </w:tc>
        <w:tc>
          <w:tcPr>
            <w:tcW w:w="12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240"/>
              <w:spacing w:after="0"/>
              <w:rPr>
                <w:sz w:val="20"/>
                <w:szCs w:val="20"/>
                <w:color w:val="auto"/>
              </w:rPr>
            </w:pPr>
            <w:r>
              <w:rPr>
                <w:rFonts w:ascii="Calibri" w:cs="Calibri" w:eastAsia="Calibri" w:hAnsi="Calibri"/>
                <w:sz w:val="15"/>
                <w:szCs w:val="15"/>
                <w:color w:val="auto"/>
              </w:rPr>
              <w:t>—</w:t>
            </w:r>
          </w:p>
        </w:tc>
        <w:tc>
          <w:tcPr>
            <w:tcW w:w="10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220"/>
              <w:spacing w:after="0"/>
              <w:rPr>
                <w:sz w:val="20"/>
                <w:szCs w:val="20"/>
                <w:color w:val="auto"/>
              </w:rPr>
            </w:pPr>
            <w:r>
              <w:rPr>
                <w:rFonts w:ascii="Calibri" w:cs="Calibri" w:eastAsia="Calibri" w:hAnsi="Calibri"/>
                <w:sz w:val="15"/>
                <w:szCs w:val="15"/>
                <w:color w:val="auto"/>
              </w:rPr>
              <w:t>—</w:t>
            </w:r>
          </w:p>
        </w:tc>
        <w:tc>
          <w:tcPr>
            <w:tcW w:w="16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160"/>
              <w:spacing w:after="0"/>
              <w:rPr>
                <w:sz w:val="20"/>
                <w:szCs w:val="20"/>
                <w:color w:val="auto"/>
              </w:rPr>
            </w:pPr>
            <w:r>
              <w:rPr>
                <w:rFonts w:ascii="Calibri" w:cs="Calibri" w:eastAsia="Calibri" w:hAnsi="Calibri"/>
                <w:sz w:val="15"/>
                <w:szCs w:val="15"/>
                <w:color w:val="auto"/>
              </w:rPr>
              <w:t>(5 )</w:t>
            </w:r>
          </w:p>
        </w:tc>
        <w:tc>
          <w:tcPr>
            <w:tcW w:w="10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Calibri" w:cs="Calibri" w:eastAsia="Calibri" w:hAnsi="Calibri"/>
                <w:sz w:val="15"/>
                <w:szCs w:val="15"/>
                <w:color w:val="auto"/>
              </w:rPr>
              <w:t>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500" w:type="dxa"/>
            <w:vAlign w:val="bottom"/>
          </w:tcPr>
          <w:p>
            <w:pPr>
              <w:ind w:left="20"/>
              <w:spacing w:after="0" w:line="133" w:lineRule="exact"/>
              <w:rPr>
                <w:sz w:val="20"/>
                <w:szCs w:val="20"/>
                <w:color w:val="auto"/>
              </w:rPr>
            </w:pPr>
            <w:r>
              <w:rPr>
                <w:rFonts w:ascii="Calibri" w:cs="Calibri" w:eastAsia="Calibri" w:hAnsi="Calibri"/>
                <w:sz w:val="14"/>
                <w:szCs w:val="14"/>
                <w:color w:val="auto"/>
              </w:rPr>
              <w:t>Preferred stock deemed dividends</w:t>
            </w:r>
          </w:p>
        </w:tc>
        <w:tc>
          <w:tcPr>
            <w:tcW w:w="140" w:type="dxa"/>
            <w:vAlign w:val="bottom"/>
          </w:tcPr>
          <w:p>
            <w:pPr>
              <w:spacing w:after="0"/>
              <w:rPr>
                <w:sz w:val="11"/>
                <w:szCs w:val="11"/>
                <w:color w:val="auto"/>
              </w:rPr>
            </w:pPr>
          </w:p>
        </w:tc>
        <w:tc>
          <w:tcPr>
            <w:tcW w:w="600" w:type="dxa"/>
            <w:vAlign w:val="bottom"/>
          </w:tcPr>
          <w:p>
            <w:pPr>
              <w:ind w:left="460"/>
              <w:spacing w:after="0" w:line="133" w:lineRule="exact"/>
              <w:rPr>
                <w:sz w:val="20"/>
                <w:szCs w:val="20"/>
                <w:color w:val="auto"/>
              </w:rPr>
            </w:pPr>
            <w:r>
              <w:rPr>
                <w:rFonts w:ascii="Calibri" w:cs="Calibri" w:eastAsia="Calibri" w:hAnsi="Calibri"/>
                <w:sz w:val="14"/>
                <w:szCs w:val="14"/>
                <w:color w:val="auto"/>
                <w:w w:val="94"/>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right"/>
              <w:ind w:right="160"/>
              <w:spacing w:after="0" w:line="133" w:lineRule="exact"/>
              <w:rPr>
                <w:sz w:val="20"/>
                <w:szCs w:val="20"/>
                <w:color w:val="auto"/>
              </w:rPr>
            </w:pPr>
            <w:r>
              <w:rPr>
                <w:rFonts w:ascii="Calibri" w:cs="Calibri" w:eastAsia="Calibri" w:hAnsi="Calibri"/>
                <w:sz w:val="14"/>
                <w:szCs w:val="14"/>
                <w:color w:val="auto"/>
              </w:rPr>
              <w:t>(2 )</w:t>
            </w:r>
          </w:p>
        </w:tc>
        <w:tc>
          <w:tcPr>
            <w:tcW w:w="100" w:type="dxa"/>
            <w:vAlign w:val="bottom"/>
          </w:tcPr>
          <w:p>
            <w:pPr>
              <w:spacing w:after="0"/>
              <w:rPr>
                <w:sz w:val="11"/>
                <w:szCs w:val="11"/>
                <w:color w:val="auto"/>
              </w:rPr>
            </w:pPr>
          </w:p>
        </w:tc>
        <w:tc>
          <w:tcPr>
            <w:tcW w:w="1140" w:type="dxa"/>
            <w:vAlign w:val="bottom"/>
            <w:gridSpan w:val="2"/>
          </w:tcPr>
          <w:p>
            <w:pPr>
              <w:jc w:val="right"/>
              <w:ind w:right="240"/>
              <w:spacing w:after="0" w:line="133" w:lineRule="exact"/>
              <w:rPr>
                <w:sz w:val="20"/>
                <w:szCs w:val="20"/>
                <w:color w:val="auto"/>
              </w:rPr>
            </w:pPr>
            <w:r>
              <w:rPr>
                <w:rFonts w:ascii="Calibri" w:cs="Calibri" w:eastAsia="Calibri" w:hAnsi="Calibri"/>
                <w:sz w:val="14"/>
                <w:szCs w:val="14"/>
                <w:color w:val="auto"/>
              </w:rPr>
              <w:t>—</w:t>
            </w:r>
          </w:p>
        </w:tc>
        <w:tc>
          <w:tcPr>
            <w:tcW w:w="120" w:type="dxa"/>
            <w:vAlign w:val="bottom"/>
          </w:tcPr>
          <w:p>
            <w:pPr>
              <w:spacing w:after="0"/>
              <w:rPr>
                <w:sz w:val="11"/>
                <w:szCs w:val="11"/>
                <w:color w:val="auto"/>
              </w:rPr>
            </w:pPr>
          </w:p>
        </w:tc>
        <w:tc>
          <w:tcPr>
            <w:tcW w:w="1260" w:type="dxa"/>
            <w:vAlign w:val="bottom"/>
            <w:gridSpan w:val="2"/>
          </w:tcPr>
          <w:p>
            <w:pPr>
              <w:jc w:val="right"/>
              <w:ind w:right="240"/>
              <w:spacing w:after="0" w:line="133" w:lineRule="exact"/>
              <w:rPr>
                <w:sz w:val="20"/>
                <w:szCs w:val="20"/>
                <w:color w:val="auto"/>
              </w:rPr>
            </w:pPr>
            <w:r>
              <w:rPr>
                <w:rFonts w:ascii="Calibri" w:cs="Calibri" w:eastAsia="Calibri" w:hAnsi="Calibri"/>
                <w:sz w:val="14"/>
                <w:szCs w:val="14"/>
                <w:color w:val="auto"/>
              </w:rPr>
              <w:t>—</w:t>
            </w:r>
          </w:p>
        </w:tc>
        <w:tc>
          <w:tcPr>
            <w:tcW w:w="100" w:type="dxa"/>
            <w:vAlign w:val="bottom"/>
          </w:tcPr>
          <w:p>
            <w:pPr>
              <w:spacing w:after="0"/>
              <w:rPr>
                <w:sz w:val="11"/>
                <w:szCs w:val="11"/>
                <w:color w:val="auto"/>
              </w:rPr>
            </w:pPr>
          </w:p>
        </w:tc>
        <w:tc>
          <w:tcPr>
            <w:tcW w:w="860" w:type="dxa"/>
            <w:vAlign w:val="bottom"/>
            <w:gridSpan w:val="2"/>
          </w:tcPr>
          <w:p>
            <w:pPr>
              <w:jc w:val="right"/>
              <w:ind w:right="220"/>
              <w:spacing w:after="0" w:line="133" w:lineRule="exact"/>
              <w:rPr>
                <w:sz w:val="20"/>
                <w:szCs w:val="20"/>
                <w:color w:val="auto"/>
              </w:rPr>
            </w:pPr>
            <w:r>
              <w:rPr>
                <w:rFonts w:ascii="Calibri" w:cs="Calibri" w:eastAsia="Calibri" w:hAnsi="Calibri"/>
                <w:sz w:val="14"/>
                <w:szCs w:val="14"/>
                <w:color w:val="auto"/>
              </w:rPr>
              <w:t>—</w:t>
            </w:r>
          </w:p>
        </w:tc>
        <w:tc>
          <w:tcPr>
            <w:tcW w:w="160" w:type="dxa"/>
            <w:vAlign w:val="bottom"/>
          </w:tcPr>
          <w:p>
            <w:pPr>
              <w:spacing w:after="0"/>
              <w:rPr>
                <w:sz w:val="11"/>
                <w:szCs w:val="11"/>
                <w:color w:val="auto"/>
              </w:rPr>
            </w:pPr>
          </w:p>
        </w:tc>
        <w:tc>
          <w:tcPr>
            <w:tcW w:w="820" w:type="dxa"/>
            <w:vAlign w:val="bottom"/>
            <w:gridSpan w:val="2"/>
          </w:tcPr>
          <w:p>
            <w:pPr>
              <w:jc w:val="right"/>
              <w:ind w:right="160"/>
              <w:spacing w:after="0" w:line="133" w:lineRule="exact"/>
              <w:rPr>
                <w:sz w:val="20"/>
                <w:szCs w:val="20"/>
                <w:color w:val="auto"/>
              </w:rPr>
            </w:pPr>
            <w:r>
              <w:rPr>
                <w:rFonts w:ascii="Calibri" w:cs="Calibri" w:eastAsia="Calibri" w:hAnsi="Calibri"/>
                <w:sz w:val="14"/>
                <w:szCs w:val="14"/>
                <w:color w:val="auto"/>
              </w:rPr>
              <w:t>(2 )</w:t>
            </w:r>
          </w:p>
        </w:tc>
        <w:tc>
          <w:tcPr>
            <w:tcW w:w="100" w:type="dxa"/>
            <w:vAlign w:val="bottom"/>
          </w:tcPr>
          <w:p>
            <w:pPr>
              <w:spacing w:after="0"/>
              <w:rPr>
                <w:sz w:val="11"/>
                <w:szCs w:val="11"/>
                <w:color w:val="auto"/>
              </w:rPr>
            </w:pPr>
          </w:p>
        </w:tc>
        <w:tc>
          <w:tcPr>
            <w:tcW w:w="920" w:type="dxa"/>
            <w:vAlign w:val="bottom"/>
          </w:tcPr>
          <w:p>
            <w:pPr>
              <w:jc w:val="right"/>
              <w:spacing w:after="0" w:line="133" w:lineRule="exact"/>
              <w:rPr>
                <w:sz w:val="20"/>
                <w:szCs w:val="20"/>
                <w:color w:val="auto"/>
              </w:rPr>
            </w:pPr>
            <w:r>
              <w:rPr>
                <w:rFonts w:ascii="Calibri" w:cs="Calibri" w:eastAsia="Calibri" w:hAnsi="Calibri"/>
                <w:sz w:val="14"/>
                <w:szCs w:val="14"/>
                <w:color w:val="auto"/>
              </w:rPr>
              <w:t>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6"/>
        </w:trPr>
        <w:tc>
          <w:tcPr>
            <w:tcW w:w="3500" w:type="dxa"/>
            <w:vAlign w:val="bottom"/>
          </w:tcPr>
          <w:p>
            <w:pPr>
              <w:ind w:left="20"/>
              <w:spacing w:after="0" w:line="236" w:lineRule="exact"/>
              <w:rPr>
                <w:sz w:val="20"/>
                <w:szCs w:val="20"/>
                <w:color w:val="auto"/>
              </w:rPr>
            </w:pPr>
            <w:r>
              <w:rPr>
                <w:rFonts w:ascii="Calibri" w:cs="Calibri" w:eastAsia="Calibri" w:hAnsi="Calibri"/>
                <w:sz w:val="15"/>
                <w:szCs w:val="15"/>
                <w:color w:val="auto"/>
              </w:rPr>
              <w:t xml:space="preserve">Treasury stock purchases </w:t>
            </w:r>
            <w:r>
              <w:rPr>
                <w:rFonts w:ascii="Calibri" w:cs="Calibri" w:eastAsia="Calibri" w:hAnsi="Calibri"/>
                <w:sz w:val="20"/>
                <w:szCs w:val="20"/>
                <w:color w:val="auto"/>
                <w:vertAlign w:val="superscript"/>
              </w:rPr>
              <w:t>(2)</w:t>
            </w:r>
          </w:p>
        </w:tc>
        <w:tc>
          <w:tcPr>
            <w:tcW w:w="140" w:type="dxa"/>
            <w:vAlign w:val="bottom"/>
          </w:tcPr>
          <w:p>
            <w:pPr>
              <w:spacing w:after="0"/>
              <w:rPr>
                <w:sz w:val="20"/>
                <w:szCs w:val="20"/>
                <w:color w:val="auto"/>
              </w:rPr>
            </w:pPr>
          </w:p>
        </w:tc>
        <w:tc>
          <w:tcPr>
            <w:tcW w:w="600" w:type="dxa"/>
            <w:vAlign w:val="bottom"/>
          </w:tcPr>
          <w:p>
            <w:pPr>
              <w:ind w:left="460"/>
              <w:spacing w:after="0"/>
              <w:rPr>
                <w:sz w:val="20"/>
                <w:szCs w:val="20"/>
                <w:color w:val="auto"/>
              </w:rPr>
            </w:pPr>
            <w:r>
              <w:rPr>
                <w:rFonts w:ascii="Calibri" w:cs="Calibri" w:eastAsia="Calibri" w:hAnsi="Calibri"/>
                <w:sz w:val="15"/>
                <w:szCs w:val="15"/>
                <w:color w:val="auto"/>
                <w:w w:val="88"/>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Calibri" w:cs="Calibri" w:eastAsia="Calibri" w:hAnsi="Calibri"/>
                <w:sz w:val="15"/>
                <w:szCs w:val="15"/>
                <w:color w:val="auto"/>
              </w:rPr>
              <w:t>—</w:t>
            </w:r>
          </w:p>
        </w:tc>
        <w:tc>
          <w:tcPr>
            <w:tcW w:w="10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Calibri" w:cs="Calibri" w:eastAsia="Calibri" w:hAnsi="Calibri"/>
                <w:sz w:val="15"/>
                <w:szCs w:val="15"/>
                <w:color w:val="auto"/>
              </w:rPr>
              <w:t>—</w:t>
            </w:r>
          </w:p>
        </w:tc>
        <w:tc>
          <w:tcPr>
            <w:tcW w:w="12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Calibri" w:cs="Calibri" w:eastAsia="Calibri" w:hAnsi="Calibri"/>
                <w:sz w:val="15"/>
                <w:szCs w:val="15"/>
                <w:color w:val="auto"/>
              </w:rPr>
              <w:t>—</w:t>
            </w:r>
          </w:p>
        </w:tc>
        <w:tc>
          <w:tcPr>
            <w:tcW w:w="10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Calibri" w:cs="Calibri" w:eastAsia="Calibri" w:hAnsi="Calibri"/>
                <w:sz w:val="15"/>
                <w:szCs w:val="15"/>
                <w:color w:val="auto"/>
              </w:rPr>
              <w:t>(1 )</w:t>
            </w:r>
          </w:p>
        </w:tc>
        <w:tc>
          <w:tcPr>
            <w:tcW w:w="16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Calibri" w:cs="Calibri" w:eastAsia="Calibri" w:hAnsi="Calibri"/>
                <w:sz w:val="15"/>
                <w:szCs w:val="15"/>
                <w:color w:val="auto"/>
              </w:rPr>
              <w:t>(1 )</w:t>
            </w:r>
          </w:p>
        </w:tc>
        <w:tc>
          <w:tcPr>
            <w:tcW w:w="1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Calibri" w:cs="Calibri" w:eastAsia="Calibri" w:hAnsi="Calibri"/>
                <w:sz w:val="15"/>
                <w:szCs w:val="15"/>
                <w:color w:val="auto"/>
              </w:rPr>
              <w:t>—</w:t>
            </w:r>
          </w:p>
        </w:tc>
        <w:tc>
          <w:tcPr>
            <w:tcW w:w="0" w:type="dxa"/>
            <w:vAlign w:val="bottom"/>
          </w:tcPr>
          <w:p>
            <w:pPr>
              <w:spacing w:after="0"/>
              <w:rPr>
                <w:sz w:val="1"/>
                <w:szCs w:val="1"/>
                <w:color w:val="auto"/>
              </w:rPr>
            </w:pPr>
          </w:p>
        </w:tc>
      </w:tr>
      <w:tr>
        <w:trPr>
          <w:trHeight w:val="192"/>
        </w:trPr>
        <w:tc>
          <w:tcPr>
            <w:tcW w:w="3500" w:type="dxa"/>
            <w:vAlign w:val="bottom"/>
          </w:tcPr>
          <w:p>
            <w:pPr>
              <w:ind w:left="20"/>
              <w:spacing w:after="0"/>
              <w:rPr>
                <w:sz w:val="20"/>
                <w:szCs w:val="20"/>
                <w:color w:val="auto"/>
              </w:rPr>
            </w:pPr>
            <w:r>
              <w:rPr>
                <w:rFonts w:ascii="Calibri" w:cs="Calibri" w:eastAsia="Calibri" w:hAnsi="Calibri"/>
                <w:sz w:val="15"/>
                <w:szCs w:val="15"/>
                <w:color w:val="auto"/>
              </w:rPr>
              <w:t>Stock-based compensaton</w:t>
            </w: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ind w:left="460"/>
              <w:spacing w:after="0"/>
              <w:rPr>
                <w:sz w:val="20"/>
                <w:szCs w:val="20"/>
                <w:color w:val="auto"/>
              </w:rPr>
            </w:pPr>
            <w:r>
              <w:rPr>
                <w:rFonts w:ascii="Calibri" w:cs="Calibri" w:eastAsia="Calibri" w:hAnsi="Calibri"/>
                <w:sz w:val="15"/>
                <w:szCs w:val="15"/>
                <w:color w:val="auto"/>
                <w:w w:val="88"/>
              </w:rPr>
              <w:t>—</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Calibri" w:cs="Calibri" w:eastAsia="Calibri" w:hAnsi="Calibri"/>
                <w:sz w:val="15"/>
                <w:szCs w:val="15"/>
                <w:color w:val="auto"/>
              </w:rPr>
              <w:t>5</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Calibri" w:cs="Calibri" w:eastAsia="Calibri" w:hAnsi="Calibri"/>
                <w:sz w:val="15"/>
                <w:szCs w:val="15"/>
                <w:color w:val="auto"/>
              </w:rPr>
              <w:t>—</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Calibri" w:cs="Calibri" w:eastAsia="Calibri" w:hAnsi="Calibri"/>
                <w:sz w:val="15"/>
                <w:szCs w:val="15"/>
                <w:color w:val="auto"/>
              </w:rPr>
              <w:t>—</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Calibri" w:cs="Calibri" w:eastAsia="Calibri" w:hAnsi="Calibri"/>
                <w:sz w:val="15"/>
                <w:szCs w:val="15"/>
                <w:color w:val="auto"/>
              </w:rPr>
              <w:t>—</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Calibri" w:cs="Calibri" w:eastAsia="Calibri" w:hAnsi="Calibri"/>
                <w:sz w:val="15"/>
                <w:szCs w:val="15"/>
                <w:color w:val="auto"/>
              </w:rPr>
              <w:t>5</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Calibri" w:cs="Calibri" w:eastAsia="Calibri" w:hAnsi="Calibri"/>
                <w:sz w:val="15"/>
                <w:szCs w:val="15"/>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00" w:type="dxa"/>
            <w:vAlign w:val="bottom"/>
            <w:shd w:val="clear" w:color="auto" w:fill="CFF0FC"/>
          </w:tcPr>
          <w:p>
            <w:pPr>
              <w:ind w:left="20"/>
              <w:spacing w:after="0"/>
              <w:rPr>
                <w:sz w:val="20"/>
                <w:szCs w:val="20"/>
                <w:color w:val="auto"/>
              </w:rPr>
            </w:pPr>
            <w:r>
              <w:rPr>
                <w:rFonts w:ascii="Calibri" w:cs="Calibri" w:eastAsia="Calibri" w:hAnsi="Calibri"/>
                <w:sz w:val="15"/>
                <w:szCs w:val="15"/>
                <w:color w:val="auto"/>
              </w:rPr>
              <w:t>Equity (defcit) as of December 31, 2022</w:t>
            </w:r>
          </w:p>
        </w:tc>
        <w:tc>
          <w:tcPr>
            <w:tcW w:w="140" w:type="dxa"/>
            <w:vAlign w:val="bottom"/>
            <w:shd w:val="clear" w:color="auto" w:fill="CFF0FC"/>
          </w:tcPr>
          <w:p>
            <w:pPr>
              <w:jc w:val="right"/>
              <w:spacing w:after="0"/>
              <w:rPr>
                <w:sz w:val="20"/>
                <w:szCs w:val="20"/>
                <w:color w:val="auto"/>
              </w:rPr>
            </w:pPr>
            <w:r>
              <w:rPr>
                <w:rFonts w:ascii="Calibri" w:cs="Calibri" w:eastAsia="Calibri" w:hAnsi="Calibri"/>
                <w:sz w:val="15"/>
                <w:szCs w:val="15"/>
                <w:color w:val="auto"/>
              </w:rPr>
              <w:t>$</w:t>
            </w:r>
          </w:p>
        </w:tc>
        <w:tc>
          <w:tcPr>
            <w:tcW w:w="600" w:type="dxa"/>
            <w:vAlign w:val="bottom"/>
            <w:shd w:val="clear" w:color="auto" w:fill="CFF0FC"/>
          </w:tcPr>
          <w:p>
            <w:pPr>
              <w:ind w:left="460"/>
              <w:spacing w:after="0"/>
              <w:rPr>
                <w:sz w:val="20"/>
                <w:szCs w:val="20"/>
                <w:color w:val="auto"/>
              </w:rPr>
            </w:pPr>
            <w:r>
              <w:rPr>
                <w:rFonts w:ascii="Calibri" w:cs="Calibri" w:eastAsia="Calibri" w:hAnsi="Calibri"/>
                <w:sz w:val="15"/>
                <w:szCs w:val="15"/>
                <w:color w:val="auto"/>
                <w:w w:val="88"/>
              </w:rPr>
              <w:t>—</w:t>
            </w:r>
          </w:p>
        </w:tc>
        <w:tc>
          <w:tcPr>
            <w:tcW w:w="320" w:type="dxa"/>
            <w:vAlign w:val="bottom"/>
            <w:gridSpan w:val="2"/>
            <w:shd w:val="clear" w:color="auto" w:fill="CFF0FC"/>
          </w:tcPr>
          <w:p>
            <w:pPr>
              <w:jc w:val="right"/>
              <w:spacing w:after="0"/>
              <w:rPr>
                <w:sz w:val="20"/>
                <w:szCs w:val="20"/>
                <w:color w:val="auto"/>
              </w:rPr>
            </w:pPr>
            <w:r>
              <w:rPr>
                <w:rFonts w:ascii="Calibri" w:cs="Calibri" w:eastAsia="Calibri" w:hAnsi="Calibri"/>
                <w:sz w:val="15"/>
                <w:szCs w:val="15"/>
                <w:color w:val="auto"/>
              </w:rPr>
              <w:t>$</w:t>
            </w:r>
          </w:p>
        </w:tc>
        <w:tc>
          <w:tcPr>
            <w:tcW w:w="780" w:type="dxa"/>
            <w:vAlign w:val="bottom"/>
            <w:shd w:val="clear" w:color="auto" w:fill="CFF0FC"/>
          </w:tcPr>
          <w:p>
            <w:pPr>
              <w:jc w:val="right"/>
              <w:spacing w:after="0"/>
              <w:rPr>
                <w:sz w:val="20"/>
                <w:szCs w:val="20"/>
                <w:color w:val="auto"/>
              </w:rPr>
            </w:pPr>
            <w:r>
              <w:rPr>
                <w:rFonts w:ascii="Calibri" w:cs="Calibri" w:eastAsia="Calibri" w:hAnsi="Calibri"/>
                <w:sz w:val="15"/>
                <w:szCs w:val="15"/>
                <w:color w:val="auto"/>
              </w:rPr>
              <w:t>1,160</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Calibri" w:cs="Calibri" w:eastAsia="Calibri" w:hAnsi="Calibri"/>
                <w:sz w:val="15"/>
                <w:szCs w:val="15"/>
                <w:color w:val="auto"/>
                <w:w w:val="78"/>
              </w:rPr>
              <w:t>$</w:t>
            </w:r>
          </w:p>
        </w:tc>
        <w:tc>
          <w:tcPr>
            <w:tcW w:w="1140" w:type="dxa"/>
            <w:vAlign w:val="bottom"/>
            <w:gridSpan w:val="2"/>
            <w:shd w:val="clear" w:color="auto" w:fill="CFF0FC"/>
          </w:tcPr>
          <w:p>
            <w:pPr>
              <w:jc w:val="right"/>
              <w:ind w:right="160"/>
              <w:spacing w:after="0"/>
              <w:rPr>
                <w:sz w:val="20"/>
                <w:szCs w:val="20"/>
                <w:color w:val="auto"/>
              </w:rPr>
            </w:pPr>
            <w:r>
              <w:rPr>
                <w:rFonts w:ascii="Calibri" w:cs="Calibri" w:eastAsia="Calibri" w:hAnsi="Calibri"/>
                <w:sz w:val="15"/>
                <w:szCs w:val="15"/>
                <w:color w:val="auto"/>
              </w:rPr>
              <w:t>(570 )</w:t>
            </w:r>
          </w:p>
        </w:tc>
        <w:tc>
          <w:tcPr>
            <w:tcW w:w="120" w:type="dxa"/>
            <w:vAlign w:val="bottom"/>
            <w:shd w:val="clear" w:color="auto" w:fill="CFF0FC"/>
          </w:tcPr>
          <w:p>
            <w:pPr>
              <w:jc w:val="right"/>
              <w:spacing w:after="0"/>
              <w:rPr>
                <w:sz w:val="20"/>
                <w:szCs w:val="20"/>
                <w:color w:val="auto"/>
              </w:rPr>
            </w:pPr>
            <w:r>
              <w:rPr>
                <w:rFonts w:ascii="Calibri" w:cs="Calibri" w:eastAsia="Calibri" w:hAnsi="Calibri"/>
                <w:sz w:val="15"/>
                <w:szCs w:val="15"/>
                <w:color w:val="auto"/>
                <w:w w:val="78"/>
              </w:rPr>
              <w:t>$</w:t>
            </w:r>
          </w:p>
        </w:tc>
        <w:tc>
          <w:tcPr>
            <w:tcW w:w="1040" w:type="dxa"/>
            <w:vAlign w:val="bottom"/>
            <w:shd w:val="clear" w:color="auto" w:fill="CFF0FC"/>
          </w:tcPr>
          <w:p>
            <w:pPr>
              <w:jc w:val="right"/>
              <w:spacing w:after="0"/>
              <w:rPr>
                <w:sz w:val="20"/>
                <w:szCs w:val="20"/>
                <w:color w:val="auto"/>
              </w:rPr>
            </w:pPr>
            <w:r>
              <w:rPr>
                <w:rFonts w:ascii="Calibri" w:cs="Calibri" w:eastAsia="Calibri" w:hAnsi="Calibri"/>
                <w:sz w:val="15"/>
                <w:szCs w:val="15"/>
                <w:color w:val="auto"/>
              </w:rPr>
              <w:t>462</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Calibri" w:cs="Calibri" w:eastAsia="Calibri" w:hAnsi="Calibri"/>
                <w:sz w:val="15"/>
                <w:szCs w:val="15"/>
                <w:color w:val="auto"/>
                <w:w w:val="78"/>
              </w:rPr>
              <w:t>$</w:t>
            </w:r>
          </w:p>
        </w:tc>
        <w:tc>
          <w:tcPr>
            <w:tcW w:w="860" w:type="dxa"/>
            <w:vAlign w:val="bottom"/>
            <w:gridSpan w:val="2"/>
            <w:shd w:val="clear" w:color="auto" w:fill="CFF0FC"/>
          </w:tcPr>
          <w:p>
            <w:pPr>
              <w:jc w:val="right"/>
              <w:ind w:right="140"/>
              <w:spacing w:after="0"/>
              <w:rPr>
                <w:sz w:val="20"/>
                <w:szCs w:val="20"/>
                <w:color w:val="auto"/>
              </w:rPr>
            </w:pPr>
            <w:r>
              <w:rPr>
                <w:rFonts w:ascii="Calibri" w:cs="Calibri" w:eastAsia="Calibri" w:hAnsi="Calibri"/>
                <w:sz w:val="15"/>
                <w:szCs w:val="15"/>
                <w:color w:val="auto"/>
              </w:rPr>
              <w:t>(11 )</w:t>
            </w:r>
          </w:p>
        </w:tc>
        <w:tc>
          <w:tcPr>
            <w:tcW w:w="160" w:type="dxa"/>
            <w:vAlign w:val="bottom"/>
            <w:shd w:val="clear" w:color="auto" w:fill="CFF0FC"/>
          </w:tcPr>
          <w:p>
            <w:pPr>
              <w:jc w:val="right"/>
              <w:spacing w:after="0"/>
              <w:rPr>
                <w:sz w:val="20"/>
                <w:szCs w:val="20"/>
                <w:color w:val="auto"/>
              </w:rPr>
            </w:pPr>
            <w:r>
              <w:rPr>
                <w:rFonts w:ascii="Calibri" w:cs="Calibri" w:eastAsia="Calibri" w:hAnsi="Calibri"/>
                <w:sz w:val="15"/>
                <w:szCs w:val="15"/>
                <w:color w:val="auto"/>
              </w:rPr>
              <w:t>$</w:t>
            </w:r>
          </w:p>
        </w:tc>
        <w:tc>
          <w:tcPr>
            <w:tcW w:w="600" w:type="dxa"/>
            <w:vAlign w:val="bottom"/>
            <w:shd w:val="clear" w:color="auto" w:fill="CFF0FC"/>
          </w:tcPr>
          <w:p>
            <w:pPr>
              <w:jc w:val="right"/>
              <w:spacing w:after="0"/>
              <w:rPr>
                <w:sz w:val="20"/>
                <w:szCs w:val="20"/>
                <w:color w:val="auto"/>
              </w:rPr>
            </w:pPr>
            <w:r>
              <w:rPr>
                <w:rFonts w:ascii="Calibri" w:cs="Calibri" w:eastAsia="Calibri" w:hAnsi="Calibri"/>
                <w:sz w:val="15"/>
                <w:szCs w:val="15"/>
                <w:color w:val="auto"/>
              </w:rPr>
              <w:t>1,041</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Calibri" w:cs="Calibri" w:eastAsia="Calibri" w:hAnsi="Calibri"/>
                <w:sz w:val="15"/>
                <w:szCs w:val="15"/>
                <w:color w:val="auto"/>
              </w:rPr>
              <w:t>$</w:t>
            </w:r>
          </w:p>
        </w:tc>
        <w:tc>
          <w:tcPr>
            <w:tcW w:w="920" w:type="dxa"/>
            <w:vAlign w:val="bottom"/>
            <w:shd w:val="clear" w:color="auto" w:fill="CFF0FC"/>
          </w:tcPr>
          <w:p>
            <w:pPr>
              <w:jc w:val="right"/>
              <w:spacing w:after="0"/>
              <w:rPr>
                <w:sz w:val="20"/>
                <w:szCs w:val="20"/>
                <w:color w:val="auto"/>
              </w:rPr>
            </w:pPr>
            <w:r>
              <w:rPr>
                <w:rFonts w:ascii="Calibri" w:cs="Calibri" w:eastAsia="Calibri" w:hAnsi="Calibri"/>
                <w:sz w:val="15"/>
                <w:szCs w:val="15"/>
                <w:color w:val="auto"/>
              </w:rPr>
              <w:t>203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500" w:type="dxa"/>
            <w:vAlign w:val="bottom"/>
          </w:tcPr>
          <w:p>
            <w:pPr>
              <w:ind w:left="20"/>
              <w:spacing w:after="0"/>
              <w:rPr>
                <w:sz w:val="20"/>
                <w:szCs w:val="20"/>
                <w:color w:val="auto"/>
              </w:rPr>
            </w:pPr>
            <w:r>
              <w:rPr>
                <w:rFonts w:ascii="Calibri" w:cs="Calibri" w:eastAsia="Calibri" w:hAnsi="Calibri"/>
                <w:sz w:val="15"/>
                <w:szCs w:val="15"/>
                <w:color w:val="auto"/>
              </w:rPr>
              <w:t>Net earnings</w:t>
            </w:r>
          </w:p>
        </w:tc>
        <w:tc>
          <w:tcPr>
            <w:tcW w:w="140" w:type="dxa"/>
            <w:vAlign w:val="bottom"/>
          </w:tcPr>
          <w:p>
            <w:pPr>
              <w:spacing w:after="0"/>
              <w:rPr>
                <w:sz w:val="16"/>
                <w:szCs w:val="16"/>
                <w:color w:val="auto"/>
              </w:rPr>
            </w:pPr>
          </w:p>
        </w:tc>
        <w:tc>
          <w:tcPr>
            <w:tcW w:w="600" w:type="dxa"/>
            <w:vAlign w:val="bottom"/>
          </w:tcPr>
          <w:p>
            <w:pPr>
              <w:ind w:left="460"/>
              <w:spacing w:after="0"/>
              <w:rPr>
                <w:sz w:val="20"/>
                <w:szCs w:val="20"/>
                <w:color w:val="auto"/>
              </w:rPr>
            </w:pPr>
            <w:r>
              <w:rPr>
                <w:rFonts w:ascii="Calibri" w:cs="Calibri" w:eastAsia="Calibri" w:hAnsi="Calibri"/>
                <w:sz w:val="15"/>
                <w:szCs w:val="15"/>
                <w:color w:val="auto"/>
                <w:w w:val="88"/>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240"/>
              <w:spacing w:after="0"/>
              <w:rPr>
                <w:sz w:val="20"/>
                <w:szCs w:val="20"/>
                <w:color w:val="auto"/>
              </w:rPr>
            </w:pPr>
            <w:r>
              <w:rPr>
                <w:rFonts w:ascii="Calibri" w:cs="Calibri" w:eastAsia="Calibri" w:hAnsi="Calibri"/>
                <w:sz w:val="15"/>
                <w:szCs w:val="15"/>
                <w:color w:val="auto"/>
              </w:rPr>
              <w: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alibri" w:cs="Calibri" w:eastAsia="Calibri" w:hAnsi="Calibri"/>
                <w:sz w:val="15"/>
                <w:szCs w:val="15"/>
                <w:color w:val="auto"/>
              </w:rPr>
              <w:t>75</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Calibri" w:cs="Calibri" w:eastAsia="Calibri" w:hAnsi="Calibri"/>
                <w:sz w:val="15"/>
                <w:szCs w:val="15"/>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Calibri" w:cs="Calibri" w:eastAsia="Calibri" w:hAnsi="Calibri"/>
                <w:sz w:val="15"/>
                <w:szCs w:val="15"/>
                <w:color w:val="auto"/>
              </w:rPr>
              <w:t>—</w:t>
            </w: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Calibri" w:cs="Calibri" w:eastAsia="Calibri" w:hAnsi="Calibri"/>
                <w:sz w:val="15"/>
                <w:szCs w:val="15"/>
                <w:color w:val="auto"/>
              </w:rPr>
              <w:t>75</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Calibri" w:cs="Calibri" w:eastAsia="Calibri" w:hAnsi="Calibri"/>
                <w:sz w:val="15"/>
                <w:szCs w:val="15"/>
                <w:color w:val="auto"/>
              </w:rPr>
              <w:t>—</w:t>
            </w:r>
          </w:p>
        </w:tc>
        <w:tc>
          <w:tcPr>
            <w:tcW w:w="0" w:type="dxa"/>
            <w:vAlign w:val="bottom"/>
          </w:tcPr>
          <w:p>
            <w:pPr>
              <w:spacing w:after="0"/>
              <w:rPr>
                <w:sz w:val="1"/>
                <w:szCs w:val="1"/>
                <w:color w:val="auto"/>
              </w:rPr>
            </w:pPr>
          </w:p>
        </w:tc>
      </w:tr>
      <w:tr>
        <w:trPr>
          <w:trHeight w:val="192"/>
        </w:trPr>
        <w:tc>
          <w:tcPr>
            <w:tcW w:w="3500" w:type="dxa"/>
            <w:vAlign w:val="bottom"/>
            <w:shd w:val="clear" w:color="auto" w:fill="CFF0FC"/>
          </w:tcPr>
          <w:p>
            <w:pPr>
              <w:ind w:left="20"/>
              <w:spacing w:after="0"/>
              <w:rPr>
                <w:sz w:val="20"/>
                <w:szCs w:val="20"/>
                <w:color w:val="auto"/>
              </w:rPr>
            </w:pPr>
            <w:r>
              <w:rPr>
                <w:rFonts w:ascii="Calibri" w:cs="Calibri" w:eastAsia="Calibri" w:hAnsi="Calibri"/>
                <w:sz w:val="15"/>
                <w:szCs w:val="15"/>
                <w:color w:val="auto"/>
              </w:rPr>
              <w:t>Other comprehensive loss (net of tax):</w:t>
            </w:r>
          </w:p>
        </w:tc>
        <w:tc>
          <w:tcPr>
            <w:tcW w:w="14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500" w:type="dxa"/>
            <w:vAlign w:val="bottom"/>
          </w:tcPr>
          <w:p>
            <w:pPr>
              <w:ind w:left="160"/>
              <w:spacing w:after="0"/>
              <w:rPr>
                <w:sz w:val="20"/>
                <w:szCs w:val="20"/>
                <w:color w:val="auto"/>
              </w:rPr>
            </w:pPr>
            <w:r>
              <w:rPr>
                <w:rFonts w:ascii="Calibri" w:cs="Calibri" w:eastAsia="Calibri" w:hAnsi="Calibri"/>
                <w:sz w:val="15"/>
                <w:szCs w:val="15"/>
                <w:color w:val="auto"/>
              </w:rPr>
              <w:t>Currency translaton adjustments</w:t>
            </w:r>
          </w:p>
        </w:tc>
        <w:tc>
          <w:tcPr>
            <w:tcW w:w="140" w:type="dxa"/>
            <w:vAlign w:val="bottom"/>
          </w:tcPr>
          <w:p>
            <w:pPr>
              <w:spacing w:after="0"/>
              <w:rPr>
                <w:sz w:val="16"/>
                <w:szCs w:val="16"/>
                <w:color w:val="auto"/>
              </w:rPr>
            </w:pPr>
          </w:p>
        </w:tc>
        <w:tc>
          <w:tcPr>
            <w:tcW w:w="600" w:type="dxa"/>
            <w:vAlign w:val="bottom"/>
          </w:tcPr>
          <w:p>
            <w:pPr>
              <w:ind w:left="460"/>
              <w:spacing w:after="0"/>
              <w:rPr>
                <w:sz w:val="20"/>
                <w:szCs w:val="20"/>
                <w:color w:val="auto"/>
              </w:rPr>
            </w:pPr>
            <w:r>
              <w:rPr>
                <w:rFonts w:ascii="Calibri" w:cs="Calibri" w:eastAsia="Calibri" w:hAnsi="Calibri"/>
                <w:sz w:val="15"/>
                <w:szCs w:val="15"/>
                <w:color w:val="auto"/>
                <w:w w:val="88"/>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240"/>
              <w:spacing w:after="0"/>
              <w:rPr>
                <w:sz w:val="20"/>
                <w:szCs w:val="20"/>
                <w:color w:val="auto"/>
              </w:rPr>
            </w:pPr>
            <w:r>
              <w:rPr>
                <w:rFonts w:ascii="Calibri" w:cs="Calibri" w:eastAsia="Calibri" w:hAnsi="Calibri"/>
                <w:sz w:val="15"/>
                <w:szCs w:val="15"/>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Calibri" w:cs="Calibri" w:eastAsia="Calibri" w:hAnsi="Calibri"/>
                <w:sz w:val="15"/>
                <w:szCs w:val="15"/>
                <w:color w:val="auto"/>
              </w:rPr>
              <w:t>—</w:t>
            </w:r>
          </w:p>
        </w:tc>
        <w:tc>
          <w:tcPr>
            <w:tcW w:w="12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Calibri" w:cs="Calibri" w:eastAsia="Calibri" w:hAnsi="Calibri"/>
                <w:sz w:val="15"/>
                <w:szCs w:val="15"/>
                <w:color w:val="auto"/>
              </w:rPr>
              <w:t>(8 )</w:t>
            </w:r>
          </w:p>
        </w:tc>
        <w:tc>
          <w:tcPr>
            <w:tcW w:w="10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Calibri" w:cs="Calibri" w:eastAsia="Calibri" w:hAnsi="Calibri"/>
                <w:sz w:val="15"/>
                <w:szCs w:val="15"/>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Calibri" w:cs="Calibri" w:eastAsia="Calibri" w:hAnsi="Calibri"/>
                <w:sz w:val="15"/>
                <w:szCs w:val="15"/>
                <w:color w:val="auto"/>
              </w:rPr>
              <w:t>(8 )</w:t>
            </w:r>
          </w:p>
        </w:tc>
        <w:tc>
          <w:tcPr>
            <w:tcW w:w="10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Calibri" w:cs="Calibri" w:eastAsia="Calibri" w:hAnsi="Calibri"/>
                <w:sz w:val="15"/>
                <w:szCs w:val="15"/>
                <w:color w:val="auto"/>
              </w:rPr>
              <w:t>—</w:t>
            </w:r>
          </w:p>
        </w:tc>
        <w:tc>
          <w:tcPr>
            <w:tcW w:w="0" w:type="dxa"/>
            <w:vAlign w:val="bottom"/>
          </w:tcPr>
          <w:p>
            <w:pPr>
              <w:spacing w:after="0"/>
              <w:rPr>
                <w:sz w:val="1"/>
                <w:szCs w:val="1"/>
                <w:color w:val="auto"/>
              </w:rPr>
            </w:pPr>
          </w:p>
        </w:tc>
      </w:tr>
      <w:tr>
        <w:trPr>
          <w:trHeight w:val="169"/>
        </w:trPr>
        <w:tc>
          <w:tcPr>
            <w:tcW w:w="3500" w:type="dxa"/>
            <w:vAlign w:val="bottom"/>
            <w:shd w:val="clear" w:color="auto" w:fill="CFF0FC"/>
          </w:tcPr>
          <w:p>
            <w:pPr>
              <w:ind w:left="160"/>
              <w:spacing w:after="0" w:line="169" w:lineRule="exact"/>
              <w:rPr>
                <w:sz w:val="20"/>
                <w:szCs w:val="20"/>
                <w:color w:val="auto"/>
              </w:rPr>
            </w:pPr>
            <w:r>
              <w:rPr>
                <w:rFonts w:ascii="Calibri" w:cs="Calibri" w:eastAsia="Calibri" w:hAnsi="Calibri"/>
                <w:sz w:val="15"/>
                <w:szCs w:val="15"/>
                <w:color w:val="auto"/>
              </w:rPr>
              <w:t>Pension and other postretrement</w:t>
            </w:r>
          </w:p>
        </w:tc>
        <w:tc>
          <w:tcPr>
            <w:tcW w:w="14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500" w:type="dxa"/>
            <w:vAlign w:val="bottom"/>
            <w:tcBorders>
              <w:bottom w:val="single" w:sz="8" w:color="CFF0FC"/>
            </w:tcBorders>
            <w:shd w:val="clear" w:color="auto" w:fill="CFF0FC"/>
          </w:tcPr>
          <w:p>
            <w:pPr>
              <w:ind w:left="260"/>
              <w:spacing w:after="0"/>
              <w:rPr>
                <w:sz w:val="20"/>
                <w:szCs w:val="20"/>
                <w:color w:val="auto"/>
              </w:rPr>
            </w:pPr>
            <w:r>
              <w:rPr>
                <w:rFonts w:ascii="Calibri" w:cs="Calibri" w:eastAsia="Calibri" w:hAnsi="Calibri"/>
                <w:sz w:val="15"/>
                <w:szCs w:val="15"/>
                <w:color w:val="auto"/>
              </w:rPr>
              <w:t>liability adjustments</w:t>
            </w:r>
          </w:p>
        </w:tc>
        <w:tc>
          <w:tcPr>
            <w:tcW w:w="140" w:type="dxa"/>
            <w:vAlign w:val="bottom"/>
            <w:tcBorders>
              <w:bottom w:val="single" w:sz="8" w:color="CFF0FC"/>
            </w:tcBorders>
            <w:shd w:val="clear" w:color="auto" w:fill="CFF0FC"/>
          </w:tcPr>
          <w:p>
            <w:pPr>
              <w:spacing w:after="0"/>
              <w:rPr>
                <w:sz w:val="16"/>
                <w:szCs w:val="16"/>
                <w:color w:val="auto"/>
              </w:rPr>
            </w:pPr>
          </w:p>
        </w:tc>
        <w:tc>
          <w:tcPr>
            <w:tcW w:w="600" w:type="dxa"/>
            <w:vAlign w:val="bottom"/>
            <w:tcBorders>
              <w:bottom w:val="single" w:sz="8" w:color="CFF0FC"/>
            </w:tcBorders>
            <w:shd w:val="clear" w:color="auto" w:fill="CFF0FC"/>
          </w:tcPr>
          <w:p>
            <w:pPr>
              <w:ind w:left="460"/>
              <w:spacing w:after="0"/>
              <w:rPr>
                <w:sz w:val="20"/>
                <w:szCs w:val="20"/>
                <w:color w:val="auto"/>
              </w:rPr>
            </w:pPr>
            <w:r>
              <w:rPr>
                <w:rFonts w:ascii="Calibri" w:cs="Calibri" w:eastAsia="Calibri" w:hAnsi="Calibri"/>
                <w:sz w:val="15"/>
                <w:szCs w:val="15"/>
                <w:color w:val="auto"/>
                <w:w w:val="88"/>
              </w:rPr>
              <w:t>—</w:t>
            </w:r>
          </w:p>
        </w:tc>
        <w:tc>
          <w:tcPr>
            <w:tcW w:w="2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100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Calibri" w:cs="Calibri" w:eastAsia="Calibri" w:hAnsi="Calibri"/>
                <w:sz w:val="15"/>
                <w:szCs w:val="15"/>
                <w:color w:val="auto"/>
              </w:rPr>
              <w:t>—</w:t>
            </w:r>
          </w:p>
        </w:tc>
        <w:tc>
          <w:tcPr>
            <w:tcW w:w="100" w:type="dxa"/>
            <w:vAlign w:val="bottom"/>
            <w:tcBorders>
              <w:bottom w:val="single" w:sz="8" w:color="CFF0FC"/>
            </w:tcBorders>
            <w:shd w:val="clear" w:color="auto" w:fill="CFF0FC"/>
          </w:tcPr>
          <w:p>
            <w:pPr>
              <w:spacing w:after="0"/>
              <w:rPr>
                <w:sz w:val="16"/>
                <w:szCs w:val="16"/>
                <w:color w:val="auto"/>
              </w:rPr>
            </w:pPr>
          </w:p>
        </w:tc>
        <w:tc>
          <w:tcPr>
            <w:tcW w:w="114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Calibri" w:cs="Calibri" w:eastAsia="Calibri" w:hAnsi="Calibri"/>
                <w:sz w:val="15"/>
                <w:szCs w:val="15"/>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12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Calibri" w:cs="Calibri" w:eastAsia="Calibri" w:hAnsi="Calibri"/>
                <w:sz w:val="15"/>
                <w:szCs w:val="15"/>
                <w:color w:val="auto"/>
              </w:rPr>
              <w:t>(173 )</w:t>
            </w:r>
          </w:p>
        </w:tc>
        <w:tc>
          <w:tcPr>
            <w:tcW w:w="100" w:type="dxa"/>
            <w:vAlign w:val="bottom"/>
            <w:tcBorders>
              <w:bottom w:val="single" w:sz="8" w:color="CFF0FC"/>
            </w:tcBorders>
            <w:shd w:val="clear" w:color="auto" w:fill="CFF0FC"/>
          </w:tcPr>
          <w:p>
            <w:pPr>
              <w:spacing w:after="0"/>
              <w:rPr>
                <w:sz w:val="16"/>
                <w:szCs w:val="16"/>
                <w:color w:val="auto"/>
              </w:rPr>
            </w:pPr>
          </w:p>
        </w:tc>
        <w:tc>
          <w:tcPr>
            <w:tcW w:w="86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Calibri" w:cs="Calibri" w:eastAsia="Calibri" w:hAnsi="Calibri"/>
                <w:sz w:val="15"/>
                <w:szCs w:val="15"/>
                <w:color w:val="auto"/>
              </w:rPr>
              <w:t>—</w:t>
            </w:r>
          </w:p>
        </w:tc>
        <w:tc>
          <w:tcPr>
            <w:tcW w:w="160" w:type="dxa"/>
            <w:vAlign w:val="bottom"/>
            <w:tcBorders>
              <w:bottom w:val="single" w:sz="8" w:color="CFF0FC"/>
            </w:tcBorders>
            <w:shd w:val="clear" w:color="auto" w:fill="CFF0FC"/>
          </w:tcPr>
          <w:p>
            <w:pPr>
              <w:spacing w:after="0"/>
              <w:rPr>
                <w:sz w:val="16"/>
                <w:szCs w:val="16"/>
                <w:color w:val="auto"/>
              </w:rPr>
            </w:pPr>
          </w:p>
        </w:tc>
        <w:tc>
          <w:tcPr>
            <w:tcW w:w="8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Calibri" w:cs="Calibri" w:eastAsia="Calibri" w:hAnsi="Calibri"/>
                <w:sz w:val="15"/>
                <w:szCs w:val="15"/>
                <w:color w:val="auto"/>
              </w:rPr>
              <w:t>(173 )</w:t>
            </w:r>
          </w:p>
        </w:tc>
        <w:tc>
          <w:tcPr>
            <w:tcW w:w="100" w:type="dxa"/>
            <w:vAlign w:val="bottom"/>
            <w:tcBorders>
              <w:bottom w:val="single" w:sz="8" w:color="CFF0FC"/>
            </w:tcBorders>
            <w:shd w:val="clear" w:color="auto" w:fill="CFF0FC"/>
          </w:tcPr>
          <w:p>
            <w:pPr>
              <w:spacing w:after="0"/>
              <w:rPr>
                <w:sz w:val="16"/>
                <w:szCs w:val="16"/>
                <w:color w:val="auto"/>
              </w:rPr>
            </w:pPr>
          </w:p>
        </w:tc>
        <w:tc>
          <w:tcPr>
            <w:tcW w:w="102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Calibri" w:cs="Calibri" w:eastAsia="Calibri" w:hAnsi="Calibri"/>
                <w:sz w:val="15"/>
                <w:szCs w:val="15"/>
                <w:color w:val="auto"/>
              </w:rPr>
              <w:t>—</w:t>
            </w:r>
          </w:p>
        </w:tc>
        <w:tc>
          <w:tcPr>
            <w:tcW w:w="0" w:type="dxa"/>
            <w:vAlign w:val="bottom"/>
          </w:tcPr>
          <w:p>
            <w:pPr>
              <w:spacing w:after="0"/>
              <w:rPr>
                <w:sz w:val="1"/>
                <w:szCs w:val="1"/>
                <w:color w:val="auto"/>
              </w:rPr>
            </w:pPr>
          </w:p>
        </w:tc>
      </w:tr>
      <w:tr>
        <w:trPr>
          <w:trHeight w:val="186"/>
        </w:trPr>
        <w:tc>
          <w:tcPr>
            <w:tcW w:w="3500" w:type="dxa"/>
            <w:vAlign w:val="bottom"/>
          </w:tcPr>
          <w:p>
            <w:pPr>
              <w:ind w:left="20"/>
              <w:spacing w:after="0"/>
              <w:rPr>
                <w:sz w:val="20"/>
                <w:szCs w:val="20"/>
                <w:color w:val="auto"/>
              </w:rPr>
            </w:pPr>
            <w:r>
              <w:rPr>
                <w:rFonts w:ascii="Calibri" w:cs="Calibri" w:eastAsia="Calibri" w:hAnsi="Calibri"/>
                <w:sz w:val="15"/>
                <w:szCs w:val="15"/>
                <w:color w:val="auto"/>
              </w:rPr>
              <w:t>Preferred stock cash and accrued dividends</w:t>
            </w:r>
          </w:p>
        </w:tc>
        <w:tc>
          <w:tcPr>
            <w:tcW w:w="140" w:type="dxa"/>
            <w:vAlign w:val="bottom"/>
          </w:tcPr>
          <w:p>
            <w:pPr>
              <w:spacing w:after="0"/>
              <w:rPr>
                <w:sz w:val="16"/>
                <w:szCs w:val="16"/>
                <w:color w:val="auto"/>
              </w:rPr>
            </w:pPr>
          </w:p>
        </w:tc>
        <w:tc>
          <w:tcPr>
            <w:tcW w:w="600" w:type="dxa"/>
            <w:vAlign w:val="bottom"/>
          </w:tcPr>
          <w:p>
            <w:pPr>
              <w:ind w:left="460"/>
              <w:spacing w:after="0"/>
              <w:rPr>
                <w:sz w:val="20"/>
                <w:szCs w:val="20"/>
                <w:color w:val="auto"/>
              </w:rPr>
            </w:pPr>
            <w:r>
              <w:rPr>
                <w:rFonts w:ascii="Calibri" w:cs="Calibri" w:eastAsia="Calibri" w:hAnsi="Calibri"/>
                <w:sz w:val="15"/>
                <w:szCs w:val="15"/>
                <w:color w:val="auto"/>
                <w:w w:val="88"/>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Calibri" w:cs="Calibri" w:eastAsia="Calibri" w:hAnsi="Calibri"/>
                <w:sz w:val="15"/>
                <w:szCs w:val="15"/>
                <w:color w:val="auto"/>
              </w:rPr>
              <w:t>(4 )</w:t>
            </w:r>
          </w:p>
        </w:tc>
        <w:tc>
          <w:tcPr>
            <w:tcW w:w="10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Calibri" w:cs="Calibri" w:eastAsia="Calibri" w:hAnsi="Calibri"/>
                <w:sz w:val="15"/>
                <w:szCs w:val="15"/>
                <w:color w:val="auto"/>
              </w:rPr>
              <w:t>—</w:t>
            </w:r>
          </w:p>
        </w:tc>
        <w:tc>
          <w:tcPr>
            <w:tcW w:w="12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Calibri" w:cs="Calibri" w:eastAsia="Calibri" w:hAnsi="Calibri"/>
                <w:sz w:val="15"/>
                <w:szCs w:val="15"/>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Calibri" w:cs="Calibri" w:eastAsia="Calibri" w:hAnsi="Calibri"/>
                <w:sz w:val="15"/>
                <w:szCs w:val="15"/>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Calibri" w:cs="Calibri" w:eastAsia="Calibri" w:hAnsi="Calibri"/>
                <w:sz w:val="15"/>
                <w:szCs w:val="15"/>
                <w:color w:val="auto"/>
              </w:rPr>
              <w:t>(4 )</w:t>
            </w:r>
          </w:p>
        </w:tc>
        <w:tc>
          <w:tcPr>
            <w:tcW w:w="10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Calibri" w:cs="Calibri" w:eastAsia="Calibri" w:hAnsi="Calibri"/>
                <w:sz w:val="15"/>
                <w:szCs w:val="15"/>
                <w:color w:val="auto"/>
              </w:rPr>
              <w:t>—</w:t>
            </w:r>
          </w:p>
        </w:tc>
        <w:tc>
          <w:tcPr>
            <w:tcW w:w="0" w:type="dxa"/>
            <w:vAlign w:val="bottom"/>
          </w:tcPr>
          <w:p>
            <w:pPr>
              <w:spacing w:after="0"/>
              <w:rPr>
                <w:sz w:val="1"/>
                <w:szCs w:val="1"/>
                <w:color w:val="auto"/>
              </w:rPr>
            </w:pPr>
          </w:p>
        </w:tc>
      </w:tr>
      <w:tr>
        <w:trPr>
          <w:trHeight w:val="192"/>
        </w:trPr>
        <w:tc>
          <w:tcPr>
            <w:tcW w:w="3500" w:type="dxa"/>
            <w:vAlign w:val="bottom"/>
            <w:shd w:val="clear" w:color="auto" w:fill="CFF0FC"/>
          </w:tcPr>
          <w:p>
            <w:pPr>
              <w:ind w:left="20"/>
              <w:spacing w:after="0"/>
              <w:rPr>
                <w:sz w:val="20"/>
                <w:szCs w:val="20"/>
                <w:color w:val="auto"/>
              </w:rPr>
            </w:pPr>
            <w:r>
              <w:rPr>
                <w:rFonts w:ascii="Calibri" w:cs="Calibri" w:eastAsia="Calibri" w:hAnsi="Calibri"/>
                <w:sz w:val="15"/>
                <w:szCs w:val="15"/>
                <w:color w:val="auto"/>
              </w:rPr>
              <w:t>Preferred stock in-kind dividends</w:t>
            </w:r>
          </w:p>
        </w:tc>
        <w:tc>
          <w:tcPr>
            <w:tcW w:w="140" w:type="dxa"/>
            <w:vAlign w:val="bottom"/>
            <w:shd w:val="clear" w:color="auto" w:fill="CFF0FC"/>
          </w:tcPr>
          <w:p>
            <w:pPr>
              <w:spacing w:after="0"/>
              <w:rPr>
                <w:sz w:val="16"/>
                <w:szCs w:val="16"/>
                <w:color w:val="auto"/>
              </w:rPr>
            </w:pPr>
          </w:p>
        </w:tc>
        <w:tc>
          <w:tcPr>
            <w:tcW w:w="600" w:type="dxa"/>
            <w:vAlign w:val="bottom"/>
            <w:shd w:val="clear" w:color="auto" w:fill="CFF0FC"/>
          </w:tcPr>
          <w:p>
            <w:pPr>
              <w:ind w:left="460"/>
              <w:spacing w:after="0"/>
              <w:rPr>
                <w:sz w:val="20"/>
                <w:szCs w:val="20"/>
                <w:color w:val="auto"/>
              </w:rPr>
            </w:pPr>
            <w:r>
              <w:rPr>
                <w:rFonts w:ascii="Calibri" w:cs="Calibri" w:eastAsia="Calibri" w:hAnsi="Calibri"/>
                <w:sz w:val="15"/>
                <w:szCs w:val="15"/>
                <w:color w:val="auto"/>
                <w:w w:val="88"/>
              </w:rPr>
              <w:t>—</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160"/>
              <w:spacing w:after="0"/>
              <w:rPr>
                <w:sz w:val="20"/>
                <w:szCs w:val="20"/>
                <w:color w:val="auto"/>
              </w:rPr>
            </w:pPr>
            <w:r>
              <w:rPr>
                <w:rFonts w:ascii="Calibri" w:cs="Calibri" w:eastAsia="Calibri" w:hAnsi="Calibri"/>
                <w:sz w:val="15"/>
                <w:szCs w:val="15"/>
                <w:color w:val="auto"/>
              </w:rPr>
              <w:t>(5 )</w:t>
            </w:r>
          </w:p>
        </w:tc>
        <w:tc>
          <w:tcPr>
            <w:tcW w:w="10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240"/>
              <w:spacing w:after="0"/>
              <w:rPr>
                <w:sz w:val="20"/>
                <w:szCs w:val="20"/>
                <w:color w:val="auto"/>
              </w:rPr>
            </w:pPr>
            <w:r>
              <w:rPr>
                <w:rFonts w:ascii="Calibri" w:cs="Calibri" w:eastAsia="Calibri" w:hAnsi="Calibri"/>
                <w:sz w:val="15"/>
                <w:szCs w:val="15"/>
                <w:color w:val="auto"/>
              </w:rPr>
              <w:t>—</w:t>
            </w:r>
          </w:p>
        </w:tc>
        <w:tc>
          <w:tcPr>
            <w:tcW w:w="12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240"/>
              <w:spacing w:after="0"/>
              <w:rPr>
                <w:sz w:val="20"/>
                <w:szCs w:val="20"/>
                <w:color w:val="auto"/>
              </w:rPr>
            </w:pPr>
            <w:r>
              <w:rPr>
                <w:rFonts w:ascii="Calibri" w:cs="Calibri" w:eastAsia="Calibri" w:hAnsi="Calibri"/>
                <w:sz w:val="15"/>
                <w:szCs w:val="15"/>
                <w:color w:val="auto"/>
              </w:rPr>
              <w:t>—</w:t>
            </w:r>
          </w:p>
        </w:tc>
        <w:tc>
          <w:tcPr>
            <w:tcW w:w="10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220"/>
              <w:spacing w:after="0"/>
              <w:rPr>
                <w:sz w:val="20"/>
                <w:szCs w:val="20"/>
                <w:color w:val="auto"/>
              </w:rPr>
            </w:pPr>
            <w:r>
              <w:rPr>
                <w:rFonts w:ascii="Calibri" w:cs="Calibri" w:eastAsia="Calibri" w:hAnsi="Calibri"/>
                <w:sz w:val="15"/>
                <w:szCs w:val="15"/>
                <w:color w:val="auto"/>
              </w:rPr>
              <w:t>—</w:t>
            </w:r>
          </w:p>
        </w:tc>
        <w:tc>
          <w:tcPr>
            <w:tcW w:w="16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160"/>
              <w:spacing w:after="0"/>
              <w:rPr>
                <w:sz w:val="20"/>
                <w:szCs w:val="20"/>
                <w:color w:val="auto"/>
              </w:rPr>
            </w:pPr>
            <w:r>
              <w:rPr>
                <w:rFonts w:ascii="Calibri" w:cs="Calibri" w:eastAsia="Calibri" w:hAnsi="Calibri"/>
                <w:sz w:val="15"/>
                <w:szCs w:val="15"/>
                <w:color w:val="auto"/>
              </w:rPr>
              <w:t>(5 )</w:t>
            </w:r>
          </w:p>
        </w:tc>
        <w:tc>
          <w:tcPr>
            <w:tcW w:w="10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Calibri" w:cs="Calibri" w:eastAsia="Calibri" w:hAnsi="Calibri"/>
                <w:sz w:val="15"/>
                <w:szCs w:val="15"/>
                <w:color w:val="auto"/>
              </w:rPr>
              <w:t>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500" w:type="dxa"/>
            <w:vAlign w:val="bottom"/>
          </w:tcPr>
          <w:p>
            <w:pPr>
              <w:ind w:left="20"/>
              <w:spacing w:after="0"/>
              <w:rPr>
                <w:sz w:val="20"/>
                <w:szCs w:val="20"/>
                <w:color w:val="auto"/>
              </w:rPr>
            </w:pPr>
            <w:r>
              <w:rPr>
                <w:rFonts w:ascii="Calibri" w:cs="Calibri" w:eastAsia="Calibri" w:hAnsi="Calibri"/>
                <w:sz w:val="15"/>
                <w:szCs w:val="15"/>
                <w:color w:val="auto"/>
              </w:rPr>
              <w:t>Preferred stock deemed dividends</w:t>
            </w:r>
          </w:p>
        </w:tc>
        <w:tc>
          <w:tcPr>
            <w:tcW w:w="140" w:type="dxa"/>
            <w:vAlign w:val="bottom"/>
          </w:tcPr>
          <w:p>
            <w:pPr>
              <w:spacing w:after="0"/>
              <w:rPr>
                <w:sz w:val="16"/>
                <w:szCs w:val="16"/>
                <w:color w:val="auto"/>
              </w:rPr>
            </w:pPr>
          </w:p>
        </w:tc>
        <w:tc>
          <w:tcPr>
            <w:tcW w:w="600" w:type="dxa"/>
            <w:vAlign w:val="bottom"/>
          </w:tcPr>
          <w:p>
            <w:pPr>
              <w:ind w:left="460"/>
              <w:spacing w:after="0"/>
              <w:rPr>
                <w:sz w:val="20"/>
                <w:szCs w:val="20"/>
                <w:color w:val="auto"/>
              </w:rPr>
            </w:pPr>
            <w:r>
              <w:rPr>
                <w:rFonts w:ascii="Calibri" w:cs="Calibri" w:eastAsia="Calibri" w:hAnsi="Calibri"/>
                <w:sz w:val="15"/>
                <w:szCs w:val="15"/>
                <w:color w:val="auto"/>
                <w:w w:val="88"/>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Calibri" w:cs="Calibri" w:eastAsia="Calibri" w:hAnsi="Calibri"/>
                <w:sz w:val="15"/>
                <w:szCs w:val="15"/>
                <w:color w:val="auto"/>
              </w:rPr>
              <w:t>(2 )</w:t>
            </w:r>
          </w:p>
        </w:tc>
        <w:tc>
          <w:tcPr>
            <w:tcW w:w="10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Calibri" w:cs="Calibri" w:eastAsia="Calibri" w:hAnsi="Calibri"/>
                <w:sz w:val="15"/>
                <w:szCs w:val="15"/>
                <w:color w:val="auto"/>
              </w:rPr>
              <w:t>—</w:t>
            </w:r>
          </w:p>
        </w:tc>
        <w:tc>
          <w:tcPr>
            <w:tcW w:w="12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Calibri" w:cs="Calibri" w:eastAsia="Calibri" w:hAnsi="Calibri"/>
                <w:sz w:val="15"/>
                <w:szCs w:val="15"/>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Calibri" w:cs="Calibri" w:eastAsia="Calibri" w:hAnsi="Calibri"/>
                <w:sz w:val="15"/>
                <w:szCs w:val="15"/>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Calibri" w:cs="Calibri" w:eastAsia="Calibri" w:hAnsi="Calibri"/>
                <w:sz w:val="15"/>
                <w:szCs w:val="15"/>
                <w:color w:val="auto"/>
              </w:rPr>
              <w:t>(2 )</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alibri" w:cs="Calibri" w:eastAsia="Calibri" w:hAnsi="Calibri"/>
                <w:sz w:val="15"/>
                <w:szCs w:val="15"/>
                <w:color w:val="auto"/>
              </w:rPr>
              <w:t>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0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5"/>
                <w:szCs w:val="15"/>
                <w:color w:val="auto"/>
              </w:rPr>
              <w:t>Stock-based compensaton</w:t>
            </w:r>
          </w:p>
        </w:tc>
        <w:tc>
          <w:tcPr>
            <w:tcW w:w="140" w:type="dxa"/>
            <w:vAlign w:val="bottom"/>
            <w:tcBorders>
              <w:bottom w:val="single" w:sz="8" w:color="auto"/>
            </w:tcBorders>
            <w:shd w:val="clear" w:color="auto" w:fill="CFF0FC"/>
          </w:tcPr>
          <w:p>
            <w:pPr>
              <w:spacing w:after="0"/>
              <w:rPr>
                <w:sz w:val="16"/>
                <w:szCs w:val="16"/>
                <w:color w:val="auto"/>
              </w:rPr>
            </w:pPr>
          </w:p>
        </w:tc>
        <w:tc>
          <w:tcPr>
            <w:tcW w:w="600" w:type="dxa"/>
            <w:vAlign w:val="bottom"/>
            <w:tcBorders>
              <w:bottom w:val="single" w:sz="8" w:color="auto"/>
            </w:tcBorders>
            <w:shd w:val="clear" w:color="auto" w:fill="CFF0FC"/>
          </w:tcPr>
          <w:p>
            <w:pPr>
              <w:ind w:left="460"/>
              <w:spacing w:after="0"/>
              <w:rPr>
                <w:sz w:val="20"/>
                <w:szCs w:val="20"/>
                <w:color w:val="auto"/>
              </w:rPr>
            </w:pPr>
            <w:r>
              <w:rPr>
                <w:rFonts w:ascii="Calibri" w:cs="Calibri" w:eastAsia="Calibri" w:hAnsi="Calibri"/>
                <w:sz w:val="15"/>
                <w:szCs w:val="15"/>
                <w:color w:val="auto"/>
                <w:w w:val="88"/>
              </w:rPr>
              <w:t>—</w:t>
            </w:r>
          </w:p>
        </w:tc>
        <w:tc>
          <w:tcPr>
            <w:tcW w:w="2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5"/>
                <w:szCs w:val="15"/>
                <w:color w:val="auto"/>
              </w:rPr>
              <w:t>7</w:t>
            </w:r>
          </w:p>
        </w:tc>
        <w:tc>
          <w:tcPr>
            <w:tcW w:w="2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5"/>
                <w:szCs w:val="15"/>
                <w:color w:val="auto"/>
              </w:rPr>
              <w:t>—</w:t>
            </w:r>
          </w:p>
        </w:tc>
        <w:tc>
          <w:tcPr>
            <w:tcW w:w="2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5"/>
                <w:szCs w:val="15"/>
                <w:color w:val="auto"/>
              </w:rPr>
              <w:t>—</w:t>
            </w:r>
          </w:p>
        </w:tc>
        <w:tc>
          <w:tcPr>
            <w:tcW w:w="2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5"/>
                <w:szCs w:val="15"/>
                <w:color w:val="auto"/>
              </w:rPr>
              <w:t>—</w:t>
            </w:r>
          </w:p>
        </w:tc>
        <w:tc>
          <w:tcPr>
            <w:tcW w:w="20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5"/>
                <w:szCs w:val="15"/>
                <w:color w:val="auto"/>
              </w:rPr>
              <w:t>7</w:t>
            </w:r>
          </w:p>
        </w:tc>
        <w:tc>
          <w:tcPr>
            <w:tcW w:w="2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5"/>
                <w:szCs w:val="15"/>
                <w:color w:val="auto"/>
              </w:rPr>
              <w:t>—</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500" w:type="dxa"/>
            <w:vAlign w:val="bottom"/>
          </w:tcPr>
          <w:p>
            <w:pPr>
              <w:ind w:left="20"/>
              <w:spacing w:after="0"/>
              <w:rPr>
                <w:sz w:val="20"/>
                <w:szCs w:val="20"/>
                <w:color w:val="auto"/>
              </w:rPr>
            </w:pPr>
            <w:r>
              <w:rPr>
                <w:rFonts w:ascii="Calibri" w:cs="Calibri" w:eastAsia="Calibri" w:hAnsi="Calibri"/>
                <w:sz w:val="15"/>
                <w:szCs w:val="15"/>
                <w:color w:val="auto"/>
              </w:rPr>
              <w:t>Equity (defcit) as of December 31, 2023</w:t>
            </w:r>
          </w:p>
        </w:tc>
        <w:tc>
          <w:tcPr>
            <w:tcW w:w="140" w:type="dxa"/>
            <w:vAlign w:val="bottom"/>
          </w:tcPr>
          <w:p>
            <w:pPr>
              <w:jc w:val="right"/>
              <w:spacing w:after="0"/>
              <w:rPr>
                <w:sz w:val="20"/>
                <w:szCs w:val="20"/>
                <w:color w:val="auto"/>
              </w:rPr>
            </w:pPr>
            <w:r>
              <w:rPr>
                <w:rFonts w:ascii="Calibri" w:cs="Calibri" w:eastAsia="Calibri" w:hAnsi="Calibri"/>
                <w:sz w:val="15"/>
                <w:szCs w:val="15"/>
                <w:color w:val="auto"/>
              </w:rPr>
              <w:t>$</w:t>
            </w:r>
          </w:p>
        </w:tc>
        <w:tc>
          <w:tcPr>
            <w:tcW w:w="600" w:type="dxa"/>
            <w:vAlign w:val="bottom"/>
          </w:tcPr>
          <w:p>
            <w:pPr>
              <w:ind w:left="460"/>
              <w:spacing w:after="0"/>
              <w:rPr>
                <w:sz w:val="20"/>
                <w:szCs w:val="20"/>
                <w:color w:val="auto"/>
              </w:rPr>
            </w:pPr>
            <w:r>
              <w:rPr>
                <w:rFonts w:ascii="Calibri" w:cs="Calibri" w:eastAsia="Calibri" w:hAnsi="Calibri"/>
                <w:sz w:val="15"/>
                <w:szCs w:val="15"/>
                <w:color w:val="auto"/>
                <w:w w:val="88"/>
              </w:rPr>
              <w:t>—</w:t>
            </w:r>
          </w:p>
        </w:tc>
        <w:tc>
          <w:tcPr>
            <w:tcW w:w="2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Calibri" w:cs="Calibri" w:eastAsia="Calibri" w:hAnsi="Calibri"/>
                <w:sz w:val="15"/>
                <w:szCs w:val="15"/>
                <w:color w:val="auto"/>
              </w:rPr>
              <w:t>$</w:t>
            </w:r>
          </w:p>
        </w:tc>
        <w:tc>
          <w:tcPr>
            <w:tcW w:w="780" w:type="dxa"/>
            <w:vAlign w:val="bottom"/>
          </w:tcPr>
          <w:p>
            <w:pPr>
              <w:jc w:val="right"/>
              <w:spacing w:after="0"/>
              <w:rPr>
                <w:sz w:val="20"/>
                <w:szCs w:val="20"/>
                <w:color w:val="auto"/>
              </w:rPr>
            </w:pPr>
            <w:r>
              <w:rPr>
                <w:rFonts w:ascii="Calibri" w:cs="Calibri" w:eastAsia="Calibri" w:hAnsi="Calibri"/>
                <w:sz w:val="15"/>
                <w:szCs w:val="15"/>
                <w:color w:val="auto"/>
              </w:rPr>
              <w:t>1,156</w:t>
            </w:r>
          </w:p>
        </w:tc>
        <w:tc>
          <w:tcPr>
            <w:tcW w:w="2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Calibri" w:cs="Calibri" w:eastAsia="Calibri" w:hAnsi="Calibri"/>
                <w:sz w:val="15"/>
                <w:szCs w:val="15"/>
                <w:color w:val="auto"/>
                <w:w w:val="78"/>
              </w:rPr>
              <w:t>$</w:t>
            </w:r>
          </w:p>
        </w:tc>
        <w:tc>
          <w:tcPr>
            <w:tcW w:w="1140" w:type="dxa"/>
            <w:vAlign w:val="bottom"/>
            <w:gridSpan w:val="2"/>
          </w:tcPr>
          <w:p>
            <w:pPr>
              <w:jc w:val="right"/>
              <w:ind w:right="160"/>
              <w:spacing w:after="0"/>
              <w:rPr>
                <w:sz w:val="20"/>
                <w:szCs w:val="20"/>
                <w:color w:val="auto"/>
              </w:rPr>
            </w:pPr>
            <w:r>
              <w:rPr>
                <w:rFonts w:ascii="Calibri" w:cs="Calibri" w:eastAsia="Calibri" w:hAnsi="Calibri"/>
                <w:sz w:val="15"/>
                <w:szCs w:val="15"/>
                <w:color w:val="auto"/>
              </w:rPr>
              <w:t>(495 )</w:t>
            </w:r>
          </w:p>
        </w:tc>
        <w:tc>
          <w:tcPr>
            <w:tcW w:w="120" w:type="dxa"/>
            <w:vAlign w:val="bottom"/>
          </w:tcPr>
          <w:p>
            <w:pPr>
              <w:jc w:val="right"/>
              <w:spacing w:after="0"/>
              <w:rPr>
                <w:sz w:val="20"/>
                <w:szCs w:val="20"/>
                <w:color w:val="auto"/>
              </w:rPr>
            </w:pPr>
            <w:r>
              <w:rPr>
                <w:rFonts w:ascii="Calibri" w:cs="Calibri" w:eastAsia="Calibri" w:hAnsi="Calibri"/>
                <w:sz w:val="15"/>
                <w:szCs w:val="15"/>
                <w:color w:val="auto"/>
                <w:w w:val="78"/>
              </w:rPr>
              <w:t>$</w:t>
            </w:r>
          </w:p>
        </w:tc>
        <w:tc>
          <w:tcPr>
            <w:tcW w:w="1040" w:type="dxa"/>
            <w:vAlign w:val="bottom"/>
          </w:tcPr>
          <w:p>
            <w:pPr>
              <w:jc w:val="right"/>
              <w:spacing w:after="0"/>
              <w:rPr>
                <w:sz w:val="20"/>
                <w:szCs w:val="20"/>
                <w:color w:val="auto"/>
              </w:rPr>
            </w:pPr>
            <w:r>
              <w:rPr>
                <w:rFonts w:ascii="Calibri" w:cs="Calibri" w:eastAsia="Calibri" w:hAnsi="Calibri"/>
                <w:sz w:val="15"/>
                <w:szCs w:val="15"/>
                <w:color w:val="auto"/>
              </w:rPr>
              <w:t>281</w:t>
            </w:r>
          </w:p>
        </w:tc>
        <w:tc>
          <w:tcPr>
            <w:tcW w:w="2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Calibri" w:cs="Calibri" w:eastAsia="Calibri" w:hAnsi="Calibri"/>
                <w:sz w:val="15"/>
                <w:szCs w:val="15"/>
                <w:color w:val="auto"/>
                <w:w w:val="78"/>
              </w:rPr>
              <w:t>$</w:t>
            </w:r>
          </w:p>
        </w:tc>
        <w:tc>
          <w:tcPr>
            <w:tcW w:w="860" w:type="dxa"/>
            <w:vAlign w:val="bottom"/>
            <w:gridSpan w:val="2"/>
          </w:tcPr>
          <w:p>
            <w:pPr>
              <w:jc w:val="right"/>
              <w:ind w:right="140"/>
              <w:spacing w:after="0"/>
              <w:rPr>
                <w:sz w:val="20"/>
                <w:szCs w:val="20"/>
                <w:color w:val="auto"/>
              </w:rPr>
            </w:pPr>
            <w:r>
              <w:rPr>
                <w:rFonts w:ascii="Calibri" w:cs="Calibri" w:eastAsia="Calibri" w:hAnsi="Calibri"/>
                <w:sz w:val="15"/>
                <w:szCs w:val="15"/>
                <w:color w:val="auto"/>
              </w:rPr>
              <w:t>(11 )</w:t>
            </w:r>
          </w:p>
        </w:tc>
        <w:tc>
          <w:tcPr>
            <w:tcW w:w="160" w:type="dxa"/>
            <w:vAlign w:val="bottom"/>
          </w:tcPr>
          <w:p>
            <w:pPr>
              <w:jc w:val="right"/>
              <w:spacing w:after="0"/>
              <w:rPr>
                <w:sz w:val="20"/>
                <w:szCs w:val="20"/>
                <w:color w:val="auto"/>
              </w:rPr>
            </w:pPr>
            <w:r>
              <w:rPr>
                <w:rFonts w:ascii="Calibri" w:cs="Calibri" w:eastAsia="Calibri" w:hAnsi="Calibri"/>
                <w:sz w:val="15"/>
                <w:szCs w:val="15"/>
                <w:color w:val="auto"/>
              </w:rPr>
              <w:t>$</w:t>
            </w:r>
          </w:p>
        </w:tc>
        <w:tc>
          <w:tcPr>
            <w:tcW w:w="600" w:type="dxa"/>
            <w:vAlign w:val="bottom"/>
          </w:tcPr>
          <w:p>
            <w:pPr>
              <w:jc w:val="right"/>
              <w:spacing w:after="0"/>
              <w:rPr>
                <w:sz w:val="20"/>
                <w:szCs w:val="20"/>
                <w:color w:val="auto"/>
              </w:rPr>
            </w:pPr>
            <w:r>
              <w:rPr>
                <w:rFonts w:ascii="Calibri" w:cs="Calibri" w:eastAsia="Calibri" w:hAnsi="Calibri"/>
                <w:sz w:val="15"/>
                <w:szCs w:val="15"/>
                <w:color w:val="auto"/>
              </w:rPr>
              <w:t>931</w:t>
            </w:r>
          </w:p>
        </w:tc>
        <w:tc>
          <w:tcPr>
            <w:tcW w:w="2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Calibri" w:cs="Calibri" w:eastAsia="Calibri" w:hAnsi="Calibri"/>
                <w:sz w:val="15"/>
                <w:szCs w:val="15"/>
                <w:color w:val="auto"/>
              </w:rPr>
              <w:t>$</w:t>
            </w:r>
          </w:p>
        </w:tc>
        <w:tc>
          <w:tcPr>
            <w:tcW w:w="920" w:type="dxa"/>
            <w:vAlign w:val="bottom"/>
          </w:tcPr>
          <w:p>
            <w:pPr>
              <w:jc w:val="right"/>
              <w:spacing w:after="0"/>
              <w:rPr>
                <w:sz w:val="20"/>
                <w:szCs w:val="20"/>
                <w:color w:val="auto"/>
              </w:rPr>
            </w:pPr>
            <w:r>
              <w:rPr>
                <w:rFonts w:ascii="Calibri" w:cs="Calibri" w:eastAsia="Calibri" w:hAnsi="Calibri"/>
                <w:sz w:val="15"/>
                <w:szCs w:val="15"/>
                <w:color w:val="auto"/>
              </w:rPr>
              <w:t>210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500" w:type="dxa"/>
            <w:vAlign w:val="bottom"/>
            <w:shd w:val="clear" w:color="auto" w:fill="CFF0FC"/>
          </w:tcPr>
          <w:p>
            <w:pPr>
              <w:ind w:left="20"/>
              <w:spacing w:after="0"/>
              <w:rPr>
                <w:sz w:val="20"/>
                <w:szCs w:val="20"/>
                <w:color w:val="auto"/>
              </w:rPr>
            </w:pPr>
            <w:r>
              <w:rPr>
                <w:rFonts w:ascii="Calibri" w:cs="Calibri" w:eastAsia="Calibri" w:hAnsi="Calibri"/>
                <w:sz w:val="15"/>
                <w:szCs w:val="15"/>
                <w:color w:val="auto"/>
              </w:rPr>
              <w:t>Net earnings</w:t>
            </w:r>
          </w:p>
        </w:tc>
        <w:tc>
          <w:tcPr>
            <w:tcW w:w="140" w:type="dxa"/>
            <w:vAlign w:val="bottom"/>
            <w:tcBorders>
              <w:top w:val="single" w:sz="8" w:color="auto"/>
            </w:tcBorders>
            <w:shd w:val="clear" w:color="auto" w:fill="CFF0FC"/>
          </w:tcPr>
          <w:p>
            <w:pPr>
              <w:spacing w:after="0"/>
              <w:rPr>
                <w:sz w:val="16"/>
                <w:szCs w:val="16"/>
                <w:color w:val="auto"/>
              </w:rPr>
            </w:pPr>
          </w:p>
        </w:tc>
        <w:tc>
          <w:tcPr>
            <w:tcW w:w="600" w:type="dxa"/>
            <w:vAlign w:val="bottom"/>
            <w:tcBorders>
              <w:top w:val="single" w:sz="8" w:color="auto"/>
            </w:tcBorders>
            <w:shd w:val="clear" w:color="auto" w:fill="CFF0FC"/>
          </w:tcPr>
          <w:p>
            <w:pPr>
              <w:ind w:left="460"/>
              <w:spacing w:after="0"/>
              <w:rPr>
                <w:sz w:val="20"/>
                <w:szCs w:val="20"/>
                <w:color w:val="auto"/>
              </w:rPr>
            </w:pPr>
            <w:r>
              <w:rPr>
                <w:rFonts w:ascii="Calibri" w:cs="Calibri" w:eastAsia="Calibri" w:hAnsi="Calibri"/>
                <w:sz w:val="15"/>
                <w:szCs w:val="15"/>
                <w:color w:val="auto"/>
                <w:w w:val="88"/>
              </w:rPr>
              <w:t>—</w:t>
            </w:r>
          </w:p>
        </w:tc>
        <w:tc>
          <w:tcPr>
            <w:tcW w:w="22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Calibri" w:cs="Calibri" w:eastAsia="Calibri" w:hAnsi="Calibri"/>
                <w:sz w:val="15"/>
                <w:szCs w:val="15"/>
                <w:color w:val="auto"/>
              </w:rPr>
              <w:t>—</w:t>
            </w:r>
          </w:p>
        </w:tc>
        <w:tc>
          <w:tcPr>
            <w:tcW w:w="22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Calibri" w:cs="Calibri" w:eastAsia="Calibri" w:hAnsi="Calibri"/>
                <w:sz w:val="15"/>
                <w:szCs w:val="15"/>
                <w:color w:val="auto"/>
              </w:rPr>
              <w:t>102</w:t>
            </w:r>
          </w:p>
        </w:tc>
        <w:tc>
          <w:tcPr>
            <w:tcW w:w="22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Calibri" w:cs="Calibri" w:eastAsia="Calibri" w:hAnsi="Calibri"/>
                <w:sz w:val="15"/>
                <w:szCs w:val="15"/>
                <w:color w:val="auto"/>
              </w:rPr>
              <w:t>—</w:t>
            </w:r>
          </w:p>
        </w:tc>
        <w:tc>
          <w:tcPr>
            <w:tcW w:w="22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Calibri" w:cs="Calibri" w:eastAsia="Calibri" w:hAnsi="Calibri"/>
                <w:sz w:val="15"/>
                <w:szCs w:val="15"/>
                <w:color w:val="auto"/>
              </w:rPr>
              <w:t>—</w:t>
            </w:r>
          </w:p>
        </w:tc>
        <w:tc>
          <w:tcPr>
            <w:tcW w:w="200" w:type="dxa"/>
            <w:vAlign w:val="bottom"/>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Calibri" w:cs="Calibri" w:eastAsia="Calibri" w:hAnsi="Calibri"/>
                <w:sz w:val="15"/>
                <w:szCs w:val="15"/>
                <w:color w:val="auto"/>
              </w:rPr>
              <w:t>102</w:t>
            </w:r>
          </w:p>
        </w:tc>
        <w:tc>
          <w:tcPr>
            <w:tcW w:w="22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Calibri" w:cs="Calibri" w:eastAsia="Calibri" w:hAnsi="Calibri"/>
                <w:sz w:val="15"/>
                <w:szCs w:val="15"/>
                <w:color w:val="auto"/>
              </w:rPr>
              <w:t>—</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500" w:type="dxa"/>
            <w:vAlign w:val="bottom"/>
          </w:tcPr>
          <w:p>
            <w:pPr>
              <w:ind w:left="20"/>
              <w:spacing w:after="0"/>
              <w:rPr>
                <w:sz w:val="20"/>
                <w:szCs w:val="20"/>
                <w:color w:val="auto"/>
              </w:rPr>
            </w:pPr>
            <w:r>
              <w:rPr>
                <w:rFonts w:ascii="Calibri" w:cs="Calibri" w:eastAsia="Calibri" w:hAnsi="Calibri"/>
                <w:sz w:val="15"/>
                <w:szCs w:val="15"/>
                <w:color w:val="auto"/>
              </w:rPr>
              <w:t>Other comprehensive loss (net of tax):</w:t>
            </w: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500" w:type="dxa"/>
            <w:vAlign w:val="bottom"/>
            <w:shd w:val="clear" w:color="auto" w:fill="CFF0FC"/>
          </w:tcPr>
          <w:p>
            <w:pPr>
              <w:ind w:left="160"/>
              <w:spacing w:after="0"/>
              <w:rPr>
                <w:sz w:val="20"/>
                <w:szCs w:val="20"/>
                <w:color w:val="auto"/>
              </w:rPr>
            </w:pPr>
            <w:r>
              <w:rPr>
                <w:rFonts w:ascii="Calibri" w:cs="Calibri" w:eastAsia="Calibri" w:hAnsi="Calibri"/>
                <w:sz w:val="15"/>
                <w:szCs w:val="15"/>
                <w:color w:val="auto"/>
              </w:rPr>
              <w:t>Currency translaton adjustments</w:t>
            </w:r>
          </w:p>
        </w:tc>
        <w:tc>
          <w:tcPr>
            <w:tcW w:w="140" w:type="dxa"/>
            <w:vAlign w:val="bottom"/>
            <w:shd w:val="clear" w:color="auto" w:fill="CFF0FC"/>
          </w:tcPr>
          <w:p>
            <w:pPr>
              <w:spacing w:after="0"/>
              <w:rPr>
                <w:sz w:val="16"/>
                <w:szCs w:val="16"/>
                <w:color w:val="auto"/>
              </w:rPr>
            </w:pPr>
          </w:p>
        </w:tc>
        <w:tc>
          <w:tcPr>
            <w:tcW w:w="600" w:type="dxa"/>
            <w:vAlign w:val="bottom"/>
            <w:shd w:val="clear" w:color="auto" w:fill="CFF0FC"/>
          </w:tcPr>
          <w:p>
            <w:pPr>
              <w:ind w:left="460"/>
              <w:spacing w:after="0"/>
              <w:rPr>
                <w:sz w:val="20"/>
                <w:szCs w:val="20"/>
                <w:color w:val="auto"/>
              </w:rPr>
            </w:pPr>
            <w:r>
              <w:rPr>
                <w:rFonts w:ascii="Calibri" w:cs="Calibri" w:eastAsia="Calibri" w:hAnsi="Calibri"/>
                <w:sz w:val="15"/>
                <w:szCs w:val="15"/>
                <w:color w:val="auto"/>
                <w:w w:val="88"/>
              </w:rPr>
              <w:t>—</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240"/>
              <w:spacing w:after="0"/>
              <w:rPr>
                <w:sz w:val="20"/>
                <w:szCs w:val="20"/>
                <w:color w:val="auto"/>
              </w:rPr>
            </w:pPr>
            <w:r>
              <w:rPr>
                <w:rFonts w:ascii="Calibri" w:cs="Calibri" w:eastAsia="Calibri" w:hAnsi="Calibri"/>
                <w:sz w:val="15"/>
                <w:szCs w:val="15"/>
                <w:color w:val="auto"/>
              </w:rPr>
              <w:t>—</w:t>
            </w:r>
          </w:p>
        </w:tc>
        <w:tc>
          <w:tcPr>
            <w:tcW w:w="10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240"/>
              <w:spacing w:after="0"/>
              <w:rPr>
                <w:sz w:val="20"/>
                <w:szCs w:val="20"/>
                <w:color w:val="auto"/>
              </w:rPr>
            </w:pPr>
            <w:r>
              <w:rPr>
                <w:rFonts w:ascii="Calibri" w:cs="Calibri" w:eastAsia="Calibri" w:hAnsi="Calibri"/>
                <w:sz w:val="15"/>
                <w:szCs w:val="15"/>
                <w:color w:val="auto"/>
              </w:rPr>
              <w:t>—</w:t>
            </w:r>
          </w:p>
        </w:tc>
        <w:tc>
          <w:tcPr>
            <w:tcW w:w="12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160"/>
              <w:spacing w:after="0"/>
              <w:rPr>
                <w:sz w:val="20"/>
                <w:szCs w:val="20"/>
                <w:color w:val="auto"/>
              </w:rPr>
            </w:pPr>
            <w:r>
              <w:rPr>
                <w:rFonts w:ascii="Calibri" w:cs="Calibri" w:eastAsia="Calibri" w:hAnsi="Calibri"/>
                <w:sz w:val="15"/>
                <w:szCs w:val="15"/>
                <w:color w:val="auto"/>
              </w:rPr>
              <w:t>(16 )</w:t>
            </w:r>
          </w:p>
        </w:tc>
        <w:tc>
          <w:tcPr>
            <w:tcW w:w="10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220"/>
              <w:spacing w:after="0"/>
              <w:rPr>
                <w:sz w:val="20"/>
                <w:szCs w:val="20"/>
                <w:color w:val="auto"/>
              </w:rPr>
            </w:pPr>
            <w:r>
              <w:rPr>
                <w:rFonts w:ascii="Calibri" w:cs="Calibri" w:eastAsia="Calibri" w:hAnsi="Calibri"/>
                <w:sz w:val="15"/>
                <w:szCs w:val="15"/>
                <w:color w:val="auto"/>
              </w:rPr>
              <w:t>—</w:t>
            </w:r>
          </w:p>
        </w:tc>
        <w:tc>
          <w:tcPr>
            <w:tcW w:w="16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160"/>
              <w:spacing w:after="0"/>
              <w:rPr>
                <w:sz w:val="20"/>
                <w:szCs w:val="20"/>
                <w:color w:val="auto"/>
              </w:rPr>
            </w:pPr>
            <w:r>
              <w:rPr>
                <w:rFonts w:ascii="Calibri" w:cs="Calibri" w:eastAsia="Calibri" w:hAnsi="Calibri"/>
                <w:sz w:val="15"/>
                <w:szCs w:val="15"/>
                <w:color w:val="auto"/>
              </w:rPr>
              <w:t>(16 )</w:t>
            </w:r>
          </w:p>
        </w:tc>
        <w:tc>
          <w:tcPr>
            <w:tcW w:w="10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120"/>
              <w:spacing w:after="0"/>
              <w:rPr>
                <w:sz w:val="20"/>
                <w:szCs w:val="20"/>
                <w:color w:val="auto"/>
              </w:rPr>
            </w:pPr>
            <w:r>
              <w:rPr>
                <w:rFonts w:ascii="Calibri" w:cs="Calibri" w:eastAsia="Calibri" w:hAnsi="Calibri"/>
                <w:sz w:val="15"/>
                <w:szCs w:val="15"/>
                <w:color w:val="auto"/>
              </w:rPr>
              <w:t>—</w:t>
            </w:r>
          </w:p>
        </w:tc>
        <w:tc>
          <w:tcPr>
            <w:tcW w:w="0" w:type="dxa"/>
            <w:vAlign w:val="bottom"/>
          </w:tcPr>
          <w:p>
            <w:pPr>
              <w:spacing w:after="0"/>
              <w:rPr>
                <w:sz w:val="1"/>
                <w:szCs w:val="1"/>
                <w:color w:val="auto"/>
              </w:rPr>
            </w:pPr>
          </w:p>
        </w:tc>
      </w:tr>
      <w:tr>
        <w:trPr>
          <w:trHeight w:val="166"/>
        </w:trPr>
        <w:tc>
          <w:tcPr>
            <w:tcW w:w="3500" w:type="dxa"/>
            <w:vAlign w:val="bottom"/>
          </w:tcPr>
          <w:p>
            <w:pPr>
              <w:ind w:left="160"/>
              <w:spacing w:after="0" w:line="166" w:lineRule="exact"/>
              <w:rPr>
                <w:sz w:val="20"/>
                <w:szCs w:val="20"/>
                <w:color w:val="auto"/>
              </w:rPr>
            </w:pPr>
            <w:r>
              <w:rPr>
                <w:rFonts w:ascii="Calibri" w:cs="Calibri" w:eastAsia="Calibri" w:hAnsi="Calibri"/>
                <w:sz w:val="15"/>
                <w:szCs w:val="15"/>
                <w:color w:val="auto"/>
              </w:rPr>
              <w:t>Pension and other postretrement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500" w:type="dxa"/>
            <w:vAlign w:val="bottom"/>
          </w:tcPr>
          <w:p>
            <w:pPr>
              <w:ind w:left="260"/>
              <w:spacing w:after="0"/>
              <w:rPr>
                <w:sz w:val="20"/>
                <w:szCs w:val="20"/>
                <w:color w:val="auto"/>
              </w:rPr>
            </w:pPr>
            <w:r>
              <w:rPr>
                <w:rFonts w:ascii="Calibri" w:cs="Calibri" w:eastAsia="Calibri" w:hAnsi="Calibri"/>
                <w:sz w:val="15"/>
                <w:szCs w:val="15"/>
                <w:color w:val="auto"/>
              </w:rPr>
              <w:t>liability adjustments</w:t>
            </w:r>
          </w:p>
        </w:tc>
        <w:tc>
          <w:tcPr>
            <w:tcW w:w="140" w:type="dxa"/>
            <w:vAlign w:val="bottom"/>
          </w:tcPr>
          <w:p>
            <w:pPr>
              <w:spacing w:after="0"/>
              <w:rPr>
                <w:sz w:val="15"/>
                <w:szCs w:val="15"/>
                <w:color w:val="auto"/>
              </w:rPr>
            </w:pPr>
          </w:p>
        </w:tc>
        <w:tc>
          <w:tcPr>
            <w:tcW w:w="600" w:type="dxa"/>
            <w:vAlign w:val="bottom"/>
          </w:tcPr>
          <w:p>
            <w:pPr>
              <w:ind w:left="460"/>
              <w:spacing w:after="0"/>
              <w:rPr>
                <w:sz w:val="20"/>
                <w:szCs w:val="20"/>
                <w:color w:val="auto"/>
              </w:rPr>
            </w:pPr>
            <w:r>
              <w:rPr>
                <w:rFonts w:ascii="Calibri" w:cs="Calibri" w:eastAsia="Calibri" w:hAnsi="Calibri"/>
                <w:sz w:val="15"/>
                <w:szCs w:val="15"/>
                <w:color w:val="auto"/>
                <w:w w:val="88"/>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240"/>
              <w:spacing w:after="0"/>
              <w:rPr>
                <w:sz w:val="20"/>
                <w:szCs w:val="20"/>
                <w:color w:val="auto"/>
              </w:rPr>
            </w:pPr>
            <w:r>
              <w:rPr>
                <w:rFonts w:ascii="Calibri" w:cs="Calibri" w:eastAsia="Calibri" w:hAnsi="Calibri"/>
                <w:sz w:val="15"/>
                <w:szCs w:val="15"/>
                <w:color w:val="auto"/>
              </w:rPr>
              <w:t>—</w:t>
            </w:r>
          </w:p>
        </w:tc>
        <w:tc>
          <w:tcPr>
            <w:tcW w:w="100" w:type="dxa"/>
            <w:vAlign w:val="bottom"/>
          </w:tcPr>
          <w:p>
            <w:pPr>
              <w:spacing w:after="0"/>
              <w:rPr>
                <w:sz w:val="15"/>
                <w:szCs w:val="15"/>
                <w:color w:val="auto"/>
              </w:rPr>
            </w:pPr>
          </w:p>
        </w:tc>
        <w:tc>
          <w:tcPr>
            <w:tcW w:w="1140" w:type="dxa"/>
            <w:vAlign w:val="bottom"/>
            <w:gridSpan w:val="2"/>
          </w:tcPr>
          <w:p>
            <w:pPr>
              <w:jc w:val="right"/>
              <w:ind w:right="240"/>
              <w:spacing w:after="0"/>
              <w:rPr>
                <w:sz w:val="20"/>
                <w:szCs w:val="20"/>
                <w:color w:val="auto"/>
              </w:rPr>
            </w:pPr>
            <w:r>
              <w:rPr>
                <w:rFonts w:ascii="Calibri" w:cs="Calibri" w:eastAsia="Calibri" w:hAnsi="Calibri"/>
                <w:sz w:val="15"/>
                <w:szCs w:val="15"/>
                <w:color w:val="auto"/>
              </w:rPr>
              <w:t>—</w:t>
            </w:r>
          </w:p>
        </w:tc>
        <w:tc>
          <w:tcPr>
            <w:tcW w:w="12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Calibri" w:cs="Calibri" w:eastAsia="Calibri" w:hAnsi="Calibri"/>
                <w:sz w:val="15"/>
                <w:szCs w:val="15"/>
                <w:color w:val="auto"/>
              </w:rPr>
              <w:t>(369 )</w:t>
            </w:r>
          </w:p>
        </w:tc>
        <w:tc>
          <w:tcPr>
            <w:tcW w:w="10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Calibri" w:cs="Calibri" w:eastAsia="Calibri" w:hAnsi="Calibri"/>
                <w:sz w:val="15"/>
                <w:szCs w:val="15"/>
                <w:color w:val="auto"/>
              </w:rPr>
              <w:t>—</w:t>
            </w:r>
          </w:p>
        </w:tc>
        <w:tc>
          <w:tcPr>
            <w:tcW w:w="16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Calibri" w:cs="Calibri" w:eastAsia="Calibri" w:hAnsi="Calibri"/>
                <w:sz w:val="15"/>
                <w:szCs w:val="15"/>
                <w:color w:val="auto"/>
              </w:rPr>
              <w:t>(369 )</w:t>
            </w:r>
          </w:p>
        </w:tc>
        <w:tc>
          <w:tcPr>
            <w:tcW w:w="10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Calibri" w:cs="Calibri" w:eastAsia="Calibri" w:hAnsi="Calibri"/>
                <w:sz w:val="15"/>
                <w:szCs w:val="15"/>
                <w:color w:val="auto"/>
              </w:rPr>
              <w:t>—</w:t>
            </w:r>
          </w:p>
        </w:tc>
        <w:tc>
          <w:tcPr>
            <w:tcW w:w="0" w:type="dxa"/>
            <w:vAlign w:val="bottom"/>
          </w:tcPr>
          <w:p>
            <w:pPr>
              <w:spacing w:after="0"/>
              <w:rPr>
                <w:sz w:val="1"/>
                <w:szCs w:val="1"/>
                <w:color w:val="auto"/>
              </w:rPr>
            </w:pPr>
          </w:p>
        </w:tc>
      </w:tr>
      <w:tr>
        <w:trPr>
          <w:trHeight w:val="30"/>
        </w:trPr>
        <w:tc>
          <w:tcPr>
            <w:tcW w:w="3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3500" w:type="dxa"/>
            <w:vAlign w:val="bottom"/>
            <w:shd w:val="clear" w:color="auto" w:fill="CFF0FC"/>
          </w:tcPr>
          <w:p>
            <w:pPr>
              <w:ind w:left="20"/>
              <w:spacing w:after="0"/>
              <w:rPr>
                <w:sz w:val="20"/>
                <w:szCs w:val="20"/>
                <w:color w:val="auto"/>
              </w:rPr>
            </w:pPr>
            <w:r>
              <w:rPr>
                <w:rFonts w:ascii="Calibri" w:cs="Calibri" w:eastAsia="Calibri" w:hAnsi="Calibri"/>
                <w:sz w:val="15"/>
                <w:szCs w:val="15"/>
                <w:color w:val="auto"/>
              </w:rPr>
              <w:t>Preferred stock cash and accrued dividends</w:t>
            </w:r>
          </w:p>
        </w:tc>
        <w:tc>
          <w:tcPr>
            <w:tcW w:w="140" w:type="dxa"/>
            <w:vAlign w:val="bottom"/>
            <w:shd w:val="clear" w:color="auto" w:fill="CFF0FC"/>
          </w:tcPr>
          <w:p>
            <w:pPr>
              <w:spacing w:after="0"/>
              <w:rPr>
                <w:sz w:val="16"/>
                <w:szCs w:val="16"/>
                <w:color w:val="auto"/>
              </w:rPr>
            </w:pPr>
          </w:p>
        </w:tc>
        <w:tc>
          <w:tcPr>
            <w:tcW w:w="600" w:type="dxa"/>
            <w:vAlign w:val="bottom"/>
            <w:shd w:val="clear" w:color="auto" w:fill="CFF0FC"/>
          </w:tcPr>
          <w:p>
            <w:pPr>
              <w:ind w:left="460"/>
              <w:spacing w:after="0"/>
              <w:rPr>
                <w:sz w:val="20"/>
                <w:szCs w:val="20"/>
                <w:color w:val="auto"/>
              </w:rPr>
            </w:pPr>
            <w:r>
              <w:rPr>
                <w:rFonts w:ascii="Calibri" w:cs="Calibri" w:eastAsia="Calibri" w:hAnsi="Calibri"/>
                <w:sz w:val="15"/>
                <w:szCs w:val="15"/>
                <w:color w:val="auto"/>
                <w:w w:val="88"/>
              </w:rPr>
              <w:t>—</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160"/>
              <w:spacing w:after="0"/>
              <w:rPr>
                <w:sz w:val="20"/>
                <w:szCs w:val="20"/>
                <w:color w:val="auto"/>
              </w:rPr>
            </w:pPr>
            <w:r>
              <w:rPr>
                <w:rFonts w:ascii="Calibri" w:cs="Calibri" w:eastAsia="Calibri" w:hAnsi="Calibri"/>
                <w:sz w:val="15"/>
                <w:szCs w:val="15"/>
                <w:color w:val="auto"/>
              </w:rPr>
              <w:t>(4 )</w:t>
            </w:r>
          </w:p>
        </w:tc>
        <w:tc>
          <w:tcPr>
            <w:tcW w:w="10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240"/>
              <w:spacing w:after="0"/>
              <w:rPr>
                <w:sz w:val="20"/>
                <w:szCs w:val="20"/>
                <w:color w:val="auto"/>
              </w:rPr>
            </w:pPr>
            <w:r>
              <w:rPr>
                <w:rFonts w:ascii="Calibri" w:cs="Calibri" w:eastAsia="Calibri" w:hAnsi="Calibri"/>
                <w:sz w:val="15"/>
                <w:szCs w:val="15"/>
                <w:color w:val="auto"/>
              </w:rPr>
              <w:t>—</w:t>
            </w:r>
          </w:p>
        </w:tc>
        <w:tc>
          <w:tcPr>
            <w:tcW w:w="12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240"/>
              <w:spacing w:after="0"/>
              <w:rPr>
                <w:sz w:val="20"/>
                <w:szCs w:val="20"/>
                <w:color w:val="auto"/>
              </w:rPr>
            </w:pPr>
            <w:r>
              <w:rPr>
                <w:rFonts w:ascii="Calibri" w:cs="Calibri" w:eastAsia="Calibri" w:hAnsi="Calibri"/>
                <w:sz w:val="15"/>
                <w:szCs w:val="15"/>
                <w:color w:val="auto"/>
              </w:rPr>
              <w:t>—</w:t>
            </w:r>
          </w:p>
        </w:tc>
        <w:tc>
          <w:tcPr>
            <w:tcW w:w="10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220"/>
              <w:spacing w:after="0"/>
              <w:rPr>
                <w:sz w:val="20"/>
                <w:szCs w:val="20"/>
                <w:color w:val="auto"/>
              </w:rPr>
            </w:pPr>
            <w:r>
              <w:rPr>
                <w:rFonts w:ascii="Calibri" w:cs="Calibri" w:eastAsia="Calibri" w:hAnsi="Calibri"/>
                <w:sz w:val="15"/>
                <w:szCs w:val="15"/>
                <w:color w:val="auto"/>
              </w:rPr>
              <w:t>—</w:t>
            </w:r>
          </w:p>
        </w:tc>
        <w:tc>
          <w:tcPr>
            <w:tcW w:w="16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160"/>
              <w:spacing w:after="0"/>
              <w:rPr>
                <w:sz w:val="20"/>
                <w:szCs w:val="20"/>
                <w:color w:val="auto"/>
              </w:rPr>
            </w:pPr>
            <w:r>
              <w:rPr>
                <w:rFonts w:ascii="Calibri" w:cs="Calibri" w:eastAsia="Calibri" w:hAnsi="Calibri"/>
                <w:sz w:val="15"/>
                <w:szCs w:val="15"/>
                <w:color w:val="auto"/>
              </w:rPr>
              <w:t>(4 )</w:t>
            </w:r>
          </w:p>
        </w:tc>
        <w:tc>
          <w:tcPr>
            <w:tcW w:w="10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120"/>
              <w:spacing w:after="0"/>
              <w:rPr>
                <w:sz w:val="20"/>
                <w:szCs w:val="20"/>
                <w:color w:val="auto"/>
              </w:rPr>
            </w:pPr>
            <w:r>
              <w:rPr>
                <w:rFonts w:ascii="Calibri" w:cs="Calibri" w:eastAsia="Calibri" w:hAnsi="Calibri"/>
                <w:sz w:val="15"/>
                <w:szCs w:val="15"/>
                <w:color w:val="auto"/>
              </w:rPr>
              <w:t>—</w:t>
            </w:r>
          </w:p>
        </w:tc>
        <w:tc>
          <w:tcPr>
            <w:tcW w:w="0" w:type="dxa"/>
            <w:vAlign w:val="bottom"/>
          </w:tcPr>
          <w:p>
            <w:pPr>
              <w:spacing w:after="0"/>
              <w:rPr>
                <w:sz w:val="1"/>
                <w:szCs w:val="1"/>
                <w:color w:val="auto"/>
              </w:rPr>
            </w:pPr>
          </w:p>
        </w:tc>
      </w:tr>
      <w:tr>
        <w:trPr>
          <w:trHeight w:val="183"/>
        </w:trPr>
        <w:tc>
          <w:tcPr>
            <w:tcW w:w="3500" w:type="dxa"/>
            <w:vAlign w:val="bottom"/>
          </w:tcPr>
          <w:p>
            <w:pPr>
              <w:ind w:left="20"/>
              <w:spacing w:after="0"/>
              <w:rPr>
                <w:sz w:val="20"/>
                <w:szCs w:val="20"/>
                <w:color w:val="auto"/>
              </w:rPr>
            </w:pPr>
            <w:r>
              <w:rPr>
                <w:rFonts w:ascii="Calibri" w:cs="Calibri" w:eastAsia="Calibri" w:hAnsi="Calibri"/>
                <w:sz w:val="15"/>
                <w:szCs w:val="15"/>
                <w:color w:val="auto"/>
              </w:rPr>
              <w:t>Preferred stock in-kind dividends</w:t>
            </w:r>
          </w:p>
        </w:tc>
        <w:tc>
          <w:tcPr>
            <w:tcW w:w="140" w:type="dxa"/>
            <w:vAlign w:val="bottom"/>
          </w:tcPr>
          <w:p>
            <w:pPr>
              <w:spacing w:after="0"/>
              <w:rPr>
                <w:sz w:val="15"/>
                <w:szCs w:val="15"/>
                <w:color w:val="auto"/>
              </w:rPr>
            </w:pPr>
          </w:p>
        </w:tc>
        <w:tc>
          <w:tcPr>
            <w:tcW w:w="600" w:type="dxa"/>
            <w:vAlign w:val="bottom"/>
          </w:tcPr>
          <w:p>
            <w:pPr>
              <w:ind w:left="460"/>
              <w:spacing w:after="0"/>
              <w:rPr>
                <w:sz w:val="20"/>
                <w:szCs w:val="20"/>
                <w:color w:val="auto"/>
              </w:rPr>
            </w:pPr>
            <w:r>
              <w:rPr>
                <w:rFonts w:ascii="Calibri" w:cs="Calibri" w:eastAsia="Calibri" w:hAnsi="Calibri"/>
                <w:sz w:val="15"/>
                <w:szCs w:val="15"/>
                <w:color w:val="auto"/>
                <w:w w:val="88"/>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Calibri" w:cs="Calibri" w:eastAsia="Calibri" w:hAnsi="Calibri"/>
                <w:sz w:val="15"/>
                <w:szCs w:val="15"/>
                <w:color w:val="auto"/>
              </w:rPr>
              <w:t>(6 )</w:t>
            </w:r>
          </w:p>
        </w:tc>
        <w:tc>
          <w:tcPr>
            <w:tcW w:w="100" w:type="dxa"/>
            <w:vAlign w:val="bottom"/>
          </w:tcPr>
          <w:p>
            <w:pPr>
              <w:spacing w:after="0"/>
              <w:rPr>
                <w:sz w:val="15"/>
                <w:szCs w:val="15"/>
                <w:color w:val="auto"/>
              </w:rPr>
            </w:pPr>
          </w:p>
        </w:tc>
        <w:tc>
          <w:tcPr>
            <w:tcW w:w="1140" w:type="dxa"/>
            <w:vAlign w:val="bottom"/>
            <w:gridSpan w:val="2"/>
          </w:tcPr>
          <w:p>
            <w:pPr>
              <w:jc w:val="right"/>
              <w:ind w:right="240"/>
              <w:spacing w:after="0"/>
              <w:rPr>
                <w:sz w:val="20"/>
                <w:szCs w:val="20"/>
                <w:color w:val="auto"/>
              </w:rPr>
            </w:pPr>
            <w:r>
              <w:rPr>
                <w:rFonts w:ascii="Calibri" w:cs="Calibri" w:eastAsia="Calibri" w:hAnsi="Calibri"/>
                <w:sz w:val="15"/>
                <w:szCs w:val="15"/>
                <w:color w:val="auto"/>
              </w:rPr>
              <w:t>—</w:t>
            </w:r>
          </w:p>
        </w:tc>
        <w:tc>
          <w:tcPr>
            <w:tcW w:w="120" w:type="dxa"/>
            <w:vAlign w:val="bottom"/>
          </w:tcPr>
          <w:p>
            <w:pPr>
              <w:spacing w:after="0"/>
              <w:rPr>
                <w:sz w:val="15"/>
                <w:szCs w:val="15"/>
                <w:color w:val="auto"/>
              </w:rPr>
            </w:pPr>
          </w:p>
        </w:tc>
        <w:tc>
          <w:tcPr>
            <w:tcW w:w="1260" w:type="dxa"/>
            <w:vAlign w:val="bottom"/>
            <w:gridSpan w:val="2"/>
          </w:tcPr>
          <w:p>
            <w:pPr>
              <w:jc w:val="right"/>
              <w:ind w:right="240"/>
              <w:spacing w:after="0"/>
              <w:rPr>
                <w:sz w:val="20"/>
                <w:szCs w:val="20"/>
                <w:color w:val="auto"/>
              </w:rPr>
            </w:pPr>
            <w:r>
              <w:rPr>
                <w:rFonts w:ascii="Calibri" w:cs="Calibri" w:eastAsia="Calibri" w:hAnsi="Calibri"/>
                <w:sz w:val="15"/>
                <w:szCs w:val="15"/>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Calibri" w:cs="Calibri" w:eastAsia="Calibri" w:hAnsi="Calibri"/>
                <w:sz w:val="15"/>
                <w:szCs w:val="15"/>
                <w:color w:val="auto"/>
              </w:rPr>
              <w:t>—</w:t>
            </w:r>
          </w:p>
        </w:tc>
        <w:tc>
          <w:tcPr>
            <w:tcW w:w="16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Calibri" w:cs="Calibri" w:eastAsia="Calibri" w:hAnsi="Calibri"/>
                <w:sz w:val="15"/>
                <w:szCs w:val="15"/>
                <w:color w:val="auto"/>
              </w:rPr>
              <w:t>(6 )</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alibri" w:cs="Calibri" w:eastAsia="Calibri" w:hAnsi="Calibri"/>
                <w:sz w:val="15"/>
                <w:szCs w:val="15"/>
                <w:color w:val="auto"/>
              </w:rPr>
              <w:t>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3500" w:type="dxa"/>
            <w:vAlign w:val="bottom"/>
          </w:tcPr>
          <w:p>
            <w:pPr>
              <w:ind w:left="20"/>
              <w:spacing w:after="0" w:line="139" w:lineRule="exact"/>
              <w:rPr>
                <w:sz w:val="20"/>
                <w:szCs w:val="20"/>
                <w:color w:val="auto"/>
              </w:rPr>
            </w:pPr>
            <w:r>
              <w:rPr>
                <w:rFonts w:ascii="Calibri" w:cs="Calibri" w:eastAsia="Calibri" w:hAnsi="Calibri"/>
                <w:sz w:val="15"/>
                <w:szCs w:val="15"/>
                <w:color w:val="auto"/>
              </w:rPr>
              <w:t>Preferred stock deemed dividends</w:t>
            </w:r>
          </w:p>
        </w:tc>
        <w:tc>
          <w:tcPr>
            <w:tcW w:w="140" w:type="dxa"/>
            <w:vAlign w:val="bottom"/>
          </w:tcPr>
          <w:p>
            <w:pPr>
              <w:spacing w:after="0"/>
              <w:rPr>
                <w:sz w:val="12"/>
                <w:szCs w:val="12"/>
                <w:color w:val="auto"/>
              </w:rPr>
            </w:pPr>
          </w:p>
        </w:tc>
        <w:tc>
          <w:tcPr>
            <w:tcW w:w="600" w:type="dxa"/>
            <w:vAlign w:val="bottom"/>
          </w:tcPr>
          <w:p>
            <w:pPr>
              <w:ind w:left="460"/>
              <w:spacing w:after="0" w:line="139" w:lineRule="exact"/>
              <w:rPr>
                <w:sz w:val="20"/>
                <w:szCs w:val="20"/>
                <w:color w:val="auto"/>
              </w:rPr>
            </w:pPr>
            <w:r>
              <w:rPr>
                <w:rFonts w:ascii="Calibri" w:cs="Calibri" w:eastAsia="Calibri" w:hAnsi="Calibri"/>
                <w:sz w:val="15"/>
                <w:szCs w:val="15"/>
                <w:color w:val="auto"/>
                <w:w w:val="88"/>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160"/>
              <w:spacing w:after="0" w:line="139" w:lineRule="exact"/>
              <w:rPr>
                <w:sz w:val="20"/>
                <w:szCs w:val="20"/>
                <w:color w:val="auto"/>
              </w:rPr>
            </w:pPr>
            <w:r>
              <w:rPr>
                <w:rFonts w:ascii="Calibri" w:cs="Calibri" w:eastAsia="Calibri" w:hAnsi="Calibri"/>
                <w:sz w:val="15"/>
                <w:szCs w:val="15"/>
                <w:color w:val="auto"/>
              </w:rPr>
              <w:t>(2 )</w:t>
            </w:r>
          </w:p>
        </w:tc>
        <w:tc>
          <w:tcPr>
            <w:tcW w:w="100" w:type="dxa"/>
            <w:vAlign w:val="bottom"/>
          </w:tcPr>
          <w:p>
            <w:pPr>
              <w:spacing w:after="0"/>
              <w:rPr>
                <w:sz w:val="12"/>
                <w:szCs w:val="12"/>
                <w:color w:val="auto"/>
              </w:rPr>
            </w:pPr>
          </w:p>
        </w:tc>
        <w:tc>
          <w:tcPr>
            <w:tcW w:w="1140" w:type="dxa"/>
            <w:vAlign w:val="bottom"/>
            <w:gridSpan w:val="2"/>
          </w:tcPr>
          <w:p>
            <w:pPr>
              <w:jc w:val="right"/>
              <w:ind w:right="240"/>
              <w:spacing w:after="0" w:line="139" w:lineRule="exact"/>
              <w:rPr>
                <w:sz w:val="20"/>
                <w:szCs w:val="20"/>
                <w:color w:val="auto"/>
              </w:rPr>
            </w:pPr>
            <w:r>
              <w:rPr>
                <w:rFonts w:ascii="Calibri" w:cs="Calibri" w:eastAsia="Calibri" w:hAnsi="Calibri"/>
                <w:sz w:val="15"/>
                <w:szCs w:val="15"/>
                <w:color w:val="auto"/>
              </w:rPr>
              <w:t>—</w:t>
            </w:r>
          </w:p>
        </w:tc>
        <w:tc>
          <w:tcPr>
            <w:tcW w:w="120" w:type="dxa"/>
            <w:vAlign w:val="bottom"/>
          </w:tcPr>
          <w:p>
            <w:pPr>
              <w:spacing w:after="0"/>
              <w:rPr>
                <w:sz w:val="12"/>
                <w:szCs w:val="12"/>
                <w:color w:val="auto"/>
              </w:rPr>
            </w:pPr>
          </w:p>
        </w:tc>
        <w:tc>
          <w:tcPr>
            <w:tcW w:w="1260" w:type="dxa"/>
            <w:vAlign w:val="bottom"/>
            <w:gridSpan w:val="2"/>
          </w:tcPr>
          <w:p>
            <w:pPr>
              <w:jc w:val="right"/>
              <w:ind w:right="240"/>
              <w:spacing w:after="0" w:line="139" w:lineRule="exact"/>
              <w:rPr>
                <w:sz w:val="20"/>
                <w:szCs w:val="20"/>
                <w:color w:val="auto"/>
              </w:rPr>
            </w:pPr>
            <w:r>
              <w:rPr>
                <w:rFonts w:ascii="Calibri" w:cs="Calibri" w:eastAsia="Calibri" w:hAnsi="Calibri"/>
                <w:sz w:val="15"/>
                <w:szCs w:val="15"/>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220"/>
              <w:spacing w:after="0" w:line="139" w:lineRule="exact"/>
              <w:rPr>
                <w:sz w:val="20"/>
                <w:szCs w:val="20"/>
                <w:color w:val="auto"/>
              </w:rPr>
            </w:pPr>
            <w:r>
              <w:rPr>
                <w:rFonts w:ascii="Calibri" w:cs="Calibri" w:eastAsia="Calibri" w:hAnsi="Calibri"/>
                <w:sz w:val="15"/>
                <w:szCs w:val="15"/>
                <w:color w:val="auto"/>
              </w:rPr>
              <w:t>—</w:t>
            </w:r>
          </w:p>
        </w:tc>
        <w:tc>
          <w:tcPr>
            <w:tcW w:w="160" w:type="dxa"/>
            <w:vAlign w:val="bottom"/>
          </w:tcPr>
          <w:p>
            <w:pPr>
              <w:spacing w:after="0"/>
              <w:rPr>
                <w:sz w:val="12"/>
                <w:szCs w:val="12"/>
                <w:color w:val="auto"/>
              </w:rPr>
            </w:pPr>
          </w:p>
        </w:tc>
        <w:tc>
          <w:tcPr>
            <w:tcW w:w="820" w:type="dxa"/>
            <w:vAlign w:val="bottom"/>
            <w:gridSpan w:val="2"/>
          </w:tcPr>
          <w:p>
            <w:pPr>
              <w:jc w:val="right"/>
              <w:ind w:right="160"/>
              <w:spacing w:after="0" w:line="139" w:lineRule="exact"/>
              <w:rPr>
                <w:sz w:val="20"/>
                <w:szCs w:val="20"/>
                <w:color w:val="auto"/>
              </w:rPr>
            </w:pPr>
            <w:r>
              <w:rPr>
                <w:rFonts w:ascii="Calibri" w:cs="Calibri" w:eastAsia="Calibri" w:hAnsi="Calibri"/>
                <w:sz w:val="15"/>
                <w:szCs w:val="15"/>
                <w:color w:val="auto"/>
              </w:rPr>
              <w:t>(2 )</w:t>
            </w:r>
          </w:p>
        </w:tc>
        <w:tc>
          <w:tcPr>
            <w:tcW w:w="100" w:type="dxa"/>
            <w:vAlign w:val="bottom"/>
          </w:tcPr>
          <w:p>
            <w:pPr>
              <w:spacing w:after="0"/>
              <w:rPr>
                <w:sz w:val="12"/>
                <w:szCs w:val="12"/>
                <w:color w:val="auto"/>
              </w:rPr>
            </w:pPr>
          </w:p>
        </w:tc>
        <w:tc>
          <w:tcPr>
            <w:tcW w:w="920" w:type="dxa"/>
            <w:vAlign w:val="bottom"/>
          </w:tcPr>
          <w:p>
            <w:pPr>
              <w:jc w:val="right"/>
              <w:spacing w:after="0" w:line="139" w:lineRule="exact"/>
              <w:rPr>
                <w:sz w:val="20"/>
                <w:szCs w:val="20"/>
                <w:color w:val="auto"/>
              </w:rPr>
            </w:pPr>
            <w:r>
              <w:rPr>
                <w:rFonts w:ascii="Calibri" w:cs="Calibri" w:eastAsia="Calibri" w:hAnsi="Calibri"/>
                <w:sz w:val="15"/>
                <w:szCs w:val="15"/>
                <w:color w:val="auto"/>
              </w:rPr>
              <w:t>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1"/>
        </w:trPr>
        <w:tc>
          <w:tcPr>
            <w:tcW w:w="3500" w:type="dxa"/>
            <w:vAlign w:val="bottom"/>
          </w:tcPr>
          <w:p>
            <w:pPr>
              <w:ind w:left="20"/>
              <w:spacing w:after="0" w:line="236" w:lineRule="exact"/>
              <w:rPr>
                <w:sz w:val="20"/>
                <w:szCs w:val="20"/>
                <w:color w:val="auto"/>
              </w:rPr>
            </w:pPr>
            <w:r>
              <w:rPr>
                <w:rFonts w:ascii="Calibri" w:cs="Calibri" w:eastAsia="Calibri" w:hAnsi="Calibri"/>
                <w:sz w:val="15"/>
                <w:szCs w:val="15"/>
                <w:color w:val="auto"/>
              </w:rPr>
              <w:t xml:space="preserve">Treasury stock purchases </w:t>
            </w:r>
            <w:r>
              <w:rPr>
                <w:rFonts w:ascii="Calibri" w:cs="Calibri" w:eastAsia="Calibri" w:hAnsi="Calibri"/>
                <w:sz w:val="20"/>
                <w:szCs w:val="20"/>
                <w:color w:val="auto"/>
                <w:vertAlign w:val="superscript"/>
              </w:rPr>
              <w:t>(2)</w:t>
            </w:r>
          </w:p>
        </w:tc>
        <w:tc>
          <w:tcPr>
            <w:tcW w:w="140" w:type="dxa"/>
            <w:vAlign w:val="bottom"/>
          </w:tcPr>
          <w:p>
            <w:pPr>
              <w:spacing w:after="0"/>
              <w:rPr>
                <w:sz w:val="20"/>
                <w:szCs w:val="20"/>
                <w:color w:val="auto"/>
              </w:rPr>
            </w:pPr>
          </w:p>
        </w:tc>
        <w:tc>
          <w:tcPr>
            <w:tcW w:w="600" w:type="dxa"/>
            <w:vAlign w:val="bottom"/>
          </w:tcPr>
          <w:p>
            <w:pPr>
              <w:ind w:left="460"/>
              <w:spacing w:after="0"/>
              <w:rPr>
                <w:sz w:val="20"/>
                <w:szCs w:val="20"/>
                <w:color w:val="auto"/>
              </w:rPr>
            </w:pPr>
            <w:r>
              <w:rPr>
                <w:rFonts w:ascii="Calibri" w:cs="Calibri" w:eastAsia="Calibri" w:hAnsi="Calibri"/>
                <w:sz w:val="15"/>
                <w:szCs w:val="15"/>
                <w:color w:val="auto"/>
                <w:w w:val="88"/>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Calibri" w:cs="Calibri" w:eastAsia="Calibri" w:hAnsi="Calibri"/>
                <w:sz w:val="15"/>
                <w:szCs w:val="15"/>
                <w:color w:val="auto"/>
              </w:rPr>
              <w:t>—</w:t>
            </w:r>
          </w:p>
        </w:tc>
        <w:tc>
          <w:tcPr>
            <w:tcW w:w="10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Calibri" w:cs="Calibri" w:eastAsia="Calibri" w:hAnsi="Calibri"/>
                <w:sz w:val="15"/>
                <w:szCs w:val="15"/>
                <w:color w:val="auto"/>
              </w:rPr>
              <w:t>—</w:t>
            </w:r>
          </w:p>
        </w:tc>
        <w:tc>
          <w:tcPr>
            <w:tcW w:w="12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Calibri" w:cs="Calibri" w:eastAsia="Calibri" w:hAnsi="Calibri"/>
                <w:sz w:val="15"/>
                <w:szCs w:val="15"/>
                <w:color w:val="auto"/>
              </w:rPr>
              <w:t>—</w:t>
            </w:r>
          </w:p>
        </w:tc>
        <w:tc>
          <w:tcPr>
            <w:tcW w:w="10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Calibri" w:cs="Calibri" w:eastAsia="Calibri" w:hAnsi="Calibri"/>
                <w:sz w:val="15"/>
                <w:szCs w:val="15"/>
                <w:color w:val="auto"/>
              </w:rPr>
              <w:t>(1 )</w:t>
            </w:r>
          </w:p>
        </w:tc>
        <w:tc>
          <w:tcPr>
            <w:tcW w:w="16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Calibri" w:cs="Calibri" w:eastAsia="Calibri" w:hAnsi="Calibri"/>
                <w:sz w:val="15"/>
                <w:szCs w:val="15"/>
                <w:color w:val="auto"/>
              </w:rPr>
              <w:t>(1 )</w:t>
            </w:r>
          </w:p>
        </w:tc>
        <w:tc>
          <w:tcPr>
            <w:tcW w:w="1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Calibri" w:cs="Calibri" w:eastAsia="Calibri" w:hAnsi="Calibri"/>
                <w:sz w:val="15"/>
                <w:szCs w:val="15"/>
                <w:color w:val="auto"/>
              </w:rPr>
              <w:t>—</w:t>
            </w:r>
          </w:p>
        </w:tc>
        <w:tc>
          <w:tcPr>
            <w:tcW w:w="0" w:type="dxa"/>
            <w:vAlign w:val="bottom"/>
          </w:tcPr>
          <w:p>
            <w:pPr>
              <w:spacing w:after="0"/>
              <w:rPr>
                <w:sz w:val="1"/>
                <w:szCs w:val="1"/>
                <w:color w:val="auto"/>
              </w:rPr>
            </w:pPr>
          </w:p>
        </w:tc>
      </w:tr>
      <w:tr>
        <w:trPr>
          <w:trHeight w:val="190"/>
        </w:trPr>
        <w:tc>
          <w:tcPr>
            <w:tcW w:w="350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5"/>
                <w:szCs w:val="15"/>
                <w:color w:val="auto"/>
              </w:rPr>
              <w:t>Stock-based compensaton</w:t>
            </w:r>
          </w:p>
        </w:tc>
        <w:tc>
          <w:tcPr>
            <w:tcW w:w="140" w:type="dxa"/>
            <w:vAlign w:val="bottom"/>
            <w:tcBorders>
              <w:bottom w:val="single" w:sz="8" w:color="auto"/>
            </w:tcBorders>
            <w:shd w:val="clear" w:color="auto" w:fill="CFF0FC"/>
          </w:tcPr>
          <w:p>
            <w:pPr>
              <w:spacing w:after="0"/>
              <w:rPr>
                <w:sz w:val="16"/>
                <w:szCs w:val="16"/>
                <w:color w:val="auto"/>
              </w:rPr>
            </w:pPr>
          </w:p>
        </w:tc>
        <w:tc>
          <w:tcPr>
            <w:tcW w:w="600" w:type="dxa"/>
            <w:vAlign w:val="bottom"/>
            <w:tcBorders>
              <w:bottom w:val="single" w:sz="8" w:color="auto"/>
            </w:tcBorders>
            <w:shd w:val="clear" w:color="auto" w:fill="CFF0FC"/>
          </w:tcPr>
          <w:p>
            <w:pPr>
              <w:ind w:left="460"/>
              <w:spacing w:after="0"/>
              <w:rPr>
                <w:sz w:val="20"/>
                <w:szCs w:val="20"/>
                <w:color w:val="auto"/>
              </w:rPr>
            </w:pPr>
            <w:r>
              <w:rPr>
                <w:rFonts w:ascii="Calibri" w:cs="Calibri" w:eastAsia="Calibri" w:hAnsi="Calibri"/>
                <w:sz w:val="15"/>
                <w:szCs w:val="15"/>
                <w:color w:val="auto"/>
                <w:w w:val="88"/>
              </w:rPr>
              <w:t>—</w:t>
            </w:r>
          </w:p>
        </w:tc>
        <w:tc>
          <w:tcPr>
            <w:tcW w:w="2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5"/>
                <w:szCs w:val="15"/>
                <w:color w:val="auto"/>
              </w:rPr>
              <w:t>6</w:t>
            </w:r>
          </w:p>
        </w:tc>
        <w:tc>
          <w:tcPr>
            <w:tcW w:w="2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5"/>
                <w:szCs w:val="15"/>
                <w:color w:val="auto"/>
              </w:rPr>
              <w:t>—</w:t>
            </w:r>
          </w:p>
        </w:tc>
        <w:tc>
          <w:tcPr>
            <w:tcW w:w="2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5"/>
                <w:szCs w:val="15"/>
                <w:color w:val="auto"/>
              </w:rPr>
              <w:t>—</w:t>
            </w:r>
          </w:p>
        </w:tc>
        <w:tc>
          <w:tcPr>
            <w:tcW w:w="2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5"/>
                <w:szCs w:val="15"/>
                <w:color w:val="auto"/>
              </w:rPr>
              <w:t>—</w:t>
            </w:r>
          </w:p>
        </w:tc>
        <w:tc>
          <w:tcPr>
            <w:tcW w:w="20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5"/>
                <w:szCs w:val="15"/>
                <w:color w:val="auto"/>
              </w:rPr>
              <w:t>6</w:t>
            </w:r>
          </w:p>
        </w:tc>
        <w:tc>
          <w:tcPr>
            <w:tcW w:w="2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5"/>
                <w:szCs w:val="15"/>
                <w:color w:val="auto"/>
              </w:rPr>
              <w:t>—</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500" w:type="dxa"/>
            <w:vAlign w:val="bottom"/>
          </w:tcPr>
          <w:p>
            <w:pPr>
              <w:ind w:left="20"/>
              <w:spacing w:after="0"/>
              <w:rPr>
                <w:sz w:val="20"/>
                <w:szCs w:val="20"/>
                <w:color w:val="auto"/>
              </w:rPr>
            </w:pPr>
            <w:r>
              <w:rPr>
                <w:rFonts w:ascii="Calibri" w:cs="Calibri" w:eastAsia="Calibri" w:hAnsi="Calibri"/>
                <w:sz w:val="15"/>
                <w:szCs w:val="15"/>
                <w:color w:val="auto"/>
              </w:rPr>
              <w:t>Equity (defcit) as of December 31, 2024</w:t>
            </w:r>
          </w:p>
        </w:tc>
        <w:tc>
          <w:tcPr>
            <w:tcW w:w="140" w:type="dxa"/>
            <w:vAlign w:val="bottom"/>
          </w:tcPr>
          <w:p>
            <w:pPr>
              <w:jc w:val="right"/>
              <w:spacing w:after="0"/>
              <w:rPr>
                <w:sz w:val="20"/>
                <w:szCs w:val="20"/>
                <w:color w:val="auto"/>
              </w:rPr>
            </w:pPr>
            <w:r>
              <w:rPr>
                <w:rFonts w:ascii="Calibri" w:cs="Calibri" w:eastAsia="Calibri" w:hAnsi="Calibri"/>
                <w:sz w:val="15"/>
                <w:szCs w:val="15"/>
                <w:color w:val="auto"/>
              </w:rPr>
              <w:t>$</w:t>
            </w:r>
          </w:p>
        </w:tc>
        <w:tc>
          <w:tcPr>
            <w:tcW w:w="600" w:type="dxa"/>
            <w:vAlign w:val="bottom"/>
          </w:tcPr>
          <w:p>
            <w:pPr>
              <w:ind w:left="460"/>
              <w:spacing w:after="0"/>
              <w:rPr>
                <w:sz w:val="20"/>
                <w:szCs w:val="20"/>
                <w:color w:val="auto"/>
              </w:rPr>
            </w:pPr>
            <w:r>
              <w:rPr>
                <w:rFonts w:ascii="Calibri" w:cs="Calibri" w:eastAsia="Calibri" w:hAnsi="Calibri"/>
                <w:sz w:val="15"/>
                <w:szCs w:val="15"/>
                <w:color w:val="auto"/>
                <w:w w:val="88"/>
              </w:rPr>
              <w:t>—</w:t>
            </w:r>
          </w:p>
        </w:tc>
        <w:tc>
          <w:tcPr>
            <w:tcW w:w="320" w:type="dxa"/>
            <w:vAlign w:val="bottom"/>
            <w:gridSpan w:val="2"/>
          </w:tcPr>
          <w:p>
            <w:pPr>
              <w:jc w:val="right"/>
              <w:spacing w:after="0"/>
              <w:rPr>
                <w:sz w:val="20"/>
                <w:szCs w:val="20"/>
                <w:color w:val="auto"/>
              </w:rPr>
            </w:pPr>
            <w:r>
              <w:rPr>
                <w:rFonts w:ascii="Calibri" w:cs="Calibri" w:eastAsia="Calibri" w:hAnsi="Calibri"/>
                <w:sz w:val="15"/>
                <w:szCs w:val="15"/>
                <w:color w:val="auto"/>
              </w:rPr>
              <w:t>$</w:t>
            </w:r>
          </w:p>
        </w:tc>
        <w:tc>
          <w:tcPr>
            <w:tcW w:w="780" w:type="dxa"/>
            <w:vAlign w:val="bottom"/>
          </w:tcPr>
          <w:p>
            <w:pPr>
              <w:jc w:val="right"/>
              <w:spacing w:after="0"/>
              <w:rPr>
                <w:sz w:val="20"/>
                <w:szCs w:val="20"/>
                <w:color w:val="auto"/>
              </w:rPr>
            </w:pPr>
            <w:r>
              <w:rPr>
                <w:rFonts w:ascii="Calibri" w:cs="Calibri" w:eastAsia="Calibri" w:hAnsi="Calibri"/>
                <w:sz w:val="15"/>
                <w:szCs w:val="15"/>
                <w:color w:val="auto"/>
              </w:rPr>
              <w:t>1,150</w:t>
            </w:r>
          </w:p>
        </w:tc>
        <w:tc>
          <w:tcPr>
            <w:tcW w:w="2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Calibri" w:cs="Calibri" w:eastAsia="Calibri" w:hAnsi="Calibri"/>
                <w:sz w:val="15"/>
                <w:szCs w:val="15"/>
                <w:color w:val="auto"/>
                <w:w w:val="78"/>
              </w:rPr>
              <w:t>$</w:t>
            </w:r>
          </w:p>
        </w:tc>
        <w:tc>
          <w:tcPr>
            <w:tcW w:w="1140" w:type="dxa"/>
            <w:vAlign w:val="bottom"/>
            <w:gridSpan w:val="2"/>
          </w:tcPr>
          <w:p>
            <w:pPr>
              <w:jc w:val="right"/>
              <w:ind w:right="160"/>
              <w:spacing w:after="0"/>
              <w:rPr>
                <w:sz w:val="20"/>
                <w:szCs w:val="20"/>
                <w:color w:val="auto"/>
              </w:rPr>
            </w:pPr>
            <w:r>
              <w:rPr>
                <w:rFonts w:ascii="Calibri" w:cs="Calibri" w:eastAsia="Calibri" w:hAnsi="Calibri"/>
                <w:sz w:val="15"/>
                <w:szCs w:val="15"/>
                <w:color w:val="auto"/>
              </w:rPr>
              <w:t>(393 )</w:t>
            </w:r>
          </w:p>
        </w:tc>
        <w:tc>
          <w:tcPr>
            <w:tcW w:w="120" w:type="dxa"/>
            <w:vAlign w:val="bottom"/>
          </w:tcPr>
          <w:p>
            <w:pPr>
              <w:jc w:val="right"/>
              <w:spacing w:after="0"/>
              <w:rPr>
                <w:sz w:val="20"/>
                <w:szCs w:val="20"/>
                <w:color w:val="auto"/>
              </w:rPr>
            </w:pPr>
            <w:r>
              <w:rPr>
                <w:rFonts w:ascii="Calibri" w:cs="Calibri" w:eastAsia="Calibri" w:hAnsi="Calibri"/>
                <w:sz w:val="15"/>
                <w:szCs w:val="15"/>
                <w:color w:val="auto"/>
                <w:w w:val="78"/>
              </w:rPr>
              <w:t>$</w:t>
            </w:r>
          </w:p>
        </w:tc>
        <w:tc>
          <w:tcPr>
            <w:tcW w:w="1260" w:type="dxa"/>
            <w:vAlign w:val="bottom"/>
            <w:gridSpan w:val="2"/>
          </w:tcPr>
          <w:p>
            <w:pPr>
              <w:jc w:val="right"/>
              <w:ind w:right="160"/>
              <w:spacing w:after="0"/>
              <w:rPr>
                <w:sz w:val="20"/>
                <w:szCs w:val="20"/>
                <w:color w:val="auto"/>
              </w:rPr>
            </w:pPr>
            <w:r>
              <w:rPr>
                <w:rFonts w:ascii="Calibri" w:cs="Calibri" w:eastAsia="Calibri" w:hAnsi="Calibri"/>
                <w:sz w:val="15"/>
                <w:szCs w:val="15"/>
                <w:color w:val="auto"/>
              </w:rPr>
              <w:t>(104 )</w:t>
            </w:r>
          </w:p>
        </w:tc>
        <w:tc>
          <w:tcPr>
            <w:tcW w:w="100" w:type="dxa"/>
            <w:vAlign w:val="bottom"/>
          </w:tcPr>
          <w:p>
            <w:pPr>
              <w:jc w:val="right"/>
              <w:spacing w:after="0"/>
              <w:rPr>
                <w:sz w:val="20"/>
                <w:szCs w:val="20"/>
                <w:color w:val="auto"/>
              </w:rPr>
            </w:pPr>
            <w:r>
              <w:rPr>
                <w:rFonts w:ascii="Calibri" w:cs="Calibri" w:eastAsia="Calibri" w:hAnsi="Calibri"/>
                <w:sz w:val="15"/>
                <w:szCs w:val="15"/>
                <w:color w:val="auto"/>
                <w:w w:val="78"/>
              </w:rPr>
              <w:t>$</w:t>
            </w:r>
          </w:p>
        </w:tc>
        <w:tc>
          <w:tcPr>
            <w:tcW w:w="860" w:type="dxa"/>
            <w:vAlign w:val="bottom"/>
            <w:gridSpan w:val="2"/>
          </w:tcPr>
          <w:p>
            <w:pPr>
              <w:jc w:val="right"/>
              <w:ind w:right="140"/>
              <w:spacing w:after="0"/>
              <w:rPr>
                <w:sz w:val="20"/>
                <w:szCs w:val="20"/>
                <w:color w:val="auto"/>
              </w:rPr>
            </w:pPr>
            <w:r>
              <w:rPr>
                <w:rFonts w:ascii="Calibri" w:cs="Calibri" w:eastAsia="Calibri" w:hAnsi="Calibri"/>
                <w:sz w:val="15"/>
                <w:szCs w:val="15"/>
                <w:color w:val="auto"/>
              </w:rPr>
              <w:t>(12 )</w:t>
            </w:r>
          </w:p>
        </w:tc>
        <w:tc>
          <w:tcPr>
            <w:tcW w:w="160" w:type="dxa"/>
            <w:vAlign w:val="bottom"/>
          </w:tcPr>
          <w:p>
            <w:pPr>
              <w:jc w:val="right"/>
              <w:spacing w:after="0"/>
              <w:rPr>
                <w:sz w:val="20"/>
                <w:szCs w:val="20"/>
                <w:color w:val="auto"/>
              </w:rPr>
            </w:pPr>
            <w:r>
              <w:rPr>
                <w:rFonts w:ascii="Calibri" w:cs="Calibri" w:eastAsia="Calibri" w:hAnsi="Calibri"/>
                <w:sz w:val="15"/>
                <w:szCs w:val="15"/>
                <w:color w:val="auto"/>
              </w:rPr>
              <w:t>$</w:t>
            </w:r>
          </w:p>
        </w:tc>
        <w:tc>
          <w:tcPr>
            <w:tcW w:w="600" w:type="dxa"/>
            <w:vAlign w:val="bottom"/>
          </w:tcPr>
          <w:p>
            <w:pPr>
              <w:jc w:val="right"/>
              <w:spacing w:after="0"/>
              <w:rPr>
                <w:sz w:val="20"/>
                <w:szCs w:val="20"/>
                <w:color w:val="auto"/>
              </w:rPr>
            </w:pPr>
            <w:r>
              <w:rPr>
                <w:rFonts w:ascii="Calibri" w:cs="Calibri" w:eastAsia="Calibri" w:hAnsi="Calibri"/>
                <w:sz w:val="15"/>
                <w:szCs w:val="15"/>
                <w:color w:val="auto"/>
              </w:rPr>
              <w:t>641</w:t>
            </w:r>
          </w:p>
        </w:tc>
        <w:tc>
          <w:tcPr>
            <w:tcW w:w="2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Calibri" w:cs="Calibri" w:eastAsia="Calibri" w:hAnsi="Calibri"/>
                <w:sz w:val="15"/>
                <w:szCs w:val="15"/>
                <w:color w:val="auto"/>
              </w:rPr>
              <w:t>$</w:t>
            </w:r>
          </w:p>
        </w:tc>
        <w:tc>
          <w:tcPr>
            <w:tcW w:w="920" w:type="dxa"/>
            <w:vAlign w:val="bottom"/>
          </w:tcPr>
          <w:p>
            <w:pPr>
              <w:jc w:val="right"/>
              <w:spacing w:after="0"/>
              <w:rPr>
                <w:sz w:val="20"/>
                <w:szCs w:val="20"/>
                <w:color w:val="auto"/>
              </w:rPr>
            </w:pPr>
            <w:r>
              <w:rPr>
                <w:rFonts w:ascii="Calibri" w:cs="Calibri" w:eastAsia="Calibri" w:hAnsi="Calibri"/>
                <w:sz w:val="15"/>
                <w:szCs w:val="15"/>
                <w:color w:val="auto"/>
              </w:rPr>
              <w:t>218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-2939415</wp:posOffset>
            </wp:positionV>
            <wp:extent cx="7132320" cy="1200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-513715</wp:posOffset>
            </wp:positionV>
            <wp:extent cx="7132320" cy="1200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-1490980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-1490980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-1490980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-1490980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-1490980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-1490980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-1490980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-153670</wp:posOffset>
            </wp:positionV>
            <wp:extent cx="685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-153670</wp:posOffset>
            </wp:positionV>
            <wp:extent cx="685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-153670</wp:posOffset>
            </wp:positionV>
            <wp:extent cx="685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-153670</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-153670</wp:posOffset>
            </wp:positionV>
            <wp:extent cx="685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-153670</wp:posOffset>
            </wp:positionV>
            <wp:extent cx="685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0" w:lineRule="exact"/>
        <w:rPr>
          <w:sz w:val="20"/>
          <w:szCs w:val="20"/>
          <w:color w:val="auto"/>
        </w:rPr>
      </w:pPr>
    </w:p>
    <w:p>
      <w:pPr>
        <w:ind w:left="280" w:right="200" w:hanging="272"/>
        <w:spacing w:after="0" w:line="201" w:lineRule="auto"/>
        <w:tabs>
          <w:tab w:leader="none" w:pos="280" w:val="left"/>
        </w:tabs>
        <w:numPr>
          <w:ilvl w:val="0"/>
          <w:numId w:val="34"/>
        </w:numPr>
        <w:rPr>
          <w:rFonts w:ascii="Calibri" w:cs="Calibri" w:eastAsia="Calibri" w:hAnsi="Calibri"/>
          <w:sz w:val="24"/>
          <w:szCs w:val="24"/>
          <w:color w:val="auto"/>
          <w:vertAlign w:val="superscript"/>
        </w:rPr>
      </w:pPr>
      <w:r>
        <w:rPr>
          <w:rFonts w:ascii="Calibri" w:cs="Calibri" w:eastAsia="Calibri" w:hAnsi="Calibri"/>
          <w:sz w:val="18"/>
          <w:szCs w:val="18"/>
          <w:color w:val="auto"/>
        </w:rPr>
        <w:t>There are 60 million shares of no-par value preferred stock authorized, 2.2 million of which were issued and outstanding at December 31, 2024 and 2.1 million of which were issued and outstanding at both December 31, 2023 and 2022.</w:t>
      </w:r>
    </w:p>
    <w:p>
      <w:pPr>
        <w:spacing w:after="0" w:line="1" w:lineRule="exact"/>
        <w:rPr>
          <w:rFonts w:ascii="Calibri" w:cs="Calibri" w:eastAsia="Calibri" w:hAnsi="Calibri"/>
          <w:sz w:val="24"/>
          <w:szCs w:val="24"/>
          <w:color w:val="auto"/>
          <w:vertAlign w:val="superscript"/>
        </w:rPr>
      </w:pPr>
    </w:p>
    <w:p>
      <w:pPr>
        <w:ind w:left="280" w:hanging="272"/>
        <w:spacing w:after="0" w:line="184" w:lineRule="auto"/>
        <w:tabs>
          <w:tab w:leader="none" w:pos="280" w:val="left"/>
        </w:tabs>
        <w:numPr>
          <w:ilvl w:val="0"/>
          <w:numId w:val="34"/>
        </w:numPr>
        <w:rPr>
          <w:rFonts w:ascii="Calibri" w:cs="Calibri" w:eastAsia="Calibri" w:hAnsi="Calibri"/>
          <w:sz w:val="23"/>
          <w:szCs w:val="23"/>
          <w:color w:val="auto"/>
          <w:vertAlign w:val="superscript"/>
        </w:rPr>
      </w:pPr>
      <w:r>
        <w:rPr>
          <w:rFonts w:ascii="Calibri" w:cs="Calibri" w:eastAsia="Calibri" w:hAnsi="Calibri"/>
          <w:sz w:val="17"/>
          <w:szCs w:val="17"/>
          <w:color w:val="auto"/>
        </w:rPr>
        <w:t>Represents purchases of common stock to satsfy tax withholding obligatons.</w:t>
      </w:r>
    </w:p>
    <w:p>
      <w:pPr>
        <w:spacing w:after="0" w:line="173" w:lineRule="exact"/>
        <w:rPr>
          <w:sz w:val="20"/>
          <w:szCs w:val="20"/>
          <w:color w:val="auto"/>
        </w:rPr>
      </w:pPr>
    </w:p>
    <w:p>
      <w:pPr>
        <w:spacing w:after="0"/>
        <w:rPr>
          <w:sz w:val="20"/>
          <w:szCs w:val="20"/>
          <w:color w:val="auto"/>
        </w:rPr>
      </w:pPr>
      <w:r>
        <w:rPr>
          <w:rFonts w:ascii="Calibri" w:cs="Calibri" w:eastAsia="Calibri" w:hAnsi="Calibri"/>
          <w:sz w:val="18"/>
          <w:szCs w:val="18"/>
          <w:color w:val="auto"/>
        </w:rPr>
        <w:t>The accompanying notes are an integral part of these consolidated fnancial statements.</w:t>
      </w:r>
    </w:p>
    <w:p>
      <w:pPr>
        <w:spacing w:after="0" w:line="388"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8" w:name="page59"/>
    <w:bookmarkEnd w:id="58"/>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EASTMAN KODAK COMPANY</w:t>
      </w:r>
    </w:p>
    <w:p>
      <w:pPr>
        <w:spacing w:after="0" w:line="235" w:lineRule="auto"/>
        <w:rPr>
          <w:sz w:val="20"/>
          <w:szCs w:val="20"/>
          <w:color w:val="auto"/>
        </w:rPr>
      </w:pPr>
      <w:r>
        <w:rPr>
          <w:rFonts w:ascii="Calibri" w:cs="Calibri" w:eastAsia="Calibri" w:hAnsi="Calibri"/>
          <w:sz w:val="18"/>
          <w:szCs w:val="18"/>
          <w:b w:val="1"/>
          <w:bCs w:val="1"/>
          <w:color w:val="auto"/>
        </w:rPr>
        <w:t>CONSOLIDATED STATEMENT OF CASH FLOW</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20" w:type="dxa"/>
            <w:vAlign w:val="bottom"/>
            <w:gridSpan w:val="4"/>
          </w:tcPr>
          <w:p>
            <w:pPr>
              <w:jc w:val="right"/>
              <w:ind w:right="40"/>
              <w:spacing w:after="0"/>
              <w:rPr>
                <w:sz w:val="20"/>
                <w:szCs w:val="20"/>
                <w:color w:val="auto"/>
              </w:rPr>
            </w:pPr>
            <w:r>
              <w:rPr>
                <w:rFonts w:ascii="Calibri" w:cs="Calibri" w:eastAsia="Calibri" w:hAnsi="Calibri"/>
                <w:sz w:val="16"/>
                <w:szCs w:val="16"/>
                <w:b w:val="1"/>
                <w:bCs w:val="1"/>
                <w:color w:val="auto"/>
              </w:rPr>
              <w:t>Year Ended December 31,</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6640" w:type="dxa"/>
            <w:vAlign w:val="bottom"/>
            <w:vMerge w:val="restart"/>
          </w:tcPr>
          <w:p>
            <w:pPr>
              <w:ind w:left="20"/>
              <w:spacing w:after="0"/>
              <w:rPr>
                <w:sz w:val="20"/>
                <w:szCs w:val="20"/>
                <w:color w:val="auto"/>
              </w:rPr>
            </w:pPr>
            <w:r>
              <w:rPr>
                <w:rFonts w:ascii="Calibri" w:cs="Calibri" w:eastAsia="Calibri" w:hAnsi="Calibri"/>
                <w:sz w:val="14"/>
                <w:szCs w:val="14"/>
                <w:color w:val="auto"/>
              </w:rPr>
              <w:t>(in millions)</w:t>
            </w: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6640" w:type="dxa"/>
            <w:vAlign w:val="bottom"/>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9"/>
              <w:spacing w:after="0" w:line="192" w:lineRule="exact"/>
              <w:rPr>
                <w:sz w:val="20"/>
                <w:szCs w:val="20"/>
                <w:color w:val="auto"/>
              </w:rPr>
            </w:pPr>
            <w:r>
              <w:rPr>
                <w:rFonts w:ascii="Calibri" w:cs="Calibri" w:eastAsia="Calibri" w:hAnsi="Calibri"/>
                <w:sz w:val="16"/>
                <w:szCs w:val="16"/>
                <w:b w:val="1"/>
                <w:bCs w:val="1"/>
                <w:color w:val="auto"/>
              </w:rPr>
              <w:t>2024</w:t>
            </w: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9"/>
              <w:spacing w:after="0" w:line="192" w:lineRule="exact"/>
              <w:rPr>
                <w:sz w:val="20"/>
                <w:szCs w:val="20"/>
                <w:color w:val="auto"/>
              </w:rPr>
            </w:pPr>
            <w:r>
              <w:rPr>
                <w:rFonts w:ascii="Calibri" w:cs="Calibri" w:eastAsia="Calibri" w:hAnsi="Calibri"/>
                <w:sz w:val="16"/>
                <w:szCs w:val="16"/>
                <w:b w:val="1"/>
                <w:bCs w:val="1"/>
                <w:color w:val="auto"/>
              </w:rPr>
              <w:t>2023</w:t>
            </w: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9"/>
              <w:spacing w:after="0" w:line="192" w:lineRule="exact"/>
              <w:rPr>
                <w:sz w:val="20"/>
                <w:szCs w:val="20"/>
                <w:color w:val="auto"/>
              </w:rPr>
            </w:pPr>
            <w:r>
              <w:rPr>
                <w:rFonts w:ascii="Calibri" w:cs="Calibri" w:eastAsia="Calibri" w:hAnsi="Calibri"/>
                <w:sz w:val="16"/>
                <w:szCs w:val="16"/>
                <w:b w:val="1"/>
                <w:bCs w:val="1"/>
                <w:color w:val="auto"/>
              </w:rPr>
              <w:t>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6640" w:type="dxa"/>
            <w:vAlign w:val="bottom"/>
            <w:shd w:val="clear" w:color="auto" w:fill="CFF0FC"/>
          </w:tcPr>
          <w:p>
            <w:pPr>
              <w:ind w:left="20"/>
              <w:spacing w:after="0" w:line="193" w:lineRule="exact"/>
              <w:rPr>
                <w:sz w:val="20"/>
                <w:szCs w:val="20"/>
                <w:color w:val="auto"/>
              </w:rPr>
            </w:pPr>
            <w:r>
              <w:rPr>
                <w:rFonts w:ascii="Calibri" w:cs="Calibri" w:eastAsia="Calibri" w:hAnsi="Calibri"/>
                <w:sz w:val="16"/>
                <w:szCs w:val="16"/>
                <w:color w:val="auto"/>
              </w:rPr>
              <w:t>Cash fows from operatng actvites:</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640" w:type="dxa"/>
            <w:vAlign w:val="bottom"/>
          </w:tcPr>
          <w:p>
            <w:pPr>
              <w:ind w:left="20"/>
              <w:spacing w:after="0" w:line="193" w:lineRule="exact"/>
              <w:rPr>
                <w:sz w:val="20"/>
                <w:szCs w:val="20"/>
                <w:color w:val="auto"/>
              </w:rPr>
            </w:pPr>
            <w:r>
              <w:rPr>
                <w:rFonts w:ascii="Calibri" w:cs="Calibri" w:eastAsia="Calibri" w:hAnsi="Calibri"/>
                <w:sz w:val="16"/>
                <w:szCs w:val="16"/>
                <w:color w:val="auto"/>
              </w:rPr>
              <w:t>Net earnings</w:t>
            </w:r>
          </w:p>
        </w:tc>
        <w:tc>
          <w:tcPr>
            <w:tcW w:w="300" w:type="dxa"/>
            <w:vAlign w:val="bottom"/>
          </w:tcPr>
          <w:p>
            <w:pPr>
              <w:jc w:val="right"/>
              <w:ind w:right="119"/>
              <w:spacing w:after="0" w:line="193" w:lineRule="exact"/>
              <w:rPr>
                <w:sz w:val="20"/>
                <w:szCs w:val="20"/>
                <w:color w:val="auto"/>
              </w:rPr>
            </w:pPr>
            <w:r>
              <w:rPr>
                <w:rFonts w:ascii="Calibri" w:cs="Calibri" w:eastAsia="Calibri" w:hAnsi="Calibri"/>
                <w:sz w:val="16"/>
                <w:szCs w:val="16"/>
                <w:color w:val="auto"/>
                <w:w w:val="97"/>
              </w:rPr>
              <w:t>$</w:t>
            </w:r>
          </w:p>
        </w:tc>
        <w:tc>
          <w:tcPr>
            <w:tcW w:w="1040" w:type="dxa"/>
            <w:vAlign w:val="bottom"/>
          </w:tcPr>
          <w:p>
            <w:pPr>
              <w:jc w:val="right"/>
              <w:spacing w:after="0" w:line="193" w:lineRule="exact"/>
              <w:rPr>
                <w:sz w:val="20"/>
                <w:szCs w:val="20"/>
                <w:color w:val="auto"/>
              </w:rPr>
            </w:pPr>
            <w:r>
              <w:rPr>
                <w:rFonts w:ascii="Calibri" w:cs="Calibri" w:eastAsia="Calibri" w:hAnsi="Calibri"/>
                <w:sz w:val="16"/>
                <w:szCs w:val="16"/>
                <w:color w:val="auto"/>
              </w:rPr>
              <w:t>102</w:t>
            </w:r>
          </w:p>
        </w:tc>
        <w:tc>
          <w:tcPr>
            <w:tcW w:w="240" w:type="dxa"/>
            <w:vAlign w:val="bottom"/>
          </w:tcPr>
          <w:p>
            <w:pPr>
              <w:spacing w:after="0"/>
              <w:rPr>
                <w:sz w:val="17"/>
                <w:szCs w:val="17"/>
                <w:color w:val="auto"/>
              </w:rPr>
            </w:pPr>
          </w:p>
        </w:tc>
        <w:tc>
          <w:tcPr>
            <w:tcW w:w="300" w:type="dxa"/>
            <w:vAlign w:val="bottom"/>
          </w:tcPr>
          <w:p>
            <w:pPr>
              <w:jc w:val="right"/>
              <w:ind w:right="119"/>
              <w:spacing w:after="0" w:line="193" w:lineRule="exact"/>
              <w:rPr>
                <w:sz w:val="20"/>
                <w:szCs w:val="20"/>
                <w:color w:val="auto"/>
              </w:rPr>
            </w:pPr>
            <w:r>
              <w:rPr>
                <w:rFonts w:ascii="Calibri" w:cs="Calibri" w:eastAsia="Calibri" w:hAnsi="Calibri"/>
                <w:sz w:val="16"/>
                <w:szCs w:val="16"/>
                <w:color w:val="auto"/>
                <w:w w:val="97"/>
              </w:rPr>
              <w:t>$</w:t>
            </w:r>
          </w:p>
        </w:tc>
        <w:tc>
          <w:tcPr>
            <w:tcW w:w="1040" w:type="dxa"/>
            <w:vAlign w:val="bottom"/>
          </w:tcPr>
          <w:p>
            <w:pPr>
              <w:jc w:val="right"/>
              <w:spacing w:after="0" w:line="193" w:lineRule="exact"/>
              <w:rPr>
                <w:sz w:val="20"/>
                <w:szCs w:val="20"/>
                <w:color w:val="auto"/>
              </w:rPr>
            </w:pPr>
            <w:r>
              <w:rPr>
                <w:rFonts w:ascii="Calibri" w:cs="Calibri" w:eastAsia="Calibri" w:hAnsi="Calibri"/>
                <w:sz w:val="16"/>
                <w:szCs w:val="16"/>
                <w:color w:val="auto"/>
              </w:rPr>
              <w:t>75</w:t>
            </w:r>
          </w:p>
        </w:tc>
        <w:tc>
          <w:tcPr>
            <w:tcW w:w="240" w:type="dxa"/>
            <w:vAlign w:val="bottom"/>
          </w:tcPr>
          <w:p>
            <w:pPr>
              <w:spacing w:after="0"/>
              <w:rPr>
                <w:sz w:val="17"/>
                <w:szCs w:val="17"/>
                <w:color w:val="auto"/>
              </w:rPr>
            </w:pPr>
          </w:p>
        </w:tc>
        <w:tc>
          <w:tcPr>
            <w:tcW w:w="300" w:type="dxa"/>
            <w:vAlign w:val="bottom"/>
          </w:tcPr>
          <w:p>
            <w:pPr>
              <w:jc w:val="right"/>
              <w:ind w:right="119"/>
              <w:spacing w:after="0" w:line="193" w:lineRule="exact"/>
              <w:rPr>
                <w:sz w:val="20"/>
                <w:szCs w:val="20"/>
                <w:color w:val="auto"/>
              </w:rPr>
            </w:pPr>
            <w:r>
              <w:rPr>
                <w:rFonts w:ascii="Calibri" w:cs="Calibri" w:eastAsia="Calibri" w:hAnsi="Calibri"/>
                <w:sz w:val="16"/>
                <w:szCs w:val="16"/>
                <w:color w:val="auto"/>
                <w:w w:val="97"/>
              </w:rPr>
              <w:t>$</w:t>
            </w:r>
          </w:p>
        </w:tc>
        <w:tc>
          <w:tcPr>
            <w:tcW w:w="1040" w:type="dxa"/>
            <w:vAlign w:val="bottom"/>
          </w:tcPr>
          <w:p>
            <w:pPr>
              <w:jc w:val="right"/>
              <w:spacing w:after="0" w:line="193" w:lineRule="exact"/>
              <w:rPr>
                <w:sz w:val="20"/>
                <w:szCs w:val="20"/>
                <w:color w:val="auto"/>
              </w:rPr>
            </w:pPr>
            <w:r>
              <w:rPr>
                <w:rFonts w:ascii="Calibri" w:cs="Calibri" w:eastAsia="Calibri" w:hAnsi="Calibri"/>
                <w:sz w:val="16"/>
                <w:szCs w:val="16"/>
                <w:color w:val="auto"/>
              </w:rPr>
              <w:t>26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640" w:type="dxa"/>
            <w:vAlign w:val="bottom"/>
            <w:shd w:val="clear" w:color="auto" w:fill="CFF0FC"/>
          </w:tcPr>
          <w:p>
            <w:pPr>
              <w:ind w:left="20"/>
              <w:spacing w:after="0"/>
              <w:rPr>
                <w:sz w:val="20"/>
                <w:szCs w:val="20"/>
                <w:color w:val="auto"/>
              </w:rPr>
            </w:pPr>
            <w:r>
              <w:rPr>
                <w:rFonts w:ascii="Calibri" w:cs="Calibri" w:eastAsia="Calibri" w:hAnsi="Calibri"/>
                <w:sz w:val="16"/>
                <w:szCs w:val="16"/>
                <w:color w:val="auto"/>
              </w:rPr>
              <w:t>Adjustments to reconcile to net cash (used in) provided by operatng actvites:</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640" w:type="dxa"/>
            <w:vAlign w:val="bottom"/>
          </w:tcPr>
          <w:p>
            <w:pPr>
              <w:ind w:left="200"/>
              <w:spacing w:after="0" w:line="193" w:lineRule="exact"/>
              <w:rPr>
                <w:sz w:val="20"/>
                <w:szCs w:val="20"/>
                <w:color w:val="auto"/>
              </w:rPr>
            </w:pPr>
            <w:r>
              <w:rPr>
                <w:rFonts w:ascii="Calibri" w:cs="Calibri" w:eastAsia="Calibri" w:hAnsi="Calibri"/>
                <w:sz w:val="16"/>
                <w:szCs w:val="16"/>
                <w:color w:val="auto"/>
              </w:rPr>
              <w:t>Depreciaton and amortzaton</w:t>
            </w:r>
          </w:p>
        </w:tc>
        <w:tc>
          <w:tcPr>
            <w:tcW w:w="300" w:type="dxa"/>
            <w:vAlign w:val="bottom"/>
          </w:tcPr>
          <w:p>
            <w:pPr>
              <w:spacing w:after="0"/>
              <w:rPr>
                <w:sz w:val="17"/>
                <w:szCs w:val="17"/>
                <w:color w:val="auto"/>
              </w:rPr>
            </w:pPr>
          </w:p>
        </w:tc>
        <w:tc>
          <w:tcPr>
            <w:tcW w:w="1040" w:type="dxa"/>
            <w:vAlign w:val="bottom"/>
          </w:tcPr>
          <w:p>
            <w:pPr>
              <w:jc w:val="right"/>
              <w:spacing w:after="0" w:line="193" w:lineRule="exact"/>
              <w:rPr>
                <w:sz w:val="20"/>
                <w:szCs w:val="20"/>
                <w:color w:val="auto"/>
              </w:rPr>
            </w:pPr>
            <w:r>
              <w:rPr>
                <w:rFonts w:ascii="Calibri" w:cs="Calibri" w:eastAsia="Calibri" w:hAnsi="Calibri"/>
                <w:sz w:val="16"/>
                <w:szCs w:val="16"/>
                <w:color w:val="auto"/>
              </w:rPr>
              <w:t>28</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line="193" w:lineRule="exact"/>
              <w:rPr>
                <w:sz w:val="20"/>
                <w:szCs w:val="20"/>
                <w:color w:val="auto"/>
              </w:rPr>
            </w:pPr>
            <w:r>
              <w:rPr>
                <w:rFonts w:ascii="Calibri" w:cs="Calibri" w:eastAsia="Calibri" w:hAnsi="Calibri"/>
                <w:sz w:val="16"/>
                <w:szCs w:val="16"/>
                <w:color w:val="auto"/>
              </w:rPr>
              <w:t>30</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line="193" w:lineRule="exact"/>
              <w:rPr>
                <w:sz w:val="20"/>
                <w:szCs w:val="20"/>
                <w:color w:val="auto"/>
              </w:rPr>
            </w:pPr>
            <w:r>
              <w:rPr>
                <w:rFonts w:ascii="Calibri" w:cs="Calibri" w:eastAsia="Calibri" w:hAnsi="Calibri"/>
                <w:sz w:val="16"/>
                <w:szCs w:val="16"/>
                <w:color w:val="auto"/>
              </w:rPr>
              <w:t>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640" w:type="dxa"/>
            <w:vAlign w:val="bottom"/>
            <w:shd w:val="clear" w:color="auto" w:fill="CFF0FC"/>
          </w:tcPr>
          <w:p>
            <w:pPr>
              <w:ind w:left="200"/>
              <w:spacing w:after="0"/>
              <w:rPr>
                <w:sz w:val="20"/>
                <w:szCs w:val="20"/>
                <w:color w:val="auto"/>
              </w:rPr>
            </w:pPr>
            <w:r>
              <w:rPr>
                <w:rFonts w:ascii="Calibri" w:cs="Calibri" w:eastAsia="Calibri" w:hAnsi="Calibri"/>
                <w:sz w:val="16"/>
                <w:szCs w:val="16"/>
                <w:color w:val="auto"/>
              </w:rPr>
              <w:t>Pension and other postretrement income</w:t>
            </w: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99"/>
              <w:spacing w:after="0"/>
              <w:rPr>
                <w:sz w:val="20"/>
                <w:szCs w:val="20"/>
                <w:color w:val="auto"/>
              </w:rPr>
            </w:pPr>
            <w:r>
              <w:rPr>
                <w:rFonts w:ascii="Calibri" w:cs="Calibri" w:eastAsia="Calibri" w:hAnsi="Calibri"/>
                <w:sz w:val="16"/>
                <w:szCs w:val="16"/>
                <w:color w:val="auto"/>
              </w:rPr>
              <w:t>(155 )</w:t>
            </w: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Calibri" w:cs="Calibri" w:eastAsia="Calibri" w:hAnsi="Calibri"/>
                <w:sz w:val="16"/>
                <w:szCs w:val="16"/>
                <w:color w:val="auto"/>
              </w:rPr>
              <w:t>(145 )</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Calibri" w:cs="Calibri" w:eastAsia="Calibri" w:hAnsi="Calibri"/>
                <w:sz w:val="16"/>
                <w:szCs w:val="16"/>
                <w:color w:val="auto"/>
              </w:rPr>
              <w:t>(77 )</w:t>
            </w:r>
          </w:p>
        </w:tc>
        <w:tc>
          <w:tcPr>
            <w:tcW w:w="0" w:type="dxa"/>
            <w:vAlign w:val="bottom"/>
          </w:tcPr>
          <w:p>
            <w:pPr>
              <w:spacing w:after="0"/>
              <w:rPr>
                <w:sz w:val="1"/>
                <w:szCs w:val="1"/>
                <w:color w:val="auto"/>
              </w:rPr>
            </w:pPr>
          </w:p>
        </w:tc>
      </w:tr>
      <w:tr>
        <w:trPr>
          <w:trHeight w:val="184"/>
        </w:trPr>
        <w:tc>
          <w:tcPr>
            <w:tcW w:w="6640" w:type="dxa"/>
            <w:vAlign w:val="bottom"/>
          </w:tcPr>
          <w:p>
            <w:pPr>
              <w:ind w:left="200"/>
              <w:spacing w:after="0" w:line="184" w:lineRule="exact"/>
              <w:rPr>
                <w:sz w:val="20"/>
                <w:szCs w:val="20"/>
                <w:color w:val="auto"/>
              </w:rPr>
            </w:pPr>
            <w:r>
              <w:rPr>
                <w:rFonts w:ascii="Calibri" w:cs="Calibri" w:eastAsia="Calibri" w:hAnsi="Calibri"/>
                <w:sz w:val="16"/>
                <w:szCs w:val="16"/>
                <w:color w:val="auto"/>
              </w:rPr>
              <w:t>Change in fair value of the Preferred Stock and Convertble Notes embedded</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640" w:type="dxa"/>
            <w:vAlign w:val="bottom"/>
          </w:tcPr>
          <w:p>
            <w:pPr>
              <w:ind w:left="320"/>
              <w:spacing w:after="0" w:line="193" w:lineRule="exact"/>
              <w:rPr>
                <w:sz w:val="20"/>
                <w:szCs w:val="20"/>
                <w:color w:val="auto"/>
              </w:rPr>
            </w:pPr>
            <w:r>
              <w:rPr>
                <w:rFonts w:ascii="Calibri" w:cs="Calibri" w:eastAsia="Calibri" w:hAnsi="Calibri"/>
                <w:sz w:val="16"/>
                <w:szCs w:val="16"/>
                <w:color w:val="auto"/>
              </w:rPr>
              <w:t>derivatves</w:t>
            </w:r>
          </w:p>
        </w:tc>
        <w:tc>
          <w:tcPr>
            <w:tcW w:w="300" w:type="dxa"/>
            <w:vAlign w:val="bottom"/>
          </w:tcPr>
          <w:p>
            <w:pPr>
              <w:spacing w:after="0"/>
              <w:rPr>
                <w:sz w:val="16"/>
                <w:szCs w:val="16"/>
                <w:color w:val="auto"/>
              </w:rPr>
            </w:pPr>
          </w:p>
        </w:tc>
        <w:tc>
          <w:tcPr>
            <w:tcW w:w="1280" w:type="dxa"/>
            <w:vAlign w:val="bottom"/>
            <w:gridSpan w:val="2"/>
          </w:tcPr>
          <w:p>
            <w:pPr>
              <w:jc w:val="right"/>
              <w:ind w:right="179"/>
              <w:spacing w:after="0" w:line="193" w:lineRule="exact"/>
              <w:rPr>
                <w:sz w:val="20"/>
                <w:szCs w:val="20"/>
                <w:color w:val="auto"/>
              </w:rPr>
            </w:pPr>
            <w:r>
              <w:rPr>
                <w:rFonts w:ascii="Calibri" w:cs="Calibri" w:eastAsia="Calibri" w:hAnsi="Calibri"/>
                <w:sz w:val="16"/>
                <w:szCs w:val="16"/>
                <w:color w:val="auto"/>
              </w:rPr>
              <w:t>—</w:t>
            </w:r>
          </w:p>
        </w:tc>
        <w:tc>
          <w:tcPr>
            <w:tcW w:w="300" w:type="dxa"/>
            <w:vAlign w:val="bottom"/>
          </w:tcPr>
          <w:p>
            <w:pPr>
              <w:spacing w:after="0"/>
              <w:rPr>
                <w:sz w:val="16"/>
                <w:szCs w:val="16"/>
                <w:color w:val="auto"/>
              </w:rPr>
            </w:pPr>
          </w:p>
        </w:tc>
        <w:tc>
          <w:tcPr>
            <w:tcW w:w="1040" w:type="dxa"/>
            <w:vAlign w:val="bottom"/>
          </w:tcPr>
          <w:p>
            <w:pPr>
              <w:jc w:val="right"/>
              <w:spacing w:after="0" w:line="193" w:lineRule="exact"/>
              <w:rPr>
                <w:sz w:val="20"/>
                <w:szCs w:val="20"/>
                <w:color w:val="auto"/>
              </w:rPr>
            </w:pPr>
            <w:r>
              <w:rPr>
                <w:rFonts w:ascii="Calibri" w:cs="Calibri" w:eastAsia="Calibri" w:hAnsi="Calibri"/>
                <w:sz w:val="16"/>
                <w:szCs w:val="16"/>
                <w:color w:val="auto"/>
              </w:rPr>
              <w:t>2</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gridSpan w:val="2"/>
          </w:tcPr>
          <w:p>
            <w:pPr>
              <w:jc w:val="right"/>
              <w:ind w:right="40"/>
              <w:spacing w:after="0" w:line="193" w:lineRule="exact"/>
              <w:rPr>
                <w:sz w:val="20"/>
                <w:szCs w:val="20"/>
                <w:color w:val="auto"/>
              </w:rPr>
            </w:pPr>
            <w:r>
              <w:rPr>
                <w:rFonts w:ascii="Calibri" w:cs="Calibri" w:eastAsia="Calibri" w:hAnsi="Calibri"/>
                <w:sz w:val="16"/>
                <w:szCs w:val="16"/>
                <w:color w:val="auto"/>
              </w:rPr>
              <w:t>(3 )</w:t>
            </w:r>
          </w:p>
        </w:tc>
        <w:tc>
          <w:tcPr>
            <w:tcW w:w="0" w:type="dxa"/>
            <w:vAlign w:val="bottom"/>
          </w:tcPr>
          <w:p>
            <w:pPr>
              <w:spacing w:after="0"/>
              <w:rPr>
                <w:sz w:val="1"/>
                <w:szCs w:val="1"/>
                <w:color w:val="auto"/>
              </w:rPr>
            </w:pPr>
          </w:p>
        </w:tc>
      </w:tr>
      <w:tr>
        <w:trPr>
          <w:trHeight w:val="28"/>
        </w:trPr>
        <w:tc>
          <w:tcPr>
            <w:tcW w:w="6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640" w:type="dxa"/>
            <w:vAlign w:val="bottom"/>
            <w:shd w:val="clear" w:color="auto" w:fill="CFF0FC"/>
          </w:tcPr>
          <w:p>
            <w:pPr>
              <w:ind w:left="200"/>
              <w:spacing w:after="0" w:line="193" w:lineRule="exact"/>
              <w:rPr>
                <w:sz w:val="20"/>
                <w:szCs w:val="20"/>
                <w:color w:val="auto"/>
              </w:rPr>
            </w:pPr>
            <w:r>
              <w:rPr>
                <w:rFonts w:ascii="Calibri" w:cs="Calibri" w:eastAsia="Calibri" w:hAnsi="Calibri"/>
                <w:sz w:val="16"/>
                <w:szCs w:val="16"/>
                <w:color w:val="auto"/>
              </w:rPr>
              <w:t>Asset impairments</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4</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5</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640" w:type="dxa"/>
            <w:vAlign w:val="bottom"/>
          </w:tcPr>
          <w:p>
            <w:pPr>
              <w:ind w:left="200"/>
              <w:spacing w:after="0" w:line="193" w:lineRule="exact"/>
              <w:rPr>
                <w:sz w:val="20"/>
                <w:szCs w:val="20"/>
                <w:color w:val="auto"/>
              </w:rPr>
            </w:pPr>
            <w:r>
              <w:rPr>
                <w:rFonts w:ascii="Calibri" w:cs="Calibri" w:eastAsia="Calibri" w:hAnsi="Calibri"/>
                <w:sz w:val="16"/>
                <w:szCs w:val="16"/>
                <w:color w:val="auto"/>
              </w:rPr>
              <w:t>Stock based compensaton</w:t>
            </w:r>
          </w:p>
        </w:tc>
        <w:tc>
          <w:tcPr>
            <w:tcW w:w="300" w:type="dxa"/>
            <w:vAlign w:val="bottom"/>
          </w:tcPr>
          <w:p>
            <w:pPr>
              <w:spacing w:after="0"/>
              <w:rPr>
                <w:sz w:val="17"/>
                <w:szCs w:val="17"/>
                <w:color w:val="auto"/>
              </w:rPr>
            </w:pPr>
          </w:p>
        </w:tc>
        <w:tc>
          <w:tcPr>
            <w:tcW w:w="1040" w:type="dxa"/>
            <w:vAlign w:val="bottom"/>
          </w:tcPr>
          <w:p>
            <w:pPr>
              <w:jc w:val="right"/>
              <w:spacing w:after="0" w:line="193" w:lineRule="exact"/>
              <w:rPr>
                <w:sz w:val="20"/>
                <w:szCs w:val="20"/>
                <w:color w:val="auto"/>
              </w:rPr>
            </w:pPr>
            <w:r>
              <w:rPr>
                <w:rFonts w:ascii="Calibri" w:cs="Calibri" w:eastAsia="Calibri" w:hAnsi="Calibri"/>
                <w:sz w:val="16"/>
                <w:szCs w:val="16"/>
                <w:color w:val="auto"/>
              </w:rPr>
              <w:t>6</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line="193" w:lineRule="exact"/>
              <w:rPr>
                <w:sz w:val="20"/>
                <w:szCs w:val="20"/>
                <w:color w:val="auto"/>
              </w:rPr>
            </w:pPr>
            <w:r>
              <w:rPr>
                <w:rFonts w:ascii="Calibri" w:cs="Calibri" w:eastAsia="Calibri" w:hAnsi="Calibri"/>
                <w:sz w:val="16"/>
                <w:szCs w:val="16"/>
                <w:color w:val="auto"/>
              </w:rPr>
              <w:t>7</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line="193" w:lineRule="exact"/>
              <w:rPr>
                <w:sz w:val="20"/>
                <w:szCs w:val="20"/>
                <w:color w:val="auto"/>
              </w:rPr>
            </w:pPr>
            <w:r>
              <w:rPr>
                <w:rFonts w:ascii="Calibri" w:cs="Calibri" w:eastAsia="Calibri" w:hAnsi="Calibri"/>
                <w:sz w:val="16"/>
                <w:szCs w:val="16"/>
                <w:color w:val="auto"/>
              </w:rPr>
              <w:t>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640" w:type="dxa"/>
            <w:vAlign w:val="bottom"/>
            <w:shd w:val="clear" w:color="auto" w:fill="CFF0FC"/>
          </w:tcPr>
          <w:p>
            <w:pPr>
              <w:ind w:left="200"/>
              <w:spacing w:after="0" w:line="188" w:lineRule="exact"/>
              <w:rPr>
                <w:sz w:val="20"/>
                <w:szCs w:val="20"/>
                <w:color w:val="auto"/>
              </w:rPr>
            </w:pPr>
            <w:r>
              <w:rPr>
                <w:rFonts w:ascii="Calibri" w:cs="Calibri" w:eastAsia="Calibri" w:hAnsi="Calibri"/>
                <w:sz w:val="16"/>
                <w:szCs w:val="16"/>
                <w:color w:val="auto"/>
              </w:rPr>
              <w:t>Non-cash changes in workers' compensaton and other employee beneft</w:t>
            </w: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640" w:type="dxa"/>
            <w:vAlign w:val="bottom"/>
            <w:tcBorders>
              <w:bottom w:val="single" w:sz="8" w:color="CFF0FC"/>
            </w:tcBorders>
            <w:shd w:val="clear" w:color="auto" w:fill="CFF0FC"/>
          </w:tcPr>
          <w:p>
            <w:pPr>
              <w:ind w:left="320"/>
              <w:spacing w:after="0" w:line="193" w:lineRule="exact"/>
              <w:rPr>
                <w:sz w:val="20"/>
                <w:szCs w:val="20"/>
                <w:color w:val="auto"/>
              </w:rPr>
            </w:pPr>
            <w:r>
              <w:rPr>
                <w:rFonts w:ascii="Calibri" w:cs="Calibri" w:eastAsia="Calibri" w:hAnsi="Calibri"/>
                <w:sz w:val="16"/>
                <w:szCs w:val="16"/>
                <w:color w:val="auto"/>
              </w:rPr>
              <w:t>reserves</w:t>
            </w:r>
          </w:p>
        </w:tc>
        <w:tc>
          <w:tcPr>
            <w:tcW w:w="300" w:type="dxa"/>
            <w:vAlign w:val="bottom"/>
            <w:tcBorders>
              <w:bottom w:val="single" w:sz="8" w:color="CFF0FC"/>
            </w:tcBorders>
            <w:shd w:val="clear" w:color="auto" w:fill="CFF0FC"/>
          </w:tcPr>
          <w:p>
            <w:pPr>
              <w:spacing w:after="0"/>
              <w:rPr>
                <w:sz w:val="17"/>
                <w:szCs w:val="17"/>
                <w:color w:val="auto"/>
              </w:rPr>
            </w:pPr>
          </w:p>
        </w:tc>
        <w:tc>
          <w:tcPr>
            <w:tcW w:w="1280" w:type="dxa"/>
            <w:vAlign w:val="bottom"/>
            <w:tcBorders>
              <w:bottom w:val="single" w:sz="8" w:color="CFF0FC"/>
            </w:tcBorders>
            <w:gridSpan w:val="2"/>
            <w:shd w:val="clear" w:color="auto" w:fill="CFF0FC"/>
          </w:tcPr>
          <w:p>
            <w:pPr>
              <w:jc w:val="right"/>
              <w:ind w:right="99"/>
              <w:spacing w:after="0" w:line="193" w:lineRule="exact"/>
              <w:rPr>
                <w:sz w:val="20"/>
                <w:szCs w:val="20"/>
                <w:color w:val="auto"/>
              </w:rPr>
            </w:pPr>
            <w:r>
              <w:rPr>
                <w:rFonts w:ascii="Calibri" w:cs="Calibri" w:eastAsia="Calibri" w:hAnsi="Calibri"/>
                <w:sz w:val="16"/>
                <w:szCs w:val="16"/>
                <w:color w:val="auto"/>
              </w:rPr>
              <w:t>(2 )</w:t>
            </w:r>
          </w:p>
        </w:tc>
        <w:tc>
          <w:tcPr>
            <w:tcW w:w="300" w:type="dxa"/>
            <w:vAlign w:val="bottom"/>
            <w:tcBorders>
              <w:bottom w:val="single" w:sz="8" w:color="CFF0FC"/>
            </w:tcBorders>
            <w:shd w:val="clear" w:color="auto" w:fill="CFF0FC"/>
          </w:tcPr>
          <w:p>
            <w:pPr>
              <w:spacing w:after="0"/>
              <w:rPr>
                <w:sz w:val="17"/>
                <w:szCs w:val="17"/>
                <w:color w:val="auto"/>
              </w:rPr>
            </w:pPr>
          </w:p>
        </w:tc>
        <w:tc>
          <w:tcPr>
            <w:tcW w:w="1280" w:type="dxa"/>
            <w:vAlign w:val="bottom"/>
            <w:tcBorders>
              <w:bottom w:val="single" w:sz="8" w:color="CFF0FC"/>
            </w:tcBorders>
            <w:gridSpan w:val="2"/>
            <w:shd w:val="clear" w:color="auto" w:fill="CFF0FC"/>
          </w:tcPr>
          <w:p>
            <w:pPr>
              <w:jc w:val="right"/>
              <w:ind w:right="180"/>
              <w:spacing w:after="0" w:line="193" w:lineRule="exact"/>
              <w:rPr>
                <w:sz w:val="20"/>
                <w:szCs w:val="20"/>
                <w:color w:val="auto"/>
              </w:rPr>
            </w:pPr>
            <w:r>
              <w:rPr>
                <w:rFonts w:ascii="Calibri" w:cs="Calibri" w:eastAsia="Calibri" w:hAnsi="Calibri"/>
                <w:sz w:val="16"/>
                <w:szCs w:val="16"/>
                <w:color w:val="auto"/>
              </w:rPr>
              <w:t>(1 )</w:t>
            </w:r>
          </w:p>
        </w:tc>
        <w:tc>
          <w:tcPr>
            <w:tcW w:w="30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bottom w:val="single" w:sz="8" w:color="CFF0FC"/>
            </w:tcBorders>
            <w:gridSpan w:val="2"/>
            <w:shd w:val="clear" w:color="auto" w:fill="CFF0FC"/>
          </w:tcPr>
          <w:p>
            <w:pPr>
              <w:jc w:val="right"/>
              <w:ind w:right="40"/>
              <w:spacing w:after="0" w:line="193" w:lineRule="exact"/>
              <w:rPr>
                <w:sz w:val="20"/>
                <w:szCs w:val="20"/>
                <w:color w:val="auto"/>
              </w:rPr>
            </w:pPr>
            <w:r>
              <w:rPr>
                <w:rFonts w:ascii="Calibri" w:cs="Calibri" w:eastAsia="Calibri" w:hAnsi="Calibri"/>
                <w:sz w:val="16"/>
                <w:szCs w:val="16"/>
                <w:color w:val="auto"/>
              </w:rPr>
              <w:t>(15 )</w:t>
            </w:r>
          </w:p>
        </w:tc>
        <w:tc>
          <w:tcPr>
            <w:tcW w:w="0" w:type="dxa"/>
            <w:vAlign w:val="bottom"/>
          </w:tcPr>
          <w:p>
            <w:pPr>
              <w:spacing w:after="0"/>
              <w:rPr>
                <w:sz w:val="1"/>
                <w:szCs w:val="1"/>
                <w:color w:val="auto"/>
              </w:rPr>
            </w:pPr>
          </w:p>
        </w:tc>
      </w:tr>
      <w:tr>
        <w:trPr>
          <w:trHeight w:val="198"/>
        </w:trPr>
        <w:tc>
          <w:tcPr>
            <w:tcW w:w="6640" w:type="dxa"/>
            <w:vAlign w:val="bottom"/>
          </w:tcPr>
          <w:p>
            <w:pPr>
              <w:ind w:left="200"/>
              <w:spacing w:after="0" w:line="193" w:lineRule="exact"/>
              <w:rPr>
                <w:sz w:val="20"/>
                <w:szCs w:val="20"/>
                <w:color w:val="auto"/>
              </w:rPr>
            </w:pPr>
            <w:r>
              <w:rPr>
                <w:rFonts w:ascii="Calibri" w:cs="Calibri" w:eastAsia="Calibri" w:hAnsi="Calibri"/>
                <w:sz w:val="16"/>
                <w:szCs w:val="16"/>
                <w:color w:val="auto"/>
              </w:rPr>
              <w:t>Net gain on sales of assets</w:t>
            </w:r>
          </w:p>
        </w:tc>
        <w:tc>
          <w:tcPr>
            <w:tcW w:w="300" w:type="dxa"/>
            <w:vAlign w:val="bottom"/>
          </w:tcPr>
          <w:p>
            <w:pPr>
              <w:spacing w:after="0"/>
              <w:rPr>
                <w:sz w:val="17"/>
                <w:szCs w:val="17"/>
                <w:color w:val="auto"/>
              </w:rPr>
            </w:pPr>
          </w:p>
        </w:tc>
        <w:tc>
          <w:tcPr>
            <w:tcW w:w="1280" w:type="dxa"/>
            <w:vAlign w:val="bottom"/>
            <w:gridSpan w:val="2"/>
          </w:tcPr>
          <w:p>
            <w:pPr>
              <w:jc w:val="right"/>
              <w:ind w:right="99"/>
              <w:spacing w:after="0" w:line="193" w:lineRule="exact"/>
              <w:rPr>
                <w:sz w:val="20"/>
                <w:szCs w:val="20"/>
                <w:color w:val="auto"/>
              </w:rPr>
            </w:pPr>
            <w:r>
              <w:rPr>
                <w:rFonts w:ascii="Calibri" w:cs="Calibri" w:eastAsia="Calibri" w:hAnsi="Calibri"/>
                <w:sz w:val="16"/>
                <w:szCs w:val="16"/>
                <w:color w:val="auto"/>
              </w:rPr>
              <w:t>(17 )</w:t>
            </w:r>
          </w:p>
        </w:tc>
        <w:tc>
          <w:tcPr>
            <w:tcW w:w="300" w:type="dxa"/>
            <w:vAlign w:val="bottom"/>
          </w:tcPr>
          <w:p>
            <w:pPr>
              <w:spacing w:after="0"/>
              <w:rPr>
                <w:sz w:val="17"/>
                <w:szCs w:val="17"/>
                <w:color w:val="auto"/>
              </w:rPr>
            </w:pPr>
          </w:p>
        </w:tc>
        <w:tc>
          <w:tcPr>
            <w:tcW w:w="1280" w:type="dxa"/>
            <w:vAlign w:val="bottom"/>
            <w:gridSpan w:val="2"/>
          </w:tcPr>
          <w:p>
            <w:pPr>
              <w:jc w:val="right"/>
              <w:ind w:right="260"/>
              <w:spacing w:after="0" w:line="193" w:lineRule="exact"/>
              <w:rPr>
                <w:sz w:val="20"/>
                <w:szCs w:val="20"/>
                <w:color w:val="auto"/>
              </w:rPr>
            </w:pPr>
            <w:r>
              <w:rPr>
                <w:rFonts w:ascii="Calibri" w:cs="Calibri" w:eastAsia="Calibri" w:hAnsi="Calibri"/>
                <w:sz w:val="16"/>
                <w:szCs w:val="16"/>
                <w:color w:val="auto"/>
              </w:rPr>
              <w:t>—</w:t>
            </w:r>
          </w:p>
        </w:tc>
        <w:tc>
          <w:tcPr>
            <w:tcW w:w="300" w:type="dxa"/>
            <w:vAlign w:val="bottom"/>
          </w:tcPr>
          <w:p>
            <w:pPr>
              <w:spacing w:after="0"/>
              <w:rPr>
                <w:sz w:val="17"/>
                <w:szCs w:val="17"/>
                <w:color w:val="auto"/>
              </w:rPr>
            </w:pPr>
          </w:p>
        </w:tc>
        <w:tc>
          <w:tcPr>
            <w:tcW w:w="1140" w:type="dxa"/>
            <w:vAlign w:val="bottom"/>
            <w:gridSpan w:val="2"/>
          </w:tcPr>
          <w:p>
            <w:pPr>
              <w:jc w:val="right"/>
              <w:ind w:right="120"/>
              <w:spacing w:after="0" w:line="193" w:lineRule="exact"/>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07"/>
        </w:trPr>
        <w:tc>
          <w:tcPr>
            <w:tcW w:w="6640" w:type="dxa"/>
            <w:vAlign w:val="bottom"/>
            <w:shd w:val="clear" w:color="auto" w:fill="CFF0FC"/>
          </w:tcPr>
          <w:p>
            <w:pPr>
              <w:ind w:left="200"/>
              <w:spacing w:after="0"/>
              <w:rPr>
                <w:sz w:val="20"/>
                <w:szCs w:val="20"/>
                <w:color w:val="auto"/>
              </w:rPr>
            </w:pPr>
            <w:r>
              <w:rPr>
                <w:rFonts w:ascii="Calibri" w:cs="Calibri" w:eastAsia="Calibri" w:hAnsi="Calibri"/>
                <w:sz w:val="16"/>
                <w:szCs w:val="16"/>
                <w:color w:val="auto"/>
              </w:rPr>
              <w:t>Loss on early extnguishment of debt</w:t>
            </w: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79"/>
              <w:spacing w:after="0"/>
              <w:rPr>
                <w:sz w:val="20"/>
                <w:szCs w:val="20"/>
                <w:color w:val="auto"/>
              </w:rPr>
            </w:pPr>
            <w:r>
              <w:rPr>
                <w:rFonts w:ascii="Calibri" w:cs="Calibri" w:eastAsia="Calibri" w:hAnsi="Calibri"/>
                <w:sz w:val="16"/>
                <w:szCs w:val="16"/>
                <w:color w:val="auto"/>
              </w:rPr>
              <w:t>—</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27</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20"/>
              <w:spacing w:after="0"/>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198"/>
        </w:trPr>
        <w:tc>
          <w:tcPr>
            <w:tcW w:w="6640" w:type="dxa"/>
            <w:vAlign w:val="bottom"/>
          </w:tcPr>
          <w:p>
            <w:pPr>
              <w:ind w:left="200"/>
              <w:spacing w:after="0" w:line="193" w:lineRule="exact"/>
              <w:rPr>
                <w:sz w:val="20"/>
                <w:szCs w:val="20"/>
                <w:color w:val="auto"/>
              </w:rPr>
            </w:pPr>
            <w:r>
              <w:rPr>
                <w:rFonts w:ascii="Calibri" w:cs="Calibri" w:eastAsia="Calibri" w:hAnsi="Calibri"/>
                <w:sz w:val="16"/>
                <w:szCs w:val="16"/>
                <w:color w:val="auto"/>
              </w:rPr>
              <w:t>Beneft from deferred income taxes</w:t>
            </w:r>
          </w:p>
        </w:tc>
        <w:tc>
          <w:tcPr>
            <w:tcW w:w="300" w:type="dxa"/>
            <w:vAlign w:val="bottom"/>
          </w:tcPr>
          <w:p>
            <w:pPr>
              <w:spacing w:after="0"/>
              <w:rPr>
                <w:sz w:val="17"/>
                <w:szCs w:val="17"/>
                <w:color w:val="auto"/>
              </w:rPr>
            </w:pPr>
          </w:p>
        </w:tc>
        <w:tc>
          <w:tcPr>
            <w:tcW w:w="1280" w:type="dxa"/>
            <w:vAlign w:val="bottom"/>
            <w:gridSpan w:val="2"/>
          </w:tcPr>
          <w:p>
            <w:pPr>
              <w:jc w:val="right"/>
              <w:ind w:right="99"/>
              <w:spacing w:after="0" w:line="193" w:lineRule="exact"/>
              <w:rPr>
                <w:sz w:val="20"/>
                <w:szCs w:val="20"/>
                <w:color w:val="auto"/>
              </w:rPr>
            </w:pPr>
            <w:r>
              <w:rPr>
                <w:rFonts w:ascii="Calibri" w:cs="Calibri" w:eastAsia="Calibri" w:hAnsi="Calibri"/>
                <w:sz w:val="16"/>
                <w:szCs w:val="16"/>
                <w:color w:val="auto"/>
              </w:rPr>
              <w:t>(1 )</w:t>
            </w:r>
          </w:p>
        </w:tc>
        <w:tc>
          <w:tcPr>
            <w:tcW w:w="300" w:type="dxa"/>
            <w:vAlign w:val="bottom"/>
          </w:tcPr>
          <w:p>
            <w:pPr>
              <w:spacing w:after="0"/>
              <w:rPr>
                <w:sz w:val="17"/>
                <w:szCs w:val="17"/>
                <w:color w:val="auto"/>
              </w:rPr>
            </w:pPr>
          </w:p>
        </w:tc>
        <w:tc>
          <w:tcPr>
            <w:tcW w:w="1280" w:type="dxa"/>
            <w:vAlign w:val="bottom"/>
            <w:gridSpan w:val="2"/>
          </w:tcPr>
          <w:p>
            <w:pPr>
              <w:jc w:val="right"/>
              <w:ind w:right="180"/>
              <w:spacing w:after="0" w:line="193" w:lineRule="exact"/>
              <w:rPr>
                <w:sz w:val="20"/>
                <w:szCs w:val="20"/>
                <w:color w:val="auto"/>
              </w:rPr>
            </w:pPr>
            <w:r>
              <w:rPr>
                <w:rFonts w:ascii="Calibri" w:cs="Calibri" w:eastAsia="Calibri" w:hAnsi="Calibri"/>
                <w:sz w:val="16"/>
                <w:szCs w:val="16"/>
                <w:color w:val="auto"/>
              </w:rPr>
              <w:t>(1 )</w:t>
            </w:r>
          </w:p>
        </w:tc>
        <w:tc>
          <w:tcPr>
            <w:tcW w:w="300" w:type="dxa"/>
            <w:vAlign w:val="bottom"/>
          </w:tcPr>
          <w:p>
            <w:pPr>
              <w:spacing w:after="0"/>
              <w:rPr>
                <w:sz w:val="17"/>
                <w:szCs w:val="17"/>
                <w:color w:val="auto"/>
              </w:rPr>
            </w:pPr>
          </w:p>
        </w:tc>
        <w:tc>
          <w:tcPr>
            <w:tcW w:w="1140" w:type="dxa"/>
            <w:vAlign w:val="bottom"/>
            <w:gridSpan w:val="2"/>
          </w:tcPr>
          <w:p>
            <w:pPr>
              <w:jc w:val="right"/>
              <w:ind w:right="40"/>
              <w:spacing w:after="0" w:line="193" w:lineRule="exact"/>
              <w:rPr>
                <w:sz w:val="20"/>
                <w:szCs w:val="20"/>
                <w:color w:val="auto"/>
              </w:rPr>
            </w:pPr>
            <w:r>
              <w:rPr>
                <w:rFonts w:ascii="Calibri" w:cs="Calibri" w:eastAsia="Calibri" w:hAnsi="Calibri"/>
                <w:sz w:val="16"/>
                <w:szCs w:val="16"/>
                <w:color w:val="auto"/>
              </w:rPr>
              <w:t>(3 )</w:t>
            </w:r>
          </w:p>
        </w:tc>
        <w:tc>
          <w:tcPr>
            <w:tcW w:w="0" w:type="dxa"/>
            <w:vAlign w:val="bottom"/>
          </w:tcPr>
          <w:p>
            <w:pPr>
              <w:spacing w:after="0"/>
              <w:rPr>
                <w:sz w:val="1"/>
                <w:szCs w:val="1"/>
                <w:color w:val="auto"/>
              </w:rPr>
            </w:pPr>
          </w:p>
        </w:tc>
      </w:tr>
      <w:tr>
        <w:trPr>
          <w:trHeight w:val="207"/>
        </w:trPr>
        <w:tc>
          <w:tcPr>
            <w:tcW w:w="6640" w:type="dxa"/>
            <w:vAlign w:val="bottom"/>
            <w:shd w:val="clear" w:color="auto" w:fill="CFF0FC"/>
          </w:tcPr>
          <w:p>
            <w:pPr>
              <w:ind w:left="200"/>
              <w:spacing w:after="0"/>
              <w:rPr>
                <w:sz w:val="20"/>
                <w:szCs w:val="20"/>
                <w:color w:val="auto"/>
              </w:rPr>
            </w:pPr>
            <w:r>
              <w:rPr>
                <w:rFonts w:ascii="Calibri" w:cs="Calibri" w:eastAsia="Calibri" w:hAnsi="Calibri"/>
                <w:sz w:val="16"/>
                <w:szCs w:val="16"/>
                <w:color w:val="auto"/>
              </w:rPr>
              <w:t>Decrease (increase) in trade receivables</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51</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Calibri" w:cs="Calibri" w:eastAsia="Calibri" w:hAnsi="Calibri"/>
                <w:sz w:val="16"/>
                <w:szCs w:val="16"/>
                <w:color w:val="auto"/>
              </w:rPr>
              <w:t>(16 )</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Calibri" w:cs="Calibri" w:eastAsia="Calibri" w:hAnsi="Calibri"/>
                <w:sz w:val="16"/>
                <w:szCs w:val="16"/>
                <w:color w:val="auto"/>
              </w:rPr>
              <w:t>(12 )</w:t>
            </w:r>
          </w:p>
        </w:tc>
        <w:tc>
          <w:tcPr>
            <w:tcW w:w="0" w:type="dxa"/>
            <w:vAlign w:val="bottom"/>
          </w:tcPr>
          <w:p>
            <w:pPr>
              <w:spacing w:after="0"/>
              <w:rPr>
                <w:sz w:val="1"/>
                <w:szCs w:val="1"/>
                <w:color w:val="auto"/>
              </w:rPr>
            </w:pPr>
          </w:p>
        </w:tc>
      </w:tr>
      <w:tr>
        <w:trPr>
          <w:trHeight w:val="198"/>
        </w:trPr>
        <w:tc>
          <w:tcPr>
            <w:tcW w:w="6640" w:type="dxa"/>
            <w:vAlign w:val="bottom"/>
          </w:tcPr>
          <w:p>
            <w:pPr>
              <w:ind w:left="200"/>
              <w:spacing w:after="0" w:line="193" w:lineRule="exact"/>
              <w:rPr>
                <w:sz w:val="20"/>
                <w:szCs w:val="20"/>
                <w:color w:val="auto"/>
              </w:rPr>
            </w:pPr>
            <w:r>
              <w:rPr>
                <w:rFonts w:ascii="Calibri" w:cs="Calibri" w:eastAsia="Calibri" w:hAnsi="Calibri"/>
                <w:sz w:val="16"/>
                <w:szCs w:val="16"/>
                <w:color w:val="auto"/>
              </w:rPr>
              <w:t>Decrease (increase) in miscellaneous receivables</w:t>
            </w:r>
          </w:p>
        </w:tc>
        <w:tc>
          <w:tcPr>
            <w:tcW w:w="300" w:type="dxa"/>
            <w:vAlign w:val="bottom"/>
          </w:tcPr>
          <w:p>
            <w:pPr>
              <w:spacing w:after="0"/>
              <w:rPr>
                <w:sz w:val="17"/>
                <w:szCs w:val="17"/>
                <w:color w:val="auto"/>
              </w:rPr>
            </w:pPr>
          </w:p>
        </w:tc>
        <w:tc>
          <w:tcPr>
            <w:tcW w:w="1040" w:type="dxa"/>
            <w:vAlign w:val="bottom"/>
          </w:tcPr>
          <w:p>
            <w:pPr>
              <w:jc w:val="right"/>
              <w:spacing w:after="0" w:line="193" w:lineRule="exact"/>
              <w:rPr>
                <w:sz w:val="20"/>
                <w:szCs w:val="20"/>
                <w:color w:val="auto"/>
              </w:rPr>
            </w:pPr>
            <w:r>
              <w:rPr>
                <w:rFonts w:ascii="Calibri" w:cs="Calibri" w:eastAsia="Calibri" w:hAnsi="Calibri"/>
                <w:sz w:val="16"/>
                <w:szCs w:val="16"/>
                <w:color w:val="auto"/>
              </w:rPr>
              <w:t>1</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line="193" w:lineRule="exact"/>
              <w:rPr>
                <w:sz w:val="20"/>
                <w:szCs w:val="20"/>
                <w:color w:val="auto"/>
              </w:rPr>
            </w:pPr>
            <w:r>
              <w:rPr>
                <w:rFonts w:ascii="Calibri" w:cs="Calibri" w:eastAsia="Calibri" w:hAnsi="Calibri"/>
                <w:sz w:val="16"/>
                <w:szCs w:val="16"/>
                <w:color w:val="auto"/>
              </w:rPr>
              <w:t>6</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gridSpan w:val="2"/>
          </w:tcPr>
          <w:p>
            <w:pPr>
              <w:jc w:val="right"/>
              <w:ind w:right="40"/>
              <w:spacing w:after="0" w:line="193" w:lineRule="exact"/>
              <w:rPr>
                <w:sz w:val="20"/>
                <w:szCs w:val="20"/>
                <w:color w:val="auto"/>
              </w:rPr>
            </w:pPr>
            <w:r>
              <w:rPr>
                <w:rFonts w:ascii="Calibri" w:cs="Calibri" w:eastAsia="Calibri" w:hAnsi="Calibri"/>
                <w:sz w:val="16"/>
                <w:szCs w:val="16"/>
                <w:color w:val="auto"/>
              </w:rPr>
              <w:t>(1 )</w:t>
            </w:r>
          </w:p>
        </w:tc>
        <w:tc>
          <w:tcPr>
            <w:tcW w:w="0" w:type="dxa"/>
            <w:vAlign w:val="bottom"/>
          </w:tcPr>
          <w:p>
            <w:pPr>
              <w:spacing w:after="0"/>
              <w:rPr>
                <w:sz w:val="1"/>
                <w:szCs w:val="1"/>
                <w:color w:val="auto"/>
              </w:rPr>
            </w:pPr>
          </w:p>
        </w:tc>
      </w:tr>
      <w:tr>
        <w:trPr>
          <w:trHeight w:val="207"/>
        </w:trPr>
        <w:tc>
          <w:tcPr>
            <w:tcW w:w="6640" w:type="dxa"/>
            <w:vAlign w:val="bottom"/>
            <w:shd w:val="clear" w:color="auto" w:fill="CFF0FC"/>
          </w:tcPr>
          <w:p>
            <w:pPr>
              <w:ind w:left="200"/>
              <w:spacing w:after="0"/>
              <w:rPr>
                <w:sz w:val="20"/>
                <w:szCs w:val="20"/>
                <w:color w:val="auto"/>
              </w:rPr>
            </w:pPr>
            <w:r>
              <w:rPr>
                <w:rFonts w:ascii="Calibri" w:cs="Calibri" w:eastAsia="Calibri" w:hAnsi="Calibri"/>
                <w:sz w:val="16"/>
                <w:szCs w:val="16"/>
                <w:color w:val="auto"/>
              </w:rPr>
              <w:t>(Increase) decrease in inventories</w:t>
            </w: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99"/>
              <w:spacing w:after="0"/>
              <w:rPr>
                <w:sz w:val="20"/>
                <w:szCs w:val="20"/>
                <w:color w:val="auto"/>
              </w:rPr>
            </w:pPr>
            <w:r>
              <w:rPr>
                <w:rFonts w:ascii="Calibri" w:cs="Calibri" w:eastAsia="Calibri" w:hAnsi="Calibri"/>
                <w:sz w:val="16"/>
                <w:szCs w:val="16"/>
                <w:color w:val="auto"/>
              </w:rPr>
              <w:t>(7 )</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19</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Calibri" w:cs="Calibri" w:eastAsia="Calibri" w:hAnsi="Calibri"/>
                <w:sz w:val="16"/>
                <w:szCs w:val="16"/>
                <w:color w:val="auto"/>
              </w:rPr>
              <w:t>(31 )</w:t>
            </w:r>
          </w:p>
        </w:tc>
        <w:tc>
          <w:tcPr>
            <w:tcW w:w="0" w:type="dxa"/>
            <w:vAlign w:val="bottom"/>
          </w:tcPr>
          <w:p>
            <w:pPr>
              <w:spacing w:after="0"/>
              <w:rPr>
                <w:sz w:val="1"/>
                <w:szCs w:val="1"/>
                <w:color w:val="auto"/>
              </w:rPr>
            </w:pPr>
          </w:p>
        </w:tc>
      </w:tr>
      <w:tr>
        <w:trPr>
          <w:trHeight w:val="198"/>
        </w:trPr>
        <w:tc>
          <w:tcPr>
            <w:tcW w:w="6640" w:type="dxa"/>
            <w:vAlign w:val="bottom"/>
          </w:tcPr>
          <w:p>
            <w:pPr>
              <w:ind w:left="200"/>
              <w:spacing w:after="0" w:line="193" w:lineRule="exact"/>
              <w:rPr>
                <w:sz w:val="20"/>
                <w:szCs w:val="20"/>
                <w:color w:val="auto"/>
              </w:rPr>
            </w:pPr>
            <w:r>
              <w:rPr>
                <w:rFonts w:ascii="Calibri" w:cs="Calibri" w:eastAsia="Calibri" w:hAnsi="Calibri"/>
                <w:sz w:val="16"/>
                <w:szCs w:val="16"/>
                <w:color w:val="auto"/>
              </w:rPr>
              <w:t>Decrease in trade accounts payable</w:t>
            </w:r>
          </w:p>
        </w:tc>
        <w:tc>
          <w:tcPr>
            <w:tcW w:w="300" w:type="dxa"/>
            <w:vAlign w:val="bottom"/>
          </w:tcPr>
          <w:p>
            <w:pPr>
              <w:spacing w:after="0"/>
              <w:rPr>
                <w:sz w:val="17"/>
                <w:szCs w:val="17"/>
                <w:color w:val="auto"/>
              </w:rPr>
            </w:pPr>
          </w:p>
        </w:tc>
        <w:tc>
          <w:tcPr>
            <w:tcW w:w="1280" w:type="dxa"/>
            <w:vAlign w:val="bottom"/>
            <w:gridSpan w:val="2"/>
          </w:tcPr>
          <w:p>
            <w:pPr>
              <w:jc w:val="right"/>
              <w:ind w:right="99"/>
              <w:spacing w:after="0" w:line="193" w:lineRule="exact"/>
              <w:rPr>
                <w:sz w:val="20"/>
                <w:szCs w:val="20"/>
                <w:color w:val="auto"/>
              </w:rPr>
            </w:pPr>
            <w:r>
              <w:rPr>
                <w:rFonts w:ascii="Calibri" w:cs="Calibri" w:eastAsia="Calibri" w:hAnsi="Calibri"/>
                <w:sz w:val="16"/>
                <w:szCs w:val="16"/>
                <w:color w:val="auto"/>
              </w:rPr>
              <w:t>(3 )</w:t>
            </w:r>
          </w:p>
        </w:tc>
        <w:tc>
          <w:tcPr>
            <w:tcW w:w="300" w:type="dxa"/>
            <w:vAlign w:val="bottom"/>
          </w:tcPr>
          <w:p>
            <w:pPr>
              <w:spacing w:after="0"/>
              <w:rPr>
                <w:sz w:val="17"/>
                <w:szCs w:val="17"/>
                <w:color w:val="auto"/>
              </w:rPr>
            </w:pPr>
          </w:p>
        </w:tc>
        <w:tc>
          <w:tcPr>
            <w:tcW w:w="1280" w:type="dxa"/>
            <w:vAlign w:val="bottom"/>
            <w:gridSpan w:val="2"/>
          </w:tcPr>
          <w:p>
            <w:pPr>
              <w:jc w:val="right"/>
              <w:ind w:right="180"/>
              <w:spacing w:after="0" w:line="193" w:lineRule="exact"/>
              <w:rPr>
                <w:sz w:val="20"/>
                <w:szCs w:val="20"/>
                <w:color w:val="auto"/>
              </w:rPr>
            </w:pPr>
            <w:r>
              <w:rPr>
                <w:rFonts w:ascii="Calibri" w:cs="Calibri" w:eastAsia="Calibri" w:hAnsi="Calibri"/>
                <w:sz w:val="16"/>
                <w:szCs w:val="16"/>
                <w:color w:val="auto"/>
              </w:rPr>
              <w:t>(14 )</w:t>
            </w:r>
          </w:p>
        </w:tc>
        <w:tc>
          <w:tcPr>
            <w:tcW w:w="300" w:type="dxa"/>
            <w:vAlign w:val="bottom"/>
          </w:tcPr>
          <w:p>
            <w:pPr>
              <w:spacing w:after="0"/>
              <w:rPr>
                <w:sz w:val="17"/>
                <w:szCs w:val="17"/>
                <w:color w:val="auto"/>
              </w:rPr>
            </w:pPr>
          </w:p>
        </w:tc>
        <w:tc>
          <w:tcPr>
            <w:tcW w:w="1140" w:type="dxa"/>
            <w:vAlign w:val="bottom"/>
            <w:gridSpan w:val="2"/>
          </w:tcPr>
          <w:p>
            <w:pPr>
              <w:jc w:val="right"/>
              <w:ind w:right="40"/>
              <w:spacing w:after="0" w:line="193" w:lineRule="exact"/>
              <w:rPr>
                <w:sz w:val="20"/>
                <w:szCs w:val="20"/>
                <w:color w:val="auto"/>
              </w:rPr>
            </w:pPr>
            <w:r>
              <w:rPr>
                <w:rFonts w:ascii="Calibri" w:cs="Calibri" w:eastAsia="Calibri" w:hAnsi="Calibri"/>
                <w:sz w:val="16"/>
                <w:szCs w:val="16"/>
                <w:color w:val="auto"/>
              </w:rPr>
              <w:t>(12 )</w:t>
            </w:r>
          </w:p>
        </w:tc>
        <w:tc>
          <w:tcPr>
            <w:tcW w:w="0" w:type="dxa"/>
            <w:vAlign w:val="bottom"/>
          </w:tcPr>
          <w:p>
            <w:pPr>
              <w:spacing w:after="0"/>
              <w:rPr>
                <w:sz w:val="1"/>
                <w:szCs w:val="1"/>
                <w:color w:val="auto"/>
              </w:rPr>
            </w:pPr>
          </w:p>
        </w:tc>
      </w:tr>
      <w:tr>
        <w:trPr>
          <w:trHeight w:val="207"/>
        </w:trPr>
        <w:tc>
          <w:tcPr>
            <w:tcW w:w="6640" w:type="dxa"/>
            <w:vAlign w:val="bottom"/>
            <w:shd w:val="clear" w:color="auto" w:fill="CFF0FC"/>
          </w:tcPr>
          <w:p>
            <w:pPr>
              <w:ind w:left="200"/>
              <w:spacing w:after="0"/>
              <w:rPr>
                <w:sz w:val="20"/>
                <w:szCs w:val="20"/>
                <w:color w:val="auto"/>
              </w:rPr>
            </w:pPr>
            <w:r>
              <w:rPr>
                <w:rFonts w:ascii="Calibri" w:cs="Calibri" w:eastAsia="Calibri" w:hAnsi="Calibri"/>
                <w:sz w:val="16"/>
                <w:szCs w:val="16"/>
                <w:color w:val="auto"/>
              </w:rPr>
              <w:t>(Decrease) increase in liabilites excluding borrowings and trade payables</w:t>
            </w: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99"/>
              <w:spacing w:after="0"/>
              <w:rPr>
                <w:sz w:val="20"/>
                <w:szCs w:val="20"/>
                <w:color w:val="auto"/>
              </w:rPr>
            </w:pPr>
            <w:r>
              <w:rPr>
                <w:rFonts w:ascii="Calibri" w:cs="Calibri" w:eastAsia="Calibri" w:hAnsi="Calibri"/>
                <w:sz w:val="16"/>
                <w:szCs w:val="16"/>
                <w:color w:val="auto"/>
              </w:rPr>
              <w:t>(46 )</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21</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Calibri" w:cs="Calibri" w:eastAsia="Calibri" w:hAnsi="Calibri"/>
                <w:sz w:val="16"/>
                <w:szCs w:val="16"/>
                <w:color w:val="auto"/>
              </w:rPr>
              <w:t>(36 )</w:t>
            </w:r>
          </w:p>
        </w:tc>
        <w:tc>
          <w:tcPr>
            <w:tcW w:w="0" w:type="dxa"/>
            <w:vAlign w:val="bottom"/>
          </w:tcPr>
          <w:p>
            <w:pPr>
              <w:spacing w:after="0"/>
              <w:rPr>
                <w:sz w:val="1"/>
                <w:szCs w:val="1"/>
                <w:color w:val="auto"/>
              </w:rPr>
            </w:pPr>
          </w:p>
        </w:tc>
      </w:tr>
      <w:tr>
        <w:trPr>
          <w:trHeight w:val="198"/>
        </w:trPr>
        <w:tc>
          <w:tcPr>
            <w:tcW w:w="6640" w:type="dxa"/>
            <w:vAlign w:val="bottom"/>
          </w:tcPr>
          <w:p>
            <w:pPr>
              <w:ind w:left="200"/>
              <w:spacing w:after="0" w:line="193" w:lineRule="exact"/>
              <w:rPr>
                <w:sz w:val="20"/>
                <w:szCs w:val="20"/>
                <w:color w:val="auto"/>
              </w:rPr>
            </w:pPr>
            <w:r>
              <w:rPr>
                <w:rFonts w:ascii="Calibri" w:cs="Calibri" w:eastAsia="Calibri" w:hAnsi="Calibri"/>
                <w:sz w:val="16"/>
                <w:szCs w:val="16"/>
                <w:color w:val="auto"/>
              </w:rPr>
              <w:t>Other items, net</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32</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23</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40" w:type="dxa"/>
            <w:vAlign w:val="bottom"/>
            <w:shd w:val="clear" w:color="auto" w:fill="CFF0FC"/>
          </w:tcPr>
          <w:p>
            <w:pPr>
              <w:ind w:left="300"/>
              <w:spacing w:after="0" w:line="193" w:lineRule="exact"/>
              <w:rPr>
                <w:sz w:val="20"/>
                <w:szCs w:val="20"/>
                <w:color w:val="auto"/>
              </w:rPr>
            </w:pPr>
            <w:r>
              <w:rPr>
                <w:rFonts w:ascii="Calibri" w:cs="Calibri" w:eastAsia="Calibri" w:hAnsi="Calibri"/>
                <w:sz w:val="16"/>
                <w:szCs w:val="16"/>
                <w:color w:val="auto"/>
              </w:rPr>
              <w:t>Total adjustments</w:t>
            </w:r>
          </w:p>
        </w:tc>
        <w:tc>
          <w:tcPr>
            <w:tcW w:w="3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99"/>
              <w:spacing w:after="0" w:line="193" w:lineRule="exact"/>
              <w:rPr>
                <w:sz w:val="20"/>
                <w:szCs w:val="20"/>
                <w:color w:val="auto"/>
              </w:rPr>
            </w:pPr>
            <w:r>
              <w:rPr>
                <w:rFonts w:ascii="Calibri" w:cs="Calibri" w:eastAsia="Calibri" w:hAnsi="Calibri"/>
                <w:sz w:val="16"/>
                <w:szCs w:val="16"/>
                <w:color w:val="auto"/>
              </w:rPr>
              <w:t>(109 )</w:t>
            </w:r>
          </w:p>
        </w:tc>
        <w:tc>
          <w:tcPr>
            <w:tcW w:w="3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80"/>
              <w:spacing w:after="0" w:line="193" w:lineRule="exact"/>
              <w:rPr>
                <w:sz w:val="20"/>
                <w:szCs w:val="20"/>
                <w:color w:val="auto"/>
              </w:rPr>
            </w:pPr>
            <w:r>
              <w:rPr>
                <w:rFonts w:ascii="Calibri" w:cs="Calibri" w:eastAsia="Calibri" w:hAnsi="Calibri"/>
                <w:sz w:val="16"/>
                <w:szCs w:val="16"/>
                <w:color w:val="auto"/>
              </w:rPr>
              <w:t>(37 )</w:t>
            </w: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40"/>
              <w:spacing w:after="0" w:line="193" w:lineRule="exact"/>
              <w:rPr>
                <w:sz w:val="20"/>
                <w:szCs w:val="20"/>
                <w:color w:val="auto"/>
              </w:rPr>
            </w:pPr>
            <w:r>
              <w:rPr>
                <w:rFonts w:ascii="Calibri" w:cs="Calibri" w:eastAsia="Calibri" w:hAnsi="Calibri"/>
                <w:sz w:val="16"/>
                <w:szCs w:val="16"/>
                <w:color w:val="auto"/>
              </w:rPr>
              <w:t>(142 )</w:t>
            </w:r>
          </w:p>
        </w:tc>
        <w:tc>
          <w:tcPr>
            <w:tcW w:w="0" w:type="dxa"/>
            <w:vAlign w:val="bottom"/>
          </w:tcPr>
          <w:p>
            <w:pPr>
              <w:spacing w:after="0"/>
              <w:rPr>
                <w:sz w:val="1"/>
                <w:szCs w:val="1"/>
                <w:color w:val="auto"/>
              </w:rPr>
            </w:pPr>
          </w:p>
        </w:tc>
      </w:tr>
      <w:tr>
        <w:trPr>
          <w:trHeight w:val="20"/>
        </w:trPr>
        <w:tc>
          <w:tcPr>
            <w:tcW w:w="66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40" w:type="dxa"/>
            <w:vAlign w:val="bottom"/>
          </w:tcPr>
          <w:p>
            <w:pPr>
              <w:ind w:left="380"/>
              <w:spacing w:after="0" w:line="193" w:lineRule="exact"/>
              <w:rPr>
                <w:sz w:val="20"/>
                <w:szCs w:val="20"/>
                <w:color w:val="auto"/>
              </w:rPr>
            </w:pPr>
            <w:r>
              <w:rPr>
                <w:rFonts w:ascii="Calibri" w:cs="Calibri" w:eastAsia="Calibri" w:hAnsi="Calibri"/>
                <w:sz w:val="16"/>
                <w:szCs w:val="16"/>
                <w:color w:val="auto"/>
              </w:rPr>
              <w:t>Net cash (used in) provided by operatng actvites</w:t>
            </w:r>
          </w:p>
        </w:tc>
        <w:tc>
          <w:tcPr>
            <w:tcW w:w="300" w:type="dxa"/>
            <w:vAlign w:val="bottom"/>
          </w:tcPr>
          <w:p>
            <w:pPr>
              <w:spacing w:after="0"/>
              <w:rPr>
                <w:sz w:val="17"/>
                <w:szCs w:val="17"/>
                <w:color w:val="auto"/>
              </w:rPr>
            </w:pPr>
          </w:p>
        </w:tc>
        <w:tc>
          <w:tcPr>
            <w:tcW w:w="1280" w:type="dxa"/>
            <w:vAlign w:val="bottom"/>
            <w:gridSpan w:val="2"/>
          </w:tcPr>
          <w:p>
            <w:pPr>
              <w:jc w:val="right"/>
              <w:ind w:right="99"/>
              <w:spacing w:after="0" w:line="193" w:lineRule="exact"/>
              <w:rPr>
                <w:sz w:val="20"/>
                <w:szCs w:val="20"/>
                <w:color w:val="auto"/>
              </w:rPr>
            </w:pPr>
            <w:r>
              <w:rPr>
                <w:rFonts w:ascii="Calibri" w:cs="Calibri" w:eastAsia="Calibri" w:hAnsi="Calibri"/>
                <w:sz w:val="16"/>
                <w:szCs w:val="16"/>
                <w:color w:val="auto"/>
              </w:rPr>
              <w:t>(7 )</w:t>
            </w:r>
          </w:p>
        </w:tc>
        <w:tc>
          <w:tcPr>
            <w:tcW w:w="300" w:type="dxa"/>
            <w:vAlign w:val="bottom"/>
          </w:tcPr>
          <w:p>
            <w:pPr>
              <w:spacing w:after="0"/>
              <w:rPr>
                <w:sz w:val="17"/>
                <w:szCs w:val="17"/>
                <w:color w:val="auto"/>
              </w:rPr>
            </w:pPr>
          </w:p>
        </w:tc>
        <w:tc>
          <w:tcPr>
            <w:tcW w:w="1040" w:type="dxa"/>
            <w:vAlign w:val="bottom"/>
          </w:tcPr>
          <w:p>
            <w:pPr>
              <w:jc w:val="right"/>
              <w:spacing w:after="0" w:line="193" w:lineRule="exact"/>
              <w:rPr>
                <w:sz w:val="20"/>
                <w:szCs w:val="20"/>
                <w:color w:val="auto"/>
              </w:rPr>
            </w:pPr>
            <w:r>
              <w:rPr>
                <w:rFonts w:ascii="Calibri" w:cs="Calibri" w:eastAsia="Calibri" w:hAnsi="Calibri"/>
                <w:sz w:val="16"/>
                <w:szCs w:val="16"/>
                <w:color w:val="auto"/>
              </w:rPr>
              <w:t>38</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gridSpan w:val="2"/>
          </w:tcPr>
          <w:p>
            <w:pPr>
              <w:jc w:val="right"/>
              <w:ind w:right="40"/>
              <w:spacing w:after="0" w:line="193" w:lineRule="exact"/>
              <w:rPr>
                <w:sz w:val="20"/>
                <w:szCs w:val="20"/>
                <w:color w:val="auto"/>
              </w:rPr>
            </w:pPr>
            <w:r>
              <w:rPr>
                <w:rFonts w:ascii="Calibri" w:cs="Calibri" w:eastAsia="Calibri" w:hAnsi="Calibri"/>
                <w:sz w:val="16"/>
                <w:szCs w:val="16"/>
                <w:color w:val="auto"/>
              </w:rPr>
              <w:t>(116 )</w:t>
            </w:r>
          </w:p>
        </w:tc>
        <w:tc>
          <w:tcPr>
            <w:tcW w:w="0" w:type="dxa"/>
            <w:vAlign w:val="bottom"/>
          </w:tcPr>
          <w:p>
            <w:pPr>
              <w:spacing w:after="0"/>
              <w:rPr>
                <w:sz w:val="1"/>
                <w:szCs w:val="1"/>
                <w:color w:val="auto"/>
              </w:rPr>
            </w:pPr>
          </w:p>
        </w:tc>
      </w:tr>
      <w:tr>
        <w:trPr>
          <w:trHeight w:val="201"/>
        </w:trPr>
        <w:tc>
          <w:tcPr>
            <w:tcW w:w="664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640" w:type="dxa"/>
            <w:vAlign w:val="bottom"/>
          </w:tcPr>
          <w:p>
            <w:pPr>
              <w:ind w:left="20"/>
              <w:spacing w:after="0" w:line="193" w:lineRule="exact"/>
              <w:rPr>
                <w:sz w:val="20"/>
                <w:szCs w:val="20"/>
                <w:color w:val="auto"/>
              </w:rPr>
            </w:pPr>
            <w:r>
              <w:rPr>
                <w:rFonts w:ascii="Calibri" w:cs="Calibri" w:eastAsia="Calibri" w:hAnsi="Calibri"/>
                <w:sz w:val="16"/>
                <w:szCs w:val="16"/>
                <w:color w:val="auto"/>
              </w:rPr>
              <w:t>Cash fows from investng actvites:</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640" w:type="dxa"/>
            <w:vAlign w:val="bottom"/>
            <w:shd w:val="clear" w:color="auto" w:fill="CFF0FC"/>
          </w:tcPr>
          <w:p>
            <w:pPr>
              <w:ind w:left="200"/>
              <w:spacing w:after="0"/>
              <w:rPr>
                <w:sz w:val="20"/>
                <w:szCs w:val="20"/>
                <w:color w:val="auto"/>
              </w:rPr>
            </w:pPr>
            <w:r>
              <w:rPr>
                <w:rFonts w:ascii="Calibri" w:cs="Calibri" w:eastAsia="Calibri" w:hAnsi="Calibri"/>
                <w:sz w:val="16"/>
                <w:szCs w:val="16"/>
                <w:color w:val="auto"/>
              </w:rPr>
              <w:t>Additons to propertes</w:t>
            </w: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99"/>
              <w:spacing w:after="0"/>
              <w:rPr>
                <w:sz w:val="20"/>
                <w:szCs w:val="20"/>
                <w:color w:val="auto"/>
              </w:rPr>
            </w:pPr>
            <w:r>
              <w:rPr>
                <w:rFonts w:ascii="Calibri" w:cs="Calibri" w:eastAsia="Calibri" w:hAnsi="Calibri"/>
                <w:sz w:val="16"/>
                <w:szCs w:val="16"/>
                <w:color w:val="auto"/>
              </w:rPr>
              <w:t>(56 )</w:t>
            </w: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Calibri" w:cs="Calibri" w:eastAsia="Calibri" w:hAnsi="Calibri"/>
                <w:sz w:val="16"/>
                <w:szCs w:val="16"/>
                <w:color w:val="auto"/>
              </w:rPr>
              <w:t>(32 )</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Calibri" w:cs="Calibri" w:eastAsia="Calibri" w:hAnsi="Calibri"/>
                <w:sz w:val="16"/>
                <w:szCs w:val="16"/>
                <w:color w:val="auto"/>
              </w:rPr>
              <w:t>(31 )</w:t>
            </w:r>
          </w:p>
        </w:tc>
        <w:tc>
          <w:tcPr>
            <w:tcW w:w="0" w:type="dxa"/>
            <w:vAlign w:val="bottom"/>
          </w:tcPr>
          <w:p>
            <w:pPr>
              <w:spacing w:after="0"/>
              <w:rPr>
                <w:sz w:val="1"/>
                <w:szCs w:val="1"/>
                <w:color w:val="auto"/>
              </w:rPr>
            </w:pPr>
          </w:p>
        </w:tc>
      </w:tr>
      <w:tr>
        <w:trPr>
          <w:trHeight w:val="198"/>
        </w:trPr>
        <w:tc>
          <w:tcPr>
            <w:tcW w:w="6640" w:type="dxa"/>
            <w:vAlign w:val="bottom"/>
          </w:tcPr>
          <w:p>
            <w:pPr>
              <w:ind w:left="200"/>
              <w:spacing w:after="0" w:line="193" w:lineRule="exact"/>
              <w:rPr>
                <w:sz w:val="20"/>
                <w:szCs w:val="20"/>
                <w:color w:val="auto"/>
              </w:rPr>
            </w:pPr>
            <w:r>
              <w:rPr>
                <w:rFonts w:ascii="Calibri" w:cs="Calibri" w:eastAsia="Calibri" w:hAnsi="Calibri"/>
                <w:sz w:val="16"/>
                <w:szCs w:val="16"/>
                <w:color w:val="auto"/>
              </w:rPr>
              <w:t>Purchase of preferred equity interest</w:t>
            </w:r>
          </w:p>
        </w:tc>
        <w:tc>
          <w:tcPr>
            <w:tcW w:w="300" w:type="dxa"/>
            <w:vAlign w:val="bottom"/>
          </w:tcPr>
          <w:p>
            <w:pPr>
              <w:spacing w:after="0"/>
              <w:rPr>
                <w:sz w:val="17"/>
                <w:szCs w:val="17"/>
                <w:color w:val="auto"/>
              </w:rPr>
            </w:pPr>
          </w:p>
        </w:tc>
        <w:tc>
          <w:tcPr>
            <w:tcW w:w="1280" w:type="dxa"/>
            <w:vAlign w:val="bottom"/>
            <w:gridSpan w:val="2"/>
          </w:tcPr>
          <w:p>
            <w:pPr>
              <w:jc w:val="right"/>
              <w:ind w:right="179"/>
              <w:spacing w:after="0" w:line="193" w:lineRule="exact"/>
              <w:rPr>
                <w:sz w:val="20"/>
                <w:szCs w:val="20"/>
                <w:color w:val="auto"/>
              </w:rPr>
            </w:pPr>
            <w:r>
              <w:rPr>
                <w:rFonts w:ascii="Calibri" w:cs="Calibri" w:eastAsia="Calibri" w:hAnsi="Calibri"/>
                <w:sz w:val="16"/>
                <w:szCs w:val="16"/>
                <w:color w:val="auto"/>
              </w:rPr>
              <w:t>—</w:t>
            </w:r>
          </w:p>
        </w:tc>
        <w:tc>
          <w:tcPr>
            <w:tcW w:w="300" w:type="dxa"/>
            <w:vAlign w:val="bottom"/>
          </w:tcPr>
          <w:p>
            <w:pPr>
              <w:spacing w:after="0"/>
              <w:rPr>
                <w:sz w:val="17"/>
                <w:szCs w:val="17"/>
                <w:color w:val="auto"/>
              </w:rPr>
            </w:pPr>
          </w:p>
        </w:tc>
        <w:tc>
          <w:tcPr>
            <w:tcW w:w="1280" w:type="dxa"/>
            <w:vAlign w:val="bottom"/>
            <w:gridSpan w:val="2"/>
          </w:tcPr>
          <w:p>
            <w:pPr>
              <w:jc w:val="right"/>
              <w:ind w:right="260"/>
              <w:spacing w:after="0" w:line="193" w:lineRule="exact"/>
              <w:rPr>
                <w:sz w:val="20"/>
                <w:szCs w:val="20"/>
                <w:color w:val="auto"/>
              </w:rPr>
            </w:pPr>
            <w:r>
              <w:rPr>
                <w:rFonts w:ascii="Calibri" w:cs="Calibri" w:eastAsia="Calibri" w:hAnsi="Calibri"/>
                <w:sz w:val="16"/>
                <w:szCs w:val="16"/>
                <w:color w:val="auto"/>
              </w:rPr>
              <w:t>—</w:t>
            </w:r>
          </w:p>
        </w:tc>
        <w:tc>
          <w:tcPr>
            <w:tcW w:w="300" w:type="dxa"/>
            <w:vAlign w:val="bottom"/>
          </w:tcPr>
          <w:p>
            <w:pPr>
              <w:spacing w:after="0"/>
              <w:rPr>
                <w:sz w:val="17"/>
                <w:szCs w:val="17"/>
                <w:color w:val="auto"/>
              </w:rPr>
            </w:pPr>
          </w:p>
        </w:tc>
        <w:tc>
          <w:tcPr>
            <w:tcW w:w="1140" w:type="dxa"/>
            <w:vAlign w:val="bottom"/>
            <w:gridSpan w:val="2"/>
          </w:tcPr>
          <w:p>
            <w:pPr>
              <w:jc w:val="right"/>
              <w:ind w:right="40"/>
              <w:spacing w:after="0" w:line="193" w:lineRule="exact"/>
              <w:rPr>
                <w:sz w:val="20"/>
                <w:szCs w:val="20"/>
                <w:color w:val="auto"/>
              </w:rPr>
            </w:pPr>
            <w:r>
              <w:rPr>
                <w:rFonts w:ascii="Calibri" w:cs="Calibri" w:eastAsia="Calibri" w:hAnsi="Calibri"/>
                <w:sz w:val="16"/>
                <w:szCs w:val="16"/>
                <w:color w:val="auto"/>
              </w:rPr>
              <w:t>(25 )</w:t>
            </w:r>
          </w:p>
        </w:tc>
        <w:tc>
          <w:tcPr>
            <w:tcW w:w="0" w:type="dxa"/>
            <w:vAlign w:val="bottom"/>
          </w:tcPr>
          <w:p>
            <w:pPr>
              <w:spacing w:after="0"/>
              <w:rPr>
                <w:sz w:val="1"/>
                <w:szCs w:val="1"/>
                <w:color w:val="auto"/>
              </w:rPr>
            </w:pPr>
          </w:p>
        </w:tc>
      </w:tr>
      <w:tr>
        <w:trPr>
          <w:trHeight w:val="203"/>
        </w:trPr>
        <w:tc>
          <w:tcPr>
            <w:tcW w:w="6640" w:type="dxa"/>
            <w:vAlign w:val="bottom"/>
            <w:tcBorders>
              <w:bottom w:val="single" w:sz="8" w:color="CFF0FC"/>
            </w:tcBorders>
            <w:shd w:val="clear" w:color="auto" w:fill="CFF0FC"/>
          </w:tcPr>
          <w:p>
            <w:pPr>
              <w:ind w:left="200"/>
              <w:spacing w:after="0"/>
              <w:rPr>
                <w:sz w:val="20"/>
                <w:szCs w:val="20"/>
                <w:color w:val="auto"/>
              </w:rPr>
            </w:pPr>
            <w:r>
              <w:rPr>
                <w:rFonts w:ascii="Calibri" w:cs="Calibri" w:eastAsia="Calibri" w:hAnsi="Calibri"/>
                <w:sz w:val="16"/>
                <w:szCs w:val="16"/>
                <w:color w:val="auto"/>
              </w:rPr>
              <w:t>Net proceeds from sales of assets</w:t>
            </w:r>
          </w:p>
        </w:tc>
        <w:tc>
          <w:tcPr>
            <w:tcW w:w="3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6"/>
                <w:szCs w:val="16"/>
                <w:color w:val="auto"/>
              </w:rPr>
              <w:t>17</w:t>
            </w:r>
          </w:p>
        </w:tc>
        <w:tc>
          <w:tcPr>
            <w:tcW w:w="2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6"/>
                <w:szCs w:val="16"/>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40" w:type="dxa"/>
            <w:vAlign w:val="bottom"/>
          </w:tcPr>
          <w:p>
            <w:pPr>
              <w:ind w:left="380"/>
              <w:spacing w:after="0" w:line="193" w:lineRule="exact"/>
              <w:rPr>
                <w:sz w:val="20"/>
                <w:szCs w:val="20"/>
                <w:color w:val="auto"/>
              </w:rPr>
            </w:pPr>
            <w:r>
              <w:rPr>
                <w:rFonts w:ascii="Calibri" w:cs="Calibri" w:eastAsia="Calibri" w:hAnsi="Calibri"/>
                <w:sz w:val="16"/>
                <w:szCs w:val="16"/>
                <w:color w:val="auto"/>
              </w:rPr>
              <w:t>Net cash used in investng actvites</w:t>
            </w:r>
          </w:p>
        </w:tc>
        <w:tc>
          <w:tcPr>
            <w:tcW w:w="300" w:type="dxa"/>
            <w:vAlign w:val="bottom"/>
          </w:tcPr>
          <w:p>
            <w:pPr>
              <w:spacing w:after="0"/>
              <w:rPr>
                <w:sz w:val="17"/>
                <w:szCs w:val="17"/>
                <w:color w:val="auto"/>
              </w:rPr>
            </w:pPr>
          </w:p>
        </w:tc>
        <w:tc>
          <w:tcPr>
            <w:tcW w:w="1280" w:type="dxa"/>
            <w:vAlign w:val="bottom"/>
            <w:gridSpan w:val="2"/>
          </w:tcPr>
          <w:p>
            <w:pPr>
              <w:jc w:val="right"/>
              <w:ind w:right="99"/>
              <w:spacing w:after="0" w:line="193" w:lineRule="exact"/>
              <w:rPr>
                <w:sz w:val="20"/>
                <w:szCs w:val="20"/>
                <w:color w:val="auto"/>
              </w:rPr>
            </w:pPr>
            <w:r>
              <w:rPr>
                <w:rFonts w:ascii="Calibri" w:cs="Calibri" w:eastAsia="Calibri" w:hAnsi="Calibri"/>
                <w:sz w:val="16"/>
                <w:szCs w:val="16"/>
                <w:color w:val="auto"/>
              </w:rPr>
              <w:t>(39 )</w:t>
            </w:r>
          </w:p>
        </w:tc>
        <w:tc>
          <w:tcPr>
            <w:tcW w:w="300" w:type="dxa"/>
            <w:vAlign w:val="bottom"/>
          </w:tcPr>
          <w:p>
            <w:pPr>
              <w:spacing w:after="0"/>
              <w:rPr>
                <w:sz w:val="17"/>
                <w:szCs w:val="17"/>
                <w:color w:val="auto"/>
              </w:rPr>
            </w:pPr>
          </w:p>
        </w:tc>
        <w:tc>
          <w:tcPr>
            <w:tcW w:w="1280" w:type="dxa"/>
            <w:vAlign w:val="bottom"/>
            <w:gridSpan w:val="2"/>
          </w:tcPr>
          <w:p>
            <w:pPr>
              <w:jc w:val="right"/>
              <w:ind w:right="180"/>
              <w:spacing w:after="0" w:line="193" w:lineRule="exact"/>
              <w:rPr>
                <w:sz w:val="20"/>
                <w:szCs w:val="20"/>
                <w:color w:val="auto"/>
              </w:rPr>
            </w:pPr>
            <w:r>
              <w:rPr>
                <w:rFonts w:ascii="Calibri" w:cs="Calibri" w:eastAsia="Calibri" w:hAnsi="Calibri"/>
                <w:sz w:val="16"/>
                <w:szCs w:val="16"/>
                <w:color w:val="auto"/>
              </w:rPr>
              <w:t>(32 )</w:t>
            </w:r>
          </w:p>
        </w:tc>
        <w:tc>
          <w:tcPr>
            <w:tcW w:w="300" w:type="dxa"/>
            <w:vAlign w:val="bottom"/>
          </w:tcPr>
          <w:p>
            <w:pPr>
              <w:spacing w:after="0"/>
              <w:rPr>
                <w:sz w:val="17"/>
                <w:szCs w:val="17"/>
                <w:color w:val="auto"/>
              </w:rPr>
            </w:pPr>
          </w:p>
        </w:tc>
        <w:tc>
          <w:tcPr>
            <w:tcW w:w="1140" w:type="dxa"/>
            <w:vAlign w:val="bottom"/>
            <w:gridSpan w:val="2"/>
          </w:tcPr>
          <w:p>
            <w:pPr>
              <w:jc w:val="right"/>
              <w:ind w:right="40"/>
              <w:spacing w:after="0" w:line="193" w:lineRule="exact"/>
              <w:rPr>
                <w:sz w:val="20"/>
                <w:szCs w:val="20"/>
                <w:color w:val="auto"/>
              </w:rPr>
            </w:pPr>
            <w:r>
              <w:rPr>
                <w:rFonts w:ascii="Calibri" w:cs="Calibri" w:eastAsia="Calibri" w:hAnsi="Calibri"/>
                <w:sz w:val="16"/>
                <w:szCs w:val="16"/>
                <w:color w:val="auto"/>
              </w:rPr>
              <w:t>(56 )</w:t>
            </w:r>
          </w:p>
        </w:tc>
        <w:tc>
          <w:tcPr>
            <w:tcW w:w="0" w:type="dxa"/>
            <w:vAlign w:val="bottom"/>
          </w:tcPr>
          <w:p>
            <w:pPr>
              <w:spacing w:after="0"/>
              <w:rPr>
                <w:sz w:val="1"/>
                <w:szCs w:val="1"/>
                <w:color w:val="auto"/>
              </w:rPr>
            </w:pPr>
          </w:p>
        </w:tc>
      </w:tr>
      <w:tr>
        <w:trPr>
          <w:trHeight w:val="201"/>
        </w:trPr>
        <w:tc>
          <w:tcPr>
            <w:tcW w:w="664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640" w:type="dxa"/>
            <w:vAlign w:val="bottom"/>
          </w:tcPr>
          <w:p>
            <w:pPr>
              <w:ind w:left="20"/>
              <w:spacing w:after="0" w:line="193" w:lineRule="exact"/>
              <w:rPr>
                <w:sz w:val="20"/>
                <w:szCs w:val="20"/>
                <w:color w:val="auto"/>
              </w:rPr>
            </w:pPr>
            <w:r>
              <w:rPr>
                <w:rFonts w:ascii="Calibri" w:cs="Calibri" w:eastAsia="Calibri" w:hAnsi="Calibri"/>
                <w:sz w:val="16"/>
                <w:szCs w:val="16"/>
                <w:color w:val="auto"/>
              </w:rPr>
              <w:t>Cash fows from fnancing actvites:</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640" w:type="dxa"/>
            <w:vAlign w:val="bottom"/>
            <w:shd w:val="clear" w:color="auto" w:fill="CFF0FC"/>
          </w:tcPr>
          <w:p>
            <w:pPr>
              <w:ind w:left="200"/>
              <w:spacing w:after="0"/>
              <w:rPr>
                <w:sz w:val="20"/>
                <w:szCs w:val="20"/>
                <w:color w:val="auto"/>
              </w:rPr>
            </w:pPr>
            <w:r>
              <w:rPr>
                <w:rFonts w:ascii="Calibri" w:cs="Calibri" w:eastAsia="Calibri" w:hAnsi="Calibri"/>
                <w:sz w:val="16"/>
                <w:szCs w:val="16"/>
                <w:color w:val="auto"/>
              </w:rPr>
              <w:t>Net proceeds from Amended and Restated Term Loan Agreement</w:t>
            </w: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79"/>
              <w:spacing w:after="0"/>
              <w:rPr>
                <w:sz w:val="20"/>
                <w:szCs w:val="20"/>
                <w:color w:val="auto"/>
              </w:rPr>
            </w:pPr>
            <w:r>
              <w:rPr>
                <w:rFonts w:ascii="Calibri" w:cs="Calibri" w:eastAsia="Calibri" w:hAnsi="Calibri"/>
                <w:sz w:val="16"/>
                <w:szCs w:val="16"/>
                <w:color w:val="auto"/>
              </w:rPr>
              <w:t>—</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435</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20"/>
              <w:spacing w:after="0"/>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198"/>
        </w:trPr>
        <w:tc>
          <w:tcPr>
            <w:tcW w:w="6640" w:type="dxa"/>
            <w:vAlign w:val="bottom"/>
          </w:tcPr>
          <w:p>
            <w:pPr>
              <w:ind w:left="200"/>
              <w:spacing w:after="0" w:line="193" w:lineRule="exact"/>
              <w:rPr>
                <w:sz w:val="20"/>
                <w:szCs w:val="20"/>
                <w:color w:val="auto"/>
              </w:rPr>
            </w:pPr>
            <w:r>
              <w:rPr>
                <w:rFonts w:ascii="Calibri" w:cs="Calibri" w:eastAsia="Calibri" w:hAnsi="Calibri"/>
                <w:sz w:val="16"/>
                <w:szCs w:val="16"/>
                <w:color w:val="auto"/>
              </w:rPr>
              <w:t>Net proceeds from Original Term Loan Credit Agreement</w:t>
            </w:r>
          </w:p>
        </w:tc>
        <w:tc>
          <w:tcPr>
            <w:tcW w:w="300" w:type="dxa"/>
            <w:vAlign w:val="bottom"/>
          </w:tcPr>
          <w:p>
            <w:pPr>
              <w:spacing w:after="0"/>
              <w:rPr>
                <w:sz w:val="17"/>
                <w:szCs w:val="17"/>
                <w:color w:val="auto"/>
              </w:rPr>
            </w:pPr>
          </w:p>
        </w:tc>
        <w:tc>
          <w:tcPr>
            <w:tcW w:w="1280" w:type="dxa"/>
            <w:vAlign w:val="bottom"/>
            <w:gridSpan w:val="2"/>
          </w:tcPr>
          <w:p>
            <w:pPr>
              <w:jc w:val="right"/>
              <w:ind w:right="179"/>
              <w:spacing w:after="0" w:line="193" w:lineRule="exact"/>
              <w:rPr>
                <w:sz w:val="20"/>
                <w:szCs w:val="20"/>
                <w:color w:val="auto"/>
              </w:rPr>
            </w:pPr>
            <w:r>
              <w:rPr>
                <w:rFonts w:ascii="Calibri" w:cs="Calibri" w:eastAsia="Calibri" w:hAnsi="Calibri"/>
                <w:sz w:val="16"/>
                <w:szCs w:val="16"/>
                <w:color w:val="auto"/>
              </w:rPr>
              <w:t>—</w:t>
            </w:r>
          </w:p>
        </w:tc>
        <w:tc>
          <w:tcPr>
            <w:tcW w:w="300" w:type="dxa"/>
            <w:vAlign w:val="bottom"/>
          </w:tcPr>
          <w:p>
            <w:pPr>
              <w:spacing w:after="0"/>
              <w:rPr>
                <w:sz w:val="17"/>
                <w:szCs w:val="17"/>
                <w:color w:val="auto"/>
              </w:rPr>
            </w:pPr>
          </w:p>
        </w:tc>
        <w:tc>
          <w:tcPr>
            <w:tcW w:w="1280" w:type="dxa"/>
            <w:vAlign w:val="bottom"/>
            <w:gridSpan w:val="2"/>
          </w:tcPr>
          <w:p>
            <w:pPr>
              <w:jc w:val="right"/>
              <w:ind w:right="260"/>
              <w:spacing w:after="0" w:line="193" w:lineRule="exact"/>
              <w:rPr>
                <w:sz w:val="20"/>
                <w:szCs w:val="20"/>
                <w:color w:val="auto"/>
              </w:rPr>
            </w:pPr>
            <w:r>
              <w:rPr>
                <w:rFonts w:ascii="Calibri" w:cs="Calibri" w:eastAsia="Calibri" w:hAnsi="Calibri"/>
                <w:sz w:val="16"/>
                <w:szCs w:val="16"/>
                <w:color w:val="auto"/>
              </w:rPr>
              <w:t>—</w:t>
            </w:r>
          </w:p>
        </w:tc>
        <w:tc>
          <w:tcPr>
            <w:tcW w:w="300" w:type="dxa"/>
            <w:vAlign w:val="bottom"/>
          </w:tcPr>
          <w:p>
            <w:pPr>
              <w:spacing w:after="0"/>
              <w:rPr>
                <w:sz w:val="17"/>
                <w:szCs w:val="17"/>
                <w:color w:val="auto"/>
              </w:rPr>
            </w:pPr>
          </w:p>
        </w:tc>
        <w:tc>
          <w:tcPr>
            <w:tcW w:w="1040" w:type="dxa"/>
            <w:vAlign w:val="bottom"/>
          </w:tcPr>
          <w:p>
            <w:pPr>
              <w:jc w:val="right"/>
              <w:spacing w:after="0" w:line="193" w:lineRule="exact"/>
              <w:rPr>
                <w:sz w:val="20"/>
                <w:szCs w:val="20"/>
                <w:color w:val="auto"/>
              </w:rPr>
            </w:pPr>
            <w:r>
              <w:rPr>
                <w:rFonts w:ascii="Calibri" w:cs="Calibri" w:eastAsia="Calibri" w:hAnsi="Calibri"/>
                <w:sz w:val="16"/>
                <w:szCs w:val="16"/>
                <w:color w:val="auto"/>
              </w:rPr>
              <w:t>49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640" w:type="dxa"/>
            <w:vAlign w:val="bottom"/>
            <w:shd w:val="clear" w:color="auto" w:fill="CFF0FC"/>
          </w:tcPr>
          <w:p>
            <w:pPr>
              <w:ind w:left="200"/>
              <w:spacing w:after="0"/>
              <w:rPr>
                <w:sz w:val="20"/>
                <w:szCs w:val="20"/>
                <w:color w:val="auto"/>
              </w:rPr>
            </w:pPr>
            <w:r>
              <w:rPr>
                <w:rFonts w:ascii="Calibri" w:cs="Calibri" w:eastAsia="Calibri" w:hAnsi="Calibri"/>
                <w:sz w:val="16"/>
                <w:szCs w:val="16"/>
                <w:color w:val="auto"/>
              </w:rPr>
              <w:t>Repayment of Original Term Loan Credit Agreement</w:t>
            </w: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79"/>
              <w:spacing w:after="0"/>
              <w:rPr>
                <w:sz w:val="20"/>
                <w:szCs w:val="20"/>
                <w:color w:val="auto"/>
              </w:rPr>
            </w:pPr>
            <w:r>
              <w:rPr>
                <w:rFonts w:ascii="Calibri" w:cs="Calibri" w:eastAsia="Calibri" w:hAnsi="Calibri"/>
                <w:sz w:val="16"/>
                <w:szCs w:val="16"/>
                <w:color w:val="auto"/>
              </w:rPr>
              <w:t>—</w:t>
            </w: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Calibri" w:cs="Calibri" w:eastAsia="Calibri" w:hAnsi="Calibri"/>
                <w:sz w:val="16"/>
                <w:szCs w:val="16"/>
                <w:color w:val="auto"/>
              </w:rPr>
              <w:t>(316 )</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20"/>
              <w:spacing w:after="0"/>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198"/>
        </w:trPr>
        <w:tc>
          <w:tcPr>
            <w:tcW w:w="6640" w:type="dxa"/>
            <w:vAlign w:val="bottom"/>
          </w:tcPr>
          <w:p>
            <w:pPr>
              <w:ind w:left="200"/>
              <w:spacing w:after="0" w:line="193" w:lineRule="exact"/>
              <w:rPr>
                <w:sz w:val="20"/>
                <w:szCs w:val="20"/>
                <w:color w:val="auto"/>
              </w:rPr>
            </w:pPr>
            <w:r>
              <w:rPr>
                <w:rFonts w:ascii="Calibri" w:cs="Calibri" w:eastAsia="Calibri" w:hAnsi="Calibri"/>
                <w:sz w:val="16"/>
                <w:szCs w:val="16"/>
                <w:color w:val="auto"/>
              </w:rPr>
              <w:t>Repayment of Convertble Notes</w:t>
            </w:r>
          </w:p>
        </w:tc>
        <w:tc>
          <w:tcPr>
            <w:tcW w:w="300" w:type="dxa"/>
            <w:vAlign w:val="bottom"/>
          </w:tcPr>
          <w:p>
            <w:pPr>
              <w:spacing w:after="0"/>
              <w:rPr>
                <w:sz w:val="17"/>
                <w:szCs w:val="17"/>
                <w:color w:val="auto"/>
              </w:rPr>
            </w:pPr>
          </w:p>
        </w:tc>
        <w:tc>
          <w:tcPr>
            <w:tcW w:w="1280" w:type="dxa"/>
            <w:vAlign w:val="bottom"/>
            <w:gridSpan w:val="2"/>
          </w:tcPr>
          <w:p>
            <w:pPr>
              <w:jc w:val="right"/>
              <w:ind w:right="179"/>
              <w:spacing w:after="0" w:line="193" w:lineRule="exact"/>
              <w:rPr>
                <w:sz w:val="20"/>
                <w:szCs w:val="20"/>
                <w:color w:val="auto"/>
              </w:rPr>
            </w:pPr>
            <w:r>
              <w:rPr>
                <w:rFonts w:ascii="Calibri" w:cs="Calibri" w:eastAsia="Calibri" w:hAnsi="Calibri"/>
                <w:sz w:val="16"/>
                <w:szCs w:val="16"/>
                <w:color w:val="auto"/>
              </w:rPr>
              <w:t>—</w:t>
            </w:r>
          </w:p>
        </w:tc>
        <w:tc>
          <w:tcPr>
            <w:tcW w:w="300" w:type="dxa"/>
            <w:vAlign w:val="bottom"/>
          </w:tcPr>
          <w:p>
            <w:pPr>
              <w:spacing w:after="0"/>
              <w:rPr>
                <w:sz w:val="17"/>
                <w:szCs w:val="17"/>
                <w:color w:val="auto"/>
              </w:rPr>
            </w:pPr>
          </w:p>
        </w:tc>
        <w:tc>
          <w:tcPr>
            <w:tcW w:w="1280" w:type="dxa"/>
            <w:vAlign w:val="bottom"/>
            <w:gridSpan w:val="2"/>
          </w:tcPr>
          <w:p>
            <w:pPr>
              <w:jc w:val="right"/>
              <w:ind w:right="180"/>
              <w:spacing w:after="0" w:line="193" w:lineRule="exact"/>
              <w:rPr>
                <w:sz w:val="20"/>
                <w:szCs w:val="20"/>
                <w:color w:val="auto"/>
              </w:rPr>
            </w:pPr>
            <w:r>
              <w:rPr>
                <w:rFonts w:ascii="Calibri" w:cs="Calibri" w:eastAsia="Calibri" w:hAnsi="Calibri"/>
                <w:sz w:val="16"/>
                <w:szCs w:val="16"/>
                <w:color w:val="auto"/>
              </w:rPr>
              <w:t>(28 )</w:t>
            </w:r>
          </w:p>
        </w:tc>
        <w:tc>
          <w:tcPr>
            <w:tcW w:w="300" w:type="dxa"/>
            <w:vAlign w:val="bottom"/>
          </w:tcPr>
          <w:p>
            <w:pPr>
              <w:spacing w:after="0"/>
              <w:rPr>
                <w:sz w:val="17"/>
                <w:szCs w:val="17"/>
                <w:color w:val="auto"/>
              </w:rPr>
            </w:pPr>
          </w:p>
        </w:tc>
        <w:tc>
          <w:tcPr>
            <w:tcW w:w="1140" w:type="dxa"/>
            <w:vAlign w:val="bottom"/>
            <w:gridSpan w:val="2"/>
          </w:tcPr>
          <w:p>
            <w:pPr>
              <w:jc w:val="right"/>
              <w:ind w:right="120"/>
              <w:spacing w:after="0" w:line="193" w:lineRule="exact"/>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07"/>
        </w:trPr>
        <w:tc>
          <w:tcPr>
            <w:tcW w:w="6640" w:type="dxa"/>
            <w:vAlign w:val="bottom"/>
            <w:shd w:val="clear" w:color="auto" w:fill="CFF0FC"/>
          </w:tcPr>
          <w:p>
            <w:pPr>
              <w:ind w:left="200"/>
              <w:spacing w:after="0"/>
              <w:rPr>
                <w:sz w:val="20"/>
                <w:szCs w:val="20"/>
                <w:color w:val="auto"/>
              </w:rPr>
            </w:pPr>
            <w:r>
              <w:rPr>
                <w:rFonts w:ascii="Calibri" w:cs="Calibri" w:eastAsia="Calibri" w:hAnsi="Calibri"/>
                <w:sz w:val="16"/>
                <w:szCs w:val="16"/>
                <w:color w:val="auto"/>
              </w:rPr>
              <w:t>Other debt acquisiton costs</w:t>
            </w: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79"/>
              <w:spacing w:after="0"/>
              <w:rPr>
                <w:sz w:val="20"/>
                <w:szCs w:val="20"/>
                <w:color w:val="auto"/>
              </w:rPr>
            </w:pPr>
            <w:r>
              <w:rPr>
                <w:rFonts w:ascii="Calibri" w:cs="Calibri" w:eastAsia="Calibri" w:hAnsi="Calibri"/>
                <w:sz w:val="16"/>
                <w:szCs w:val="16"/>
                <w:color w:val="auto"/>
              </w:rPr>
              <w:t>—</w:t>
            </w: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Calibri" w:cs="Calibri" w:eastAsia="Calibri" w:hAnsi="Calibri"/>
                <w:sz w:val="16"/>
                <w:szCs w:val="16"/>
                <w:color w:val="auto"/>
              </w:rPr>
              <w:t>(1 )</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20"/>
              <w:spacing w:after="0"/>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198"/>
        </w:trPr>
        <w:tc>
          <w:tcPr>
            <w:tcW w:w="6640" w:type="dxa"/>
            <w:vAlign w:val="bottom"/>
          </w:tcPr>
          <w:p>
            <w:pPr>
              <w:ind w:left="200"/>
              <w:spacing w:after="0" w:line="193" w:lineRule="exact"/>
              <w:rPr>
                <w:sz w:val="20"/>
                <w:szCs w:val="20"/>
                <w:color w:val="auto"/>
              </w:rPr>
            </w:pPr>
            <w:r>
              <w:rPr>
                <w:rFonts w:ascii="Calibri" w:cs="Calibri" w:eastAsia="Calibri" w:hAnsi="Calibri"/>
                <w:sz w:val="16"/>
                <w:szCs w:val="16"/>
                <w:color w:val="auto"/>
              </w:rPr>
              <w:t>Repayment of Amended and Restated Term Loan Agreement</w:t>
            </w:r>
          </w:p>
        </w:tc>
        <w:tc>
          <w:tcPr>
            <w:tcW w:w="300" w:type="dxa"/>
            <w:vAlign w:val="bottom"/>
          </w:tcPr>
          <w:p>
            <w:pPr>
              <w:spacing w:after="0"/>
              <w:rPr>
                <w:sz w:val="17"/>
                <w:szCs w:val="17"/>
                <w:color w:val="auto"/>
              </w:rPr>
            </w:pPr>
          </w:p>
        </w:tc>
        <w:tc>
          <w:tcPr>
            <w:tcW w:w="1280" w:type="dxa"/>
            <w:vAlign w:val="bottom"/>
            <w:gridSpan w:val="2"/>
          </w:tcPr>
          <w:p>
            <w:pPr>
              <w:jc w:val="right"/>
              <w:ind w:right="99"/>
              <w:spacing w:after="0" w:line="193" w:lineRule="exact"/>
              <w:rPr>
                <w:sz w:val="20"/>
                <w:szCs w:val="20"/>
                <w:color w:val="auto"/>
              </w:rPr>
            </w:pPr>
            <w:r>
              <w:rPr>
                <w:rFonts w:ascii="Calibri" w:cs="Calibri" w:eastAsia="Calibri" w:hAnsi="Calibri"/>
                <w:sz w:val="16"/>
                <w:szCs w:val="16"/>
                <w:color w:val="auto"/>
              </w:rPr>
              <w:t>(17 )</w:t>
            </w:r>
          </w:p>
        </w:tc>
        <w:tc>
          <w:tcPr>
            <w:tcW w:w="300" w:type="dxa"/>
            <w:vAlign w:val="bottom"/>
          </w:tcPr>
          <w:p>
            <w:pPr>
              <w:spacing w:after="0"/>
              <w:rPr>
                <w:sz w:val="17"/>
                <w:szCs w:val="17"/>
                <w:color w:val="auto"/>
              </w:rPr>
            </w:pPr>
          </w:p>
        </w:tc>
        <w:tc>
          <w:tcPr>
            <w:tcW w:w="1280" w:type="dxa"/>
            <w:vAlign w:val="bottom"/>
            <w:gridSpan w:val="2"/>
          </w:tcPr>
          <w:p>
            <w:pPr>
              <w:jc w:val="right"/>
              <w:ind w:right="260"/>
              <w:spacing w:after="0" w:line="193" w:lineRule="exact"/>
              <w:rPr>
                <w:sz w:val="20"/>
                <w:szCs w:val="20"/>
                <w:color w:val="auto"/>
              </w:rPr>
            </w:pPr>
            <w:r>
              <w:rPr>
                <w:rFonts w:ascii="Calibri" w:cs="Calibri" w:eastAsia="Calibri" w:hAnsi="Calibri"/>
                <w:sz w:val="16"/>
                <w:szCs w:val="16"/>
                <w:color w:val="auto"/>
              </w:rPr>
              <w:t>—</w:t>
            </w:r>
          </w:p>
        </w:tc>
        <w:tc>
          <w:tcPr>
            <w:tcW w:w="300" w:type="dxa"/>
            <w:vAlign w:val="bottom"/>
          </w:tcPr>
          <w:p>
            <w:pPr>
              <w:spacing w:after="0"/>
              <w:rPr>
                <w:sz w:val="17"/>
                <w:szCs w:val="17"/>
                <w:color w:val="auto"/>
              </w:rPr>
            </w:pPr>
          </w:p>
        </w:tc>
        <w:tc>
          <w:tcPr>
            <w:tcW w:w="1140" w:type="dxa"/>
            <w:vAlign w:val="bottom"/>
            <w:gridSpan w:val="2"/>
          </w:tcPr>
          <w:p>
            <w:pPr>
              <w:jc w:val="right"/>
              <w:ind w:right="120"/>
              <w:spacing w:after="0" w:line="193" w:lineRule="exact"/>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07"/>
        </w:trPr>
        <w:tc>
          <w:tcPr>
            <w:tcW w:w="6640" w:type="dxa"/>
            <w:vAlign w:val="bottom"/>
            <w:shd w:val="clear" w:color="auto" w:fill="CFF0FC"/>
          </w:tcPr>
          <w:p>
            <w:pPr>
              <w:ind w:left="200"/>
              <w:spacing w:after="0"/>
              <w:rPr>
                <w:sz w:val="20"/>
                <w:szCs w:val="20"/>
                <w:color w:val="auto"/>
              </w:rPr>
            </w:pPr>
            <w:r>
              <w:rPr>
                <w:rFonts w:ascii="Calibri" w:cs="Calibri" w:eastAsia="Calibri" w:hAnsi="Calibri"/>
                <w:sz w:val="16"/>
                <w:szCs w:val="16"/>
                <w:color w:val="auto"/>
              </w:rPr>
              <w:t>Preferred stock cash dividend payments</w:t>
            </w: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99"/>
              <w:spacing w:after="0"/>
              <w:rPr>
                <w:sz w:val="20"/>
                <w:szCs w:val="20"/>
                <w:color w:val="auto"/>
              </w:rPr>
            </w:pPr>
            <w:r>
              <w:rPr>
                <w:rFonts w:ascii="Calibri" w:cs="Calibri" w:eastAsia="Calibri" w:hAnsi="Calibri"/>
                <w:sz w:val="16"/>
                <w:szCs w:val="16"/>
                <w:color w:val="auto"/>
              </w:rPr>
              <w:t>(4 )</w:t>
            </w: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Calibri" w:cs="Calibri" w:eastAsia="Calibri" w:hAnsi="Calibri"/>
                <w:sz w:val="16"/>
                <w:szCs w:val="16"/>
                <w:color w:val="auto"/>
              </w:rPr>
              <w:t>(4 )</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Calibri" w:cs="Calibri" w:eastAsia="Calibri" w:hAnsi="Calibri"/>
                <w:sz w:val="16"/>
                <w:szCs w:val="16"/>
                <w:color w:val="auto"/>
              </w:rPr>
              <w:t>(4 )</w:t>
            </w:r>
          </w:p>
        </w:tc>
        <w:tc>
          <w:tcPr>
            <w:tcW w:w="0" w:type="dxa"/>
            <w:vAlign w:val="bottom"/>
          </w:tcPr>
          <w:p>
            <w:pPr>
              <w:spacing w:after="0"/>
              <w:rPr>
                <w:sz w:val="1"/>
                <w:szCs w:val="1"/>
                <w:color w:val="auto"/>
              </w:rPr>
            </w:pPr>
          </w:p>
        </w:tc>
      </w:tr>
      <w:tr>
        <w:trPr>
          <w:trHeight w:val="198"/>
        </w:trPr>
        <w:tc>
          <w:tcPr>
            <w:tcW w:w="6640" w:type="dxa"/>
            <w:vAlign w:val="bottom"/>
          </w:tcPr>
          <w:p>
            <w:pPr>
              <w:ind w:left="200"/>
              <w:spacing w:after="0" w:line="193" w:lineRule="exact"/>
              <w:rPr>
                <w:sz w:val="20"/>
                <w:szCs w:val="20"/>
                <w:color w:val="auto"/>
              </w:rPr>
            </w:pPr>
            <w:r>
              <w:rPr>
                <w:rFonts w:ascii="Calibri" w:cs="Calibri" w:eastAsia="Calibri" w:hAnsi="Calibri"/>
                <w:sz w:val="16"/>
                <w:szCs w:val="16"/>
                <w:color w:val="auto"/>
              </w:rPr>
              <w:t>Treasury stock purchases</w:t>
            </w:r>
          </w:p>
        </w:tc>
        <w:tc>
          <w:tcPr>
            <w:tcW w:w="300" w:type="dxa"/>
            <w:vAlign w:val="bottom"/>
          </w:tcPr>
          <w:p>
            <w:pPr>
              <w:spacing w:after="0"/>
              <w:rPr>
                <w:sz w:val="17"/>
                <w:szCs w:val="17"/>
                <w:color w:val="auto"/>
              </w:rPr>
            </w:pPr>
          </w:p>
        </w:tc>
        <w:tc>
          <w:tcPr>
            <w:tcW w:w="1280" w:type="dxa"/>
            <w:vAlign w:val="bottom"/>
            <w:gridSpan w:val="2"/>
          </w:tcPr>
          <w:p>
            <w:pPr>
              <w:jc w:val="right"/>
              <w:ind w:right="99"/>
              <w:spacing w:after="0" w:line="193" w:lineRule="exact"/>
              <w:rPr>
                <w:sz w:val="20"/>
                <w:szCs w:val="20"/>
                <w:color w:val="auto"/>
              </w:rPr>
            </w:pPr>
            <w:r>
              <w:rPr>
                <w:rFonts w:ascii="Calibri" w:cs="Calibri" w:eastAsia="Calibri" w:hAnsi="Calibri"/>
                <w:sz w:val="16"/>
                <w:szCs w:val="16"/>
                <w:color w:val="auto"/>
              </w:rPr>
              <w:t>(1 )</w:t>
            </w:r>
          </w:p>
        </w:tc>
        <w:tc>
          <w:tcPr>
            <w:tcW w:w="300" w:type="dxa"/>
            <w:vAlign w:val="bottom"/>
          </w:tcPr>
          <w:p>
            <w:pPr>
              <w:spacing w:after="0"/>
              <w:rPr>
                <w:sz w:val="17"/>
                <w:szCs w:val="17"/>
                <w:color w:val="auto"/>
              </w:rPr>
            </w:pPr>
          </w:p>
        </w:tc>
        <w:tc>
          <w:tcPr>
            <w:tcW w:w="1280" w:type="dxa"/>
            <w:vAlign w:val="bottom"/>
            <w:gridSpan w:val="2"/>
          </w:tcPr>
          <w:p>
            <w:pPr>
              <w:jc w:val="right"/>
              <w:ind w:right="260"/>
              <w:spacing w:after="0" w:line="193" w:lineRule="exact"/>
              <w:rPr>
                <w:sz w:val="20"/>
                <w:szCs w:val="20"/>
                <w:color w:val="auto"/>
              </w:rPr>
            </w:pPr>
            <w:r>
              <w:rPr>
                <w:rFonts w:ascii="Calibri" w:cs="Calibri" w:eastAsia="Calibri" w:hAnsi="Calibri"/>
                <w:sz w:val="16"/>
                <w:szCs w:val="16"/>
                <w:color w:val="auto"/>
              </w:rPr>
              <w:t>—</w:t>
            </w:r>
          </w:p>
        </w:tc>
        <w:tc>
          <w:tcPr>
            <w:tcW w:w="300" w:type="dxa"/>
            <w:vAlign w:val="bottom"/>
          </w:tcPr>
          <w:p>
            <w:pPr>
              <w:spacing w:after="0"/>
              <w:rPr>
                <w:sz w:val="17"/>
                <w:szCs w:val="17"/>
                <w:color w:val="auto"/>
              </w:rPr>
            </w:pPr>
          </w:p>
        </w:tc>
        <w:tc>
          <w:tcPr>
            <w:tcW w:w="1140" w:type="dxa"/>
            <w:vAlign w:val="bottom"/>
            <w:gridSpan w:val="2"/>
          </w:tcPr>
          <w:p>
            <w:pPr>
              <w:jc w:val="right"/>
              <w:ind w:right="40"/>
              <w:spacing w:after="0" w:line="193" w:lineRule="exact"/>
              <w:rPr>
                <w:sz w:val="20"/>
                <w:szCs w:val="20"/>
                <w:color w:val="auto"/>
              </w:rPr>
            </w:pPr>
            <w:r>
              <w:rPr>
                <w:rFonts w:ascii="Calibri" w:cs="Calibri" w:eastAsia="Calibri" w:hAnsi="Calibri"/>
                <w:sz w:val="16"/>
                <w:szCs w:val="16"/>
                <w:color w:val="auto"/>
              </w:rPr>
              <w:t>(1 )</w:t>
            </w:r>
          </w:p>
        </w:tc>
        <w:tc>
          <w:tcPr>
            <w:tcW w:w="0" w:type="dxa"/>
            <w:vAlign w:val="bottom"/>
          </w:tcPr>
          <w:p>
            <w:pPr>
              <w:spacing w:after="0"/>
              <w:rPr>
                <w:sz w:val="1"/>
                <w:szCs w:val="1"/>
                <w:color w:val="auto"/>
              </w:rPr>
            </w:pPr>
          </w:p>
        </w:tc>
      </w:tr>
      <w:tr>
        <w:trPr>
          <w:trHeight w:val="203"/>
        </w:trPr>
        <w:tc>
          <w:tcPr>
            <w:tcW w:w="6640" w:type="dxa"/>
            <w:vAlign w:val="bottom"/>
            <w:shd w:val="clear" w:color="auto" w:fill="CFF0FC"/>
          </w:tcPr>
          <w:p>
            <w:pPr>
              <w:ind w:left="200"/>
              <w:spacing w:after="0"/>
              <w:rPr>
                <w:sz w:val="20"/>
                <w:szCs w:val="20"/>
                <w:color w:val="auto"/>
              </w:rPr>
            </w:pPr>
            <w:r>
              <w:rPr>
                <w:rFonts w:ascii="Calibri" w:cs="Calibri" w:eastAsia="Calibri" w:hAnsi="Calibri"/>
                <w:sz w:val="16"/>
                <w:szCs w:val="16"/>
                <w:color w:val="auto"/>
              </w:rPr>
              <w:t>Finance lease payments</w:t>
            </w:r>
          </w:p>
        </w:tc>
        <w:tc>
          <w:tcPr>
            <w:tcW w:w="3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99"/>
              <w:spacing w:after="0"/>
              <w:rPr>
                <w:sz w:val="20"/>
                <w:szCs w:val="20"/>
                <w:color w:val="auto"/>
              </w:rPr>
            </w:pPr>
            <w:r>
              <w:rPr>
                <w:rFonts w:ascii="Calibri" w:cs="Calibri" w:eastAsia="Calibri" w:hAnsi="Calibri"/>
                <w:sz w:val="16"/>
                <w:szCs w:val="16"/>
                <w:color w:val="auto"/>
              </w:rPr>
              <w:t>(1 )</w:t>
            </w:r>
          </w:p>
        </w:tc>
        <w:tc>
          <w:tcPr>
            <w:tcW w:w="3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80"/>
              <w:spacing w:after="0"/>
              <w:rPr>
                <w:sz w:val="20"/>
                <w:szCs w:val="20"/>
                <w:color w:val="auto"/>
              </w:rPr>
            </w:pPr>
            <w:r>
              <w:rPr>
                <w:rFonts w:ascii="Calibri" w:cs="Calibri" w:eastAsia="Calibri" w:hAnsi="Calibri"/>
                <w:sz w:val="16"/>
                <w:szCs w:val="16"/>
                <w:color w:val="auto"/>
              </w:rPr>
              <w:t>(1 )</w:t>
            </w: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40"/>
              <w:spacing w:after="0"/>
              <w:rPr>
                <w:sz w:val="20"/>
                <w:szCs w:val="20"/>
                <w:color w:val="auto"/>
              </w:rPr>
            </w:pPr>
            <w:r>
              <w:rPr>
                <w:rFonts w:ascii="Calibri" w:cs="Calibri" w:eastAsia="Calibri" w:hAnsi="Calibri"/>
                <w:sz w:val="16"/>
                <w:szCs w:val="16"/>
                <w:color w:val="auto"/>
              </w:rPr>
              <w:t>(1 )</w:t>
            </w:r>
          </w:p>
        </w:tc>
        <w:tc>
          <w:tcPr>
            <w:tcW w:w="0" w:type="dxa"/>
            <w:vAlign w:val="bottom"/>
          </w:tcPr>
          <w:p>
            <w:pPr>
              <w:spacing w:after="0"/>
              <w:rPr>
                <w:sz w:val="1"/>
                <w:szCs w:val="1"/>
                <w:color w:val="auto"/>
              </w:rPr>
            </w:pPr>
          </w:p>
        </w:tc>
      </w:tr>
      <w:tr>
        <w:trPr>
          <w:trHeight w:val="20"/>
        </w:trPr>
        <w:tc>
          <w:tcPr>
            <w:tcW w:w="66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40" w:type="dxa"/>
            <w:vAlign w:val="bottom"/>
          </w:tcPr>
          <w:p>
            <w:pPr>
              <w:ind w:left="380"/>
              <w:spacing w:after="0" w:line="193" w:lineRule="exact"/>
              <w:rPr>
                <w:sz w:val="20"/>
                <w:szCs w:val="20"/>
                <w:color w:val="auto"/>
              </w:rPr>
            </w:pPr>
            <w:r>
              <w:rPr>
                <w:rFonts w:ascii="Calibri" w:cs="Calibri" w:eastAsia="Calibri" w:hAnsi="Calibri"/>
                <w:sz w:val="16"/>
                <w:szCs w:val="16"/>
                <w:color w:val="auto"/>
              </w:rPr>
              <w:t>Net cash (used in) provided by fnancing actvites</w:t>
            </w:r>
          </w:p>
        </w:tc>
        <w:tc>
          <w:tcPr>
            <w:tcW w:w="300" w:type="dxa"/>
            <w:vAlign w:val="bottom"/>
          </w:tcPr>
          <w:p>
            <w:pPr>
              <w:spacing w:after="0"/>
              <w:rPr>
                <w:sz w:val="17"/>
                <w:szCs w:val="17"/>
                <w:color w:val="auto"/>
              </w:rPr>
            </w:pPr>
          </w:p>
        </w:tc>
        <w:tc>
          <w:tcPr>
            <w:tcW w:w="1280" w:type="dxa"/>
            <w:vAlign w:val="bottom"/>
            <w:gridSpan w:val="2"/>
          </w:tcPr>
          <w:p>
            <w:pPr>
              <w:jc w:val="right"/>
              <w:ind w:right="99"/>
              <w:spacing w:after="0" w:line="193" w:lineRule="exact"/>
              <w:rPr>
                <w:sz w:val="20"/>
                <w:szCs w:val="20"/>
                <w:color w:val="auto"/>
              </w:rPr>
            </w:pPr>
            <w:r>
              <w:rPr>
                <w:rFonts w:ascii="Calibri" w:cs="Calibri" w:eastAsia="Calibri" w:hAnsi="Calibri"/>
                <w:sz w:val="16"/>
                <w:szCs w:val="16"/>
                <w:color w:val="auto"/>
              </w:rPr>
              <w:t>(23 )</w:t>
            </w:r>
          </w:p>
        </w:tc>
        <w:tc>
          <w:tcPr>
            <w:tcW w:w="300" w:type="dxa"/>
            <w:vAlign w:val="bottom"/>
          </w:tcPr>
          <w:p>
            <w:pPr>
              <w:spacing w:after="0"/>
              <w:rPr>
                <w:sz w:val="17"/>
                <w:szCs w:val="17"/>
                <w:color w:val="auto"/>
              </w:rPr>
            </w:pPr>
          </w:p>
        </w:tc>
        <w:tc>
          <w:tcPr>
            <w:tcW w:w="1040" w:type="dxa"/>
            <w:vAlign w:val="bottom"/>
          </w:tcPr>
          <w:p>
            <w:pPr>
              <w:jc w:val="right"/>
              <w:spacing w:after="0" w:line="193" w:lineRule="exact"/>
              <w:rPr>
                <w:sz w:val="20"/>
                <w:szCs w:val="20"/>
                <w:color w:val="auto"/>
              </w:rPr>
            </w:pPr>
            <w:r>
              <w:rPr>
                <w:rFonts w:ascii="Calibri" w:cs="Calibri" w:eastAsia="Calibri" w:hAnsi="Calibri"/>
                <w:sz w:val="16"/>
                <w:szCs w:val="16"/>
                <w:color w:val="auto"/>
              </w:rPr>
              <w:t>85</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line="193" w:lineRule="exact"/>
              <w:rPr>
                <w:sz w:val="20"/>
                <w:szCs w:val="20"/>
                <w:color w:val="auto"/>
              </w:rPr>
            </w:pPr>
            <w:r>
              <w:rPr>
                <w:rFonts w:ascii="Calibri" w:cs="Calibri" w:eastAsia="Calibri" w:hAnsi="Calibri"/>
                <w:sz w:val="16"/>
                <w:szCs w:val="16"/>
                <w:color w:val="auto"/>
              </w:rPr>
              <w:t>43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40" w:type="dxa"/>
            <w:vAlign w:val="bottom"/>
            <w:shd w:val="clear" w:color="auto" w:fill="CFF0FC"/>
          </w:tcPr>
          <w:p>
            <w:pPr>
              <w:ind w:left="20"/>
              <w:spacing w:after="0" w:line="193" w:lineRule="exact"/>
              <w:rPr>
                <w:sz w:val="20"/>
                <w:szCs w:val="20"/>
                <w:color w:val="auto"/>
              </w:rPr>
            </w:pPr>
            <w:r>
              <w:rPr>
                <w:rFonts w:ascii="Calibri" w:cs="Calibri" w:eastAsia="Calibri" w:hAnsi="Calibri"/>
                <w:sz w:val="16"/>
                <w:szCs w:val="16"/>
                <w:color w:val="auto"/>
              </w:rPr>
              <w:t>Efect of exchange rate changes on cash, cash equivalents and restricted cash</w:t>
            </w:r>
          </w:p>
        </w:tc>
        <w:tc>
          <w:tcPr>
            <w:tcW w:w="3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99"/>
              <w:spacing w:after="0" w:line="193" w:lineRule="exact"/>
              <w:rPr>
                <w:sz w:val="20"/>
                <w:szCs w:val="20"/>
                <w:color w:val="auto"/>
              </w:rPr>
            </w:pPr>
            <w:r>
              <w:rPr>
                <w:rFonts w:ascii="Calibri" w:cs="Calibri" w:eastAsia="Calibri" w:hAnsi="Calibri"/>
                <w:sz w:val="16"/>
                <w:szCs w:val="16"/>
                <w:color w:val="auto"/>
              </w:rPr>
              <w:t>(7 )</w:t>
            </w:r>
          </w:p>
        </w:tc>
        <w:tc>
          <w:tcPr>
            <w:tcW w:w="3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60"/>
              <w:spacing w:after="0" w:line="193" w:lineRule="exact"/>
              <w:rPr>
                <w:sz w:val="20"/>
                <w:szCs w:val="20"/>
                <w:color w:val="auto"/>
              </w:rPr>
            </w:pPr>
            <w:r>
              <w:rPr>
                <w:rFonts w:ascii="Calibri" w:cs="Calibri" w:eastAsia="Calibri" w:hAnsi="Calibri"/>
                <w:sz w:val="16"/>
                <w:szCs w:val="16"/>
                <w:color w:val="auto"/>
              </w:rPr>
              <w:t>—</w:t>
            </w: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40"/>
              <w:spacing w:after="0" w:line="193" w:lineRule="exact"/>
              <w:rPr>
                <w:sz w:val="20"/>
                <w:szCs w:val="20"/>
                <w:color w:val="auto"/>
              </w:rPr>
            </w:pPr>
            <w:r>
              <w:rPr>
                <w:rFonts w:ascii="Calibri" w:cs="Calibri" w:eastAsia="Calibri" w:hAnsi="Calibri"/>
                <w:sz w:val="16"/>
                <w:szCs w:val="16"/>
                <w:color w:val="auto"/>
              </w:rPr>
              <w:t>(8 )</w:t>
            </w:r>
          </w:p>
        </w:tc>
        <w:tc>
          <w:tcPr>
            <w:tcW w:w="0" w:type="dxa"/>
            <w:vAlign w:val="bottom"/>
          </w:tcPr>
          <w:p>
            <w:pPr>
              <w:spacing w:after="0"/>
              <w:rPr>
                <w:sz w:val="1"/>
                <w:szCs w:val="1"/>
                <w:color w:val="auto"/>
              </w:rPr>
            </w:pPr>
          </w:p>
        </w:tc>
      </w:tr>
      <w:tr>
        <w:trPr>
          <w:trHeight w:val="20"/>
        </w:trPr>
        <w:tc>
          <w:tcPr>
            <w:tcW w:w="66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40" w:type="dxa"/>
            <w:vAlign w:val="bottom"/>
          </w:tcPr>
          <w:p>
            <w:pPr>
              <w:ind w:left="20"/>
              <w:spacing w:after="0" w:line="193" w:lineRule="exact"/>
              <w:rPr>
                <w:sz w:val="20"/>
                <w:szCs w:val="20"/>
                <w:color w:val="auto"/>
              </w:rPr>
            </w:pPr>
            <w:r>
              <w:rPr>
                <w:rFonts w:ascii="Calibri" w:cs="Calibri" w:eastAsia="Calibri" w:hAnsi="Calibri"/>
                <w:sz w:val="16"/>
                <w:szCs w:val="16"/>
                <w:color w:val="auto"/>
              </w:rPr>
              <w:t>Net (decrease) increase in cash, cash equivalents and restricted cash</w:t>
            </w:r>
          </w:p>
        </w:tc>
        <w:tc>
          <w:tcPr>
            <w:tcW w:w="300" w:type="dxa"/>
            <w:vAlign w:val="bottom"/>
          </w:tcPr>
          <w:p>
            <w:pPr>
              <w:spacing w:after="0"/>
              <w:rPr>
                <w:sz w:val="17"/>
                <w:szCs w:val="17"/>
                <w:color w:val="auto"/>
              </w:rPr>
            </w:pPr>
          </w:p>
        </w:tc>
        <w:tc>
          <w:tcPr>
            <w:tcW w:w="1280" w:type="dxa"/>
            <w:vAlign w:val="bottom"/>
            <w:gridSpan w:val="2"/>
          </w:tcPr>
          <w:p>
            <w:pPr>
              <w:jc w:val="right"/>
              <w:ind w:right="99"/>
              <w:spacing w:after="0" w:line="193" w:lineRule="exact"/>
              <w:rPr>
                <w:sz w:val="20"/>
                <w:szCs w:val="20"/>
                <w:color w:val="auto"/>
              </w:rPr>
            </w:pPr>
            <w:r>
              <w:rPr>
                <w:rFonts w:ascii="Calibri" w:cs="Calibri" w:eastAsia="Calibri" w:hAnsi="Calibri"/>
                <w:sz w:val="16"/>
                <w:szCs w:val="16"/>
                <w:color w:val="auto"/>
              </w:rPr>
              <w:t>(76 )</w:t>
            </w:r>
          </w:p>
        </w:tc>
        <w:tc>
          <w:tcPr>
            <w:tcW w:w="300" w:type="dxa"/>
            <w:vAlign w:val="bottom"/>
          </w:tcPr>
          <w:p>
            <w:pPr>
              <w:spacing w:after="0"/>
              <w:rPr>
                <w:sz w:val="17"/>
                <w:szCs w:val="17"/>
                <w:color w:val="auto"/>
              </w:rPr>
            </w:pPr>
          </w:p>
        </w:tc>
        <w:tc>
          <w:tcPr>
            <w:tcW w:w="1040" w:type="dxa"/>
            <w:vAlign w:val="bottom"/>
          </w:tcPr>
          <w:p>
            <w:pPr>
              <w:jc w:val="right"/>
              <w:spacing w:after="0" w:line="193" w:lineRule="exact"/>
              <w:rPr>
                <w:sz w:val="20"/>
                <w:szCs w:val="20"/>
                <w:color w:val="auto"/>
              </w:rPr>
            </w:pPr>
            <w:r>
              <w:rPr>
                <w:rFonts w:ascii="Calibri" w:cs="Calibri" w:eastAsia="Calibri" w:hAnsi="Calibri"/>
                <w:sz w:val="16"/>
                <w:szCs w:val="16"/>
                <w:color w:val="auto"/>
              </w:rPr>
              <w:t>91</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gridSpan w:val="2"/>
          </w:tcPr>
          <w:p>
            <w:pPr>
              <w:jc w:val="right"/>
              <w:ind w:right="40"/>
              <w:spacing w:after="0" w:line="193" w:lineRule="exact"/>
              <w:rPr>
                <w:sz w:val="20"/>
                <w:szCs w:val="20"/>
                <w:color w:val="auto"/>
              </w:rPr>
            </w:pPr>
            <w:r>
              <w:rPr>
                <w:rFonts w:ascii="Calibri" w:cs="Calibri" w:eastAsia="Calibri" w:hAnsi="Calibri"/>
                <w:sz w:val="16"/>
                <w:szCs w:val="16"/>
                <w:color w:val="auto"/>
              </w:rPr>
              <w:t>(137 )</w:t>
            </w:r>
          </w:p>
        </w:tc>
        <w:tc>
          <w:tcPr>
            <w:tcW w:w="0" w:type="dxa"/>
            <w:vAlign w:val="bottom"/>
          </w:tcPr>
          <w:p>
            <w:pPr>
              <w:spacing w:after="0"/>
              <w:rPr>
                <w:sz w:val="1"/>
                <w:szCs w:val="1"/>
                <w:color w:val="auto"/>
              </w:rPr>
            </w:pPr>
          </w:p>
        </w:tc>
      </w:tr>
      <w:tr>
        <w:trPr>
          <w:trHeight w:val="203"/>
        </w:trPr>
        <w:tc>
          <w:tcPr>
            <w:tcW w:w="664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6"/>
                <w:szCs w:val="16"/>
                <w:color w:val="auto"/>
              </w:rPr>
              <w:t>Cash, cash equivalents and restricted cash, beginning of period</w:t>
            </w:r>
          </w:p>
        </w:tc>
        <w:tc>
          <w:tcPr>
            <w:tcW w:w="3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6"/>
                <w:szCs w:val="16"/>
                <w:color w:val="auto"/>
              </w:rPr>
              <w:t>377</w:t>
            </w:r>
          </w:p>
        </w:tc>
        <w:tc>
          <w:tcPr>
            <w:tcW w:w="2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6"/>
                <w:szCs w:val="16"/>
                <w:color w:val="auto"/>
              </w:rPr>
              <w:t>286</w:t>
            </w:r>
          </w:p>
        </w:tc>
        <w:tc>
          <w:tcPr>
            <w:tcW w:w="2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6"/>
                <w:szCs w:val="16"/>
                <w:color w:val="auto"/>
              </w:rPr>
              <w:t>423</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640" w:type="dxa"/>
            <w:vAlign w:val="bottom"/>
          </w:tcPr>
          <w:p>
            <w:pPr>
              <w:ind w:left="20"/>
              <w:spacing w:after="0" w:line="200" w:lineRule="exact"/>
              <w:rPr>
                <w:sz w:val="20"/>
                <w:szCs w:val="20"/>
                <w:color w:val="auto"/>
              </w:rPr>
            </w:pPr>
            <w:r>
              <w:rPr>
                <w:rFonts w:ascii="Calibri" w:cs="Calibri" w:eastAsia="Calibri" w:hAnsi="Calibri"/>
                <w:sz w:val="16"/>
                <w:szCs w:val="16"/>
                <w:color w:val="auto"/>
              </w:rPr>
              <w:t xml:space="preserve">Cash, cash equivalents and restricted cash, end of period </w:t>
            </w:r>
            <w:r>
              <w:rPr>
                <w:rFonts w:ascii="Calibri" w:cs="Calibri" w:eastAsia="Calibri" w:hAnsi="Calibri"/>
                <w:sz w:val="21"/>
                <w:szCs w:val="21"/>
                <w:color w:val="auto"/>
                <w:vertAlign w:val="superscript"/>
              </w:rPr>
              <w:t>(1)</w:t>
            </w:r>
          </w:p>
        </w:tc>
        <w:tc>
          <w:tcPr>
            <w:tcW w:w="300" w:type="dxa"/>
            <w:vAlign w:val="bottom"/>
            <w:tcBorders>
              <w:bottom w:val="single" w:sz="8" w:color="auto"/>
            </w:tcBorders>
          </w:tcPr>
          <w:p>
            <w:pPr>
              <w:jc w:val="right"/>
              <w:ind w:right="119"/>
              <w:spacing w:after="0" w:line="193" w:lineRule="exact"/>
              <w:rPr>
                <w:sz w:val="20"/>
                <w:szCs w:val="20"/>
                <w:color w:val="auto"/>
              </w:rPr>
            </w:pPr>
            <w:r>
              <w:rPr>
                <w:rFonts w:ascii="Calibri" w:cs="Calibri" w:eastAsia="Calibri" w:hAnsi="Calibri"/>
                <w:sz w:val="16"/>
                <w:szCs w:val="16"/>
                <w:color w:val="auto"/>
                <w:w w:val="97"/>
              </w:rPr>
              <w:t>$</w:t>
            </w:r>
          </w:p>
        </w:tc>
        <w:tc>
          <w:tcPr>
            <w:tcW w:w="104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301</w:t>
            </w:r>
          </w:p>
        </w:tc>
        <w:tc>
          <w:tcPr>
            <w:tcW w:w="24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line="193" w:lineRule="exact"/>
              <w:rPr>
                <w:sz w:val="20"/>
                <w:szCs w:val="20"/>
                <w:color w:val="auto"/>
              </w:rPr>
            </w:pPr>
            <w:r>
              <w:rPr>
                <w:rFonts w:ascii="Calibri" w:cs="Calibri" w:eastAsia="Calibri" w:hAnsi="Calibri"/>
                <w:sz w:val="16"/>
                <w:szCs w:val="16"/>
                <w:color w:val="auto"/>
                <w:w w:val="97"/>
              </w:rPr>
              <w:t>$</w:t>
            </w:r>
          </w:p>
        </w:tc>
        <w:tc>
          <w:tcPr>
            <w:tcW w:w="104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377</w:t>
            </w:r>
          </w:p>
        </w:tc>
        <w:tc>
          <w:tcPr>
            <w:tcW w:w="24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line="193" w:lineRule="exact"/>
              <w:rPr>
                <w:sz w:val="20"/>
                <w:szCs w:val="20"/>
                <w:color w:val="auto"/>
              </w:rPr>
            </w:pPr>
            <w:r>
              <w:rPr>
                <w:rFonts w:ascii="Calibri" w:cs="Calibri" w:eastAsia="Calibri" w:hAnsi="Calibri"/>
                <w:sz w:val="16"/>
                <w:szCs w:val="16"/>
                <w:color w:val="auto"/>
                <w:w w:val="97"/>
              </w:rPr>
              <w:t>$</w:t>
            </w:r>
          </w:p>
        </w:tc>
        <w:tc>
          <w:tcPr>
            <w:tcW w:w="104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286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-3051175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-3051175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-3051175</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-2262505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-2262505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-2262505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-702310</wp:posOffset>
            </wp:positionV>
            <wp:extent cx="685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-702310</wp:posOffset>
            </wp:positionV>
            <wp:extent cx="685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-702310</wp:posOffset>
            </wp:positionV>
            <wp:extent cx="6858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-427990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-427990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-427990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-162560</wp:posOffset>
            </wp:positionV>
            <wp:extent cx="685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-162560</wp:posOffset>
            </wp:positionV>
            <wp:extent cx="685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ind w:right="1860" w:firstLine="8"/>
        <w:spacing w:after="0" w:line="357" w:lineRule="auto"/>
        <w:tabs>
          <w:tab w:leader="none" w:pos="269" w:val="left"/>
        </w:tabs>
        <w:numPr>
          <w:ilvl w:val="0"/>
          <w:numId w:val="35"/>
        </w:numPr>
        <w:rPr>
          <w:rFonts w:ascii="Calibri" w:cs="Calibri" w:eastAsia="Calibri" w:hAnsi="Calibri"/>
          <w:sz w:val="24"/>
          <w:szCs w:val="24"/>
          <w:color w:val="auto"/>
          <w:vertAlign w:val="superscript"/>
        </w:rPr>
      </w:pPr>
      <w:r>
        <w:rPr>
          <w:rFonts w:ascii="Calibri" w:cs="Calibri" w:eastAsia="Calibri" w:hAnsi="Calibri"/>
          <w:sz w:val="18"/>
          <w:szCs w:val="18"/>
          <w:color w:val="auto"/>
        </w:rPr>
        <w:t>Refer to Note 2, “Cash, Cash Equivalents and Restricted Cash” for the components of cash, cash equivalents and restricted cash. The accompanying notes are an integral part of these consolidated fnancial statements.</w:t>
      </w:r>
    </w:p>
    <w:p>
      <w:pPr>
        <w:spacing w:after="0" w:line="29"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9" w:name="page60"/>
    <w:bookmarkEnd w:id="59"/>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EASTMAN KODAK COMPANY</w:t>
      </w:r>
    </w:p>
    <w:p>
      <w:pPr>
        <w:spacing w:after="0" w:line="235" w:lineRule="auto"/>
        <w:rPr>
          <w:sz w:val="20"/>
          <w:szCs w:val="20"/>
          <w:color w:val="auto"/>
        </w:rPr>
      </w:pPr>
      <w:r>
        <w:rPr>
          <w:rFonts w:ascii="Calibri" w:cs="Calibri" w:eastAsia="Calibri" w:hAnsi="Calibri"/>
          <w:sz w:val="18"/>
          <w:szCs w:val="18"/>
          <w:b w:val="1"/>
          <w:bCs w:val="1"/>
          <w:color w:val="auto"/>
        </w:rPr>
        <w:t>CONSOLIDATED STATEMENT OF CASH FLOW (Contnued)</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SUPPLEMENTAL CASH FLOW INFORMATION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6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80" w:type="dxa"/>
            <w:vAlign w:val="bottom"/>
            <w:gridSpan w:val="6"/>
          </w:tcPr>
          <w:p>
            <w:pPr>
              <w:jc w:val="right"/>
              <w:ind w:right="280"/>
              <w:spacing w:after="0"/>
              <w:rPr>
                <w:sz w:val="20"/>
                <w:szCs w:val="20"/>
                <w:color w:val="auto"/>
              </w:rPr>
            </w:pPr>
            <w:r>
              <w:rPr>
                <w:rFonts w:ascii="Calibri" w:cs="Calibri" w:eastAsia="Calibri" w:hAnsi="Calibri"/>
                <w:sz w:val="18"/>
                <w:szCs w:val="18"/>
                <w:b w:val="1"/>
                <w:bCs w:val="1"/>
                <w:color w:val="auto"/>
              </w:rPr>
              <w:t>Year Ended December 31,</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6640" w:type="dxa"/>
            <w:vAlign w:val="bottom"/>
            <w:vMerge w:val="restart"/>
          </w:tcPr>
          <w:p>
            <w:pPr>
              <w:ind w:left="20"/>
              <w:spacing w:after="0"/>
              <w:rPr>
                <w:sz w:val="20"/>
                <w:szCs w:val="20"/>
                <w:color w:val="auto"/>
              </w:rPr>
            </w:pPr>
            <w:r>
              <w:rPr>
                <w:rFonts w:ascii="Calibri" w:cs="Calibri" w:eastAsia="Calibri" w:hAnsi="Calibri"/>
                <w:sz w:val="14"/>
                <w:szCs w:val="14"/>
                <w:color w:val="auto"/>
              </w:rPr>
              <w:t>(in millions)</w:t>
            </w: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640" w:type="dxa"/>
            <w:vAlign w:val="bottom"/>
            <w:vMerge w:val="continue"/>
          </w:tcPr>
          <w:p>
            <w:pPr>
              <w:spacing w:after="0"/>
              <w:rPr>
                <w:sz w:val="18"/>
                <w:szCs w:val="18"/>
                <w:color w:val="auto"/>
              </w:rPr>
            </w:pPr>
          </w:p>
        </w:tc>
        <w:tc>
          <w:tcPr>
            <w:tcW w:w="980" w:type="dxa"/>
            <w:vAlign w:val="bottom"/>
            <w:tcBorders>
              <w:bottom w:val="single" w:sz="8" w:color="auto"/>
            </w:tcBorders>
          </w:tcPr>
          <w:p>
            <w:pPr>
              <w:jc w:val="right"/>
              <w:ind w:right="50"/>
              <w:spacing w:after="0" w:line="209" w:lineRule="exact"/>
              <w:rPr>
                <w:sz w:val="20"/>
                <w:szCs w:val="20"/>
                <w:color w:val="auto"/>
              </w:rPr>
            </w:pPr>
            <w:r>
              <w:rPr>
                <w:rFonts w:ascii="Calibri" w:cs="Calibri" w:eastAsia="Calibri" w:hAnsi="Calibri"/>
                <w:sz w:val="18"/>
                <w:szCs w:val="18"/>
                <w:b w:val="1"/>
                <w:bCs w:val="1"/>
                <w:color w:val="auto"/>
              </w:rPr>
              <w:t>2024</w:t>
            </w:r>
          </w:p>
        </w:tc>
        <w:tc>
          <w:tcPr>
            <w:tcW w:w="3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line="209" w:lineRule="exact"/>
              <w:rPr>
                <w:sz w:val="20"/>
                <w:szCs w:val="20"/>
                <w:color w:val="auto"/>
              </w:rPr>
            </w:pPr>
            <w:r>
              <w:rPr>
                <w:rFonts w:ascii="Calibri" w:cs="Calibri" w:eastAsia="Calibri" w:hAnsi="Calibri"/>
                <w:sz w:val="18"/>
                <w:szCs w:val="18"/>
                <w:b w:val="1"/>
                <w:bCs w:val="1"/>
                <w:color w:val="auto"/>
              </w:rPr>
              <w:t>2023</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0"/>
              <w:spacing w:after="0" w:line="209" w:lineRule="exact"/>
              <w:rPr>
                <w:sz w:val="20"/>
                <w:szCs w:val="20"/>
                <w:color w:val="auto"/>
              </w:rPr>
            </w:pPr>
            <w:r>
              <w:rPr>
                <w:rFonts w:ascii="Calibri" w:cs="Calibri" w:eastAsia="Calibri" w:hAnsi="Calibri"/>
                <w:sz w:val="18"/>
                <w:szCs w:val="18"/>
                <w:b w:val="1"/>
                <w:bCs w:val="1"/>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b w:val="1"/>
                <w:bCs w:val="1"/>
                <w:color w:val="auto"/>
              </w:rPr>
              <w:t>Cash paid for interest and income taxes was:</w:t>
            </w:r>
          </w:p>
        </w:tc>
        <w:tc>
          <w:tcPr>
            <w:tcW w:w="9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640" w:type="dxa"/>
            <w:vAlign w:val="bottom"/>
          </w:tcPr>
          <w:p>
            <w:pPr>
              <w:ind w:left="20"/>
              <w:spacing w:after="0" w:line="215" w:lineRule="exact"/>
              <w:rPr>
                <w:sz w:val="20"/>
                <w:szCs w:val="20"/>
                <w:color w:val="auto"/>
              </w:rPr>
            </w:pPr>
            <w:r>
              <w:rPr>
                <w:rFonts w:ascii="Calibri" w:cs="Calibri" w:eastAsia="Calibri" w:hAnsi="Calibri"/>
                <w:sz w:val="18"/>
                <w:szCs w:val="18"/>
                <w:color w:val="auto"/>
              </w:rPr>
              <w:t>Interest (net of porton capitalized of $6 in 2024 and $3 in both 2023 and 2022)</w:t>
            </w:r>
          </w:p>
        </w:tc>
        <w:tc>
          <w:tcPr>
            <w:tcW w:w="980" w:type="dxa"/>
            <w:vAlign w:val="bottom"/>
          </w:tcPr>
          <w:p>
            <w:pPr>
              <w:jc w:val="right"/>
              <w:ind w:right="790"/>
              <w:spacing w:after="0" w:line="215" w:lineRule="exact"/>
              <w:rPr>
                <w:sz w:val="20"/>
                <w:szCs w:val="20"/>
                <w:color w:val="auto"/>
              </w:rPr>
            </w:pPr>
            <w:r>
              <w:rPr>
                <w:rFonts w:ascii="Calibri" w:cs="Calibri" w:eastAsia="Calibri" w:hAnsi="Calibri"/>
                <w:sz w:val="18"/>
                <w:szCs w:val="18"/>
                <w:color w:val="auto"/>
                <w:w w:val="87"/>
              </w:rPr>
              <w:t>$</w:t>
            </w:r>
          </w:p>
        </w:tc>
        <w:tc>
          <w:tcPr>
            <w:tcW w:w="340" w:type="dxa"/>
            <w:vAlign w:val="bottom"/>
          </w:tcPr>
          <w:p>
            <w:pPr>
              <w:jc w:val="right"/>
              <w:spacing w:after="0" w:line="215" w:lineRule="exact"/>
              <w:rPr>
                <w:sz w:val="20"/>
                <w:szCs w:val="20"/>
                <w:color w:val="auto"/>
              </w:rPr>
            </w:pPr>
            <w:r>
              <w:rPr>
                <w:rFonts w:ascii="Calibri" w:cs="Calibri" w:eastAsia="Calibri" w:hAnsi="Calibri"/>
                <w:sz w:val="18"/>
                <w:szCs w:val="18"/>
                <w:color w:val="auto"/>
              </w:rPr>
              <w:t>31</w:t>
            </w:r>
          </w:p>
        </w:tc>
        <w:tc>
          <w:tcPr>
            <w:tcW w:w="56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26</w:t>
            </w:r>
          </w:p>
        </w:tc>
        <w:tc>
          <w:tcPr>
            <w:tcW w:w="56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64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Income taxes (net of refunds)</w:t>
            </w:r>
          </w:p>
        </w:tc>
        <w:tc>
          <w:tcPr>
            <w:tcW w:w="980" w:type="dxa"/>
            <w:vAlign w:val="bottom"/>
            <w:shd w:val="clear" w:color="auto" w:fill="CFF0FC"/>
          </w:tcPr>
          <w:p>
            <w:pPr>
              <w:jc w:val="right"/>
              <w:ind w:right="790"/>
              <w:spacing w:after="0" w:line="216" w:lineRule="exact"/>
              <w:rPr>
                <w:sz w:val="20"/>
                <w:szCs w:val="20"/>
                <w:color w:val="auto"/>
              </w:rPr>
            </w:pPr>
            <w:r>
              <w:rPr>
                <w:rFonts w:ascii="Calibri" w:cs="Calibri" w:eastAsia="Calibri" w:hAnsi="Calibri"/>
                <w:sz w:val="18"/>
                <w:szCs w:val="18"/>
                <w:color w:val="auto"/>
                <w:w w:val="87"/>
              </w:rPr>
              <w:t>$</w:t>
            </w:r>
          </w:p>
        </w:tc>
        <w:tc>
          <w:tcPr>
            <w:tcW w:w="3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13</w:t>
            </w:r>
          </w:p>
        </w:tc>
        <w:tc>
          <w:tcPr>
            <w:tcW w:w="560" w:type="dxa"/>
            <w:vAlign w:val="bottom"/>
            <w:gridSpan w:val="2"/>
            <w:shd w:val="clear" w:color="auto" w:fill="CFF0FC"/>
          </w:tcPr>
          <w:p>
            <w:pPr>
              <w:jc w:val="right"/>
              <w:ind w:right="200"/>
              <w:spacing w:after="0" w:line="216" w:lineRule="exact"/>
              <w:rPr>
                <w:sz w:val="20"/>
                <w:szCs w:val="20"/>
                <w:color w:val="auto"/>
              </w:rPr>
            </w:pPr>
            <w:r>
              <w:rPr>
                <w:rFonts w:ascii="Calibri" w:cs="Calibri" w:eastAsia="Calibri" w:hAnsi="Calibri"/>
                <w:sz w:val="18"/>
                <w:szCs w:val="18"/>
                <w:color w:val="auto"/>
              </w:rPr>
              <w:t>$</w:t>
            </w:r>
          </w:p>
        </w:tc>
        <w:tc>
          <w:tcPr>
            <w:tcW w:w="10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9</w:t>
            </w:r>
          </w:p>
        </w:tc>
        <w:tc>
          <w:tcPr>
            <w:tcW w:w="560" w:type="dxa"/>
            <w:vAlign w:val="bottom"/>
            <w:gridSpan w:val="2"/>
            <w:shd w:val="clear" w:color="auto" w:fill="CFF0FC"/>
          </w:tcPr>
          <w:p>
            <w:pPr>
              <w:jc w:val="right"/>
              <w:ind w:right="200"/>
              <w:spacing w:after="0" w:line="216" w:lineRule="exact"/>
              <w:rPr>
                <w:sz w:val="20"/>
                <w:szCs w:val="20"/>
                <w:color w:val="auto"/>
              </w:rPr>
            </w:pPr>
            <w:r>
              <w:rPr>
                <w:rFonts w:ascii="Calibri" w:cs="Calibri" w:eastAsia="Calibri" w:hAnsi="Calibri"/>
                <w:sz w:val="18"/>
                <w:szCs w:val="18"/>
                <w:color w:val="auto"/>
              </w:rPr>
              <w:t>$</w:t>
            </w:r>
          </w:p>
        </w:tc>
        <w:tc>
          <w:tcPr>
            <w:tcW w:w="10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Calibri" w:cs="Calibri" w:eastAsia="Calibri" w:hAnsi="Calibri"/>
          <w:sz w:val="18"/>
          <w:szCs w:val="18"/>
          <w:color w:val="auto"/>
        </w:rPr>
        <w:t>The accompanying notes are an integral part of these consolidated fnancial statements.</w:t>
      </w:r>
    </w:p>
    <w:p>
      <w:pPr>
        <w:spacing w:after="0" w:line="185" w:lineRule="exact"/>
        <w:rPr>
          <w:sz w:val="20"/>
          <w:szCs w:val="20"/>
          <w:color w:val="auto"/>
        </w:rPr>
      </w:pPr>
    </w:p>
    <w:p>
      <w:pPr>
        <w:ind w:left="5540"/>
        <w:spacing w:after="0"/>
        <w:rPr>
          <w:sz w:val="20"/>
          <w:szCs w:val="20"/>
          <w:color w:val="auto"/>
        </w:rPr>
      </w:pPr>
      <w:r>
        <w:rPr>
          <w:rFonts w:ascii="Calibri" w:cs="Calibri" w:eastAsia="Calibri" w:hAnsi="Calibri"/>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0" w:name="page61"/>
    <w:bookmarkEnd w:id="60"/>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EASTMAN KODAK COMPANY</w:t>
      </w:r>
    </w:p>
    <w:p>
      <w:pPr>
        <w:spacing w:after="0" w:line="18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NOTES TO FINANCIAL STATEMENTS</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1: BASIS OF PRESENTATION AND SUMMARY OF SIGNIFICANT ACCOUNTING POLICIES</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ACCOUNTING PRINCIPLES</w:t>
      </w:r>
    </w:p>
    <w:p>
      <w:pPr>
        <w:spacing w:after="0" w:line="190" w:lineRule="exact"/>
        <w:rPr>
          <w:sz w:val="20"/>
          <w:szCs w:val="20"/>
          <w:color w:val="auto"/>
        </w:rPr>
      </w:pPr>
    </w:p>
    <w:p>
      <w:pPr>
        <w:ind w:right="440"/>
        <w:spacing w:after="0" w:line="235" w:lineRule="auto"/>
        <w:rPr>
          <w:sz w:val="20"/>
          <w:szCs w:val="20"/>
          <w:color w:val="auto"/>
        </w:rPr>
      </w:pPr>
      <w:r>
        <w:rPr>
          <w:rFonts w:ascii="Calibri" w:cs="Calibri" w:eastAsia="Calibri" w:hAnsi="Calibri"/>
          <w:sz w:val="18"/>
          <w:szCs w:val="18"/>
          <w:color w:val="auto"/>
        </w:rPr>
        <w:t>The consolidated fnancial statements and accompanying notes are prepared in accordance with accountng principles generally accepted in the United States of America (“U.S. GAAP”). The following is a descripton of the signifcant accountng policies of Kodak.</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BASIS OF CONSOLIDATION</w:t>
      </w:r>
    </w:p>
    <w:p>
      <w:pPr>
        <w:spacing w:after="0" w:line="177"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The consolidated fnancial statements include the accounts of Eastman Kodak Company ("EKC") and all companies directly or indirectly controlled by EKC, either through majority ownership or otherwise. Kodak consolidates variable interest enttes if Kodak has a controlling fnancial interest and is determined to be the primary benefciary of the entty.</w:t>
      </w:r>
    </w:p>
    <w:p>
      <w:pPr>
        <w:spacing w:after="0" w:line="18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RECLASSIFICATIONS</w:t>
      </w:r>
    </w:p>
    <w:p>
      <w:pPr>
        <w:spacing w:after="0" w:line="217"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color w:val="auto"/>
        </w:rPr>
        <w:t>Certain amounts from previous periods have been reclassifed to conform to the current period classifcaton for deferred income taxes in Note 17, "Income Taxes" and for pension asset fair value classifcaton in Note 19, "Retrement Plans."</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USE OF ESTIMATES</w:t>
      </w:r>
    </w:p>
    <w:p>
      <w:pPr>
        <w:spacing w:after="0" w:line="177" w:lineRule="exact"/>
        <w:rPr>
          <w:sz w:val="20"/>
          <w:szCs w:val="20"/>
          <w:color w:val="auto"/>
        </w:rPr>
      </w:pPr>
    </w:p>
    <w:p>
      <w:pPr>
        <w:ind w:right="180"/>
        <w:spacing w:after="0" w:line="235" w:lineRule="auto"/>
        <w:rPr>
          <w:sz w:val="20"/>
          <w:szCs w:val="20"/>
          <w:color w:val="auto"/>
        </w:rPr>
      </w:pPr>
      <w:r>
        <w:rPr>
          <w:rFonts w:ascii="Calibri" w:cs="Calibri" w:eastAsia="Calibri" w:hAnsi="Calibri"/>
          <w:sz w:val="18"/>
          <w:szCs w:val="18"/>
          <w:color w:val="auto"/>
        </w:rPr>
        <w:t>The preparaton of fnancial statements in conformity with U.S. GAAP requires management to make estmates and assumptons that afect the reported amounts of assets and liabilites and disclosure of commitments and contngencies at year end and the reported amounts of revenues and expenses during the reportng periods presented. Actual results could difer from these estmates.</w:t>
      </w:r>
    </w:p>
    <w:p>
      <w:pPr>
        <w:spacing w:after="0" w:line="18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FOREIGN CURRENCY</w:t>
      </w:r>
    </w:p>
    <w:p>
      <w:pPr>
        <w:spacing w:after="0" w:line="177"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For most subsidiaries and branches outside the U.S., the local currency is the functonal currency. The fnancial statements of these subsidiaries and branches are translated into U.S. dollars as follows: assets and liabilites at year-end exchange rates; revenue, expenses and cash fows at average exchange rates; and shareholders’ equity at historical exchange rates. For those subsidiaries for which the local currency is the functonal currency, the resultng translaton adjustment is recorded as a component of Accumulated other comprehensive (loss) income in the accompanying Consolidated Statement of Financial Positon.</w:t>
      </w:r>
    </w:p>
    <w:p>
      <w:pPr>
        <w:spacing w:after="0" w:line="180" w:lineRule="exact"/>
        <w:rPr>
          <w:sz w:val="20"/>
          <w:szCs w:val="20"/>
          <w:color w:val="auto"/>
        </w:rPr>
      </w:pPr>
    </w:p>
    <w:p>
      <w:pPr>
        <w:ind w:right="100"/>
        <w:spacing w:after="0" w:line="235" w:lineRule="auto"/>
        <w:rPr>
          <w:sz w:val="20"/>
          <w:szCs w:val="20"/>
          <w:color w:val="auto"/>
        </w:rPr>
      </w:pPr>
      <w:r>
        <w:rPr>
          <w:rFonts w:ascii="Calibri" w:cs="Calibri" w:eastAsia="Calibri" w:hAnsi="Calibri"/>
          <w:sz w:val="18"/>
          <w:szCs w:val="18"/>
          <w:color w:val="auto"/>
        </w:rPr>
        <w:t>For certain other subsidiaries and branches outside the U.S., operatons are conducted primarily in U.S. dollars, which is therefore the functonal currency. Monetary assets and liabilites of these foreign subsidiaries and branches, which are recorded in local currency, are remeasured at year-end exchange rates, while revenue, expense, and gain and loss accounts, which are recorded in local currency, are remeasured at average exchange rates. Non-monetary assets and liabilites are remeasured at historical exchange rates. Adjustments that result from the remeasurement of the assets and liabilites of these subsidiaries are included in Other (income) charges, net in the accompanying Consolidated Statement of Operatons.</w:t>
      </w:r>
    </w:p>
    <w:p>
      <w:pPr>
        <w:spacing w:after="0" w:line="193" w:lineRule="exact"/>
        <w:rPr>
          <w:sz w:val="20"/>
          <w:szCs w:val="20"/>
          <w:color w:val="auto"/>
        </w:rPr>
      </w:pPr>
    </w:p>
    <w:p>
      <w:pPr>
        <w:ind w:right="840"/>
        <w:spacing w:after="0" w:line="235" w:lineRule="auto"/>
        <w:rPr>
          <w:sz w:val="20"/>
          <w:szCs w:val="20"/>
          <w:color w:val="auto"/>
        </w:rPr>
      </w:pPr>
      <w:r>
        <w:rPr>
          <w:rFonts w:ascii="Calibri" w:cs="Calibri" w:eastAsia="Calibri" w:hAnsi="Calibri"/>
          <w:sz w:val="18"/>
          <w:szCs w:val="18"/>
          <w:color w:val="auto"/>
        </w:rPr>
        <w:t>The efects of foreign currency transactons, including related hedging actvites, are included in Other (income) charges, net, in the accompanying Consolidated Statement of Operatons.</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CASH EQUIVALENTS</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color w:val="auto"/>
        </w:rPr>
        <w:t>All highly liquid investments with a remaining maturity of three months or less at date of purchase are considered to be cash equivalents.</w:t>
      </w:r>
    </w:p>
    <w:p>
      <w:pPr>
        <w:spacing w:after="0" w:line="18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ALLOWANCE FOR CREDIT LOSSES</w:t>
      </w:r>
    </w:p>
    <w:p>
      <w:pPr>
        <w:spacing w:after="0" w:line="217"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Kodak records an allowance for credit losses against fnancial assets measured at amortzed cost basis (primarily accounts receivable) for the current expected credit losses inherent in the asset over its expected life. The allowance for credit losses is maintained based on historical experience, current conditons and reasonable and supportable forecasts that afect the collectability of the reported amount. Kodak records a specifc reserve for individual accounts when Kodak becomes aware of specifc customer circumstances evidencing the customer's inability to pay, such as in the case of a bankruptcy fling or deterioraton in the customer's operatng results or fnancial positon.</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1" w:name="page62"/>
    <w:bookmarkEnd w:id="61"/>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INVENTORIES</w:t>
      </w:r>
    </w:p>
    <w:p>
      <w:pPr>
        <w:spacing w:after="0" w:line="177" w:lineRule="exact"/>
        <w:rPr>
          <w:sz w:val="20"/>
          <w:szCs w:val="20"/>
          <w:color w:val="auto"/>
        </w:rPr>
      </w:pPr>
    </w:p>
    <w:p>
      <w:pPr>
        <w:ind w:right="320"/>
        <w:spacing w:after="0" w:line="235" w:lineRule="auto"/>
        <w:rPr>
          <w:sz w:val="20"/>
          <w:szCs w:val="20"/>
          <w:color w:val="auto"/>
        </w:rPr>
      </w:pPr>
      <w:r>
        <w:rPr>
          <w:rFonts w:ascii="Calibri" w:cs="Calibri" w:eastAsia="Calibri" w:hAnsi="Calibri"/>
          <w:sz w:val="18"/>
          <w:szCs w:val="18"/>
          <w:color w:val="auto"/>
        </w:rPr>
        <w:t>Inventories are stated at the lower of cost or net realizable value. The cost of inventories is determined by the average cost method, which approximates current cost. Kodak provides inventory reserves for excess, obsolete or slow-moving inventory based on changes in customer demand, technology developments or other economic factors.</w:t>
      </w:r>
    </w:p>
    <w:p>
      <w:pPr>
        <w:spacing w:after="0" w:line="17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PROPERTY, PLANT AND EQUIPMENT</w:t>
      </w:r>
    </w:p>
    <w:p>
      <w:pPr>
        <w:spacing w:after="0" w:line="190"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Property, plant and equipment are recorded at cost, net of accumulated depreciaton. Kodak capitalizes additons and improvements while maintenance and repairs are charged to expense as incurred. Upon sale or other dispositon, the applicable amounts of asset cost and accumulated depreciaton are removed from the accounts and the net amount, less proceeds from disposal, is charged or credited to Other operatng (income) expense, net in the Consolidated Statement of Operatons.</w:t>
      </w:r>
    </w:p>
    <w:p>
      <w:pPr>
        <w:spacing w:after="0" w:line="174" w:lineRule="exact"/>
        <w:rPr>
          <w:sz w:val="20"/>
          <w:szCs w:val="20"/>
          <w:color w:val="auto"/>
        </w:rPr>
      </w:pPr>
    </w:p>
    <w:p>
      <w:pPr>
        <w:spacing w:after="0"/>
        <w:rPr>
          <w:sz w:val="20"/>
          <w:szCs w:val="20"/>
          <w:color w:val="auto"/>
        </w:rPr>
      </w:pPr>
      <w:r>
        <w:rPr>
          <w:rFonts w:ascii="Calibri" w:cs="Calibri" w:eastAsia="Calibri" w:hAnsi="Calibri"/>
          <w:sz w:val="18"/>
          <w:szCs w:val="18"/>
          <w:color w:val="auto"/>
        </w:rPr>
        <w:t>Kodak calculates depreciaton expense using the straight-line method over the assets’ estmated useful lives, which are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914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Calibri" w:cs="Calibri" w:eastAsia="Calibri" w:hAnsi="Calibri"/>
                <w:sz w:val="18"/>
                <w:szCs w:val="18"/>
                <w:b w:val="1"/>
                <w:bCs w:val="1"/>
                <w:color w:val="auto"/>
              </w:rPr>
              <w:t>Estmated</w:t>
            </w:r>
          </w:p>
        </w:tc>
      </w:tr>
      <w:tr>
        <w:trPr>
          <w:trHeight w:val="216"/>
        </w:trPr>
        <w:tc>
          <w:tcPr>
            <w:tcW w:w="9140" w:type="dxa"/>
            <w:vAlign w:val="bottom"/>
          </w:tcPr>
          <w:p>
            <w:pPr>
              <w:spacing w:after="0"/>
              <w:rPr>
                <w:sz w:val="18"/>
                <w:szCs w:val="18"/>
                <w:color w:val="auto"/>
              </w:rPr>
            </w:pPr>
          </w:p>
        </w:tc>
        <w:tc>
          <w:tcPr>
            <w:tcW w:w="198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6"/>
              </w:rPr>
              <w:t>Useful</w:t>
            </w:r>
          </w:p>
        </w:tc>
      </w:tr>
      <w:tr>
        <w:trPr>
          <w:trHeight w:val="216"/>
        </w:trPr>
        <w:tc>
          <w:tcPr>
            <w:tcW w:w="9140" w:type="dxa"/>
            <w:vAlign w:val="bottom"/>
          </w:tcPr>
          <w:p>
            <w:pPr>
              <w:spacing w:after="0"/>
              <w:rPr>
                <w:sz w:val="18"/>
                <w:szCs w:val="18"/>
                <w:color w:val="auto"/>
              </w:rPr>
            </w:pPr>
          </w:p>
        </w:tc>
        <w:tc>
          <w:tcPr>
            <w:tcW w:w="198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7"/>
              </w:rPr>
              <w:t>Lives</w:t>
            </w:r>
          </w:p>
        </w:tc>
      </w:tr>
      <w:tr>
        <w:trPr>
          <w:trHeight w:val="23"/>
        </w:trPr>
        <w:tc>
          <w:tcPr>
            <w:tcW w:w="914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10"/>
        </w:trPr>
        <w:tc>
          <w:tcPr>
            <w:tcW w:w="9140" w:type="dxa"/>
            <w:vAlign w:val="bottom"/>
            <w:shd w:val="clear" w:color="auto" w:fill="CFF0FC"/>
          </w:tcPr>
          <w:p>
            <w:pPr>
              <w:ind w:left="20"/>
              <w:spacing w:after="0" w:line="209" w:lineRule="exact"/>
              <w:rPr>
                <w:sz w:val="20"/>
                <w:szCs w:val="20"/>
                <w:color w:val="auto"/>
              </w:rPr>
            </w:pPr>
            <w:r>
              <w:rPr>
                <w:rFonts w:ascii="Calibri" w:cs="Calibri" w:eastAsia="Calibri" w:hAnsi="Calibri"/>
                <w:sz w:val="18"/>
                <w:szCs w:val="18"/>
                <w:color w:val="auto"/>
              </w:rPr>
              <w:t>Buildings and building improvements</w:t>
            </w:r>
          </w:p>
        </w:tc>
        <w:tc>
          <w:tcPr>
            <w:tcW w:w="1980" w:type="dxa"/>
            <w:vAlign w:val="bottom"/>
            <w:shd w:val="clear" w:color="auto" w:fill="CFF0FC"/>
          </w:tcPr>
          <w:p>
            <w:pPr>
              <w:jc w:val="center"/>
              <w:spacing w:after="0" w:line="209" w:lineRule="exact"/>
              <w:rPr>
                <w:sz w:val="20"/>
                <w:szCs w:val="20"/>
                <w:color w:val="auto"/>
              </w:rPr>
            </w:pPr>
            <w:r>
              <w:rPr>
                <w:rFonts w:ascii="Calibri" w:cs="Calibri" w:eastAsia="Calibri" w:hAnsi="Calibri"/>
                <w:sz w:val="18"/>
                <w:szCs w:val="18"/>
                <w:color w:val="auto"/>
                <w:w w:val="97"/>
              </w:rPr>
              <w:t>5-40</w:t>
            </w:r>
          </w:p>
        </w:tc>
      </w:tr>
      <w:tr>
        <w:trPr>
          <w:trHeight w:val="215"/>
        </w:trPr>
        <w:tc>
          <w:tcPr>
            <w:tcW w:w="9140" w:type="dxa"/>
            <w:vAlign w:val="bottom"/>
          </w:tcPr>
          <w:p>
            <w:pPr>
              <w:ind w:left="20"/>
              <w:spacing w:after="0" w:line="215" w:lineRule="exact"/>
              <w:rPr>
                <w:sz w:val="20"/>
                <w:szCs w:val="20"/>
                <w:color w:val="auto"/>
              </w:rPr>
            </w:pPr>
            <w:r>
              <w:rPr>
                <w:rFonts w:ascii="Calibri" w:cs="Calibri" w:eastAsia="Calibri" w:hAnsi="Calibri"/>
                <w:sz w:val="18"/>
                <w:szCs w:val="18"/>
                <w:color w:val="auto"/>
              </w:rPr>
              <w:t>Land improvements</w:t>
            </w:r>
          </w:p>
        </w:tc>
        <w:tc>
          <w:tcPr>
            <w:tcW w:w="1980" w:type="dxa"/>
            <w:vAlign w:val="bottom"/>
          </w:tcPr>
          <w:p>
            <w:pPr>
              <w:jc w:val="center"/>
              <w:spacing w:after="0" w:line="215" w:lineRule="exact"/>
              <w:rPr>
                <w:sz w:val="20"/>
                <w:szCs w:val="20"/>
                <w:color w:val="auto"/>
              </w:rPr>
            </w:pPr>
            <w:r>
              <w:rPr>
                <w:rFonts w:ascii="Calibri" w:cs="Calibri" w:eastAsia="Calibri" w:hAnsi="Calibri"/>
                <w:sz w:val="18"/>
                <w:szCs w:val="18"/>
                <w:color w:val="auto"/>
                <w:w w:val="97"/>
              </w:rPr>
              <w:t>4-20</w:t>
            </w:r>
          </w:p>
        </w:tc>
      </w:tr>
      <w:tr>
        <w:trPr>
          <w:trHeight w:val="217"/>
        </w:trPr>
        <w:tc>
          <w:tcPr>
            <w:tcW w:w="914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Leasehold improvements</w:t>
            </w:r>
          </w:p>
        </w:tc>
        <w:tc>
          <w:tcPr>
            <w:tcW w:w="1980" w:type="dxa"/>
            <w:vAlign w:val="bottom"/>
            <w:shd w:val="clear" w:color="auto" w:fill="CFF0FC"/>
          </w:tcPr>
          <w:p>
            <w:pPr>
              <w:jc w:val="center"/>
              <w:spacing w:after="0" w:line="216" w:lineRule="exact"/>
              <w:rPr>
                <w:sz w:val="20"/>
                <w:szCs w:val="20"/>
                <w:color w:val="auto"/>
              </w:rPr>
            </w:pPr>
            <w:r>
              <w:rPr>
                <w:rFonts w:ascii="Calibri" w:cs="Calibri" w:eastAsia="Calibri" w:hAnsi="Calibri"/>
                <w:sz w:val="18"/>
                <w:szCs w:val="18"/>
                <w:color w:val="auto"/>
                <w:w w:val="97"/>
              </w:rPr>
              <w:t>3-20</w:t>
            </w:r>
          </w:p>
        </w:tc>
      </w:tr>
      <w:tr>
        <w:trPr>
          <w:trHeight w:val="215"/>
        </w:trPr>
        <w:tc>
          <w:tcPr>
            <w:tcW w:w="9140" w:type="dxa"/>
            <w:vAlign w:val="bottom"/>
          </w:tcPr>
          <w:p>
            <w:pPr>
              <w:ind w:left="20"/>
              <w:spacing w:after="0" w:line="215" w:lineRule="exact"/>
              <w:rPr>
                <w:sz w:val="20"/>
                <w:szCs w:val="20"/>
                <w:color w:val="auto"/>
              </w:rPr>
            </w:pPr>
            <w:r>
              <w:rPr>
                <w:rFonts w:ascii="Calibri" w:cs="Calibri" w:eastAsia="Calibri" w:hAnsi="Calibri"/>
                <w:sz w:val="18"/>
                <w:szCs w:val="18"/>
                <w:color w:val="auto"/>
              </w:rPr>
              <w:t>Equipment</w:t>
            </w:r>
          </w:p>
        </w:tc>
        <w:tc>
          <w:tcPr>
            <w:tcW w:w="1980" w:type="dxa"/>
            <w:vAlign w:val="bottom"/>
          </w:tcPr>
          <w:p>
            <w:pPr>
              <w:jc w:val="center"/>
              <w:spacing w:after="0" w:line="215" w:lineRule="exact"/>
              <w:rPr>
                <w:sz w:val="20"/>
                <w:szCs w:val="20"/>
                <w:color w:val="auto"/>
              </w:rPr>
            </w:pPr>
            <w:r>
              <w:rPr>
                <w:rFonts w:ascii="Calibri" w:cs="Calibri" w:eastAsia="Calibri" w:hAnsi="Calibri"/>
                <w:sz w:val="18"/>
                <w:szCs w:val="18"/>
                <w:color w:val="auto"/>
                <w:w w:val="97"/>
              </w:rPr>
              <w:t>3-20</w:t>
            </w:r>
          </w:p>
        </w:tc>
      </w:tr>
      <w:tr>
        <w:trPr>
          <w:trHeight w:val="217"/>
        </w:trPr>
        <w:tc>
          <w:tcPr>
            <w:tcW w:w="914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Tooling</w:t>
            </w:r>
          </w:p>
        </w:tc>
        <w:tc>
          <w:tcPr>
            <w:tcW w:w="1980" w:type="dxa"/>
            <w:vAlign w:val="bottom"/>
            <w:shd w:val="clear" w:color="auto" w:fill="CFF0FC"/>
          </w:tcPr>
          <w:p>
            <w:pPr>
              <w:jc w:val="center"/>
              <w:spacing w:after="0" w:line="216" w:lineRule="exact"/>
              <w:rPr>
                <w:sz w:val="20"/>
                <w:szCs w:val="20"/>
                <w:color w:val="auto"/>
              </w:rPr>
            </w:pPr>
            <w:r>
              <w:rPr>
                <w:rFonts w:ascii="Calibri" w:cs="Calibri" w:eastAsia="Calibri" w:hAnsi="Calibri"/>
                <w:sz w:val="18"/>
                <w:szCs w:val="18"/>
                <w:color w:val="auto"/>
              </w:rPr>
              <w:t>1-3</w:t>
            </w:r>
          </w:p>
        </w:tc>
      </w:tr>
      <w:tr>
        <w:trPr>
          <w:trHeight w:val="215"/>
        </w:trPr>
        <w:tc>
          <w:tcPr>
            <w:tcW w:w="9140" w:type="dxa"/>
            <w:vAlign w:val="bottom"/>
          </w:tcPr>
          <w:p>
            <w:pPr>
              <w:ind w:left="20"/>
              <w:spacing w:after="0" w:line="215" w:lineRule="exact"/>
              <w:rPr>
                <w:sz w:val="20"/>
                <w:szCs w:val="20"/>
                <w:color w:val="auto"/>
              </w:rPr>
            </w:pPr>
            <w:r>
              <w:rPr>
                <w:rFonts w:ascii="Calibri" w:cs="Calibri" w:eastAsia="Calibri" w:hAnsi="Calibri"/>
                <w:sz w:val="18"/>
                <w:szCs w:val="18"/>
                <w:color w:val="auto"/>
              </w:rPr>
              <w:t>Furniture and fxtures</w:t>
            </w:r>
          </w:p>
        </w:tc>
        <w:tc>
          <w:tcPr>
            <w:tcW w:w="1980" w:type="dxa"/>
            <w:vAlign w:val="bottom"/>
          </w:tcPr>
          <w:p>
            <w:pPr>
              <w:jc w:val="center"/>
              <w:spacing w:after="0" w:line="215" w:lineRule="exact"/>
              <w:rPr>
                <w:sz w:val="20"/>
                <w:szCs w:val="20"/>
                <w:color w:val="auto"/>
              </w:rPr>
            </w:pPr>
            <w:r>
              <w:rPr>
                <w:rFonts w:ascii="Calibri" w:cs="Calibri" w:eastAsia="Calibri" w:hAnsi="Calibri"/>
                <w:sz w:val="18"/>
                <w:szCs w:val="18"/>
                <w:color w:val="auto"/>
                <w:w w:val="97"/>
              </w:rPr>
              <w:t>5-10</w:t>
            </w:r>
          </w:p>
        </w:tc>
      </w:tr>
    </w:tbl>
    <w:p>
      <w:pPr>
        <w:spacing w:after="0" w:line="190" w:lineRule="exact"/>
        <w:rPr>
          <w:sz w:val="20"/>
          <w:szCs w:val="20"/>
          <w:color w:val="auto"/>
        </w:rPr>
      </w:pPr>
    </w:p>
    <w:p>
      <w:pPr>
        <w:spacing w:after="0"/>
        <w:rPr>
          <w:sz w:val="20"/>
          <w:szCs w:val="20"/>
          <w:color w:val="auto"/>
        </w:rPr>
      </w:pPr>
      <w:r>
        <w:rPr>
          <w:rFonts w:ascii="Calibri" w:cs="Calibri" w:eastAsia="Calibri" w:hAnsi="Calibri"/>
          <w:sz w:val="18"/>
          <w:szCs w:val="18"/>
          <w:color w:val="auto"/>
        </w:rPr>
        <w:t>Kodak depreciates leasehold improvements over the shorter of the lease term or the assets’ estmated useful life.</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INTERNAL USE SOFTWARE</w:t>
      </w:r>
    </w:p>
    <w:p>
      <w:pPr>
        <w:spacing w:after="0" w:line="190"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Expenditures for sofware purchases and sofware developed for internal use are capitalized and depreciated on a straight-line basis over the estmated useful lives, generally 3 to 10 years. For sofware developed for internal use, only certain costs are capitalized, including external direct costs of materials and services associated with developing or obtaining the sofware, and payroll and payroll-related costs for employees who are directly associated with internal-use sofware projects. Capitalizaton of these costs ceases no later than the point at which the project is substantally complete and ready for its intended use. Costs associated with preliminary project stage actvites, training, maintenance, and other post-implementaton stage actvites are expensed as incurred. The carrying value of owned sofware and development costs is recorded in Property, plant and equipment, net while the carrying value of cloud-based sofware and development costs is recorded in Other long-term assets. The carrying value of sofware and development costs is reviewed for impairment when events or changes in circumstances indicate that the carrying value of such assets may not be recoverable.</w:t>
      </w:r>
    </w:p>
    <w:p>
      <w:pPr>
        <w:spacing w:after="0" w:line="17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GOODWILL</w:t>
      </w:r>
    </w:p>
    <w:p>
      <w:pPr>
        <w:spacing w:after="0" w:line="177"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Goodwill is not amortzed but is required to be assessed for impairment at least annually and whenever events or changes in circumstances occur that would more likely than not reduce the fair value of the reportng unit below its carrying amount.</w:t>
      </w:r>
    </w:p>
    <w:p>
      <w:pPr>
        <w:spacing w:after="0" w:line="191"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When testng goodwill for impairment, Kodak may assess qualitatve factors for some or all of its reportng units to determine whether it is more likely than not (that is, a likelihood of more than 50 percent) that the fair value of a reportng unit is less than its carrying amount, including goodwill. If Kodak determines based on this qualitatve test of impairment that it is more likely than not that a reportng unit’s fair value is less than its carrying amount or elects to bypass the qualitatve assessment for some or all of its reportng units, then a quanttatve goodwill impairment test is performed. The amount of goodwill impairment, if any, is calculated as the amount by which a reportng unit’s carrying value exceeds its fair value, not to exceed the carrying amount of goodwill. Determining the fair value of a reportng unit involves the use of signifcant estmates and assumptons. Refer to Note 5, “Goodwill and Other Intangible Assets.”</w:t>
      </w:r>
    </w:p>
    <w:p>
      <w:pPr>
        <w:spacing w:after="0" w:line="17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WORKERS</w:t>
      </w:r>
      <w:r>
        <w:rPr>
          <w:rFonts w:ascii="Calibri" w:cs="Calibri" w:eastAsia="Calibri" w:hAnsi="Calibri"/>
          <w:sz w:val="18"/>
          <w:szCs w:val="18"/>
          <w:color w:val="auto"/>
        </w:rPr>
        <w:t>’</w:t>
      </w:r>
      <w:r>
        <w:rPr>
          <w:rFonts w:ascii="Calibri" w:cs="Calibri" w:eastAsia="Calibri" w:hAnsi="Calibri"/>
          <w:sz w:val="18"/>
          <w:szCs w:val="18"/>
          <w:b w:val="1"/>
          <w:bCs w:val="1"/>
          <w:color w:val="auto"/>
        </w:rPr>
        <w:t xml:space="preserve"> COMPENSATION</w:t>
      </w:r>
    </w:p>
    <w:p>
      <w:pPr>
        <w:spacing w:after="0" w:line="177" w:lineRule="exact"/>
        <w:rPr>
          <w:sz w:val="20"/>
          <w:szCs w:val="20"/>
          <w:color w:val="auto"/>
        </w:rPr>
      </w:pPr>
    </w:p>
    <w:p>
      <w:pPr>
        <w:ind w:right="160"/>
        <w:spacing w:after="0" w:line="235" w:lineRule="auto"/>
        <w:rPr>
          <w:sz w:val="20"/>
          <w:szCs w:val="20"/>
          <w:color w:val="auto"/>
        </w:rPr>
      </w:pPr>
      <w:r>
        <w:rPr>
          <w:rFonts w:ascii="Calibri" w:cs="Calibri" w:eastAsia="Calibri" w:hAnsi="Calibri"/>
          <w:sz w:val="18"/>
          <w:szCs w:val="18"/>
          <w:color w:val="auto"/>
        </w:rPr>
        <w:t>Kodak partcipates in high-deductble insurance programs with retenton and per occurrence deductble levels for claims related to workers’ compensaton. The estmated liability for workers’ compensaton is based on actuarially estmated, discounted cost of claims, including claims incurred but not reported. Historical loss development factors are utlized to project the future development of incurred losses, and the amounts are adjusted based on actual claim experience, setlements, claim development trends, changes</w:t>
      </w:r>
    </w:p>
    <w:p>
      <w:pPr>
        <w:spacing w:after="0" w:line="188"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311150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2" w:name="page63"/>
    <w:bookmarkEnd w:id="62"/>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20"/>
        <w:spacing w:after="0" w:line="251" w:lineRule="auto"/>
        <w:rPr>
          <w:sz w:val="20"/>
          <w:szCs w:val="20"/>
          <w:color w:val="auto"/>
        </w:rPr>
      </w:pPr>
      <w:r>
        <w:rPr>
          <w:rFonts w:ascii="Calibri" w:cs="Calibri" w:eastAsia="Calibri" w:hAnsi="Calibri"/>
          <w:sz w:val="17"/>
          <w:szCs w:val="17"/>
          <w:color w:val="auto"/>
        </w:rPr>
        <w:t>in state regulatons and judicial interpretatons. Refer to Note 6, “Other Current Liabilites” and Note 7, “Other Long-Term Liabilites” for the estmated liabilites. Amounts recoverable from insurance companies or third partes are estmated using historical experience and estmates of future recoveries. Estmated recoveries are not ofset against the related accrual. The amount recorded for the estmated recoveries at December 31, 2024 and 2023 was $14 million and $16 million, respectvely, of which $12 million was reported in Other long-term assets in the Consolidated Statement of Financial Positon in both periods. The remaining $2 million and $4 million, respectvely, was reported in Other current assets in the Consolidated Statement of Financial Positon.</w:t>
      </w:r>
    </w:p>
    <w:p>
      <w:pPr>
        <w:spacing w:after="0" w:line="16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LEASES</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Kodak as lessee</w:t>
      </w:r>
    </w:p>
    <w:p>
      <w:pPr>
        <w:spacing w:after="0" w:line="19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Kodak determines if an arrangement is a lease at incepton. The primary criteria used to classify transactons as operatng or fnance leases are: (1) whether the ownership transfers at the end of the lease, (2) whether the lease term is equal to or greater than 75% of the economic life of the asset, and (3) whether the present value of the minimum lease payments is equal to or greater than 90% of the fair value of the asset at incepton of the lease. Kodak does not have leases that include assets of a specialized nature, and generally does not provide residual value guarantees or have any leases for which the exercise of end-of-lease purchase optons is reasonably assured at lease incepton.</w:t>
      </w:r>
    </w:p>
    <w:p>
      <w:pPr>
        <w:spacing w:after="0" w:line="180"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Operatng lease right-of-use (“ROU”) assets represent the right to use an underlying asset for the lease term and operatng lease liabilites represent the obligaton to make lease payments arising from the operatng lease. ROU assets and lease liabilites are recognized at the lease commencement date based on the present value of lease payments over the lease term. The ROU assets are adjusted for prepayments and lease incentves. Variable lease payments are excluded from the measurement of ROU assets and lease liabilites and are recognized in expense in the period in which the obligaton for those payments is incurred. Lease agreements may include optons to extend or terminate the lease at Kodak’s discreton, which are included in the determinaton of the lease term when they are reasonably certain to be exercised.</w:t>
      </w:r>
    </w:p>
    <w:p>
      <w:pPr>
        <w:spacing w:after="0" w:line="181" w:lineRule="exact"/>
        <w:rPr>
          <w:sz w:val="20"/>
          <w:szCs w:val="20"/>
          <w:color w:val="auto"/>
        </w:rPr>
      </w:pPr>
    </w:p>
    <w:p>
      <w:pPr>
        <w:ind w:right="180"/>
        <w:spacing w:after="0" w:line="235" w:lineRule="auto"/>
        <w:rPr>
          <w:sz w:val="20"/>
          <w:szCs w:val="20"/>
          <w:color w:val="auto"/>
        </w:rPr>
      </w:pPr>
      <w:r>
        <w:rPr>
          <w:rFonts w:ascii="Calibri" w:cs="Calibri" w:eastAsia="Calibri" w:hAnsi="Calibri"/>
          <w:sz w:val="18"/>
          <w:szCs w:val="18"/>
          <w:color w:val="auto"/>
        </w:rPr>
        <w:t>Kodak’s lease agreements are primarily for real estate space and vehicles. Arrangements for goods and services are assessed to determine if the arrangement contains a lease at its incepton. Operatng leases are included within Operatng lease ROU assets, Current porton of operatng leases and Operatng leases, net of current porton in the Consolidated Statement of Financial Positon. Finance leases are included in Property, plant and equipment, net, Short-term borrowings and current porton of long-term debt and Long-term debt, net of current porton in the Consolidated Statement of Financial Positon.</w:t>
      </w:r>
    </w:p>
    <w:p>
      <w:pPr>
        <w:spacing w:after="0" w:line="193" w:lineRule="exact"/>
        <w:rPr>
          <w:sz w:val="20"/>
          <w:szCs w:val="20"/>
          <w:color w:val="auto"/>
        </w:rPr>
      </w:pPr>
    </w:p>
    <w:p>
      <w:pPr>
        <w:ind w:right="400"/>
        <w:spacing w:after="0" w:line="235" w:lineRule="auto"/>
        <w:rPr>
          <w:sz w:val="20"/>
          <w:szCs w:val="20"/>
          <w:color w:val="auto"/>
        </w:rPr>
      </w:pPr>
      <w:r>
        <w:rPr>
          <w:rFonts w:ascii="Calibri" w:cs="Calibri" w:eastAsia="Calibri" w:hAnsi="Calibri"/>
          <w:sz w:val="18"/>
          <w:szCs w:val="18"/>
          <w:color w:val="auto"/>
        </w:rPr>
        <w:t>When available, the rate implicit in the lease is used to discount lease payments to present value; however, many leases do not provide a readily determinable implicit rate. Therefore, Kodak typically uses its incremental borrowing rate to discount the lease payments at lease commencement. The incremental borrowing rate is the rate of interest that EKC would have to pay to borrow, on a collateralized basis, over a similar term. Renewal optons and/or terminaton optons are factored into the determinaton of lease payments if considered probable.</w:t>
      </w:r>
    </w:p>
    <w:p>
      <w:pPr>
        <w:spacing w:after="0" w:line="179" w:lineRule="exact"/>
        <w:rPr>
          <w:sz w:val="20"/>
          <w:szCs w:val="20"/>
          <w:color w:val="auto"/>
        </w:rPr>
      </w:pPr>
    </w:p>
    <w:p>
      <w:pPr>
        <w:jc w:val="both"/>
        <w:ind w:right="100"/>
        <w:spacing w:after="0" w:line="235" w:lineRule="auto"/>
        <w:rPr>
          <w:sz w:val="20"/>
          <w:szCs w:val="20"/>
          <w:color w:val="auto"/>
        </w:rPr>
      </w:pPr>
      <w:r>
        <w:rPr>
          <w:rFonts w:ascii="Calibri" w:cs="Calibri" w:eastAsia="Calibri" w:hAnsi="Calibri"/>
          <w:sz w:val="18"/>
          <w:szCs w:val="18"/>
          <w:color w:val="auto"/>
        </w:rPr>
        <w:t>Rental expense related to operatng leases is recognized on a straight-line basis over the lease term. The lease agreements may include both lease and non-lease components. Kodak does not separate lease and non-lease components for real estate leases but does separate lease and non-lease components for equipment leases.</w:t>
      </w:r>
    </w:p>
    <w:p>
      <w:pPr>
        <w:spacing w:after="0" w:line="173"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Kodak as Lessor</w:t>
      </w:r>
    </w:p>
    <w:p>
      <w:pPr>
        <w:spacing w:after="0" w:line="185" w:lineRule="exact"/>
        <w:rPr>
          <w:sz w:val="20"/>
          <w:szCs w:val="20"/>
          <w:color w:val="auto"/>
        </w:rPr>
      </w:pPr>
    </w:p>
    <w:p>
      <w:pPr>
        <w:spacing w:after="0"/>
        <w:rPr>
          <w:sz w:val="20"/>
          <w:szCs w:val="20"/>
          <w:color w:val="auto"/>
        </w:rPr>
      </w:pPr>
      <w:r>
        <w:rPr>
          <w:rFonts w:ascii="Calibri" w:cs="Calibri" w:eastAsia="Calibri" w:hAnsi="Calibri"/>
          <w:sz w:val="18"/>
          <w:szCs w:val="18"/>
          <w:color w:val="auto"/>
        </w:rPr>
        <w:t>Kodak places its own equipment at customer sites under sales-type and operatng lease arrangements.</w:t>
      </w:r>
    </w:p>
    <w:p>
      <w:pPr>
        <w:spacing w:after="0" w:line="177" w:lineRule="exact"/>
        <w:rPr>
          <w:sz w:val="20"/>
          <w:szCs w:val="20"/>
          <w:color w:val="auto"/>
        </w:rPr>
      </w:pPr>
    </w:p>
    <w:p>
      <w:pPr>
        <w:ind w:right="160"/>
        <w:spacing w:after="0" w:line="235" w:lineRule="auto"/>
        <w:rPr>
          <w:sz w:val="20"/>
          <w:szCs w:val="20"/>
          <w:color w:val="auto"/>
        </w:rPr>
      </w:pPr>
      <w:r>
        <w:rPr>
          <w:rFonts w:ascii="Calibri" w:cs="Calibri" w:eastAsia="Calibri" w:hAnsi="Calibri"/>
          <w:sz w:val="18"/>
          <w:szCs w:val="18"/>
          <w:color w:val="auto"/>
        </w:rPr>
        <w:t>Arrangements classifed as sales-type leases with revenue recogniton at incepton generally transfer ttle to the equipment by the end of the lease term or have a lease term that is for a major part of the remaining economic life of the equipment. Leases meetng the sales-type lease criteria with variable lease payments that do not depend upon a reference rate or index are classifed as operatng leases if they would otherwise result in a day-one loss. If the arrangement meets the criteria for a sales-type lease but collectability is not considered probable, Kodak will not derecognize the asset and will record all payments received as a liability untl the earlier of collectability becoming probable or the terminaton of the lease.</w:t>
      </w:r>
    </w:p>
    <w:p>
      <w:pPr>
        <w:spacing w:after="0" w:line="180"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color w:val="auto"/>
        </w:rPr>
        <w:t>Arrangements that do not meet the sales-type lease criteria are classifed as operatng leases with revenue recognized over the term. Equipment subject to operatng leases is included in Property, plant and equipment, net in the Consolidated Statement of Financial Positon and is depreciated to estmated residual value over its expected useful life. Equipment operatng lease terms and depreciable lives generally vary from 3 to 7 years.</w:t>
      </w:r>
    </w:p>
    <w:p>
      <w:pPr>
        <w:spacing w:after="0" w:line="192" w:lineRule="exact"/>
        <w:rPr>
          <w:sz w:val="20"/>
          <w:szCs w:val="20"/>
          <w:color w:val="auto"/>
        </w:rPr>
      </w:pPr>
    </w:p>
    <w:p>
      <w:pPr>
        <w:ind w:right="240"/>
        <w:spacing w:after="0" w:line="235" w:lineRule="auto"/>
        <w:rPr>
          <w:sz w:val="20"/>
          <w:szCs w:val="20"/>
          <w:color w:val="auto"/>
        </w:rPr>
      </w:pPr>
      <w:r>
        <w:rPr>
          <w:rFonts w:ascii="Calibri" w:cs="Calibri" w:eastAsia="Calibri" w:hAnsi="Calibri"/>
          <w:sz w:val="18"/>
          <w:szCs w:val="18"/>
          <w:color w:val="auto"/>
        </w:rPr>
        <w:t>The core operatons of Eastman Business Park are commercial real estate management actvites including real estate leasing and related facility management services. Kodak also leases underutlized portons of its other real estate propertes to third partes under both operatng lease and sublease agreements. Payments received under operatng lease agreements for Eastman Business</w:t>
      </w:r>
    </w:p>
    <w:p>
      <w:pPr>
        <w:spacing w:after="0" w:line="173"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sectPr>
      </w:pPr>
    </w:p>
    <w:bookmarkStart w:id="63" w:name="page64"/>
    <w:bookmarkEnd w:id="63"/>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340"/>
        <w:spacing w:after="0" w:line="235" w:lineRule="auto"/>
        <w:rPr>
          <w:sz w:val="20"/>
          <w:szCs w:val="20"/>
          <w:color w:val="auto"/>
        </w:rPr>
      </w:pPr>
      <w:r>
        <w:rPr>
          <w:rFonts w:ascii="Calibri" w:cs="Calibri" w:eastAsia="Calibri" w:hAnsi="Calibri"/>
          <w:sz w:val="18"/>
          <w:szCs w:val="18"/>
          <w:color w:val="auto"/>
        </w:rPr>
        <w:t>Park are recognized on a straight-line basis over the term and are reported in Revenues in the Consolidated Statement of Operatons. Payments received under lease and sublease agreements for other underutlized space are recognized on a straight-line basis and reported as cost reductons in Cost of revenues, Selling, general and administratve (“SG&amp;A”) expenses, Research and Development (“R&amp;D”) costs and Other (income) charges, net.</w:t>
      </w:r>
    </w:p>
    <w:p>
      <w:pPr>
        <w:spacing w:after="0" w:line="178" w:lineRule="exact"/>
        <w:rPr>
          <w:sz w:val="20"/>
          <w:szCs w:val="20"/>
          <w:color w:val="auto"/>
        </w:rPr>
      </w:pPr>
    </w:p>
    <w:p>
      <w:pPr>
        <w:ind w:right="240"/>
        <w:spacing w:after="0" w:line="235" w:lineRule="auto"/>
        <w:rPr>
          <w:sz w:val="20"/>
          <w:szCs w:val="20"/>
          <w:color w:val="auto"/>
        </w:rPr>
      </w:pPr>
      <w:r>
        <w:rPr>
          <w:rFonts w:ascii="Calibri" w:cs="Calibri" w:eastAsia="Calibri" w:hAnsi="Calibri"/>
          <w:sz w:val="18"/>
          <w:szCs w:val="18"/>
          <w:color w:val="auto"/>
        </w:rPr>
        <w:t>Renewal optons and/or terminaton optons are factored into the determinaton of lease payments if considered probable. Kodak does not separate lease and non-lease components of contracts for real estate leases but does separate lease and non-lease components for equipment leases.</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REVENUE</w:t>
      </w:r>
    </w:p>
    <w:p>
      <w:pPr>
        <w:spacing w:after="0" w:line="190" w:lineRule="exact"/>
        <w:rPr>
          <w:sz w:val="20"/>
          <w:szCs w:val="20"/>
          <w:color w:val="auto"/>
        </w:rPr>
      </w:pPr>
    </w:p>
    <w:p>
      <w:pPr>
        <w:ind w:right="220"/>
        <w:spacing w:after="0" w:line="235" w:lineRule="auto"/>
        <w:rPr>
          <w:sz w:val="20"/>
          <w:szCs w:val="20"/>
          <w:color w:val="auto"/>
        </w:rPr>
      </w:pPr>
      <w:r>
        <w:rPr>
          <w:rFonts w:ascii="Calibri" w:cs="Calibri" w:eastAsia="Calibri" w:hAnsi="Calibri"/>
          <w:sz w:val="18"/>
          <w:szCs w:val="18"/>
          <w:color w:val="auto"/>
        </w:rPr>
        <w:t>Kodak’s revenue transactons include sales of products (such as components and consumables for use in Kodak and other manufacturers’ equipment, flm-based products and specialty materials and chemicals), equipment, sofware, services (such as extended warranty, customer support and maintenance agreements, consultng, training and educaton, engineering, coatng and contract manufacturing services), integrated solutons, intellectual property and brand licensing, and commercial real estate management actvites.</w:t>
      </w:r>
    </w:p>
    <w:p>
      <w:pPr>
        <w:spacing w:after="0" w:line="179"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Contracts with customers may include multple performance obligatons including equipment, optonal sofware licenses and service agreements. For such arrangements, revenue is typically allocated to each performance obligaton based on its relatve standalone selling price. Standalone selling prices are based on the observable prices of the products or services when sold separately or by using expected cost-plus margin when directly observable prices are not available. The Company reassesses its standalone selling prices at least annually.</w:t>
      </w:r>
    </w:p>
    <w:p>
      <w:pPr>
        <w:spacing w:after="0" w:line="17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Equipment is generally dependent on, and interrelated with, the underlying operatng system (frmware) and cannot functon without the operatng system; in these cases, the hardware and sofware licenses are accounted for as a single performance obligaton. Service agreements generally have a one-year inital term subject to annual renewals and may be prepaid or paid over tme; for such arrangements, revenue is allocated to each performance obligaton based on its relatve standalone selling price. Kodak applies the residual allocaton method for sales of certain complex, highly customized equipment due to signifcant variability in pricing.</w:t>
      </w:r>
    </w:p>
    <w:p>
      <w:pPr>
        <w:spacing w:after="0" w:line="193" w:lineRule="exact"/>
        <w:rPr>
          <w:sz w:val="20"/>
          <w:szCs w:val="20"/>
          <w:color w:val="auto"/>
        </w:rPr>
      </w:pPr>
    </w:p>
    <w:p>
      <w:pPr>
        <w:ind w:right="580"/>
        <w:spacing w:after="0" w:line="235" w:lineRule="auto"/>
        <w:rPr>
          <w:sz w:val="20"/>
          <w:szCs w:val="20"/>
          <w:color w:val="auto"/>
        </w:rPr>
      </w:pPr>
      <w:r>
        <w:rPr>
          <w:rFonts w:ascii="Calibri" w:cs="Calibri" w:eastAsia="Calibri" w:hAnsi="Calibri"/>
          <w:sz w:val="18"/>
          <w:szCs w:val="18"/>
          <w:color w:val="auto"/>
        </w:rPr>
        <w:t>Revenue is recognized when control of the promised goods or services is transferred to customers in an amount that refects the consideraton Kodak expects to be enttled to in exchange for those goods or services.</w:t>
      </w:r>
    </w:p>
    <w:p>
      <w:pPr>
        <w:spacing w:after="0" w:line="177" w:lineRule="exact"/>
        <w:rPr>
          <w:sz w:val="20"/>
          <w:szCs w:val="20"/>
          <w:color w:val="auto"/>
        </w:rPr>
      </w:pPr>
    </w:p>
    <w:p>
      <w:pPr>
        <w:ind w:right="220"/>
        <w:spacing w:after="0" w:line="235" w:lineRule="auto"/>
        <w:rPr>
          <w:sz w:val="20"/>
          <w:szCs w:val="20"/>
          <w:color w:val="auto"/>
        </w:rPr>
      </w:pPr>
      <w:r>
        <w:rPr>
          <w:rFonts w:ascii="Calibri" w:cs="Calibri" w:eastAsia="Calibri" w:hAnsi="Calibri"/>
          <w:sz w:val="18"/>
          <w:szCs w:val="18"/>
          <w:color w:val="auto"/>
        </w:rPr>
        <w:t>For product sales (such as plates, flm, inks, specialty materials and chemicals and other consumables), revenue is recognized when control has transferred from Kodak to the buyer, which may be upon shipment or upon delivery to the customer site, based on contract terms or legal requirements in certain jurisdictons.</w:t>
      </w:r>
    </w:p>
    <w:p>
      <w:pPr>
        <w:spacing w:after="0" w:line="178" w:lineRule="exact"/>
        <w:rPr>
          <w:sz w:val="20"/>
          <w:szCs w:val="20"/>
          <w:color w:val="auto"/>
        </w:rPr>
      </w:pPr>
    </w:p>
    <w:p>
      <w:pPr>
        <w:ind w:right="140"/>
        <w:spacing w:after="0" w:line="235" w:lineRule="auto"/>
        <w:rPr>
          <w:sz w:val="20"/>
          <w:szCs w:val="20"/>
          <w:color w:val="auto"/>
        </w:rPr>
      </w:pPr>
      <w:r>
        <w:rPr>
          <w:rFonts w:ascii="Calibri" w:cs="Calibri" w:eastAsia="Calibri" w:hAnsi="Calibri"/>
          <w:sz w:val="18"/>
          <w:szCs w:val="18"/>
          <w:color w:val="auto"/>
        </w:rPr>
        <w:t>For non-complex equipment installatons and sofware sales, revenue is recognized when control of each distnct performance obligaton has transferred from Kodak to the buyer, which is generally met when the equipment or sofware is delivered and installed at the customer site, as delivery and installaton generally occur within the same period. For complex equipment installatons or integrated sofware solutons, revenue is deferred untl receipt of customer acceptance and control has transferred to the buyer.</w:t>
      </w:r>
    </w:p>
    <w:p>
      <w:pPr>
        <w:spacing w:after="0" w:line="192"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Sofware licenses are sold both in bundled equipment arrangements as discussed above or on a standalone basis. Perpetual licenses are usually sold with post-contract support services (“PCS”) which are considered distnct performance obligatons as the customer’s use of the existng sofware is not dependent upon future upgrades. Kodak recognizes sofware revenue at the tme that the customer obtains control over the sofware which generally occurs upon installaton, while revenue allocated to the PCS is recognized over the service period. The Company also sells Sofware-as-a-Service ("SaaS") arrangements with revenue recognized over the contract term.</w:t>
      </w:r>
    </w:p>
    <w:p>
      <w:pPr>
        <w:spacing w:after="0" w:line="180"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Service revenue related to equipment and sofware support is recognized using the tme-based method ratably over the contractual period as it best depicts when the customer receives the beneft from the service. Service revenue for tme-and-materials based agreements is recognized as services are performed. In service arrangements such as consultng where fnal acceptance by the customer is required, revenue is deferred untl all acceptance criteria have been met and Kodak has a legal right to payment.</w:t>
      </w:r>
    </w:p>
    <w:p>
      <w:pPr>
        <w:spacing w:after="0" w:line="179"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Kodak’s licensing revenue is comprised of sofware licenses as discussed above, licenses to use functonal intellectual property (e.g. patents and technical know-how) and licenses to use symbolic intellectual property (e.g. brand names and trademarks). The tming and the amount of revenue recognized from the licensing of intellectual property depends upon a variety of factors, including the nature of the performance obligatons (functonal vs. symbolic licenses), specifc terms of each agreement, and the payment terms. Aside from sofware licenses discussed above, Kodak’s functonal licenses generally provide the right to use functonal intellectual</w:t>
      </w:r>
    </w:p>
    <w:p>
      <w:pPr>
        <w:spacing w:after="0" w:line="188"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311150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4" w:name="page65"/>
    <w:bookmarkEnd w:id="64"/>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right="260"/>
        <w:spacing w:after="0" w:line="235" w:lineRule="auto"/>
        <w:rPr>
          <w:sz w:val="20"/>
          <w:szCs w:val="20"/>
          <w:color w:val="auto"/>
        </w:rPr>
      </w:pPr>
      <w:r>
        <w:rPr>
          <w:rFonts w:ascii="Calibri" w:cs="Calibri" w:eastAsia="Calibri" w:hAnsi="Calibri"/>
          <w:sz w:val="18"/>
          <w:szCs w:val="18"/>
          <w:color w:val="auto"/>
        </w:rPr>
        <w:t>property; therefore, non-sales/usage-based revenue is recognized when the customer has the right to use the intellectual property while sales and usage-based royaltes are recognized in the period the related sales and usage occurs. Revenue for symbolic licenses such as brand licenses are recognized over tme.</w:t>
      </w:r>
    </w:p>
    <w:p>
      <w:pPr>
        <w:spacing w:after="0" w:line="178" w:lineRule="exact"/>
        <w:rPr>
          <w:sz w:val="20"/>
          <w:szCs w:val="20"/>
          <w:color w:val="auto"/>
        </w:rPr>
      </w:pPr>
    </w:p>
    <w:p>
      <w:pPr>
        <w:jc w:val="both"/>
        <w:ind w:right="300"/>
        <w:spacing w:after="0" w:line="235" w:lineRule="auto"/>
        <w:rPr>
          <w:sz w:val="20"/>
          <w:szCs w:val="20"/>
          <w:color w:val="auto"/>
        </w:rPr>
      </w:pPr>
      <w:r>
        <w:rPr>
          <w:rFonts w:ascii="Calibri" w:cs="Calibri" w:eastAsia="Calibri" w:hAnsi="Calibri"/>
          <w:sz w:val="18"/>
          <w:szCs w:val="18"/>
          <w:color w:val="auto"/>
        </w:rPr>
        <w:t>Real estate management revenue consists primarily of income from tenant leases, including rent and utlites, as well as facility management services and hostng onsite events. Usage-based revenue is recognized as earned, while tenant lease income is recognized on a straight-line basis over the lease term (Refer to Leases; Kodak as Lessor above).</w:t>
      </w:r>
    </w:p>
    <w:p>
      <w:pPr>
        <w:spacing w:after="0" w:line="178" w:lineRule="exact"/>
        <w:rPr>
          <w:sz w:val="20"/>
          <w:szCs w:val="20"/>
          <w:color w:val="auto"/>
        </w:rPr>
      </w:pPr>
    </w:p>
    <w:p>
      <w:pPr>
        <w:jc w:val="both"/>
        <w:ind w:right="260"/>
        <w:spacing w:after="0" w:line="235" w:lineRule="auto"/>
        <w:rPr>
          <w:sz w:val="20"/>
          <w:szCs w:val="20"/>
          <w:color w:val="auto"/>
        </w:rPr>
      </w:pPr>
      <w:r>
        <w:rPr>
          <w:rFonts w:ascii="Calibri" w:cs="Calibri" w:eastAsia="Calibri" w:hAnsi="Calibri"/>
          <w:sz w:val="18"/>
          <w:szCs w:val="18"/>
          <w:color w:val="auto"/>
        </w:rPr>
        <w:t>Deferred revenue is recorded when cash payments are received in advance of satsfying performance obligatons, such as deposits required in advance on equipment orders, prepaid service contracts, prepaid tenant lease income or prepaid royaltes on intellectual property arrangements. Interest expense is imputed for payments received greater than one year in advance of performance.</w:t>
      </w:r>
    </w:p>
    <w:p>
      <w:pPr>
        <w:spacing w:after="0" w:line="192"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Payment terms and conditons vary by contract type, although terms generally include a requirement of payment within 30 to 60 days. With the excepton of brand licensing arrangements, Kodak applies the practcal expedient with respect to implied fnancial components and only imputes interest for payment terms greater than one year.</w:t>
      </w:r>
    </w:p>
    <w:p>
      <w:pPr>
        <w:spacing w:after="0" w:line="173" w:lineRule="exact"/>
        <w:rPr>
          <w:sz w:val="20"/>
          <w:szCs w:val="20"/>
          <w:color w:val="auto"/>
        </w:rPr>
      </w:pPr>
    </w:p>
    <w:p>
      <w:pPr>
        <w:spacing w:after="0"/>
        <w:rPr>
          <w:sz w:val="20"/>
          <w:szCs w:val="20"/>
          <w:color w:val="auto"/>
        </w:rPr>
      </w:pPr>
      <w:r>
        <w:rPr>
          <w:rFonts w:ascii="Calibri" w:cs="Calibri" w:eastAsia="Calibri" w:hAnsi="Calibri"/>
          <w:sz w:val="18"/>
          <w:szCs w:val="18"/>
          <w:color w:val="auto"/>
        </w:rPr>
        <w:t>Sales and usage-based taxes are excluded from revenues.</w:t>
      </w:r>
    </w:p>
    <w:p>
      <w:pPr>
        <w:spacing w:after="0" w:line="177" w:lineRule="exact"/>
        <w:rPr>
          <w:sz w:val="20"/>
          <w:szCs w:val="20"/>
          <w:color w:val="auto"/>
        </w:rPr>
      </w:pPr>
    </w:p>
    <w:p>
      <w:pPr>
        <w:ind w:right="80"/>
        <w:spacing w:after="0" w:line="254" w:lineRule="auto"/>
        <w:rPr>
          <w:sz w:val="20"/>
          <w:szCs w:val="20"/>
          <w:color w:val="auto"/>
        </w:rPr>
      </w:pPr>
      <w:r>
        <w:rPr>
          <w:rFonts w:ascii="Calibri" w:cs="Calibri" w:eastAsia="Calibri" w:hAnsi="Calibri"/>
          <w:sz w:val="17"/>
          <w:szCs w:val="17"/>
          <w:color w:val="auto"/>
        </w:rPr>
        <w:t>Certain customers may receive cash-based incentves or credits, which are accounted for as variable consideraton. At the tme revenue is recognized, Kodak records reductons to revenue for customer incentve programs, rebates and promotonal allowances. For those incentves that require estmaton, such as for volume rebates, Kodak uses historical experience and both internal and customer data to estmate the sales incentve at the tme revenue is recognized.</w:t>
      </w:r>
    </w:p>
    <w:p>
      <w:pPr>
        <w:spacing w:after="0" w:line="178"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Incremental direct costs of obtaining a contract consist of sales commissions. Kodak expenses sales commissions when incurred if the amortzaton period would be one year or less; otherwise, sales commissions are initally deferred and subsequently amortzed on a straight-line basis over the life of the contract. These costs are recorded in SG&amp;A expenses in the Consolidated Statement of Operatons. Kodak accrues the estmated cost of post-sale obligatons, including basic product warrantes, at the tme of revenue recogniton.</w:t>
      </w:r>
    </w:p>
    <w:p>
      <w:pPr>
        <w:spacing w:after="0" w:line="179" w:lineRule="exact"/>
        <w:rPr>
          <w:sz w:val="20"/>
          <w:szCs w:val="20"/>
          <w:color w:val="auto"/>
        </w:rPr>
      </w:pPr>
    </w:p>
    <w:p>
      <w:pPr>
        <w:ind w:right="500"/>
        <w:spacing w:after="0" w:line="235" w:lineRule="auto"/>
        <w:rPr>
          <w:sz w:val="20"/>
          <w:szCs w:val="20"/>
          <w:color w:val="auto"/>
        </w:rPr>
      </w:pPr>
      <w:r>
        <w:rPr>
          <w:rFonts w:ascii="Calibri" w:cs="Calibri" w:eastAsia="Calibri" w:hAnsi="Calibri"/>
          <w:sz w:val="18"/>
          <w:szCs w:val="18"/>
          <w:color w:val="auto"/>
        </w:rPr>
        <w:t>Kodak does not disclose the value of unsatsfed performance obligatons for contracts with an original expected length of one year or less or for which revenue is recognized at the amount to which Kodak has the right to invoice for services performed.</w:t>
      </w:r>
    </w:p>
    <w:p>
      <w:pPr>
        <w:spacing w:after="0" w:line="177"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Performance obligatons with an original expected length of greater than one year generally consist of deferred service contracts, operatng leases and brand licensing arrangements. As of December 31, 2024, there was approximately $94 million of unrecognized revenue from unsatsfed performance obligatons. Approximately 20% of the revenue from unsatsfed performance obligatons is expected to be recognized in 2025, 15% in 2026, 10% in 2027, 10% in 2028 and 45% thereafer.</w:t>
      </w:r>
    </w:p>
    <w:p>
      <w:pPr>
        <w:spacing w:after="0" w:line="18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SHIPPING AND HANDLING COSTS</w:t>
      </w:r>
    </w:p>
    <w:p>
      <w:pPr>
        <w:spacing w:after="0" w:line="1" w:lineRule="exact"/>
        <w:rPr>
          <w:sz w:val="20"/>
          <w:szCs w:val="20"/>
          <w:color w:val="auto"/>
        </w:rPr>
      </w:pPr>
    </w:p>
    <w:p>
      <w:pPr>
        <w:spacing w:after="0"/>
        <w:rPr>
          <w:sz w:val="20"/>
          <w:szCs w:val="20"/>
          <w:color w:val="auto"/>
        </w:rPr>
      </w:pPr>
      <w:r>
        <w:rPr>
          <w:rFonts w:ascii="Calibri" w:cs="Calibri" w:eastAsia="Calibri" w:hAnsi="Calibri"/>
          <w:sz w:val="17"/>
          <w:szCs w:val="17"/>
          <w:color w:val="auto"/>
        </w:rPr>
        <w:t>Amounts charged to customers and costs incurred by Kodak related to shipping and handling are included in Net revenue and Cost of revenues, respectvely.</w:t>
      </w:r>
    </w:p>
    <w:p>
      <w:pPr>
        <w:spacing w:after="0" w:line="17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RESEARCH AND DEVELOPMENT COSTS</w:t>
      </w:r>
    </w:p>
    <w:p>
      <w:pPr>
        <w:spacing w:after="0" w:line="177" w:lineRule="exact"/>
        <w:rPr>
          <w:sz w:val="20"/>
          <w:szCs w:val="20"/>
          <w:color w:val="auto"/>
        </w:rPr>
      </w:pPr>
    </w:p>
    <w:p>
      <w:pPr>
        <w:ind w:right="580"/>
        <w:spacing w:after="0" w:line="235" w:lineRule="auto"/>
        <w:rPr>
          <w:sz w:val="20"/>
          <w:szCs w:val="20"/>
          <w:color w:val="auto"/>
        </w:rPr>
      </w:pPr>
      <w:r>
        <w:rPr>
          <w:rFonts w:ascii="Calibri" w:cs="Calibri" w:eastAsia="Calibri" w:hAnsi="Calibri"/>
          <w:sz w:val="18"/>
          <w:szCs w:val="18"/>
          <w:color w:val="auto"/>
        </w:rPr>
        <w:t>R&amp;D costs, which include costs incurred in connecton with new product development, fundamental and exploratory research, process improvement, product use technology and product accreditaton, are expensed in the period in which they are incurred.</w:t>
      </w:r>
    </w:p>
    <w:p>
      <w:pPr>
        <w:spacing w:after="0" w:line="18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ADVERTISING</w:t>
      </w:r>
    </w:p>
    <w:p>
      <w:pPr>
        <w:spacing w:after="0" w:line="177" w:lineRule="exact"/>
        <w:rPr>
          <w:sz w:val="20"/>
          <w:szCs w:val="20"/>
          <w:color w:val="auto"/>
        </w:rPr>
      </w:pPr>
    </w:p>
    <w:p>
      <w:pPr>
        <w:ind w:right="460"/>
        <w:spacing w:after="0" w:line="235" w:lineRule="auto"/>
        <w:rPr>
          <w:sz w:val="20"/>
          <w:szCs w:val="20"/>
          <w:color w:val="auto"/>
        </w:rPr>
      </w:pPr>
      <w:r>
        <w:rPr>
          <w:rFonts w:ascii="Calibri" w:cs="Calibri" w:eastAsia="Calibri" w:hAnsi="Calibri"/>
          <w:sz w:val="18"/>
          <w:szCs w:val="18"/>
          <w:color w:val="auto"/>
        </w:rPr>
        <w:t>Advertsing costs are expensed as incurred and are included in SG&amp;A expenses in the accompanying Consolidated Statement of Operatons. Advertsing expenses amounted to $4 million, $2 million and $3 million for the years ended December 31, 2024, 2023 and 2022.</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IMPAIRMENT OF LONG-LIVED ASSETS</w:t>
      </w:r>
    </w:p>
    <w:p>
      <w:pPr>
        <w:spacing w:after="0" w:line="190"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color w:val="auto"/>
        </w:rPr>
        <w:t>The carrying values of long-lived assets, other than goodwill and intangible assets with indefnite useful lives, are reviewed for impairment whenever events or changes in circumstances indicate that the carrying values may not be recoverable.</w:t>
      </w:r>
    </w:p>
    <w:p>
      <w:pPr>
        <w:spacing w:after="0" w:line="172"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5" w:name="page66"/>
    <w:bookmarkEnd w:id="65"/>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Long-lived assets are grouped with other assets and liabilites at the lowest level for which identfable cash fows are largely independent of the cash fows of other assets and liabilites. If the sum of the expected undiscounted cash fows from the use of and eventual dispositon of such asset group is less than the carrying value of the asset group a loss is recognized to the extent the carrying value of the asset group exceeds its fair value. Kodak determines fair value through quoted market prices in actve markets or using a discounted cash fow analysis.</w:t>
      </w:r>
    </w:p>
    <w:p>
      <w:pPr>
        <w:spacing w:after="0" w:line="179" w:lineRule="exact"/>
        <w:rPr>
          <w:sz w:val="20"/>
          <w:szCs w:val="20"/>
          <w:color w:val="auto"/>
        </w:rPr>
      </w:pPr>
    </w:p>
    <w:p>
      <w:pPr>
        <w:jc w:val="both"/>
        <w:ind w:right="40"/>
        <w:spacing w:after="0" w:line="235" w:lineRule="auto"/>
        <w:rPr>
          <w:sz w:val="20"/>
          <w:szCs w:val="20"/>
          <w:color w:val="auto"/>
        </w:rPr>
      </w:pPr>
      <w:r>
        <w:rPr>
          <w:rFonts w:ascii="Calibri" w:cs="Calibri" w:eastAsia="Calibri" w:hAnsi="Calibri"/>
          <w:sz w:val="18"/>
          <w:szCs w:val="18"/>
          <w:color w:val="auto"/>
        </w:rPr>
        <w:t>The remaining useful lives of long-lived assets are reviewed in connecton with the assessment of recoverability of long-lived assets and the ongoing strategic review of the business and operatons. If the review indicates that the remaining useful life of the long-lived asset has changed signifcantly, the depreciaton on that asset is adjusted to facilitate full cost recovery over its revised estmated remaining useful life.</w:t>
      </w:r>
    </w:p>
    <w:p>
      <w:pPr>
        <w:spacing w:after="0" w:line="178"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color w:val="auto"/>
        </w:rPr>
        <w:t>The carrying values of indefnite-lived intangible assets are evaluated for potental impairment annually or whenever events or changes in circumstances indicate that it is more likely than not that the asset is impaired. The fair value of the Kodak trade name is valued using the income approach, specifcally the relief from royalty method. Refer to Note 5, “Goodwill and Other Intangible Assets.”</w:t>
      </w:r>
    </w:p>
    <w:p>
      <w:pPr>
        <w:spacing w:after="0" w:line="18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INCOME TAXES</w:t>
      </w:r>
    </w:p>
    <w:p>
      <w:pPr>
        <w:spacing w:after="0" w:line="177" w:lineRule="exact"/>
        <w:rPr>
          <w:sz w:val="20"/>
          <w:szCs w:val="20"/>
          <w:color w:val="auto"/>
        </w:rPr>
      </w:pPr>
    </w:p>
    <w:p>
      <w:pPr>
        <w:ind w:right="140"/>
        <w:spacing w:after="0" w:line="235" w:lineRule="auto"/>
        <w:rPr>
          <w:sz w:val="20"/>
          <w:szCs w:val="20"/>
          <w:color w:val="auto"/>
        </w:rPr>
      </w:pPr>
      <w:r>
        <w:rPr>
          <w:rFonts w:ascii="Calibri" w:cs="Calibri" w:eastAsia="Calibri" w:hAnsi="Calibri"/>
          <w:sz w:val="18"/>
          <w:szCs w:val="18"/>
          <w:color w:val="auto"/>
        </w:rPr>
        <w:t>Kodak recognizes deferred tax liabilites and assets for the expected future tax consequences of operatng losses, credit carry-forwards and temporary diferences between the carrying amounts and tax basis of Kodak’s assets and liabilites. Kodak records a valuaton allowance to reduce its net deferred tax assets to the amount that is more likely than not to be realized. For discussion of the amounts and components of the valuaton allowances as of December 31, 2024 and 2023, refer to Note 17, “Income Taxes.”</w:t>
      </w:r>
    </w:p>
    <w:p>
      <w:pPr>
        <w:spacing w:after="0" w:line="179" w:lineRule="exact"/>
        <w:rPr>
          <w:sz w:val="20"/>
          <w:szCs w:val="20"/>
          <w:color w:val="auto"/>
        </w:rPr>
      </w:pPr>
    </w:p>
    <w:p>
      <w:pPr>
        <w:ind w:right="240"/>
        <w:spacing w:after="0" w:line="235" w:lineRule="auto"/>
        <w:rPr>
          <w:sz w:val="20"/>
          <w:szCs w:val="20"/>
          <w:color w:val="auto"/>
        </w:rPr>
      </w:pPr>
      <w:r>
        <w:rPr>
          <w:rFonts w:ascii="Calibri" w:cs="Calibri" w:eastAsia="Calibri" w:hAnsi="Calibri"/>
          <w:sz w:val="18"/>
          <w:szCs w:val="18"/>
          <w:color w:val="auto"/>
        </w:rPr>
        <w:t>The undistributed earnings of Kodak’s foreign subsidiaries are not considered permanently reinvested. Kodak has recognized a deferred tax liability (net of related foreign tax credits) on the foreign subsidiaries’ undistributed earnings.</w:t>
      </w:r>
    </w:p>
    <w:p>
      <w:pPr>
        <w:spacing w:after="0" w:line="18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RECENTLY ADOPTED ACCOUNTING PRONOUNCEMENTS</w:t>
      </w:r>
    </w:p>
    <w:p>
      <w:pPr>
        <w:spacing w:after="0" w:line="177"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In November 2023, the Financial Accountng Standards Board (“FASB”) issued Accountng Standards Update (“ASU”) 2023-07, Segment Reportng (Topic 280): Improvements to Reportable Segment Disclosures. ASU 2023-07 improves reportable segment disclosure requirements, primarily through enhanced disclosures about signifcant segment expenses. In additon, the ASU enhances interim disclosure requirements, clarifes circumstances in which an entty can disclose multple segment measures of proft or loss, and contains other disclosure requirements. The ASU is required to be applied retrospectvely to all periods presented in the fnancial statements, but does not change how an entty identfes its operatng segments, aggregates those operatng segments, or applies the quanttatve thresholds to determine its reportable segments. The ASU is efectve for Kodak for fscal years beginning afer December 15, 2023 (January 1, 2024 for Kodak) and interim periods within fscal years beginning afer December 15, 2024 (January 1, 2025 for Kodak). Kodak adopted the new standard efectve January 1, 2024 which primarily resulted in expanded disclosures of expenses included in Kodak's segment measure of proftability. Refer to Note 26, “Segment Informaton.”</w:t>
      </w:r>
    </w:p>
    <w:p>
      <w:pPr>
        <w:spacing w:after="0" w:line="17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RECENTLY ISSUED ACCOUNTING PRONOUNCEMENTS</w:t>
      </w:r>
    </w:p>
    <w:p>
      <w:pPr>
        <w:spacing w:after="0" w:line="190" w:lineRule="exact"/>
        <w:rPr>
          <w:sz w:val="20"/>
          <w:szCs w:val="20"/>
          <w:color w:val="auto"/>
        </w:rPr>
      </w:pPr>
    </w:p>
    <w:p>
      <w:pPr>
        <w:ind w:right="260"/>
        <w:spacing w:after="0" w:line="235" w:lineRule="auto"/>
        <w:rPr>
          <w:sz w:val="20"/>
          <w:szCs w:val="20"/>
          <w:color w:val="auto"/>
        </w:rPr>
      </w:pPr>
      <w:r>
        <w:rPr>
          <w:rFonts w:ascii="Calibri" w:cs="Calibri" w:eastAsia="Calibri" w:hAnsi="Calibri"/>
          <w:sz w:val="18"/>
          <w:szCs w:val="18"/>
          <w:color w:val="auto"/>
        </w:rPr>
        <w:t>In December 2023, the FASB issued ASU 2023-09, Income Taxes (Topic 740): Improvements to Income Tax Disclosures. ASU 2023-09 requires disclosure of additonal categories of informaton about federal, state and foreign income taxes in the rate reconciliaton table and more details about the reconciling items in some categories if items meet a quanttatve threshold. The ASU requires enttes to disclose income taxes paid, net of refunds, disaggregated by federal (natonal), state and foreign taxes for annual periods and to disaggregate the informaton by jurisdicton based on a quanttatve threshold. The guidance makes several other changes to the disclosure requirements. The ASU is required to be applied prospectvely, with the opton to apply it retrospectvely. The ASU is efectve for Kodak for fscal years beginning afer December 15, 2024 (January 1, 2025 for Kodak). The Company is currently evaluatng the ASU to determine its impact on the Company's disclosures.</w:t>
      </w:r>
    </w:p>
    <w:p>
      <w:pPr>
        <w:spacing w:after="0" w:line="181" w:lineRule="exact"/>
        <w:rPr>
          <w:sz w:val="20"/>
          <w:szCs w:val="20"/>
          <w:color w:val="auto"/>
        </w:rPr>
      </w:pPr>
    </w:p>
    <w:p>
      <w:pPr>
        <w:ind w:right="200"/>
        <w:spacing w:after="0" w:line="235" w:lineRule="auto"/>
        <w:rPr>
          <w:sz w:val="20"/>
          <w:szCs w:val="20"/>
          <w:color w:val="auto"/>
        </w:rPr>
      </w:pPr>
      <w:r>
        <w:rPr>
          <w:rFonts w:ascii="Calibri" w:cs="Calibri" w:eastAsia="Calibri" w:hAnsi="Calibri"/>
          <w:sz w:val="18"/>
          <w:szCs w:val="18"/>
          <w:color w:val="auto"/>
        </w:rPr>
        <w:t>In November 2024, the FASB issued ASU 2024-03, Income Statement – Reportng Comprehensive Income – Expense Disaggregaton Disclosures (Subtopic 220-40): Disaggregaton of Income Statement Expenses. ASU 2024-03 requires public business enttes to disclose specifed informaton about certain costs and expenses, including but not limited to purchases of inventory, employee compensaton, depreciaton, and intangible asset amortzaton, in a tabular format within the notes to their fnancial statements, as well as provide additonal disclosures related to certain other specifed expenses. The ASU may be applied on either a prospectve or retrospectve basis and is efectve for annual reportng periods beginning afer December 15, 2026 (January 1, 2027 for Kodak) and interim reportng periods beginning afer December 15, 2027 (January 1, 2028 for Kodak). The Company is currently evaluatng the ASU to determine its impact on the Company's disclosures.</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311150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6" w:name="page67"/>
    <w:bookmarkEnd w:id="66"/>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2: CASH, CASH EQUIVALENTS AND RESTRICTED CASH</w:t>
      </w:r>
    </w:p>
    <w:p>
      <w:pPr>
        <w:spacing w:after="0" w:line="177" w:lineRule="exact"/>
        <w:rPr>
          <w:sz w:val="20"/>
          <w:szCs w:val="20"/>
          <w:color w:val="auto"/>
        </w:rPr>
      </w:pPr>
    </w:p>
    <w:p>
      <w:pPr>
        <w:ind w:right="240"/>
        <w:spacing w:after="0" w:line="235" w:lineRule="auto"/>
        <w:rPr>
          <w:sz w:val="20"/>
          <w:szCs w:val="20"/>
          <w:color w:val="auto"/>
        </w:rPr>
      </w:pPr>
      <w:r>
        <w:rPr>
          <w:rFonts w:ascii="Calibri" w:cs="Calibri" w:eastAsia="Calibri" w:hAnsi="Calibri"/>
          <w:sz w:val="18"/>
          <w:szCs w:val="18"/>
          <w:color w:val="auto"/>
        </w:rPr>
        <w:t>The following table provides a reconciliaton of cash, cash equivalents and restricted cash reported within the Statement of Financial Positon that sums to the total of such amounts shown in the Statement of Cash Flows:</w:t>
      </w:r>
    </w:p>
    <w:p>
      <w:pPr>
        <w:sectPr>
          <w:pgSz w:w="11900" w:h="16838" w:orient="portrait"/>
          <w:cols w:equalWidth="0" w:num="1">
            <w:col w:w="11240"/>
          </w:cols>
          <w:pgMar w:left="320" w:top="112"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ind w:left="20"/>
        <w:spacing w:after="0"/>
        <w:rPr>
          <w:sz w:val="20"/>
          <w:szCs w:val="20"/>
          <w:color w:val="auto"/>
        </w:rPr>
      </w:pPr>
      <w:r>
        <w:rPr>
          <w:rFonts w:ascii="Calibri" w:cs="Calibri" w:eastAsia="Calibri" w:hAnsi="Calibri"/>
          <w:sz w:val="14"/>
          <w:szCs w:val="14"/>
          <w:color w:val="auto"/>
        </w:rPr>
        <w:t>(in millions)</w:t>
      </w:r>
    </w:p>
    <w:p>
      <w:pPr>
        <w:ind w:left="20"/>
        <w:spacing w:after="0" w:line="232" w:lineRule="auto"/>
        <w:rPr>
          <w:sz w:val="20"/>
          <w:szCs w:val="20"/>
          <w:color w:val="auto"/>
        </w:rPr>
      </w:pPr>
      <w:r>
        <w:rPr>
          <w:rFonts w:ascii="Calibri" w:cs="Calibri" w:eastAsia="Calibri" w:hAnsi="Calibri"/>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054850" cy="13716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054850" cy="137160"/>
                    </a:xfrm>
                    <a:prstGeom prst="rect">
                      <a:avLst/>
                    </a:prstGeom>
                    <a:noFill/>
                  </pic:spPr>
                </pic:pic>
              </a:graphicData>
            </a:graphic>
          </wp:anchor>
        </w:drawing>
      </w:r>
    </w:p>
    <w:p>
      <w:pPr>
        <w:ind w:left="20"/>
        <w:spacing w:after="0" w:line="236" w:lineRule="auto"/>
        <w:rPr>
          <w:sz w:val="20"/>
          <w:szCs w:val="20"/>
          <w:color w:val="auto"/>
        </w:rPr>
      </w:pPr>
      <w:r>
        <w:rPr>
          <w:rFonts w:ascii="Calibri" w:cs="Calibri" w:eastAsia="Calibri" w:hAnsi="Calibri"/>
          <w:sz w:val="18"/>
          <w:szCs w:val="18"/>
          <w:color w:val="auto"/>
        </w:rPr>
        <w:t>Restricted cash reported in Other current assets</w:t>
      </w:r>
    </w:p>
    <w:p>
      <w:pPr>
        <w:ind w:left="20"/>
        <w:spacing w:after="0" w:line="235" w:lineRule="auto"/>
        <w:rPr>
          <w:sz w:val="20"/>
          <w:szCs w:val="20"/>
          <w:color w:val="auto"/>
        </w:rPr>
      </w:pPr>
      <w:r>
        <w:rPr>
          <w:rFonts w:ascii="Calibri" w:cs="Calibri" w:eastAsia="Calibri" w:hAnsi="Calibri"/>
          <w:sz w:val="18"/>
          <w:szCs w:val="18"/>
          <w:color w:val="auto"/>
        </w:rPr>
        <w:t>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054850" cy="1454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054850" cy="145415"/>
                    </a:xfrm>
                    <a:prstGeom prst="rect">
                      <a:avLst/>
                    </a:prstGeom>
                    <a:noFill/>
                  </pic:spPr>
                </pic:pic>
              </a:graphicData>
            </a:graphic>
          </wp:anchor>
        </w:drawing>
      </w:r>
    </w:p>
    <w:p>
      <w:pPr>
        <w:ind w:left="140" w:right="2820" w:hanging="118"/>
        <w:spacing w:after="0" w:line="235" w:lineRule="auto"/>
        <w:rPr>
          <w:sz w:val="20"/>
          <w:szCs w:val="20"/>
          <w:color w:val="auto"/>
        </w:rPr>
      </w:pPr>
      <w:r>
        <w:rPr>
          <w:rFonts w:ascii="Calibri" w:cs="Calibri" w:eastAsia="Calibri" w:hAnsi="Calibri"/>
          <w:sz w:val="18"/>
          <w:szCs w:val="18"/>
          <w:color w:val="auto"/>
        </w:rPr>
        <w:t>Total cash, cash equivalents and restricted cash shown in the Statement of Cash Flows</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ind w:left="980"/>
        <w:spacing w:after="0"/>
        <w:rPr>
          <w:sz w:val="20"/>
          <w:szCs w:val="20"/>
          <w:color w:val="auto"/>
        </w:rPr>
      </w:pPr>
      <w:r>
        <w:rPr>
          <w:rFonts w:ascii="Calibri" w:cs="Calibri" w:eastAsia="Calibri" w:hAnsi="Calibri"/>
          <w:sz w:val="18"/>
          <w:szCs w:val="18"/>
          <w:b w:val="1"/>
          <w:bCs w:val="1"/>
          <w:color w:val="auto"/>
        </w:rPr>
        <w:t>As of December 31,</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Calibri" w:cs="Calibri" w:eastAsia="Calibri" w:hAnsi="Calibri"/>
                <w:sz w:val="18"/>
                <w:szCs w:val="18"/>
                <w:b w:val="1"/>
                <w:bCs w:val="1"/>
                <w:color w:val="auto"/>
              </w:rPr>
              <w:t>2024</w:t>
            </w:r>
          </w:p>
        </w:tc>
        <w:tc>
          <w:tcPr>
            <w:tcW w:w="28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Calibri" w:cs="Calibri" w:eastAsia="Calibri" w:hAnsi="Calibri"/>
                <w:sz w:val="18"/>
                <w:szCs w:val="18"/>
                <w:b w:val="1"/>
                <w:bCs w:val="1"/>
                <w:color w:val="auto"/>
              </w:rPr>
              <w:t>2023</w:t>
            </w:r>
          </w:p>
        </w:tc>
      </w:tr>
      <w:tr>
        <w:trPr>
          <w:trHeight w:val="188"/>
        </w:trPr>
        <w:tc>
          <w:tcPr>
            <w:tcW w:w="360" w:type="dxa"/>
            <w:vAlign w:val="bottom"/>
          </w:tcPr>
          <w:p>
            <w:pPr>
              <w:jc w:val="right"/>
              <w:ind w:right="170"/>
              <w:spacing w:after="0" w:line="188" w:lineRule="exact"/>
              <w:rPr>
                <w:sz w:val="20"/>
                <w:szCs w:val="20"/>
                <w:color w:val="auto"/>
              </w:rPr>
            </w:pPr>
            <w:r>
              <w:rPr>
                <w:rFonts w:ascii="Calibri" w:cs="Calibri" w:eastAsia="Calibri" w:hAnsi="Calibri"/>
                <w:sz w:val="18"/>
                <w:szCs w:val="18"/>
                <w:color w:val="auto"/>
                <w:w w:val="87"/>
              </w:rPr>
              <w:t>$</w:t>
            </w:r>
          </w:p>
        </w:tc>
        <w:tc>
          <w:tcPr>
            <w:tcW w:w="1200" w:type="dxa"/>
            <w:vAlign w:val="bottom"/>
          </w:tcPr>
          <w:p>
            <w:pPr>
              <w:jc w:val="right"/>
              <w:spacing w:after="0" w:line="188" w:lineRule="exact"/>
              <w:rPr>
                <w:sz w:val="20"/>
                <w:szCs w:val="20"/>
                <w:color w:val="auto"/>
              </w:rPr>
            </w:pPr>
            <w:r>
              <w:rPr>
                <w:rFonts w:ascii="Calibri" w:cs="Calibri" w:eastAsia="Calibri" w:hAnsi="Calibri"/>
                <w:sz w:val="18"/>
                <w:szCs w:val="18"/>
                <w:color w:val="auto"/>
              </w:rPr>
              <w:t>201</w:t>
            </w:r>
          </w:p>
        </w:tc>
        <w:tc>
          <w:tcPr>
            <w:tcW w:w="280" w:type="dxa"/>
            <w:vAlign w:val="bottom"/>
          </w:tcPr>
          <w:p>
            <w:pPr>
              <w:spacing w:after="0"/>
              <w:rPr>
                <w:sz w:val="16"/>
                <w:szCs w:val="16"/>
                <w:color w:val="auto"/>
              </w:rPr>
            </w:pPr>
          </w:p>
        </w:tc>
        <w:tc>
          <w:tcPr>
            <w:tcW w:w="340" w:type="dxa"/>
            <w:vAlign w:val="bottom"/>
          </w:tcPr>
          <w:p>
            <w:pPr>
              <w:jc w:val="right"/>
              <w:ind w:right="150"/>
              <w:spacing w:after="0" w:line="188" w:lineRule="exact"/>
              <w:rPr>
                <w:sz w:val="20"/>
                <w:szCs w:val="20"/>
                <w:color w:val="auto"/>
              </w:rPr>
            </w:pPr>
            <w:r>
              <w:rPr>
                <w:rFonts w:ascii="Calibri" w:cs="Calibri" w:eastAsia="Calibri" w:hAnsi="Calibri"/>
                <w:sz w:val="18"/>
                <w:szCs w:val="18"/>
                <w:color w:val="auto"/>
                <w:w w:val="87"/>
              </w:rPr>
              <w:t>$</w:t>
            </w:r>
          </w:p>
        </w:tc>
        <w:tc>
          <w:tcPr>
            <w:tcW w:w="1220" w:type="dxa"/>
            <w:vAlign w:val="bottom"/>
          </w:tcPr>
          <w:p>
            <w:pPr>
              <w:jc w:val="right"/>
              <w:spacing w:after="0" w:line="188" w:lineRule="exact"/>
              <w:rPr>
                <w:sz w:val="20"/>
                <w:szCs w:val="20"/>
                <w:color w:val="auto"/>
              </w:rPr>
            </w:pPr>
            <w:r>
              <w:rPr>
                <w:rFonts w:ascii="Calibri" w:cs="Calibri" w:eastAsia="Calibri" w:hAnsi="Calibri"/>
                <w:sz w:val="18"/>
                <w:szCs w:val="18"/>
                <w:color w:val="auto"/>
              </w:rPr>
              <w:t>255</w:t>
            </w:r>
          </w:p>
        </w:tc>
      </w:tr>
      <w:tr>
        <w:trPr>
          <w:trHeight w:val="215"/>
        </w:trPr>
        <w:tc>
          <w:tcPr>
            <w:tcW w:w="360" w:type="dxa"/>
            <w:vAlign w:val="bottom"/>
          </w:tcPr>
          <w:p>
            <w:pPr>
              <w:spacing w:after="0"/>
              <w:rPr>
                <w:sz w:val="18"/>
                <w:szCs w:val="18"/>
                <w:color w:val="auto"/>
              </w:rPr>
            </w:pPr>
          </w:p>
        </w:tc>
        <w:tc>
          <w:tcPr>
            <w:tcW w:w="1200" w:type="dxa"/>
            <w:vAlign w:val="bottom"/>
          </w:tcPr>
          <w:p>
            <w:pPr>
              <w:jc w:val="right"/>
              <w:spacing w:after="0" w:line="215" w:lineRule="exact"/>
              <w:rPr>
                <w:sz w:val="20"/>
                <w:szCs w:val="20"/>
                <w:color w:val="auto"/>
              </w:rPr>
            </w:pPr>
            <w:r>
              <w:rPr>
                <w:rFonts w:ascii="Calibri" w:cs="Calibri" w:eastAsia="Calibri" w:hAnsi="Calibri"/>
                <w:sz w:val="18"/>
                <w:szCs w:val="18"/>
                <w:color w:val="auto"/>
              </w:rPr>
              <w:t>8</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line="215" w:lineRule="exact"/>
              <w:rPr>
                <w:sz w:val="20"/>
                <w:szCs w:val="20"/>
                <w:color w:val="auto"/>
              </w:rPr>
            </w:pPr>
            <w:r>
              <w:rPr>
                <w:rFonts w:ascii="Calibri" w:cs="Calibri" w:eastAsia="Calibri" w:hAnsi="Calibri"/>
                <w:sz w:val="18"/>
                <w:szCs w:val="18"/>
                <w:color w:val="auto"/>
              </w:rPr>
              <w:t>12</w:t>
            </w:r>
          </w:p>
        </w:tc>
      </w:tr>
      <w:tr>
        <w:trPr>
          <w:trHeight w:val="216"/>
        </w:trPr>
        <w:tc>
          <w:tcPr>
            <w:tcW w:w="360" w:type="dxa"/>
            <w:vAlign w:val="bottom"/>
          </w:tcPr>
          <w:p>
            <w:pPr>
              <w:spacing w:after="0"/>
              <w:rPr>
                <w:sz w:val="18"/>
                <w:szCs w:val="18"/>
                <w:color w:val="auto"/>
              </w:rPr>
            </w:pPr>
          </w:p>
        </w:tc>
        <w:tc>
          <w:tcPr>
            <w:tcW w:w="1200" w:type="dxa"/>
            <w:vAlign w:val="bottom"/>
          </w:tcPr>
          <w:p>
            <w:pPr>
              <w:jc w:val="right"/>
              <w:spacing w:after="0" w:line="216" w:lineRule="exact"/>
              <w:rPr>
                <w:sz w:val="20"/>
                <w:szCs w:val="20"/>
                <w:color w:val="auto"/>
              </w:rPr>
            </w:pPr>
            <w:r>
              <w:rPr>
                <w:rFonts w:ascii="Calibri" w:cs="Calibri" w:eastAsia="Calibri" w:hAnsi="Calibri"/>
                <w:sz w:val="18"/>
                <w:szCs w:val="18"/>
                <w:color w:val="auto"/>
              </w:rPr>
              <w:t>92</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line="216" w:lineRule="exact"/>
              <w:rPr>
                <w:sz w:val="20"/>
                <w:szCs w:val="20"/>
                <w:color w:val="auto"/>
              </w:rPr>
            </w:pPr>
            <w:r>
              <w:rPr>
                <w:rFonts w:ascii="Calibri" w:cs="Calibri" w:eastAsia="Calibri" w:hAnsi="Calibri"/>
                <w:sz w:val="18"/>
                <w:szCs w:val="18"/>
                <w:color w:val="auto"/>
              </w:rPr>
              <w:t>110</w:t>
            </w:r>
          </w:p>
        </w:tc>
      </w:tr>
      <w:tr>
        <w:trPr>
          <w:trHeight w:val="23"/>
        </w:trPr>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362"/>
        </w:trPr>
        <w:tc>
          <w:tcPr>
            <w:tcW w:w="360" w:type="dxa"/>
            <w:vAlign w:val="bottom"/>
          </w:tcPr>
          <w:p>
            <w:pPr>
              <w:jc w:val="right"/>
              <w:ind w:right="170"/>
              <w:spacing w:after="0"/>
              <w:rPr>
                <w:sz w:val="20"/>
                <w:szCs w:val="20"/>
                <w:color w:val="auto"/>
              </w:rPr>
            </w:pPr>
            <w:r>
              <w:rPr>
                <w:rFonts w:ascii="Calibri" w:cs="Calibri" w:eastAsia="Calibri" w:hAnsi="Calibri"/>
                <w:sz w:val="18"/>
                <w:szCs w:val="18"/>
                <w:color w:val="auto"/>
                <w:w w:val="87"/>
              </w:rPr>
              <w:t>$</w:t>
            </w:r>
          </w:p>
        </w:tc>
        <w:tc>
          <w:tcPr>
            <w:tcW w:w="1200" w:type="dxa"/>
            <w:vAlign w:val="bottom"/>
          </w:tcPr>
          <w:p>
            <w:pPr>
              <w:jc w:val="right"/>
              <w:spacing w:after="0"/>
              <w:rPr>
                <w:sz w:val="20"/>
                <w:szCs w:val="20"/>
                <w:color w:val="auto"/>
              </w:rPr>
            </w:pPr>
            <w:r>
              <w:rPr>
                <w:rFonts w:ascii="Calibri" w:cs="Calibri" w:eastAsia="Calibri" w:hAnsi="Calibri"/>
                <w:sz w:val="18"/>
                <w:szCs w:val="18"/>
                <w:color w:val="auto"/>
              </w:rPr>
              <w:t>301</w:t>
            </w:r>
          </w:p>
        </w:tc>
        <w:tc>
          <w:tcPr>
            <w:tcW w:w="620" w:type="dxa"/>
            <w:vAlign w:val="bottom"/>
            <w:gridSpan w:val="2"/>
          </w:tcPr>
          <w:p>
            <w:pPr>
              <w:jc w:val="right"/>
              <w:ind w:right="150"/>
              <w:spacing w:after="0"/>
              <w:rPr>
                <w:sz w:val="20"/>
                <w:szCs w:val="20"/>
                <w:color w:val="auto"/>
              </w:rPr>
            </w:pPr>
            <w:r>
              <w:rPr>
                <w:rFonts w:ascii="Calibri" w:cs="Calibri" w:eastAsia="Calibri" w:hAnsi="Calibri"/>
                <w:sz w:val="18"/>
                <w:szCs w:val="18"/>
                <w:color w:val="auto"/>
              </w:rPr>
              <w:t>$</w:t>
            </w:r>
          </w:p>
        </w:tc>
        <w:tc>
          <w:tcPr>
            <w:tcW w:w="1220" w:type="dxa"/>
            <w:vAlign w:val="bottom"/>
          </w:tcPr>
          <w:p>
            <w:pPr>
              <w:jc w:val="right"/>
              <w:spacing w:after="0"/>
              <w:rPr>
                <w:sz w:val="20"/>
                <w:szCs w:val="20"/>
                <w:color w:val="auto"/>
              </w:rPr>
            </w:pPr>
            <w:r>
              <w:rPr>
                <w:rFonts w:ascii="Calibri" w:cs="Calibri" w:eastAsia="Calibri" w:hAnsi="Calibri"/>
                <w:sz w:val="18"/>
                <w:szCs w:val="18"/>
                <w:color w:val="auto"/>
              </w:rPr>
              <w:t>377</w:t>
            </w:r>
          </w:p>
        </w:tc>
      </w:tr>
      <w:tr>
        <w:trPr>
          <w:trHeight w:val="23"/>
        </w:trPr>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ectPr>
          <w:pgSz w:w="11900" w:h="16838" w:orient="portrait"/>
          <w:cols w:equalWidth="0" w:num="2">
            <w:col w:w="6900" w:space="720"/>
            <w:col w:w="3620"/>
          </w:cols>
          <w:pgMar w:left="320" w:top="112" w:right="339" w:bottom="1440" w:gutter="0" w:footer="0" w:header="0"/>
          <w:type w:val="continuous"/>
        </w:sectPr>
      </w:pPr>
    </w:p>
    <w:p>
      <w:pPr>
        <w:ind w:right="180"/>
        <w:spacing w:after="0" w:line="235" w:lineRule="auto"/>
        <w:rPr>
          <w:sz w:val="20"/>
          <w:szCs w:val="20"/>
          <w:color w:val="auto"/>
        </w:rPr>
      </w:pPr>
      <w:r>
        <w:rPr>
          <w:rFonts w:ascii="Calibri" w:cs="Calibri" w:eastAsia="Calibri" w:hAnsi="Calibri"/>
          <w:sz w:val="18"/>
          <w:szCs w:val="18"/>
          <w:color w:val="auto"/>
        </w:rPr>
        <w:t>Restricted cash reported in Other current assets on the Consolidated Statement of Financial Positon primarily represented amounts that support hedging actvites. In additon, restricted cash reported in Other current assets as of December 31, 2023 included an escrow of $3 million in China to secure ongoing obligatons under a supply agreement associated with the strategic relatonship with Lucky HuaGuang Graphics Co. Ltd. ("HuaGuang"). The escrow agreement under the supply agreement expired in the third quarter of 2024.</w:t>
      </w:r>
    </w:p>
    <w:p>
      <w:pPr>
        <w:spacing w:after="0" w:line="179"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color w:val="auto"/>
        </w:rPr>
        <w:t>Restricted cash included $29 million and $32 million as of December 31, 2024 and 2023, respectvely, representng the cash collateral required to be posted by the Company under the Leter of Credit Facility (“L/C Cash Collateral”) (Refer to Note 8, “Debt and Credit Facilites” for informaton on the Restricted cash supportng the L/C Cash Collateral). In additon, restricted cash as of December 31, 2024 and 2023 included $55 million and $63 million, respectvely, representng cash collateral supportng the Company’s undiscounted actuarial workers’ compensaton obligatons with the New York State Workers’ Compensaton Board ("NYS WCB"). Restricted cash as of December 31, 2024 and 2023 included $6 million and $8 million, respectvely, of security posted related to Brazilian legal contngencies. In additon, restricted cash as of December 31, 2023 included $5 million of cash collateral posted in the United Kingdom for a leter of credit for aluminum purchases.</w:t>
      </w:r>
    </w:p>
    <w:p>
      <w:pPr>
        <w:spacing w:after="0" w:line="19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3: INVENTORIES, NET</w:t>
      </w:r>
    </w:p>
    <w:p>
      <w:pPr>
        <w:spacing w:after="0" w:line="212" w:lineRule="exact"/>
        <w:rPr>
          <w:sz w:val="20"/>
          <w:szCs w:val="20"/>
          <w:color w:val="auto"/>
        </w:rPr>
      </w:pPr>
    </w:p>
    <w:p>
      <w:pPr>
        <w:ind w:left="8600"/>
        <w:spacing w:after="0"/>
        <w:rPr>
          <w:sz w:val="20"/>
          <w:szCs w:val="20"/>
          <w:color w:val="auto"/>
        </w:rPr>
      </w:pPr>
      <w:r>
        <w:rPr>
          <w:rFonts w:ascii="Calibri" w:cs="Calibri" w:eastAsia="Calibri" w:hAnsi="Calibri"/>
          <w:sz w:val="18"/>
          <w:szCs w:val="18"/>
          <w:b w:val="1"/>
          <w:bCs w:val="1"/>
          <w:color w:val="auto"/>
        </w:rPr>
        <w:t>As of December 31,</w:t>
      </w:r>
    </w:p>
    <w:tbl>
      <w:tblPr>
        <w:tblLayout w:type="fixed"/>
        <w:tblInd w:w="0" w:type="dxa"/>
        <w:tblCellMar>
          <w:top w:w="0" w:type="dxa"/>
          <w:left w:w="0" w:type="dxa"/>
          <w:bottom w:w="0" w:type="dxa"/>
          <w:right w:w="0" w:type="dxa"/>
        </w:tblCellMar>
      </w:tblPr>
      <w:tr>
        <w:trPr>
          <w:trHeight w:val="236"/>
        </w:trPr>
        <w:tc>
          <w:tcPr>
            <w:tcW w:w="7620" w:type="dxa"/>
            <w:vAlign w:val="bottom"/>
          </w:tcPr>
          <w:p>
            <w:pPr>
              <w:ind w:left="20"/>
              <w:spacing w:after="0"/>
              <w:rPr>
                <w:sz w:val="20"/>
                <w:szCs w:val="20"/>
                <w:color w:val="auto"/>
              </w:rPr>
            </w:pPr>
            <w:r>
              <w:rPr>
                <w:rFonts w:ascii="Calibri" w:cs="Calibri" w:eastAsia="Calibri" w:hAnsi="Calibri"/>
                <w:sz w:val="14"/>
                <w:szCs w:val="14"/>
                <w:color w:val="auto"/>
              </w:rPr>
              <w:t>(in millions)</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line="216" w:lineRule="exact"/>
              <w:rPr>
                <w:sz w:val="20"/>
                <w:szCs w:val="20"/>
                <w:color w:val="auto"/>
              </w:rPr>
            </w:pPr>
            <w:r>
              <w:rPr>
                <w:rFonts w:ascii="Calibri" w:cs="Calibri" w:eastAsia="Calibri" w:hAnsi="Calibri"/>
                <w:sz w:val="18"/>
                <w:szCs w:val="18"/>
                <w:b w:val="1"/>
                <w:bCs w:val="1"/>
                <w:color w:val="auto"/>
              </w:rPr>
              <w:t>2024</w:t>
            </w: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line="216" w:lineRule="exact"/>
              <w:rPr>
                <w:sz w:val="20"/>
                <w:szCs w:val="20"/>
                <w:color w:val="auto"/>
              </w:rPr>
            </w:pPr>
            <w:r>
              <w:rPr>
                <w:rFonts w:ascii="Calibri" w:cs="Calibri" w:eastAsia="Calibri" w:hAnsi="Calibri"/>
                <w:sz w:val="18"/>
                <w:szCs w:val="18"/>
                <w:b w:val="1"/>
                <w:bCs w:val="1"/>
                <w:color w:val="auto"/>
              </w:rPr>
              <w:t>2023</w:t>
            </w:r>
          </w:p>
        </w:tc>
        <w:tc>
          <w:tcPr>
            <w:tcW w:w="100" w:type="dxa"/>
            <w:vAlign w:val="bottom"/>
          </w:tcPr>
          <w:p>
            <w:pPr>
              <w:spacing w:after="0"/>
              <w:rPr>
                <w:sz w:val="20"/>
                <w:szCs w:val="20"/>
                <w:color w:val="auto"/>
              </w:rPr>
            </w:pPr>
          </w:p>
        </w:tc>
      </w:tr>
      <w:tr>
        <w:trPr>
          <w:trHeight w:val="213"/>
        </w:trPr>
        <w:tc>
          <w:tcPr>
            <w:tcW w:w="7620" w:type="dxa"/>
            <w:vAlign w:val="bottom"/>
            <w:shd w:val="clear" w:color="auto" w:fill="CFF0FC"/>
          </w:tcPr>
          <w:p>
            <w:pPr>
              <w:ind w:left="20"/>
              <w:spacing w:after="0" w:line="213" w:lineRule="exact"/>
              <w:rPr>
                <w:sz w:val="20"/>
                <w:szCs w:val="20"/>
                <w:color w:val="auto"/>
              </w:rPr>
            </w:pPr>
            <w:r>
              <w:rPr>
                <w:rFonts w:ascii="Calibri" w:cs="Calibri" w:eastAsia="Calibri" w:hAnsi="Calibri"/>
                <w:sz w:val="18"/>
                <w:szCs w:val="18"/>
                <w:color w:val="auto"/>
              </w:rPr>
              <w:t>Finished goods</w:t>
            </w:r>
          </w:p>
        </w:tc>
        <w:tc>
          <w:tcPr>
            <w:tcW w:w="360" w:type="dxa"/>
            <w:vAlign w:val="bottom"/>
            <w:shd w:val="clear" w:color="auto" w:fill="CFF0FC"/>
          </w:tcPr>
          <w:p>
            <w:pPr>
              <w:jc w:val="right"/>
              <w:ind w:right="170"/>
              <w:spacing w:after="0" w:line="213" w:lineRule="exact"/>
              <w:rPr>
                <w:sz w:val="20"/>
                <w:szCs w:val="20"/>
                <w:color w:val="auto"/>
              </w:rPr>
            </w:pPr>
            <w:r>
              <w:rPr>
                <w:rFonts w:ascii="Calibri" w:cs="Calibri" w:eastAsia="Calibri" w:hAnsi="Calibri"/>
                <w:sz w:val="18"/>
                <w:szCs w:val="18"/>
                <w:color w:val="auto"/>
                <w:w w:val="87"/>
              </w:rPr>
              <w:t>$</w:t>
            </w:r>
          </w:p>
        </w:tc>
        <w:tc>
          <w:tcPr>
            <w:tcW w:w="1200" w:type="dxa"/>
            <w:vAlign w:val="bottom"/>
            <w:shd w:val="clear" w:color="auto" w:fill="CFF0FC"/>
          </w:tcPr>
          <w:p>
            <w:pPr>
              <w:jc w:val="right"/>
              <w:spacing w:after="0" w:line="213" w:lineRule="exact"/>
              <w:rPr>
                <w:sz w:val="20"/>
                <w:szCs w:val="20"/>
                <w:color w:val="auto"/>
              </w:rPr>
            </w:pPr>
            <w:r>
              <w:rPr>
                <w:rFonts w:ascii="Calibri" w:cs="Calibri" w:eastAsia="Calibri" w:hAnsi="Calibri"/>
                <w:sz w:val="18"/>
                <w:szCs w:val="18"/>
                <w:color w:val="auto"/>
              </w:rPr>
              <w:t>90</w:t>
            </w:r>
          </w:p>
        </w:tc>
        <w:tc>
          <w:tcPr>
            <w:tcW w:w="620" w:type="dxa"/>
            <w:vAlign w:val="bottom"/>
            <w:gridSpan w:val="2"/>
            <w:shd w:val="clear" w:color="auto" w:fill="CFF0FC"/>
          </w:tcPr>
          <w:p>
            <w:pPr>
              <w:jc w:val="right"/>
              <w:ind w:right="240"/>
              <w:spacing w:after="0" w:line="213" w:lineRule="exact"/>
              <w:rPr>
                <w:sz w:val="20"/>
                <w:szCs w:val="20"/>
                <w:color w:val="auto"/>
              </w:rPr>
            </w:pPr>
            <w:r>
              <w:rPr>
                <w:rFonts w:ascii="Calibri" w:cs="Calibri" w:eastAsia="Calibri" w:hAnsi="Calibri"/>
                <w:sz w:val="18"/>
                <w:szCs w:val="18"/>
                <w:color w:val="auto"/>
              </w:rPr>
              <w:t>$</w:t>
            </w:r>
          </w:p>
        </w:tc>
        <w:tc>
          <w:tcPr>
            <w:tcW w:w="1220" w:type="dxa"/>
            <w:vAlign w:val="bottom"/>
            <w:shd w:val="clear" w:color="auto" w:fill="CFF0FC"/>
          </w:tcPr>
          <w:p>
            <w:pPr>
              <w:jc w:val="right"/>
              <w:spacing w:after="0" w:line="213" w:lineRule="exact"/>
              <w:rPr>
                <w:sz w:val="20"/>
                <w:szCs w:val="20"/>
                <w:color w:val="auto"/>
              </w:rPr>
            </w:pPr>
            <w:r>
              <w:rPr>
                <w:rFonts w:ascii="Calibri" w:cs="Calibri" w:eastAsia="Calibri" w:hAnsi="Calibri"/>
                <w:sz w:val="18"/>
                <w:szCs w:val="18"/>
                <w:color w:val="auto"/>
              </w:rPr>
              <w:t>85</w:t>
            </w:r>
          </w:p>
        </w:tc>
        <w:tc>
          <w:tcPr>
            <w:tcW w:w="100" w:type="dxa"/>
            <w:vAlign w:val="bottom"/>
            <w:shd w:val="clear" w:color="auto" w:fill="CFF0FC"/>
          </w:tcPr>
          <w:p>
            <w:pPr>
              <w:spacing w:after="0"/>
              <w:rPr>
                <w:sz w:val="18"/>
                <w:szCs w:val="18"/>
                <w:color w:val="auto"/>
              </w:rPr>
            </w:pPr>
          </w:p>
        </w:tc>
      </w:tr>
      <w:tr>
        <w:trPr>
          <w:trHeight w:val="215"/>
        </w:trPr>
        <w:tc>
          <w:tcPr>
            <w:tcW w:w="7620" w:type="dxa"/>
            <w:vAlign w:val="bottom"/>
          </w:tcPr>
          <w:p>
            <w:pPr>
              <w:ind w:left="20"/>
              <w:spacing w:after="0" w:line="215" w:lineRule="exact"/>
              <w:rPr>
                <w:sz w:val="20"/>
                <w:szCs w:val="20"/>
                <w:color w:val="auto"/>
              </w:rPr>
            </w:pPr>
            <w:r>
              <w:rPr>
                <w:rFonts w:ascii="Calibri" w:cs="Calibri" w:eastAsia="Calibri" w:hAnsi="Calibri"/>
                <w:sz w:val="18"/>
                <w:szCs w:val="18"/>
                <w:color w:val="auto"/>
              </w:rPr>
              <w:t>Work in process</w:t>
            </w:r>
          </w:p>
        </w:tc>
        <w:tc>
          <w:tcPr>
            <w:tcW w:w="360" w:type="dxa"/>
            <w:vAlign w:val="bottom"/>
          </w:tcPr>
          <w:p>
            <w:pPr>
              <w:spacing w:after="0"/>
              <w:rPr>
                <w:sz w:val="18"/>
                <w:szCs w:val="18"/>
                <w:color w:val="auto"/>
              </w:rPr>
            </w:pPr>
          </w:p>
        </w:tc>
        <w:tc>
          <w:tcPr>
            <w:tcW w:w="1200" w:type="dxa"/>
            <w:vAlign w:val="bottom"/>
          </w:tcPr>
          <w:p>
            <w:pPr>
              <w:jc w:val="right"/>
              <w:spacing w:after="0" w:line="215" w:lineRule="exact"/>
              <w:rPr>
                <w:sz w:val="20"/>
                <w:szCs w:val="20"/>
                <w:color w:val="auto"/>
              </w:rPr>
            </w:pPr>
            <w:r>
              <w:rPr>
                <w:rFonts w:ascii="Calibri" w:cs="Calibri" w:eastAsia="Calibri" w:hAnsi="Calibri"/>
                <w:sz w:val="18"/>
                <w:szCs w:val="18"/>
                <w:color w:val="auto"/>
              </w:rPr>
              <w:t>69</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line="215" w:lineRule="exact"/>
              <w:rPr>
                <w:sz w:val="20"/>
                <w:szCs w:val="20"/>
                <w:color w:val="auto"/>
              </w:rPr>
            </w:pPr>
            <w:r>
              <w:rPr>
                <w:rFonts w:ascii="Calibri" w:cs="Calibri" w:eastAsia="Calibri" w:hAnsi="Calibri"/>
                <w:sz w:val="18"/>
                <w:szCs w:val="18"/>
                <w:color w:val="auto"/>
              </w:rPr>
              <w:t>68</w:t>
            </w:r>
          </w:p>
        </w:tc>
        <w:tc>
          <w:tcPr>
            <w:tcW w:w="100" w:type="dxa"/>
            <w:vAlign w:val="bottom"/>
          </w:tcPr>
          <w:p>
            <w:pPr>
              <w:spacing w:after="0"/>
              <w:rPr>
                <w:sz w:val="18"/>
                <w:szCs w:val="18"/>
                <w:color w:val="auto"/>
              </w:rPr>
            </w:pPr>
          </w:p>
        </w:tc>
      </w:tr>
      <w:tr>
        <w:trPr>
          <w:trHeight w:val="216"/>
        </w:trPr>
        <w:tc>
          <w:tcPr>
            <w:tcW w:w="7620" w:type="dxa"/>
            <w:vAlign w:val="bottom"/>
            <w:tcBorders>
              <w:bottom w:val="single" w:sz="8" w:color="CFF0FC"/>
            </w:tcBorders>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Raw materials</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60</w:t>
            </w:r>
          </w:p>
        </w:tc>
        <w:tc>
          <w:tcPr>
            <w:tcW w:w="2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64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620" w:type="dxa"/>
            <w:vAlign w:val="bottom"/>
          </w:tcPr>
          <w:p>
            <w:pPr>
              <w:ind w:left="20"/>
              <w:spacing w:after="0" w:line="210" w:lineRule="exact"/>
              <w:rPr>
                <w:sz w:val="20"/>
                <w:szCs w:val="20"/>
                <w:color w:val="auto"/>
              </w:rPr>
            </w:pPr>
            <w:r>
              <w:rPr>
                <w:rFonts w:ascii="Calibri" w:cs="Calibri" w:eastAsia="Calibri" w:hAnsi="Calibri"/>
                <w:sz w:val="18"/>
                <w:szCs w:val="18"/>
                <w:color w:val="auto"/>
              </w:rPr>
              <w:t>Total</w:t>
            </w:r>
          </w:p>
        </w:tc>
        <w:tc>
          <w:tcPr>
            <w:tcW w:w="360" w:type="dxa"/>
            <w:vAlign w:val="bottom"/>
          </w:tcPr>
          <w:p>
            <w:pPr>
              <w:jc w:val="right"/>
              <w:ind w:right="170"/>
              <w:spacing w:after="0" w:line="210" w:lineRule="exact"/>
              <w:rPr>
                <w:sz w:val="20"/>
                <w:szCs w:val="20"/>
                <w:color w:val="auto"/>
              </w:rPr>
            </w:pPr>
            <w:r>
              <w:rPr>
                <w:rFonts w:ascii="Calibri" w:cs="Calibri" w:eastAsia="Calibri" w:hAnsi="Calibri"/>
                <w:sz w:val="18"/>
                <w:szCs w:val="18"/>
                <w:color w:val="auto"/>
                <w:w w:val="87"/>
              </w:rPr>
              <w:t>$</w:t>
            </w:r>
          </w:p>
        </w:tc>
        <w:tc>
          <w:tcPr>
            <w:tcW w:w="1200" w:type="dxa"/>
            <w:vAlign w:val="bottom"/>
          </w:tcPr>
          <w:p>
            <w:pPr>
              <w:jc w:val="right"/>
              <w:spacing w:after="0" w:line="210" w:lineRule="exact"/>
              <w:rPr>
                <w:sz w:val="20"/>
                <w:szCs w:val="20"/>
                <w:color w:val="auto"/>
              </w:rPr>
            </w:pPr>
            <w:r>
              <w:rPr>
                <w:rFonts w:ascii="Calibri" w:cs="Calibri" w:eastAsia="Calibri" w:hAnsi="Calibri"/>
                <w:sz w:val="18"/>
                <w:szCs w:val="18"/>
                <w:color w:val="auto"/>
              </w:rPr>
              <w:t>219</w:t>
            </w:r>
          </w:p>
        </w:tc>
        <w:tc>
          <w:tcPr>
            <w:tcW w:w="620" w:type="dxa"/>
            <w:vAlign w:val="bottom"/>
            <w:gridSpan w:val="2"/>
          </w:tcPr>
          <w:p>
            <w:pPr>
              <w:jc w:val="right"/>
              <w:ind w:right="240"/>
              <w:spacing w:after="0" w:line="210" w:lineRule="exact"/>
              <w:rPr>
                <w:sz w:val="20"/>
                <w:szCs w:val="20"/>
                <w:color w:val="auto"/>
              </w:rPr>
            </w:pPr>
            <w:r>
              <w:rPr>
                <w:rFonts w:ascii="Calibri" w:cs="Calibri" w:eastAsia="Calibri" w:hAnsi="Calibri"/>
                <w:sz w:val="18"/>
                <w:szCs w:val="18"/>
                <w:color w:val="auto"/>
              </w:rPr>
              <w:t>$</w:t>
            </w:r>
          </w:p>
        </w:tc>
        <w:tc>
          <w:tcPr>
            <w:tcW w:w="1220" w:type="dxa"/>
            <w:vAlign w:val="bottom"/>
          </w:tcPr>
          <w:p>
            <w:pPr>
              <w:jc w:val="right"/>
              <w:spacing w:after="0" w:line="210" w:lineRule="exact"/>
              <w:rPr>
                <w:sz w:val="20"/>
                <w:szCs w:val="20"/>
                <w:color w:val="auto"/>
              </w:rPr>
            </w:pPr>
            <w:r>
              <w:rPr>
                <w:rFonts w:ascii="Calibri" w:cs="Calibri" w:eastAsia="Calibri" w:hAnsi="Calibri"/>
                <w:sz w:val="18"/>
                <w:szCs w:val="18"/>
                <w:color w:val="auto"/>
              </w:rPr>
              <w:t>217</w:t>
            </w:r>
          </w:p>
        </w:tc>
        <w:tc>
          <w:tcPr>
            <w:tcW w:w="100" w:type="dxa"/>
            <w:vAlign w:val="bottom"/>
          </w:tcPr>
          <w:p>
            <w:pPr>
              <w:spacing w:after="0"/>
              <w:rPr>
                <w:sz w:val="18"/>
                <w:szCs w:val="18"/>
                <w:color w:val="auto"/>
              </w:rPr>
            </w:pPr>
          </w:p>
        </w:tc>
      </w:tr>
      <w:tr>
        <w:trPr>
          <w:trHeight w:val="20"/>
        </w:trPr>
        <w:tc>
          <w:tcPr>
            <w:tcW w:w="76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-170815</wp:posOffset>
            </wp:positionV>
            <wp:extent cx="685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-170815</wp:posOffset>
            </wp:positionV>
            <wp:extent cx="685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During the third quarter of 2024, Kodak recorded an inventory reserve adjustment of $4 million in its Electrophotographic Printng Solutons (“EPS”) business related to higher-than-expected volume declines for certain component and service parts sold to its installed base of printers due to the negatve impact of recent pricing actons and ceasing the manufacturing of NEXFINITY printers efectve December 2022. During the fourth quarter of 2024, Kodak recorded an inventory reserve adjustment of $4 million related to EPS black and white consumables and service parts due to the reducton in forecasted demand communicated from its primary distributor. The inventory reserve adjustments are recorded in Cost of revenues in the Consolidated Statement of Operatons.</w:t>
      </w:r>
    </w:p>
    <w:p>
      <w:pPr>
        <w:spacing w:after="0" w:line="21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4: PROPERTY, PLANT AND EQUIPMENT, NET</w:t>
      </w:r>
    </w:p>
    <w:p>
      <w:pPr>
        <w:spacing w:after="0" w:line="212" w:lineRule="exact"/>
        <w:rPr>
          <w:sz w:val="20"/>
          <w:szCs w:val="20"/>
          <w:color w:val="auto"/>
        </w:rPr>
      </w:pPr>
    </w:p>
    <w:p>
      <w:pPr>
        <w:ind w:left="8600"/>
        <w:spacing w:after="0"/>
        <w:rPr>
          <w:sz w:val="20"/>
          <w:szCs w:val="20"/>
          <w:color w:val="auto"/>
        </w:rPr>
      </w:pPr>
      <w:r>
        <w:rPr>
          <w:rFonts w:ascii="Calibri" w:cs="Calibri" w:eastAsia="Calibri" w:hAnsi="Calibri"/>
          <w:sz w:val="18"/>
          <w:szCs w:val="18"/>
          <w:b w:val="1"/>
          <w:bCs w:val="1"/>
          <w:color w:val="auto"/>
        </w:rPr>
        <w:t>As of December 31,</w:t>
      </w:r>
    </w:p>
    <w:tbl>
      <w:tblPr>
        <w:tblLayout w:type="fixed"/>
        <w:tblInd w:w="0" w:type="dxa"/>
        <w:tblCellMar>
          <w:top w:w="0" w:type="dxa"/>
          <w:left w:w="0" w:type="dxa"/>
          <w:bottom w:w="0" w:type="dxa"/>
          <w:right w:w="0" w:type="dxa"/>
        </w:tblCellMar>
      </w:tblPr>
      <w:tr>
        <w:trPr>
          <w:trHeight w:val="236"/>
        </w:trPr>
        <w:tc>
          <w:tcPr>
            <w:tcW w:w="4160" w:type="dxa"/>
            <w:vAlign w:val="bottom"/>
          </w:tcPr>
          <w:p>
            <w:pPr>
              <w:ind w:left="20"/>
              <w:spacing w:after="0"/>
              <w:rPr>
                <w:sz w:val="20"/>
                <w:szCs w:val="20"/>
                <w:color w:val="auto"/>
              </w:rPr>
            </w:pPr>
            <w:r>
              <w:rPr>
                <w:rFonts w:ascii="Calibri" w:cs="Calibri" w:eastAsia="Calibri" w:hAnsi="Calibri"/>
                <w:sz w:val="14"/>
                <w:szCs w:val="14"/>
                <w:color w:val="auto"/>
              </w:rPr>
              <w:t>(in millions)</w:t>
            </w:r>
          </w:p>
        </w:tc>
        <w:tc>
          <w:tcPr>
            <w:tcW w:w="34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line="216" w:lineRule="exact"/>
              <w:rPr>
                <w:sz w:val="20"/>
                <w:szCs w:val="20"/>
                <w:color w:val="auto"/>
              </w:rPr>
            </w:pPr>
            <w:r>
              <w:rPr>
                <w:rFonts w:ascii="Calibri" w:cs="Calibri" w:eastAsia="Calibri" w:hAnsi="Calibri"/>
                <w:sz w:val="18"/>
                <w:szCs w:val="18"/>
                <w:b w:val="1"/>
                <w:bCs w:val="1"/>
                <w:color w:val="auto"/>
              </w:rPr>
              <w:t>2024</w:t>
            </w: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line="216" w:lineRule="exact"/>
              <w:rPr>
                <w:sz w:val="20"/>
                <w:szCs w:val="20"/>
                <w:color w:val="auto"/>
              </w:rPr>
            </w:pPr>
            <w:r>
              <w:rPr>
                <w:rFonts w:ascii="Calibri" w:cs="Calibri" w:eastAsia="Calibri" w:hAnsi="Calibri"/>
                <w:sz w:val="18"/>
                <w:szCs w:val="18"/>
                <w:b w:val="1"/>
                <w:bCs w:val="1"/>
                <w:color w:val="auto"/>
              </w:rPr>
              <w:t>2023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3"/>
        </w:trPr>
        <w:tc>
          <w:tcPr>
            <w:tcW w:w="4160" w:type="dxa"/>
            <w:vAlign w:val="bottom"/>
            <w:shd w:val="clear" w:color="auto" w:fill="CFF0FC"/>
          </w:tcPr>
          <w:p>
            <w:pPr>
              <w:ind w:left="20"/>
              <w:spacing w:after="0" w:line="213" w:lineRule="exact"/>
              <w:rPr>
                <w:sz w:val="20"/>
                <w:szCs w:val="20"/>
                <w:color w:val="auto"/>
              </w:rPr>
            </w:pPr>
            <w:r>
              <w:rPr>
                <w:rFonts w:ascii="Calibri" w:cs="Calibri" w:eastAsia="Calibri" w:hAnsi="Calibri"/>
                <w:sz w:val="18"/>
                <w:szCs w:val="18"/>
                <w:color w:val="auto"/>
              </w:rPr>
              <w:t>Land</w:t>
            </w:r>
          </w:p>
        </w:tc>
        <w:tc>
          <w:tcPr>
            <w:tcW w:w="3820" w:type="dxa"/>
            <w:vAlign w:val="bottom"/>
            <w:gridSpan w:val="2"/>
            <w:shd w:val="clear" w:color="auto" w:fill="CFF0FC"/>
          </w:tcPr>
          <w:p>
            <w:pPr>
              <w:jc w:val="right"/>
              <w:ind w:right="170"/>
              <w:spacing w:after="0" w:line="213" w:lineRule="exact"/>
              <w:rPr>
                <w:sz w:val="20"/>
                <w:szCs w:val="20"/>
                <w:color w:val="auto"/>
              </w:rPr>
            </w:pPr>
            <w:r>
              <w:rPr>
                <w:rFonts w:ascii="Calibri" w:cs="Calibri" w:eastAsia="Calibri" w:hAnsi="Calibri"/>
                <w:sz w:val="18"/>
                <w:szCs w:val="18"/>
                <w:color w:val="auto"/>
              </w:rPr>
              <w:t>$</w:t>
            </w:r>
          </w:p>
        </w:tc>
        <w:tc>
          <w:tcPr>
            <w:tcW w:w="1200" w:type="dxa"/>
            <w:vAlign w:val="bottom"/>
            <w:shd w:val="clear" w:color="auto" w:fill="CFF0FC"/>
          </w:tcPr>
          <w:p>
            <w:pPr>
              <w:jc w:val="right"/>
              <w:spacing w:after="0" w:line="213" w:lineRule="exact"/>
              <w:rPr>
                <w:sz w:val="20"/>
                <w:szCs w:val="20"/>
                <w:color w:val="auto"/>
              </w:rPr>
            </w:pPr>
            <w:r>
              <w:rPr>
                <w:rFonts w:ascii="Calibri" w:cs="Calibri" w:eastAsia="Calibri" w:hAnsi="Calibri"/>
                <w:sz w:val="18"/>
                <w:szCs w:val="18"/>
                <w:color w:val="auto"/>
              </w:rPr>
              <w:t>45</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line="213" w:lineRule="exact"/>
              <w:rPr>
                <w:sz w:val="20"/>
                <w:szCs w:val="20"/>
                <w:color w:val="auto"/>
              </w:rPr>
            </w:pPr>
            <w:r>
              <w:rPr>
                <w:rFonts w:ascii="Calibri" w:cs="Calibri" w:eastAsia="Calibri" w:hAnsi="Calibri"/>
                <w:sz w:val="18"/>
                <w:szCs w:val="18"/>
                <w:color w:val="auto"/>
                <w:w w:val="87"/>
              </w:rPr>
              <w:t>$</w:t>
            </w:r>
          </w:p>
        </w:tc>
        <w:tc>
          <w:tcPr>
            <w:tcW w:w="1220" w:type="dxa"/>
            <w:vAlign w:val="bottom"/>
            <w:shd w:val="clear" w:color="auto" w:fill="CFF0FC"/>
          </w:tcPr>
          <w:p>
            <w:pPr>
              <w:jc w:val="right"/>
              <w:spacing w:after="0" w:line="213" w:lineRule="exact"/>
              <w:rPr>
                <w:sz w:val="20"/>
                <w:szCs w:val="20"/>
                <w:color w:val="auto"/>
              </w:rPr>
            </w:pPr>
            <w:r>
              <w:rPr>
                <w:rFonts w:ascii="Calibri" w:cs="Calibri" w:eastAsia="Calibri" w:hAnsi="Calibri"/>
                <w:sz w:val="18"/>
                <w:szCs w:val="18"/>
                <w:color w:val="auto"/>
              </w:rPr>
              <w:t>55</w:t>
            </w:r>
          </w:p>
        </w:tc>
        <w:tc>
          <w:tcPr>
            <w:tcW w:w="100" w:type="dxa"/>
            <w:vAlign w:val="bottom"/>
            <w:shd w:val="clear" w:color="auto" w:fill="CFF0FC"/>
          </w:tcPr>
          <w:p>
            <w:pPr>
              <w:spacing w:after="0"/>
              <w:rPr>
                <w:sz w:val="18"/>
                <w:szCs w:val="18"/>
                <w:color w:val="auto"/>
              </w:rPr>
            </w:pPr>
          </w:p>
        </w:tc>
        <w:tc>
          <w:tcPr>
            <w:tcW w:w="120" w:type="dxa"/>
            <w:vAlign w:val="bottom"/>
          </w:tcPr>
          <w:p>
            <w:pPr>
              <w:spacing w:after="0"/>
              <w:rPr>
                <w:sz w:val="18"/>
                <w:szCs w:val="18"/>
                <w:color w:val="auto"/>
              </w:rPr>
            </w:pPr>
          </w:p>
        </w:tc>
      </w:tr>
      <w:tr>
        <w:trPr>
          <w:trHeight w:val="215"/>
        </w:trPr>
        <w:tc>
          <w:tcPr>
            <w:tcW w:w="4160" w:type="dxa"/>
            <w:vAlign w:val="bottom"/>
          </w:tcPr>
          <w:p>
            <w:pPr>
              <w:ind w:left="20"/>
              <w:spacing w:after="0" w:line="215" w:lineRule="exact"/>
              <w:rPr>
                <w:sz w:val="20"/>
                <w:szCs w:val="20"/>
                <w:color w:val="auto"/>
              </w:rPr>
            </w:pPr>
            <w:r>
              <w:rPr>
                <w:rFonts w:ascii="Calibri" w:cs="Calibri" w:eastAsia="Calibri" w:hAnsi="Calibri"/>
                <w:sz w:val="18"/>
                <w:szCs w:val="18"/>
                <w:color w:val="auto"/>
              </w:rPr>
              <w:t>Buildings and building improvements</w:t>
            </w:r>
          </w:p>
        </w:tc>
        <w:tc>
          <w:tcPr>
            <w:tcW w:w="3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line="215" w:lineRule="exact"/>
              <w:rPr>
                <w:sz w:val="20"/>
                <w:szCs w:val="20"/>
                <w:color w:val="auto"/>
              </w:rPr>
            </w:pPr>
            <w:r>
              <w:rPr>
                <w:rFonts w:ascii="Calibri" w:cs="Calibri" w:eastAsia="Calibri" w:hAnsi="Calibri"/>
                <w:sz w:val="18"/>
                <w:szCs w:val="18"/>
                <w:color w:val="auto"/>
              </w:rPr>
              <w:t>137</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line="215" w:lineRule="exact"/>
              <w:rPr>
                <w:sz w:val="20"/>
                <w:szCs w:val="20"/>
                <w:color w:val="auto"/>
              </w:rPr>
            </w:pPr>
            <w:r>
              <w:rPr>
                <w:rFonts w:ascii="Calibri" w:cs="Calibri" w:eastAsia="Calibri" w:hAnsi="Calibri"/>
                <w:sz w:val="18"/>
                <w:szCs w:val="18"/>
                <w:color w:val="auto"/>
              </w:rPr>
              <w:t>137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7"/>
        </w:trPr>
        <w:tc>
          <w:tcPr>
            <w:tcW w:w="416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Machinery and equipment</w:t>
            </w:r>
          </w:p>
        </w:tc>
        <w:tc>
          <w:tcPr>
            <w:tcW w:w="34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434</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420</w:t>
            </w:r>
          </w:p>
        </w:tc>
        <w:tc>
          <w:tcPr>
            <w:tcW w:w="100" w:type="dxa"/>
            <w:vAlign w:val="bottom"/>
            <w:shd w:val="clear" w:color="auto" w:fill="CFF0FC"/>
          </w:tcPr>
          <w:p>
            <w:pPr>
              <w:spacing w:after="0"/>
              <w:rPr>
                <w:sz w:val="18"/>
                <w:szCs w:val="18"/>
                <w:color w:val="auto"/>
              </w:rPr>
            </w:pPr>
          </w:p>
        </w:tc>
        <w:tc>
          <w:tcPr>
            <w:tcW w:w="120" w:type="dxa"/>
            <w:vAlign w:val="bottom"/>
          </w:tcPr>
          <w:p>
            <w:pPr>
              <w:spacing w:after="0"/>
              <w:rPr>
                <w:sz w:val="18"/>
                <w:szCs w:val="18"/>
                <w:color w:val="auto"/>
              </w:rPr>
            </w:pPr>
          </w:p>
        </w:tc>
      </w:tr>
      <w:tr>
        <w:trPr>
          <w:trHeight w:val="215"/>
        </w:trPr>
        <w:tc>
          <w:tcPr>
            <w:tcW w:w="4160" w:type="dxa"/>
            <w:vAlign w:val="bottom"/>
          </w:tcPr>
          <w:p>
            <w:pPr>
              <w:ind w:left="20"/>
              <w:spacing w:after="0" w:line="215" w:lineRule="exact"/>
              <w:rPr>
                <w:sz w:val="20"/>
                <w:szCs w:val="20"/>
                <w:color w:val="auto"/>
              </w:rPr>
            </w:pPr>
            <w:r>
              <w:rPr>
                <w:rFonts w:ascii="Calibri" w:cs="Calibri" w:eastAsia="Calibri" w:hAnsi="Calibri"/>
                <w:sz w:val="18"/>
                <w:szCs w:val="18"/>
                <w:color w:val="auto"/>
              </w:rPr>
              <w:t>Constructon in progress</w:t>
            </w:r>
          </w:p>
        </w:tc>
        <w:tc>
          <w:tcPr>
            <w:tcW w:w="34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55</w:t>
            </w: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4160" w:type="dxa"/>
            <w:vAlign w:val="bottom"/>
            <w:shd w:val="clear" w:color="auto" w:fill="CFF0FC"/>
          </w:tcPr>
          <w:p>
            <w:pPr>
              <w:ind w:left="120"/>
              <w:spacing w:after="0" w:line="210" w:lineRule="exact"/>
              <w:rPr>
                <w:sz w:val="20"/>
                <w:szCs w:val="20"/>
                <w:color w:val="auto"/>
              </w:rPr>
            </w:pPr>
            <w:r>
              <w:rPr>
                <w:rFonts w:ascii="Calibri" w:cs="Calibri" w:eastAsia="Calibri" w:hAnsi="Calibri"/>
                <w:sz w:val="18"/>
                <w:szCs w:val="18"/>
                <w:color w:val="auto"/>
              </w:rPr>
              <w:t>Property, plant and equipment, gross</w:t>
            </w:r>
          </w:p>
        </w:tc>
        <w:tc>
          <w:tcPr>
            <w:tcW w:w="34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671</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639</w:t>
            </w:r>
          </w:p>
        </w:tc>
        <w:tc>
          <w:tcPr>
            <w:tcW w:w="100" w:type="dxa"/>
            <w:vAlign w:val="bottom"/>
            <w:shd w:val="clear" w:color="auto" w:fill="CFF0FC"/>
          </w:tcPr>
          <w:p>
            <w:pPr>
              <w:spacing w:after="0"/>
              <w:rPr>
                <w:sz w:val="18"/>
                <w:szCs w:val="18"/>
                <w:color w:val="auto"/>
              </w:rPr>
            </w:pPr>
          </w:p>
        </w:tc>
        <w:tc>
          <w:tcPr>
            <w:tcW w:w="120" w:type="dxa"/>
            <w:vAlign w:val="bottom"/>
          </w:tcPr>
          <w:p>
            <w:pPr>
              <w:spacing w:after="0"/>
              <w:rPr>
                <w:sz w:val="18"/>
                <w:szCs w:val="18"/>
                <w:color w:val="auto"/>
              </w:rPr>
            </w:pPr>
          </w:p>
        </w:tc>
      </w:tr>
      <w:tr>
        <w:trPr>
          <w:trHeight w:val="215"/>
        </w:trPr>
        <w:tc>
          <w:tcPr>
            <w:tcW w:w="4160" w:type="dxa"/>
            <w:vAlign w:val="bottom"/>
          </w:tcPr>
          <w:p>
            <w:pPr>
              <w:ind w:left="20"/>
              <w:spacing w:after="0" w:line="215" w:lineRule="exact"/>
              <w:rPr>
                <w:sz w:val="20"/>
                <w:szCs w:val="20"/>
                <w:color w:val="auto"/>
              </w:rPr>
            </w:pPr>
            <w:r>
              <w:rPr>
                <w:rFonts w:ascii="Calibri" w:cs="Calibri" w:eastAsia="Calibri" w:hAnsi="Calibri"/>
                <w:sz w:val="18"/>
                <w:szCs w:val="18"/>
                <w:color w:val="auto"/>
              </w:rPr>
              <w:t>Accumulated depreciaton</w:t>
            </w:r>
          </w:p>
        </w:tc>
        <w:tc>
          <w:tcPr>
            <w:tcW w:w="3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right"/>
              <w:ind w:right="220"/>
              <w:spacing w:after="0" w:line="215" w:lineRule="exact"/>
              <w:rPr>
                <w:sz w:val="20"/>
                <w:szCs w:val="20"/>
                <w:color w:val="auto"/>
              </w:rPr>
            </w:pPr>
            <w:r>
              <w:rPr>
                <w:rFonts w:ascii="Calibri" w:cs="Calibri" w:eastAsia="Calibri" w:hAnsi="Calibri"/>
                <w:sz w:val="18"/>
                <w:szCs w:val="18"/>
                <w:color w:val="auto"/>
              </w:rPr>
              <w:t>(482 )</w:t>
            </w:r>
          </w:p>
        </w:tc>
        <w:tc>
          <w:tcPr>
            <w:tcW w:w="340" w:type="dxa"/>
            <w:vAlign w:val="bottom"/>
          </w:tcPr>
          <w:p>
            <w:pPr>
              <w:spacing w:after="0"/>
              <w:rPr>
                <w:sz w:val="18"/>
                <w:szCs w:val="18"/>
                <w:color w:val="auto"/>
              </w:rPr>
            </w:pPr>
          </w:p>
        </w:tc>
        <w:tc>
          <w:tcPr>
            <w:tcW w:w="132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(470 )</w:t>
            </w:r>
          </w:p>
        </w:tc>
        <w:tc>
          <w:tcPr>
            <w:tcW w:w="120" w:type="dxa"/>
            <w:vAlign w:val="bottom"/>
          </w:tcPr>
          <w:p>
            <w:pPr>
              <w:spacing w:after="0"/>
              <w:rPr>
                <w:sz w:val="18"/>
                <w:szCs w:val="18"/>
                <w:color w:val="auto"/>
              </w:rPr>
            </w:pPr>
          </w:p>
        </w:tc>
      </w:tr>
      <w:tr>
        <w:trPr>
          <w:trHeight w:val="250"/>
        </w:trPr>
        <w:tc>
          <w:tcPr>
            <w:tcW w:w="4160" w:type="dxa"/>
            <w:vAlign w:val="bottom"/>
            <w:tcBorders>
              <w:bottom w:val="single" w:sz="8" w:color="CFF0FC"/>
            </w:tcBorders>
            <w:shd w:val="clear" w:color="auto" w:fill="CFF0FC"/>
          </w:tcPr>
          <w:p>
            <w:pPr>
              <w:ind w:left="120"/>
              <w:spacing w:after="0" w:line="210" w:lineRule="exact"/>
              <w:rPr>
                <w:sz w:val="20"/>
                <w:szCs w:val="20"/>
                <w:color w:val="auto"/>
              </w:rPr>
            </w:pPr>
            <w:r>
              <w:rPr>
                <w:rFonts w:ascii="Calibri" w:cs="Calibri" w:eastAsia="Calibri" w:hAnsi="Calibri"/>
                <w:sz w:val="18"/>
                <w:szCs w:val="18"/>
                <w:color w:val="auto"/>
              </w:rPr>
              <w:t>Property, plant and equipment, net</w:t>
            </w:r>
          </w:p>
        </w:tc>
        <w:tc>
          <w:tcPr>
            <w:tcW w:w="346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top w:val="single" w:sz="8" w:color="auto"/>
              <w:bottom w:val="single" w:sz="8" w:color="auto"/>
            </w:tcBorders>
            <w:shd w:val="clear" w:color="auto" w:fill="CFF0FC"/>
          </w:tcPr>
          <w:p>
            <w:pPr>
              <w:jc w:val="right"/>
              <w:ind w:right="170"/>
              <w:spacing w:after="0" w:line="210" w:lineRule="exact"/>
              <w:rPr>
                <w:sz w:val="20"/>
                <w:szCs w:val="20"/>
                <w:color w:val="auto"/>
              </w:rPr>
            </w:pPr>
            <w:r>
              <w:rPr>
                <w:rFonts w:ascii="Calibri" w:cs="Calibri" w:eastAsia="Calibri" w:hAnsi="Calibri"/>
                <w:sz w:val="18"/>
                <w:szCs w:val="18"/>
                <w:color w:val="auto"/>
                <w:w w:val="87"/>
              </w:rPr>
              <w:t>$</w:t>
            </w:r>
          </w:p>
        </w:tc>
        <w:tc>
          <w:tcPr>
            <w:tcW w:w="1200" w:type="dxa"/>
            <w:vAlign w:val="bottom"/>
            <w:tcBorders>
              <w:top w:val="single" w:sz="8" w:color="auto"/>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189</w:t>
            </w:r>
          </w:p>
        </w:tc>
        <w:tc>
          <w:tcPr>
            <w:tcW w:w="2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top w:val="single" w:sz="8" w:color="auto"/>
              <w:bottom w:val="single" w:sz="8" w:color="auto"/>
            </w:tcBorders>
            <w:shd w:val="clear" w:color="auto" w:fill="CFF0FC"/>
          </w:tcPr>
          <w:p>
            <w:pPr>
              <w:jc w:val="right"/>
              <w:ind w:right="150"/>
              <w:spacing w:after="0" w:line="210" w:lineRule="exact"/>
              <w:rPr>
                <w:sz w:val="20"/>
                <w:szCs w:val="20"/>
                <w:color w:val="auto"/>
              </w:rPr>
            </w:pPr>
            <w:r>
              <w:rPr>
                <w:rFonts w:ascii="Calibri" w:cs="Calibri" w:eastAsia="Calibri" w:hAnsi="Calibri"/>
                <w:sz w:val="18"/>
                <w:szCs w:val="18"/>
                <w:color w:val="auto"/>
                <w:w w:val="87"/>
              </w:rPr>
              <w:t>$</w:t>
            </w:r>
          </w:p>
        </w:tc>
        <w:tc>
          <w:tcPr>
            <w:tcW w:w="1220" w:type="dxa"/>
            <w:vAlign w:val="bottom"/>
            <w:tcBorders>
              <w:top w:val="single" w:sz="8" w:color="auto"/>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169</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Pr>
          <w:p>
            <w:pPr>
              <w:spacing w:after="0"/>
              <w:rPr>
                <w:sz w:val="21"/>
                <w:szCs w:val="21"/>
                <w:color w:val="auto"/>
              </w:rPr>
            </w:pPr>
          </w:p>
        </w:tc>
      </w:tr>
      <w:tr>
        <w:trPr>
          <w:trHeight w:val="564"/>
        </w:trPr>
        <w:tc>
          <w:tcPr>
            <w:tcW w:w="4160" w:type="dxa"/>
            <w:vAlign w:val="bottom"/>
          </w:tcPr>
          <w:p>
            <w:pPr>
              <w:spacing w:after="0"/>
              <w:rPr>
                <w:sz w:val="24"/>
                <w:szCs w:val="24"/>
                <w:color w:val="auto"/>
              </w:rPr>
            </w:pPr>
          </w:p>
        </w:tc>
        <w:tc>
          <w:tcPr>
            <w:tcW w:w="3460" w:type="dxa"/>
            <w:vAlign w:val="bottom"/>
          </w:tcPr>
          <w:p>
            <w:pPr>
              <w:jc w:val="right"/>
              <w:ind w:right="1810"/>
              <w:spacing w:after="0"/>
              <w:rPr>
                <w:sz w:val="20"/>
                <w:szCs w:val="20"/>
                <w:color w:val="auto"/>
              </w:rPr>
            </w:pPr>
            <w:r>
              <w:rPr>
                <w:rFonts w:ascii="Calibri" w:cs="Calibri" w:eastAsia="Calibri" w:hAnsi="Calibri"/>
                <w:sz w:val="18"/>
                <w:szCs w:val="18"/>
                <w:color w:val="auto"/>
              </w:rPr>
              <w:t>67</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530"/>
        </w:trPr>
        <w:tc>
          <w:tcPr>
            <w:tcW w:w="4160" w:type="dxa"/>
            <w:vAlign w:val="bottom"/>
            <w:tcBorders>
              <w:bottom w:val="single" w:sz="8" w:color="9A9A9A"/>
            </w:tcBorders>
          </w:tcPr>
          <w:p>
            <w:pPr>
              <w:spacing w:after="0"/>
              <w:rPr>
                <w:sz w:val="24"/>
                <w:szCs w:val="24"/>
                <w:color w:val="auto"/>
              </w:rPr>
            </w:pPr>
          </w:p>
        </w:tc>
        <w:tc>
          <w:tcPr>
            <w:tcW w:w="34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-744855</wp:posOffset>
            </wp:positionV>
            <wp:extent cx="685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-728345</wp:posOffset>
            </wp:positionV>
            <wp:extent cx="685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-744855</wp:posOffset>
            </wp:positionV>
            <wp:extent cx="6858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-728345</wp:posOffset>
            </wp:positionV>
            <wp:extent cx="6858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67" w:name="page68"/>
    <w:bookmarkEnd w:id="67"/>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alibri" w:cs="Calibri" w:eastAsia="Calibri" w:hAnsi="Calibri"/>
          <w:sz w:val="18"/>
          <w:szCs w:val="18"/>
          <w:color w:val="auto"/>
        </w:rPr>
        <w:t>Depreciaton expense was $24 million, $26 million and $24 million for the years ended December 31, 2024, 2023 and 2022, respectvely.</w:t>
      </w:r>
    </w:p>
    <w:p>
      <w:pPr>
        <w:spacing w:after="0" w:line="18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5: GOODWILL AND OTHER INTANGIBLE ASSETS</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presents the changes in the carrying value of goodwill by reportable segment.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center"/>
              <w:ind w:right="380"/>
              <w:spacing w:after="0"/>
              <w:rPr>
                <w:sz w:val="20"/>
                <w:szCs w:val="20"/>
                <w:color w:val="auto"/>
              </w:rPr>
            </w:pPr>
            <w:r>
              <w:rPr>
                <w:rFonts w:ascii="Calibri" w:cs="Calibri" w:eastAsia="Calibri" w:hAnsi="Calibri"/>
                <w:sz w:val="18"/>
                <w:szCs w:val="18"/>
                <w:b w:val="1"/>
                <w:bCs w:val="1"/>
                <w:color w:val="auto"/>
                <w:w w:val="97"/>
              </w:rPr>
              <w:t>Advanced</w:t>
            </w: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4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380"/>
              <w:spacing w:after="0" w:line="216" w:lineRule="exact"/>
              <w:rPr>
                <w:sz w:val="20"/>
                <w:szCs w:val="20"/>
                <w:color w:val="auto"/>
              </w:rPr>
            </w:pPr>
            <w:r>
              <w:rPr>
                <w:rFonts w:ascii="Calibri" w:cs="Calibri" w:eastAsia="Calibri" w:hAnsi="Calibri"/>
                <w:sz w:val="18"/>
                <w:szCs w:val="18"/>
                <w:b w:val="1"/>
                <w:bCs w:val="1"/>
                <w:color w:val="auto"/>
                <w:w w:val="96"/>
              </w:rPr>
              <w:t>Materials and</w:t>
            </w: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320"/>
              <w:spacing w:after="0" w:line="216" w:lineRule="exact"/>
              <w:rPr>
                <w:sz w:val="20"/>
                <w:szCs w:val="20"/>
                <w:color w:val="auto"/>
              </w:rPr>
            </w:pPr>
            <w:r>
              <w:rPr>
                <w:rFonts w:ascii="Calibri" w:cs="Calibri" w:eastAsia="Calibri" w:hAnsi="Calibri"/>
                <w:sz w:val="18"/>
                <w:szCs w:val="18"/>
                <w:b w:val="1"/>
                <w:bCs w:val="1"/>
                <w:color w:val="auto"/>
                <w:w w:val="99"/>
              </w:rPr>
              <w:t>Consolidated</w:t>
            </w:r>
          </w:p>
        </w:tc>
      </w:tr>
      <w:tr>
        <w:trPr>
          <w:trHeight w:val="236"/>
        </w:trPr>
        <w:tc>
          <w:tcPr>
            <w:tcW w:w="4860" w:type="dxa"/>
            <w:vAlign w:val="bottom"/>
          </w:tcPr>
          <w:p>
            <w:pPr>
              <w:ind w:left="20"/>
              <w:spacing w:after="0"/>
              <w:rPr>
                <w:sz w:val="20"/>
                <w:szCs w:val="20"/>
                <w:color w:val="auto"/>
              </w:rPr>
            </w:pPr>
            <w:r>
              <w:rPr>
                <w:rFonts w:ascii="Calibri" w:cs="Calibri" w:eastAsia="Calibri" w:hAnsi="Calibri"/>
                <w:sz w:val="14"/>
                <w:szCs w:val="14"/>
                <w:color w:val="auto"/>
              </w:rPr>
              <w:t>(in millions)</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line="216" w:lineRule="exact"/>
              <w:rPr>
                <w:sz w:val="20"/>
                <w:szCs w:val="20"/>
                <w:color w:val="auto"/>
              </w:rPr>
            </w:pPr>
            <w:r>
              <w:rPr>
                <w:rFonts w:ascii="Calibri" w:cs="Calibri" w:eastAsia="Calibri" w:hAnsi="Calibri"/>
                <w:sz w:val="18"/>
                <w:szCs w:val="18"/>
                <w:b w:val="1"/>
                <w:bCs w:val="1"/>
                <w:color w:val="auto"/>
              </w:rPr>
              <w:t>Print</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50"/>
              <w:spacing w:after="0" w:line="216" w:lineRule="exact"/>
              <w:rPr>
                <w:sz w:val="20"/>
                <w:szCs w:val="20"/>
                <w:color w:val="auto"/>
              </w:rPr>
            </w:pPr>
            <w:r>
              <w:rPr>
                <w:rFonts w:ascii="Calibri" w:cs="Calibri" w:eastAsia="Calibri" w:hAnsi="Calibri"/>
                <w:sz w:val="18"/>
                <w:szCs w:val="18"/>
                <w:b w:val="1"/>
                <w:bCs w:val="1"/>
                <w:color w:val="auto"/>
                <w:w w:val="98"/>
              </w:rPr>
              <w:t>Chemicals</w:t>
            </w:r>
          </w:p>
        </w:tc>
        <w:tc>
          <w:tcPr>
            <w:tcW w:w="260" w:type="dxa"/>
            <w:vAlign w:val="bottom"/>
          </w:tcPr>
          <w:p>
            <w:pPr>
              <w:spacing w:after="0"/>
              <w:rPr>
                <w:sz w:val="20"/>
                <w:szCs w:val="20"/>
                <w:color w:val="auto"/>
              </w:rPr>
            </w:pPr>
          </w:p>
        </w:tc>
        <w:tc>
          <w:tcPr>
            <w:tcW w:w="1040" w:type="dxa"/>
            <w:vAlign w:val="bottom"/>
            <w:tcBorders>
              <w:bottom w:val="single" w:sz="8" w:color="auto"/>
            </w:tcBorders>
          </w:tcPr>
          <w:p>
            <w:pPr>
              <w:jc w:val="right"/>
              <w:ind w:right="50"/>
              <w:spacing w:after="0" w:line="216" w:lineRule="exact"/>
              <w:rPr>
                <w:sz w:val="20"/>
                <w:szCs w:val="20"/>
                <w:color w:val="auto"/>
              </w:rPr>
            </w:pPr>
            <w:r>
              <w:rPr>
                <w:rFonts w:ascii="Calibri" w:cs="Calibri" w:eastAsia="Calibri" w:hAnsi="Calibri"/>
                <w:sz w:val="18"/>
                <w:szCs w:val="18"/>
                <w:b w:val="1"/>
                <w:bCs w:val="1"/>
                <w:color w:val="auto"/>
              </w:rPr>
              <w:t>Brand</w:t>
            </w:r>
          </w:p>
        </w:tc>
        <w:tc>
          <w:tcPr>
            <w:tcW w:w="3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10"/>
              <w:spacing w:after="0" w:line="216" w:lineRule="exact"/>
              <w:rPr>
                <w:sz w:val="20"/>
                <w:szCs w:val="20"/>
                <w:color w:val="auto"/>
              </w:rPr>
            </w:pPr>
            <w:r>
              <w:rPr>
                <w:rFonts w:ascii="Calibri" w:cs="Calibri" w:eastAsia="Calibri" w:hAnsi="Calibri"/>
                <w:sz w:val="18"/>
                <w:szCs w:val="18"/>
                <w:b w:val="1"/>
                <w:bCs w:val="1"/>
                <w:color w:val="auto"/>
              </w:rPr>
              <w:t>Total</w:t>
            </w:r>
          </w:p>
        </w:tc>
        <w:tc>
          <w:tcPr>
            <w:tcW w:w="120" w:type="dxa"/>
            <w:vAlign w:val="bottom"/>
          </w:tcPr>
          <w:p>
            <w:pPr>
              <w:spacing w:after="0"/>
              <w:rPr>
                <w:sz w:val="20"/>
                <w:szCs w:val="20"/>
                <w:color w:val="auto"/>
              </w:rPr>
            </w:pPr>
          </w:p>
        </w:tc>
      </w:tr>
      <w:tr>
        <w:trPr>
          <w:trHeight w:val="213"/>
        </w:trPr>
        <w:tc>
          <w:tcPr>
            <w:tcW w:w="4860" w:type="dxa"/>
            <w:vAlign w:val="bottom"/>
            <w:shd w:val="clear" w:color="auto" w:fill="CFF0FC"/>
          </w:tcPr>
          <w:p>
            <w:pPr>
              <w:ind w:left="20"/>
              <w:spacing w:after="0" w:line="213" w:lineRule="exact"/>
              <w:rPr>
                <w:sz w:val="20"/>
                <w:szCs w:val="20"/>
                <w:color w:val="auto"/>
              </w:rPr>
            </w:pPr>
            <w:r>
              <w:rPr>
                <w:rFonts w:ascii="Calibri" w:cs="Calibri" w:eastAsia="Calibri" w:hAnsi="Calibri"/>
                <w:sz w:val="18"/>
                <w:szCs w:val="18"/>
                <w:b w:val="1"/>
                <w:bCs w:val="1"/>
                <w:color w:val="auto"/>
              </w:rPr>
              <w:t>Balance as of December 31, 2022</w:t>
            </w:r>
          </w:p>
        </w:tc>
        <w:tc>
          <w:tcPr>
            <w:tcW w:w="300" w:type="dxa"/>
            <w:vAlign w:val="bottom"/>
            <w:shd w:val="clear" w:color="auto" w:fill="CFF0FC"/>
          </w:tcPr>
          <w:p>
            <w:pPr>
              <w:jc w:val="right"/>
              <w:ind w:right="110"/>
              <w:spacing w:after="0" w:line="213" w:lineRule="exact"/>
              <w:rPr>
                <w:sz w:val="20"/>
                <w:szCs w:val="20"/>
                <w:color w:val="auto"/>
              </w:rPr>
            </w:pPr>
            <w:r>
              <w:rPr>
                <w:rFonts w:ascii="Calibri" w:cs="Calibri" w:eastAsia="Calibri" w:hAnsi="Calibri"/>
                <w:sz w:val="18"/>
                <w:szCs w:val="18"/>
                <w:color w:val="auto"/>
                <w:w w:val="87"/>
              </w:rPr>
              <w:t>$</w:t>
            </w:r>
          </w:p>
        </w:tc>
        <w:tc>
          <w:tcPr>
            <w:tcW w:w="1040" w:type="dxa"/>
            <w:vAlign w:val="bottom"/>
            <w:shd w:val="clear" w:color="auto" w:fill="CFF0FC"/>
          </w:tcPr>
          <w:p>
            <w:pPr>
              <w:jc w:val="right"/>
              <w:spacing w:after="0" w:line="213" w:lineRule="exact"/>
              <w:rPr>
                <w:sz w:val="20"/>
                <w:szCs w:val="20"/>
                <w:color w:val="auto"/>
              </w:rPr>
            </w:pPr>
            <w:r>
              <w:rPr>
                <w:rFonts w:ascii="Calibri" w:cs="Calibri" w:eastAsia="Calibri" w:hAnsi="Calibri"/>
                <w:sz w:val="18"/>
                <w:szCs w:val="18"/>
                <w:color w:val="auto"/>
              </w:rPr>
              <w:t>6</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line="213" w:lineRule="exact"/>
              <w:rPr>
                <w:sz w:val="20"/>
                <w:szCs w:val="20"/>
                <w:color w:val="auto"/>
              </w:rPr>
            </w:pPr>
            <w:r>
              <w:rPr>
                <w:rFonts w:ascii="Calibri" w:cs="Calibri" w:eastAsia="Calibri" w:hAnsi="Calibri"/>
                <w:sz w:val="18"/>
                <w:szCs w:val="18"/>
                <w:color w:val="auto"/>
              </w:rPr>
              <w:t>$</w:t>
            </w:r>
          </w:p>
        </w:tc>
        <w:tc>
          <w:tcPr>
            <w:tcW w:w="1460" w:type="dxa"/>
            <w:vAlign w:val="bottom"/>
            <w:gridSpan w:val="2"/>
            <w:shd w:val="clear" w:color="auto" w:fill="CFF0FC"/>
          </w:tcPr>
          <w:p>
            <w:pPr>
              <w:jc w:val="right"/>
              <w:ind w:right="260"/>
              <w:spacing w:after="0" w:line="213" w:lineRule="exact"/>
              <w:rPr>
                <w:sz w:val="20"/>
                <w:szCs w:val="20"/>
                <w:color w:val="auto"/>
              </w:rPr>
            </w:pPr>
            <w:r>
              <w:rPr>
                <w:rFonts w:ascii="Calibri" w:cs="Calibri" w:eastAsia="Calibri" w:hAnsi="Calibri"/>
                <w:sz w:val="18"/>
                <w:szCs w:val="18"/>
                <w:color w:val="auto"/>
              </w:rPr>
              <w:t>—</w:t>
            </w:r>
          </w:p>
        </w:tc>
        <w:tc>
          <w:tcPr>
            <w:tcW w:w="1040" w:type="dxa"/>
            <w:vAlign w:val="bottom"/>
            <w:shd w:val="clear" w:color="auto" w:fill="CFF0FC"/>
          </w:tcPr>
          <w:p>
            <w:pPr>
              <w:jc w:val="right"/>
              <w:ind w:right="850"/>
              <w:spacing w:after="0" w:line="213" w:lineRule="exact"/>
              <w:rPr>
                <w:sz w:val="20"/>
                <w:szCs w:val="20"/>
                <w:color w:val="auto"/>
              </w:rPr>
            </w:pPr>
            <w:r>
              <w:rPr>
                <w:rFonts w:ascii="Calibri" w:cs="Calibri" w:eastAsia="Calibri" w:hAnsi="Calibri"/>
                <w:sz w:val="18"/>
                <w:szCs w:val="18"/>
                <w:color w:val="auto"/>
                <w:w w:val="87"/>
              </w:rPr>
              <w:t>$</w:t>
            </w:r>
          </w:p>
        </w:tc>
        <w:tc>
          <w:tcPr>
            <w:tcW w:w="320" w:type="dxa"/>
            <w:vAlign w:val="bottom"/>
            <w:shd w:val="clear" w:color="auto" w:fill="CFF0FC"/>
          </w:tcPr>
          <w:p>
            <w:pPr>
              <w:jc w:val="right"/>
              <w:spacing w:after="0" w:line="213" w:lineRule="exact"/>
              <w:rPr>
                <w:sz w:val="20"/>
                <w:szCs w:val="20"/>
                <w:color w:val="auto"/>
              </w:rPr>
            </w:pPr>
            <w:r>
              <w:rPr>
                <w:rFonts w:ascii="Calibri" w:cs="Calibri" w:eastAsia="Calibri" w:hAnsi="Calibri"/>
                <w:sz w:val="18"/>
                <w:szCs w:val="18"/>
                <w:color w:val="auto"/>
              </w:rPr>
              <w:t>6</w:t>
            </w:r>
          </w:p>
        </w:tc>
        <w:tc>
          <w:tcPr>
            <w:tcW w:w="400" w:type="dxa"/>
            <w:vAlign w:val="bottom"/>
            <w:gridSpan w:val="2"/>
            <w:shd w:val="clear" w:color="auto" w:fill="CFF0FC"/>
          </w:tcPr>
          <w:p>
            <w:pPr>
              <w:jc w:val="right"/>
              <w:spacing w:after="0" w:line="213" w:lineRule="exact"/>
              <w:rPr>
                <w:sz w:val="20"/>
                <w:szCs w:val="20"/>
                <w:color w:val="auto"/>
              </w:rPr>
            </w:pPr>
            <w:r>
              <w:rPr>
                <w:rFonts w:ascii="Calibri" w:cs="Calibri" w:eastAsia="Calibri" w:hAnsi="Calibri"/>
                <w:sz w:val="18"/>
                <w:szCs w:val="18"/>
                <w:color w:val="auto"/>
              </w:rPr>
              <w:t>$</w:t>
            </w:r>
          </w:p>
        </w:tc>
        <w:tc>
          <w:tcPr>
            <w:tcW w:w="1200" w:type="dxa"/>
            <w:vAlign w:val="bottom"/>
            <w:shd w:val="clear" w:color="auto" w:fill="CFF0FC"/>
          </w:tcPr>
          <w:p>
            <w:pPr>
              <w:jc w:val="right"/>
              <w:spacing w:after="0" w:line="213" w:lineRule="exact"/>
              <w:rPr>
                <w:sz w:val="20"/>
                <w:szCs w:val="20"/>
                <w:color w:val="auto"/>
              </w:rPr>
            </w:pPr>
            <w:r>
              <w:rPr>
                <w:rFonts w:ascii="Calibri" w:cs="Calibri" w:eastAsia="Calibri" w:hAnsi="Calibri"/>
                <w:sz w:val="18"/>
                <w:szCs w:val="18"/>
                <w:color w:val="auto"/>
              </w:rPr>
              <w:t>12</w:t>
            </w:r>
          </w:p>
        </w:tc>
        <w:tc>
          <w:tcPr>
            <w:tcW w:w="120" w:type="dxa"/>
            <w:vAlign w:val="bottom"/>
            <w:shd w:val="clear" w:color="auto" w:fill="CFF0FC"/>
          </w:tcPr>
          <w:p>
            <w:pPr>
              <w:spacing w:after="0"/>
              <w:rPr>
                <w:sz w:val="18"/>
                <w:szCs w:val="18"/>
                <w:color w:val="auto"/>
              </w:rPr>
            </w:pPr>
          </w:p>
        </w:tc>
      </w:tr>
      <w:tr>
        <w:trPr>
          <w:trHeight w:val="215"/>
        </w:trPr>
        <w:tc>
          <w:tcPr>
            <w:tcW w:w="4860" w:type="dxa"/>
            <w:vAlign w:val="bottom"/>
          </w:tcPr>
          <w:p>
            <w:pPr>
              <w:ind w:left="20"/>
              <w:spacing w:after="0" w:line="215" w:lineRule="exact"/>
              <w:rPr>
                <w:sz w:val="20"/>
                <w:szCs w:val="20"/>
                <w:color w:val="auto"/>
              </w:rPr>
            </w:pPr>
            <w:r>
              <w:rPr>
                <w:rFonts w:ascii="Calibri" w:cs="Calibri" w:eastAsia="Calibri" w:hAnsi="Calibri"/>
                <w:sz w:val="18"/>
                <w:szCs w:val="18"/>
                <w:color w:val="auto"/>
              </w:rPr>
              <w:t>Impairment</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26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8"/>
                <w:szCs w:val="18"/>
                <w:color w:val="auto"/>
              </w:rPr>
            </w:pPr>
          </w:p>
        </w:tc>
      </w:tr>
      <w:tr>
        <w:trPr>
          <w:trHeight w:val="210"/>
        </w:trPr>
        <w:tc>
          <w:tcPr>
            <w:tcW w:w="486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b w:val="1"/>
                <w:bCs w:val="1"/>
                <w:color w:val="auto"/>
              </w:rPr>
              <w:t>As of December 31, 2023</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6</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60"/>
              <w:spacing w:after="0" w:line="210" w:lineRule="exact"/>
              <w:rPr>
                <w:sz w:val="20"/>
                <w:szCs w:val="20"/>
                <w:color w:val="auto"/>
              </w:rPr>
            </w:pPr>
            <w:r>
              <w:rPr>
                <w:rFonts w:ascii="Calibri" w:cs="Calibri" w:eastAsia="Calibri" w:hAnsi="Calibri"/>
                <w:sz w:val="18"/>
                <w:szCs w:val="18"/>
                <w:color w:val="auto"/>
              </w:rPr>
              <w:t>—</w:t>
            </w:r>
          </w:p>
        </w:tc>
        <w:tc>
          <w:tcPr>
            <w:tcW w:w="1040" w:type="dxa"/>
            <w:vAlign w:val="bottom"/>
            <w:shd w:val="clear" w:color="auto" w:fill="CFF0FC"/>
          </w:tcPr>
          <w:p>
            <w:pPr>
              <w:spacing w:after="0"/>
              <w:rPr>
                <w:sz w:val="18"/>
                <w:szCs w:val="18"/>
                <w:color w:val="auto"/>
              </w:rPr>
            </w:pPr>
          </w:p>
        </w:tc>
        <w:tc>
          <w:tcPr>
            <w:tcW w:w="32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6</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12</w:t>
            </w:r>
          </w:p>
        </w:tc>
        <w:tc>
          <w:tcPr>
            <w:tcW w:w="120" w:type="dxa"/>
            <w:vAlign w:val="bottom"/>
            <w:shd w:val="clear" w:color="auto" w:fill="CFF0FC"/>
          </w:tcPr>
          <w:p>
            <w:pPr>
              <w:spacing w:after="0"/>
              <w:rPr>
                <w:sz w:val="18"/>
                <w:szCs w:val="18"/>
                <w:color w:val="auto"/>
              </w:rPr>
            </w:pPr>
          </w:p>
        </w:tc>
      </w:tr>
      <w:tr>
        <w:trPr>
          <w:trHeight w:val="215"/>
        </w:trPr>
        <w:tc>
          <w:tcPr>
            <w:tcW w:w="4860" w:type="dxa"/>
            <w:vAlign w:val="bottom"/>
          </w:tcPr>
          <w:p>
            <w:pPr>
              <w:ind w:left="20"/>
              <w:spacing w:after="0" w:line="215" w:lineRule="exact"/>
              <w:rPr>
                <w:sz w:val="20"/>
                <w:szCs w:val="20"/>
                <w:color w:val="auto"/>
              </w:rPr>
            </w:pPr>
            <w:r>
              <w:rPr>
                <w:rFonts w:ascii="Calibri" w:cs="Calibri" w:eastAsia="Calibri" w:hAnsi="Calibri"/>
                <w:sz w:val="18"/>
                <w:szCs w:val="18"/>
                <w:color w:val="auto"/>
              </w:rPr>
              <w:t>Impairment</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26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8"/>
                <w:szCs w:val="18"/>
                <w:color w:val="auto"/>
              </w:rPr>
            </w:pPr>
          </w:p>
        </w:tc>
      </w:tr>
      <w:tr>
        <w:trPr>
          <w:trHeight w:val="249"/>
        </w:trPr>
        <w:tc>
          <w:tcPr>
            <w:tcW w:w="4860" w:type="dxa"/>
            <w:vAlign w:val="bottom"/>
            <w:shd w:val="clear" w:color="auto" w:fill="CFF0FC"/>
          </w:tcPr>
          <w:p>
            <w:pPr>
              <w:ind w:left="20"/>
              <w:spacing w:after="0" w:line="209" w:lineRule="exact"/>
              <w:rPr>
                <w:sz w:val="20"/>
                <w:szCs w:val="20"/>
                <w:color w:val="auto"/>
              </w:rPr>
            </w:pPr>
            <w:r>
              <w:rPr>
                <w:rFonts w:ascii="Calibri" w:cs="Calibri" w:eastAsia="Calibri" w:hAnsi="Calibri"/>
                <w:sz w:val="18"/>
                <w:szCs w:val="18"/>
                <w:b w:val="1"/>
                <w:bCs w:val="1"/>
                <w:color w:val="auto"/>
              </w:rPr>
              <w:t>As of December 31, 2024</w:t>
            </w:r>
          </w:p>
        </w:tc>
        <w:tc>
          <w:tcPr>
            <w:tcW w:w="300" w:type="dxa"/>
            <w:vAlign w:val="bottom"/>
            <w:shd w:val="clear" w:color="auto" w:fill="CFF0FC"/>
          </w:tcPr>
          <w:p>
            <w:pPr>
              <w:jc w:val="right"/>
              <w:ind w:right="110"/>
              <w:spacing w:after="0" w:line="209" w:lineRule="exact"/>
              <w:rPr>
                <w:sz w:val="20"/>
                <w:szCs w:val="20"/>
                <w:color w:val="auto"/>
              </w:rPr>
            </w:pPr>
            <w:r>
              <w:rPr>
                <w:rFonts w:ascii="Calibri" w:cs="Calibri" w:eastAsia="Calibri" w:hAnsi="Calibri"/>
                <w:sz w:val="18"/>
                <w:szCs w:val="18"/>
                <w:color w:val="auto"/>
                <w:w w:val="87"/>
              </w:rPr>
              <w:t>$</w:t>
            </w:r>
          </w:p>
        </w:tc>
        <w:tc>
          <w:tcPr>
            <w:tcW w:w="104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6</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w:t>
            </w:r>
          </w:p>
        </w:tc>
        <w:tc>
          <w:tcPr>
            <w:tcW w:w="1460" w:type="dxa"/>
            <w:vAlign w:val="bottom"/>
            <w:gridSpan w:val="2"/>
            <w:shd w:val="clear" w:color="auto" w:fill="CFF0FC"/>
          </w:tcPr>
          <w:p>
            <w:pPr>
              <w:jc w:val="right"/>
              <w:ind w:right="260"/>
              <w:spacing w:after="0" w:line="209" w:lineRule="exact"/>
              <w:rPr>
                <w:sz w:val="20"/>
                <w:szCs w:val="20"/>
                <w:color w:val="auto"/>
              </w:rPr>
            </w:pPr>
            <w:r>
              <w:rPr>
                <w:rFonts w:ascii="Calibri" w:cs="Calibri" w:eastAsia="Calibri" w:hAnsi="Calibri"/>
                <w:sz w:val="18"/>
                <w:szCs w:val="18"/>
                <w:color w:val="auto"/>
              </w:rPr>
              <w:t>—</w:t>
            </w:r>
          </w:p>
        </w:tc>
        <w:tc>
          <w:tcPr>
            <w:tcW w:w="1040" w:type="dxa"/>
            <w:vAlign w:val="bottom"/>
            <w:shd w:val="clear" w:color="auto" w:fill="CFF0FC"/>
          </w:tcPr>
          <w:p>
            <w:pPr>
              <w:jc w:val="right"/>
              <w:ind w:right="850"/>
              <w:spacing w:after="0" w:line="209" w:lineRule="exact"/>
              <w:rPr>
                <w:sz w:val="20"/>
                <w:szCs w:val="20"/>
                <w:color w:val="auto"/>
              </w:rPr>
            </w:pPr>
            <w:r>
              <w:rPr>
                <w:rFonts w:ascii="Calibri" w:cs="Calibri" w:eastAsia="Calibri" w:hAnsi="Calibri"/>
                <w:sz w:val="18"/>
                <w:szCs w:val="18"/>
                <w:color w:val="auto"/>
                <w:w w:val="87"/>
              </w:rPr>
              <w:t>$</w:t>
            </w:r>
          </w:p>
        </w:tc>
        <w:tc>
          <w:tcPr>
            <w:tcW w:w="32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6</w:t>
            </w:r>
          </w:p>
        </w:tc>
        <w:tc>
          <w:tcPr>
            <w:tcW w:w="400" w:type="dxa"/>
            <w:vAlign w:val="bottom"/>
            <w:gridSpan w:val="2"/>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w:t>
            </w:r>
          </w:p>
        </w:tc>
        <w:tc>
          <w:tcPr>
            <w:tcW w:w="120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12</w:t>
            </w:r>
          </w:p>
        </w:tc>
        <w:tc>
          <w:tcPr>
            <w:tcW w:w="120" w:type="dxa"/>
            <w:vAlign w:val="bottom"/>
            <w:shd w:val="clear" w:color="auto" w:fill="CFF0FC"/>
          </w:tcPr>
          <w:p>
            <w:pPr>
              <w:spacing w:after="0"/>
              <w:rPr>
                <w:sz w:val="21"/>
                <w:szCs w:val="21"/>
                <w:color w:val="auto"/>
              </w:rPr>
            </w:pPr>
          </w:p>
        </w:tc>
      </w:tr>
      <w:tr>
        <w:trPr>
          <w:trHeight w:val="197"/>
        </w:trPr>
        <w:tc>
          <w:tcPr>
            <w:tcW w:w="486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r>
      <w:tr>
        <w:trPr>
          <w:trHeight w:val="216"/>
        </w:trPr>
        <w:tc>
          <w:tcPr>
            <w:tcW w:w="4860" w:type="dxa"/>
            <w:vAlign w:val="bottom"/>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Gross goodwill</w:t>
            </w:r>
          </w:p>
        </w:tc>
        <w:tc>
          <w:tcPr>
            <w:tcW w:w="300" w:type="dxa"/>
            <w:vAlign w:val="bottom"/>
            <w:shd w:val="clear" w:color="auto" w:fill="CFF0FC"/>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04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62</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12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w:t>
            </w: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850"/>
              <w:spacing w:after="0" w:line="215" w:lineRule="exact"/>
              <w:rPr>
                <w:sz w:val="20"/>
                <w:szCs w:val="20"/>
                <w:color w:val="auto"/>
              </w:rPr>
            </w:pPr>
            <w:r>
              <w:rPr>
                <w:rFonts w:ascii="Calibri" w:cs="Calibri" w:eastAsia="Calibri" w:hAnsi="Calibri"/>
                <w:sz w:val="18"/>
                <w:szCs w:val="18"/>
                <w:color w:val="auto"/>
                <w:w w:val="87"/>
              </w:rPr>
              <w:t>$</w:t>
            </w:r>
          </w:p>
        </w:tc>
        <w:tc>
          <w:tcPr>
            <w:tcW w:w="32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w:t>
            </w:r>
          </w:p>
        </w:tc>
        <w:tc>
          <w:tcPr>
            <w:tcW w:w="400" w:type="dxa"/>
            <w:vAlign w:val="bottom"/>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12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76</w:t>
            </w:r>
          </w:p>
        </w:tc>
        <w:tc>
          <w:tcPr>
            <w:tcW w:w="120" w:type="dxa"/>
            <w:vAlign w:val="bottom"/>
            <w:shd w:val="clear" w:color="auto" w:fill="CFF0FC"/>
          </w:tcPr>
          <w:p>
            <w:pPr>
              <w:spacing w:after="0"/>
              <w:rPr>
                <w:sz w:val="18"/>
                <w:szCs w:val="18"/>
                <w:color w:val="auto"/>
              </w:rPr>
            </w:pPr>
          </w:p>
        </w:tc>
      </w:tr>
      <w:tr>
        <w:trPr>
          <w:trHeight w:val="215"/>
        </w:trPr>
        <w:tc>
          <w:tcPr>
            <w:tcW w:w="4860" w:type="dxa"/>
            <w:vAlign w:val="bottom"/>
          </w:tcPr>
          <w:p>
            <w:pPr>
              <w:ind w:left="20"/>
              <w:spacing w:after="0" w:line="215" w:lineRule="exact"/>
              <w:rPr>
                <w:sz w:val="20"/>
                <w:szCs w:val="20"/>
                <w:color w:val="auto"/>
              </w:rPr>
            </w:pPr>
            <w:r>
              <w:rPr>
                <w:rFonts w:ascii="Calibri" w:cs="Calibri" w:eastAsia="Calibri" w:hAnsi="Calibri"/>
                <w:sz w:val="18"/>
                <w:szCs w:val="18"/>
                <w:color w:val="auto"/>
              </w:rPr>
              <w:t>Accumulated impairment losses</w:t>
            </w:r>
          </w:p>
        </w:tc>
        <w:tc>
          <w:tcPr>
            <w:tcW w:w="300" w:type="dxa"/>
            <w:vAlign w:val="bottom"/>
          </w:tcPr>
          <w:p>
            <w:pPr>
              <w:spacing w:after="0"/>
              <w:rPr>
                <w:sz w:val="18"/>
                <w:szCs w:val="18"/>
                <w:color w:val="auto"/>
              </w:rPr>
            </w:pPr>
          </w:p>
        </w:tc>
        <w:tc>
          <w:tcPr>
            <w:tcW w:w="128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(56 )</w:t>
            </w:r>
          </w:p>
        </w:tc>
        <w:tc>
          <w:tcPr>
            <w:tcW w:w="140" w:type="dxa"/>
            <w:vAlign w:val="bottom"/>
          </w:tcPr>
          <w:p>
            <w:pPr>
              <w:spacing w:after="0"/>
              <w:rPr>
                <w:sz w:val="18"/>
                <w:szCs w:val="18"/>
                <w:color w:val="auto"/>
              </w:rPr>
            </w:pPr>
          </w:p>
        </w:tc>
        <w:tc>
          <w:tcPr>
            <w:tcW w:w="146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(8 )</w:t>
            </w:r>
          </w:p>
        </w:tc>
        <w:tc>
          <w:tcPr>
            <w:tcW w:w="1040" w:type="dxa"/>
            <w:vAlign w:val="bottom"/>
          </w:tcPr>
          <w:p>
            <w:pPr>
              <w:spacing w:after="0"/>
              <w:rPr>
                <w:sz w:val="18"/>
                <w:szCs w:val="18"/>
                <w:color w:val="auto"/>
              </w:rPr>
            </w:pPr>
          </w:p>
        </w:tc>
        <w:tc>
          <w:tcPr>
            <w:tcW w:w="32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60"/>
              <w:spacing w:after="0" w:line="215" w:lineRule="exact"/>
              <w:rPr>
                <w:sz w:val="20"/>
                <w:szCs w:val="20"/>
                <w:color w:val="auto"/>
              </w:rPr>
            </w:pPr>
            <w:r>
              <w:rPr>
                <w:rFonts w:ascii="Calibri" w:cs="Calibri" w:eastAsia="Calibri" w:hAnsi="Calibri"/>
                <w:sz w:val="18"/>
                <w:szCs w:val="18"/>
                <w:color w:val="auto"/>
              </w:rPr>
              <w:t>(64 )</w:t>
            </w:r>
          </w:p>
        </w:tc>
      </w:tr>
      <w:tr>
        <w:trPr>
          <w:trHeight w:val="249"/>
        </w:trPr>
        <w:tc>
          <w:tcPr>
            <w:tcW w:w="4860" w:type="dxa"/>
            <w:vAlign w:val="bottom"/>
            <w:tcBorders>
              <w:bottom w:val="single" w:sz="8" w:color="CFF0FC"/>
            </w:tcBorders>
            <w:shd w:val="clear" w:color="auto" w:fill="CFF0FC"/>
          </w:tcPr>
          <w:p>
            <w:pPr>
              <w:ind w:left="20"/>
              <w:spacing w:after="0" w:line="209" w:lineRule="exact"/>
              <w:rPr>
                <w:sz w:val="20"/>
                <w:szCs w:val="20"/>
                <w:color w:val="auto"/>
              </w:rPr>
            </w:pPr>
            <w:r>
              <w:rPr>
                <w:rFonts w:ascii="Calibri" w:cs="Calibri" w:eastAsia="Calibri" w:hAnsi="Calibri"/>
                <w:sz w:val="18"/>
                <w:szCs w:val="18"/>
                <w:b w:val="1"/>
                <w:bCs w:val="1"/>
                <w:color w:val="auto"/>
              </w:rPr>
              <w:t>Balance as of December 31, 2024</w:t>
            </w:r>
          </w:p>
        </w:tc>
        <w:tc>
          <w:tcPr>
            <w:tcW w:w="300" w:type="dxa"/>
            <w:vAlign w:val="bottom"/>
            <w:tcBorders>
              <w:top w:val="single" w:sz="8" w:color="auto"/>
              <w:bottom w:val="single" w:sz="8" w:color="auto"/>
            </w:tcBorders>
            <w:shd w:val="clear" w:color="auto" w:fill="CFF0FC"/>
          </w:tcPr>
          <w:p>
            <w:pPr>
              <w:jc w:val="right"/>
              <w:ind w:right="110"/>
              <w:spacing w:after="0" w:line="209" w:lineRule="exact"/>
              <w:rPr>
                <w:sz w:val="20"/>
                <w:szCs w:val="20"/>
                <w:color w:val="auto"/>
              </w:rPr>
            </w:pPr>
            <w:r>
              <w:rPr>
                <w:rFonts w:ascii="Calibri" w:cs="Calibri" w:eastAsia="Calibri" w:hAnsi="Calibri"/>
                <w:sz w:val="18"/>
                <w:szCs w:val="18"/>
                <w:color w:val="auto"/>
                <w:w w:val="87"/>
              </w:rPr>
              <w:t>$</w:t>
            </w:r>
          </w:p>
        </w:tc>
        <w:tc>
          <w:tcPr>
            <w:tcW w:w="1040" w:type="dxa"/>
            <w:vAlign w:val="bottom"/>
            <w:tcBorders>
              <w:top w:val="single" w:sz="8" w:color="auto"/>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6</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w:t>
            </w:r>
          </w:p>
        </w:tc>
        <w:tc>
          <w:tcPr>
            <w:tcW w:w="1200" w:type="dxa"/>
            <w:vAlign w:val="bottom"/>
            <w:tcBorders>
              <w:top w:val="single" w:sz="8" w:color="auto"/>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top w:val="single" w:sz="8" w:color="auto"/>
              <w:bottom w:val="single" w:sz="8" w:color="auto"/>
            </w:tcBorders>
            <w:shd w:val="clear" w:color="auto" w:fill="CFF0FC"/>
          </w:tcPr>
          <w:p>
            <w:pPr>
              <w:jc w:val="right"/>
              <w:ind w:right="850"/>
              <w:spacing w:after="0" w:line="209" w:lineRule="exact"/>
              <w:rPr>
                <w:sz w:val="20"/>
                <w:szCs w:val="20"/>
                <w:color w:val="auto"/>
              </w:rPr>
            </w:pPr>
            <w:r>
              <w:rPr>
                <w:rFonts w:ascii="Calibri" w:cs="Calibri" w:eastAsia="Calibri" w:hAnsi="Calibri"/>
                <w:sz w:val="18"/>
                <w:szCs w:val="18"/>
                <w:color w:val="auto"/>
                <w:w w:val="87"/>
              </w:rPr>
              <w:t>$</w:t>
            </w:r>
          </w:p>
        </w:tc>
        <w:tc>
          <w:tcPr>
            <w:tcW w:w="320" w:type="dxa"/>
            <w:vAlign w:val="bottom"/>
            <w:tcBorders>
              <w:top w:val="single" w:sz="8" w:color="auto"/>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6</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w:t>
            </w:r>
          </w:p>
        </w:tc>
        <w:tc>
          <w:tcPr>
            <w:tcW w:w="1200" w:type="dxa"/>
            <w:vAlign w:val="bottom"/>
            <w:tcBorders>
              <w:top w:val="single" w:sz="8" w:color="auto"/>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12</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-607695</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-591185</wp:posOffset>
            </wp:positionV>
            <wp:extent cx="685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-607695</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-591185</wp:posOffset>
            </wp:positionV>
            <wp:extent cx="685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-607695</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-591185</wp:posOffset>
            </wp:positionV>
            <wp:extent cx="6858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-607695</wp:posOffset>
            </wp:positionV>
            <wp:extent cx="7747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-591185</wp:posOffset>
            </wp:positionV>
            <wp:extent cx="7747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-25400</wp:posOffset>
            </wp:positionV>
            <wp:extent cx="6858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-7620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-25400</wp:posOffset>
            </wp:positionV>
            <wp:extent cx="685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-7620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-25400</wp:posOffset>
            </wp:positionV>
            <wp:extent cx="6858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-25400</wp:posOffset>
            </wp:positionV>
            <wp:extent cx="7747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-7620</wp:posOffset>
            </wp:positionV>
            <wp:extent cx="7747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4" w:lineRule="exact"/>
        <w:rPr>
          <w:sz w:val="20"/>
          <w:szCs w:val="20"/>
          <w:color w:val="auto"/>
        </w:rPr>
      </w:pPr>
    </w:p>
    <w:p>
      <w:pPr>
        <w:ind w:right="460"/>
        <w:spacing w:after="0" w:line="235" w:lineRule="auto"/>
        <w:rPr>
          <w:sz w:val="20"/>
          <w:szCs w:val="20"/>
          <w:color w:val="auto"/>
        </w:rPr>
      </w:pPr>
      <w:r>
        <w:rPr>
          <w:rFonts w:ascii="Calibri" w:cs="Calibri" w:eastAsia="Calibri" w:hAnsi="Calibri"/>
          <w:sz w:val="18"/>
          <w:szCs w:val="18"/>
          <w:color w:val="auto"/>
        </w:rPr>
        <w:t>The Print segment has four goodwill reportng units: Prepress Solutons; Electrophotographic Printng Solutons; Prosper; and Sofware. The Advanced Materials and Chemicals segment has two goodwill reportng units: Moton Picture and Industrial Films and Chemicals; and Advanced Materials and Functonal Printng. The Brand segment has one goodwill reportng unit. As of December 31, 2024, goodwill is only recorded in the Brand and Sofware reportng units.</w:t>
      </w:r>
    </w:p>
    <w:p>
      <w:pPr>
        <w:spacing w:after="0" w:line="179"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Based upon the results of Kodak’s December 31, 2024 and 2023 annual impairment tests, no impairment of goodwill was indicated. As of December 31, 2024 and 2023 the carrying value of the Brand reportng unit was negatve.</w:t>
      </w:r>
    </w:p>
    <w:p>
      <w:pPr>
        <w:spacing w:after="0" w:line="186" w:lineRule="exact"/>
        <w:rPr>
          <w:sz w:val="20"/>
          <w:szCs w:val="20"/>
          <w:color w:val="auto"/>
        </w:rPr>
      </w:pPr>
    </w:p>
    <w:p>
      <w:pPr>
        <w:spacing w:after="0"/>
        <w:rPr>
          <w:sz w:val="20"/>
          <w:szCs w:val="20"/>
          <w:color w:val="auto"/>
        </w:rPr>
      </w:pPr>
      <w:r>
        <w:rPr>
          <w:rFonts w:ascii="Calibri" w:cs="Calibri" w:eastAsia="Calibri" w:hAnsi="Calibri"/>
          <w:sz w:val="18"/>
          <w:szCs w:val="18"/>
          <w:color w:val="auto"/>
        </w:rPr>
        <w:t>The gross carrying amount and accumulated amortzaton by major intangible asset category as of December 31, 2024 and 2023 were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60" w:type="dxa"/>
            <w:vAlign w:val="bottom"/>
            <w:gridSpan w:val="3"/>
          </w:tcPr>
          <w:p>
            <w:pPr>
              <w:jc w:val="right"/>
              <w:ind w:right="130"/>
              <w:spacing w:after="0"/>
              <w:rPr>
                <w:sz w:val="20"/>
                <w:szCs w:val="20"/>
                <w:color w:val="auto"/>
              </w:rPr>
            </w:pPr>
            <w:r>
              <w:rPr>
                <w:rFonts w:ascii="Calibri" w:cs="Calibri" w:eastAsia="Calibri" w:hAnsi="Calibri"/>
                <w:sz w:val="18"/>
                <w:szCs w:val="18"/>
                <w:b w:val="1"/>
                <w:bCs w:val="1"/>
                <w:color w:val="auto"/>
              </w:rPr>
              <w:t>As of December 31, 2024</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
        </w:trPr>
        <w:tc>
          <w:tcPr>
            <w:tcW w:w="47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87"/>
        </w:trPr>
        <w:tc>
          <w:tcPr>
            <w:tcW w:w="4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60" w:type="dxa"/>
            <w:vAlign w:val="bottom"/>
          </w:tcPr>
          <w:p>
            <w:pPr>
              <w:jc w:val="center"/>
              <w:spacing w:after="0" w:line="187" w:lineRule="exact"/>
              <w:rPr>
                <w:sz w:val="20"/>
                <w:szCs w:val="20"/>
                <w:color w:val="auto"/>
              </w:rPr>
            </w:pPr>
            <w:r>
              <w:rPr>
                <w:rFonts w:ascii="Calibri" w:cs="Calibri" w:eastAsia="Calibri" w:hAnsi="Calibri"/>
                <w:sz w:val="18"/>
                <w:szCs w:val="18"/>
                <w:b w:val="1"/>
                <w:bCs w:val="1"/>
                <w:color w:val="auto"/>
                <w:w w:val="98"/>
              </w:rPr>
              <w:t>Weighted Average</w:t>
            </w:r>
          </w:p>
        </w:tc>
      </w:tr>
      <w:tr>
        <w:trPr>
          <w:trHeight w:val="215"/>
        </w:trPr>
        <w:tc>
          <w:tcPr>
            <w:tcW w:w="4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60" w:type="dxa"/>
            <w:vAlign w:val="bottom"/>
          </w:tcPr>
          <w:p>
            <w:pPr>
              <w:jc w:val="center"/>
              <w:spacing w:after="0" w:line="215" w:lineRule="exact"/>
              <w:rPr>
                <w:sz w:val="20"/>
                <w:szCs w:val="20"/>
                <w:color w:val="auto"/>
              </w:rPr>
            </w:pPr>
            <w:r>
              <w:rPr>
                <w:rFonts w:ascii="Calibri" w:cs="Calibri" w:eastAsia="Calibri" w:hAnsi="Calibri"/>
                <w:sz w:val="18"/>
                <w:szCs w:val="18"/>
                <w:b w:val="1"/>
                <w:bCs w:val="1"/>
                <w:color w:val="auto"/>
                <w:w w:val="98"/>
              </w:rPr>
              <w:t>Remaining</w:t>
            </w:r>
          </w:p>
        </w:tc>
      </w:tr>
      <w:tr>
        <w:trPr>
          <w:trHeight w:val="216"/>
        </w:trPr>
        <w:tc>
          <w:tcPr>
            <w:tcW w:w="4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6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rPr>
              <w:t>Amortzaton</w:t>
            </w:r>
          </w:p>
        </w:tc>
      </w:tr>
      <w:tr>
        <w:trPr>
          <w:trHeight w:val="216"/>
        </w:trPr>
        <w:tc>
          <w:tcPr>
            <w:tcW w:w="4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00"/>
              <w:spacing w:after="0" w:line="216" w:lineRule="exact"/>
              <w:rPr>
                <w:sz w:val="20"/>
                <w:szCs w:val="20"/>
                <w:color w:val="auto"/>
              </w:rPr>
            </w:pPr>
            <w:r>
              <w:rPr>
                <w:rFonts w:ascii="Calibri" w:cs="Calibri" w:eastAsia="Calibri" w:hAnsi="Calibri"/>
                <w:sz w:val="18"/>
                <w:szCs w:val="18"/>
                <w:b w:val="1"/>
                <w:bCs w:val="1"/>
                <w:color w:val="auto"/>
                <w:w w:val="97"/>
              </w:rPr>
              <w:t>Gross Carrying</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ind w:left="60"/>
              <w:spacing w:after="0" w:line="216" w:lineRule="exact"/>
              <w:rPr>
                <w:sz w:val="20"/>
                <w:szCs w:val="20"/>
                <w:color w:val="auto"/>
              </w:rPr>
            </w:pPr>
            <w:r>
              <w:rPr>
                <w:rFonts w:ascii="Calibri" w:cs="Calibri" w:eastAsia="Calibri" w:hAnsi="Calibri"/>
                <w:sz w:val="18"/>
                <w:szCs w:val="18"/>
                <w:b w:val="1"/>
                <w:bCs w:val="1"/>
                <w:color w:val="auto"/>
              </w:rPr>
              <w:t>Accumulated</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6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8"/>
              </w:rPr>
              <w:t>Period</w:t>
            </w:r>
          </w:p>
        </w:tc>
      </w:tr>
      <w:tr>
        <w:trPr>
          <w:trHeight w:val="235"/>
        </w:trPr>
        <w:tc>
          <w:tcPr>
            <w:tcW w:w="4700" w:type="dxa"/>
            <w:vAlign w:val="bottom"/>
          </w:tcPr>
          <w:p>
            <w:pPr>
              <w:ind w:left="20"/>
              <w:spacing w:after="0"/>
              <w:rPr>
                <w:sz w:val="20"/>
                <w:szCs w:val="20"/>
                <w:color w:val="auto"/>
              </w:rPr>
            </w:pPr>
            <w:r>
              <w:rPr>
                <w:rFonts w:ascii="Calibri" w:cs="Calibri" w:eastAsia="Calibri" w:hAnsi="Calibri"/>
                <w:sz w:val="18"/>
                <w:szCs w:val="18"/>
                <w:color w:val="auto"/>
              </w:rPr>
              <w:t>(in millions)</w:t>
            </w: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ind w:right="440"/>
              <w:spacing w:after="0" w:line="216" w:lineRule="exact"/>
              <w:rPr>
                <w:sz w:val="20"/>
                <w:szCs w:val="20"/>
                <w:color w:val="auto"/>
              </w:rPr>
            </w:pPr>
            <w:r>
              <w:rPr>
                <w:rFonts w:ascii="Calibri" w:cs="Calibri" w:eastAsia="Calibri" w:hAnsi="Calibri"/>
                <w:sz w:val="18"/>
                <w:szCs w:val="18"/>
                <w:b w:val="1"/>
                <w:bCs w:val="1"/>
                <w:color w:val="auto"/>
              </w:rPr>
              <w:t>Amount</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ind w:left="60"/>
              <w:spacing w:after="0" w:line="216" w:lineRule="exact"/>
              <w:rPr>
                <w:sz w:val="20"/>
                <w:szCs w:val="20"/>
                <w:color w:val="auto"/>
              </w:rPr>
            </w:pPr>
            <w:r>
              <w:rPr>
                <w:rFonts w:ascii="Calibri" w:cs="Calibri" w:eastAsia="Calibri" w:hAnsi="Calibri"/>
                <w:sz w:val="18"/>
                <w:szCs w:val="18"/>
                <w:b w:val="1"/>
                <w:bCs w:val="1"/>
                <w:color w:val="auto"/>
              </w:rPr>
              <w:t>Amortzaton</w:t>
            </w:r>
          </w:p>
        </w:tc>
        <w:tc>
          <w:tcPr>
            <w:tcW w:w="260" w:type="dxa"/>
            <w:vAlign w:val="bottom"/>
          </w:tcPr>
          <w:p>
            <w:pPr>
              <w:spacing w:after="0"/>
              <w:rPr>
                <w:sz w:val="20"/>
                <w:szCs w:val="20"/>
                <w:color w:val="auto"/>
              </w:rPr>
            </w:pPr>
          </w:p>
        </w:tc>
        <w:tc>
          <w:tcPr>
            <w:tcW w:w="1000" w:type="dxa"/>
            <w:vAlign w:val="bottom"/>
            <w:tcBorders>
              <w:bottom w:val="single" w:sz="8" w:color="auto"/>
            </w:tcBorders>
          </w:tcPr>
          <w:p>
            <w:pPr>
              <w:jc w:val="right"/>
              <w:ind w:right="110"/>
              <w:spacing w:after="0" w:line="216" w:lineRule="exact"/>
              <w:rPr>
                <w:sz w:val="20"/>
                <w:szCs w:val="20"/>
                <w:color w:val="auto"/>
              </w:rPr>
            </w:pPr>
            <w:r>
              <w:rPr>
                <w:rFonts w:ascii="Calibri" w:cs="Calibri" w:eastAsia="Calibri" w:hAnsi="Calibri"/>
                <w:sz w:val="18"/>
                <w:szCs w:val="18"/>
                <w:b w:val="1"/>
                <w:bCs w:val="1"/>
                <w:color w:val="auto"/>
              </w:rPr>
              <w:t>Net</w:t>
            </w:r>
          </w:p>
        </w:tc>
        <w:tc>
          <w:tcPr>
            <w:tcW w:w="3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spacing w:after="0" w:line="216" w:lineRule="exact"/>
              <w:rPr>
                <w:sz w:val="20"/>
                <w:szCs w:val="20"/>
                <w:color w:val="auto"/>
              </w:rPr>
            </w:pPr>
            <w:r>
              <w:rPr>
                <w:rFonts w:ascii="Calibri" w:cs="Calibri" w:eastAsia="Calibri" w:hAnsi="Calibri"/>
                <w:sz w:val="18"/>
                <w:szCs w:val="18"/>
                <w:b w:val="1"/>
                <w:bCs w:val="1"/>
                <w:color w:val="auto"/>
                <w:w w:val="97"/>
              </w:rPr>
              <w:t>(in years)</w:t>
            </w:r>
          </w:p>
        </w:tc>
      </w:tr>
      <w:tr>
        <w:trPr>
          <w:trHeight w:val="214"/>
        </w:trPr>
        <w:tc>
          <w:tcPr>
            <w:tcW w:w="4700" w:type="dxa"/>
            <w:vAlign w:val="bottom"/>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Technology-based</w:t>
            </w:r>
          </w:p>
        </w:tc>
        <w:tc>
          <w:tcPr>
            <w:tcW w:w="200" w:type="dxa"/>
            <w:vAlign w:val="bottom"/>
            <w:gridSpan w:val="2"/>
            <w:shd w:val="clear" w:color="auto" w:fill="CFF0FC"/>
          </w:tcPr>
          <w:p>
            <w:pPr>
              <w:jc w:val="right"/>
              <w:ind w:right="80"/>
              <w:spacing w:after="0" w:line="215" w:lineRule="exact"/>
              <w:rPr>
                <w:sz w:val="20"/>
                <w:szCs w:val="20"/>
                <w:color w:val="auto"/>
              </w:rPr>
            </w:pPr>
            <w:r>
              <w:rPr>
                <w:rFonts w:ascii="Calibri" w:cs="Calibri" w:eastAsia="Calibri" w:hAnsi="Calibri"/>
                <w:sz w:val="18"/>
                <w:szCs w:val="18"/>
                <w:color w:val="auto"/>
              </w:rPr>
              <w:t>$</w:t>
            </w:r>
          </w:p>
        </w:tc>
        <w:tc>
          <w:tcPr>
            <w:tcW w:w="1280" w:type="dxa"/>
            <w:vAlign w:val="bottom"/>
            <w:gridSpan w:val="2"/>
            <w:shd w:val="clear" w:color="auto" w:fill="CFF0FC"/>
          </w:tcPr>
          <w:p>
            <w:pPr>
              <w:jc w:val="right"/>
              <w:ind w:right="20"/>
              <w:spacing w:after="0" w:line="215" w:lineRule="exact"/>
              <w:rPr>
                <w:sz w:val="20"/>
                <w:szCs w:val="20"/>
                <w:color w:val="auto"/>
              </w:rPr>
            </w:pPr>
            <w:r>
              <w:rPr>
                <w:rFonts w:ascii="Calibri" w:cs="Calibri" w:eastAsia="Calibri" w:hAnsi="Calibri"/>
                <w:sz w:val="18"/>
                <w:szCs w:val="18"/>
                <w:color w:val="auto"/>
              </w:rPr>
              <w:t>99</w:t>
            </w:r>
          </w:p>
        </w:tc>
        <w:tc>
          <w:tcPr>
            <w:tcW w:w="400" w:type="dxa"/>
            <w:vAlign w:val="bottom"/>
            <w:gridSpan w:val="3"/>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12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96</w:t>
            </w:r>
          </w:p>
        </w:tc>
        <w:tc>
          <w:tcPr>
            <w:tcW w:w="1260" w:type="dxa"/>
            <w:vAlign w:val="bottom"/>
            <w:gridSpan w:val="2"/>
            <w:shd w:val="clear" w:color="auto" w:fill="CFF0FC"/>
          </w:tcPr>
          <w:p>
            <w:pPr>
              <w:jc w:val="right"/>
              <w:ind w:right="810"/>
              <w:spacing w:after="0" w:line="215" w:lineRule="exact"/>
              <w:rPr>
                <w:sz w:val="20"/>
                <w:szCs w:val="20"/>
                <w:color w:val="auto"/>
              </w:rPr>
            </w:pPr>
            <w:r>
              <w:rPr>
                <w:rFonts w:ascii="Calibri" w:cs="Calibri" w:eastAsia="Calibri" w:hAnsi="Calibri"/>
                <w:sz w:val="18"/>
                <w:szCs w:val="18"/>
                <w:color w:val="auto"/>
              </w:rPr>
              <w:t>$</w:t>
            </w:r>
          </w:p>
        </w:tc>
        <w:tc>
          <w:tcPr>
            <w:tcW w:w="3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line="215" w:lineRule="exact"/>
              <w:rPr>
                <w:sz w:val="20"/>
                <w:szCs w:val="20"/>
                <w:color w:val="auto"/>
              </w:rPr>
            </w:pPr>
            <w:r>
              <w:rPr>
                <w:rFonts w:ascii="Calibri" w:cs="Calibri" w:eastAsia="Calibri" w:hAnsi="Calibri"/>
                <w:sz w:val="18"/>
                <w:szCs w:val="18"/>
                <w:color w:val="auto"/>
                <w:w w:val="97"/>
              </w:rPr>
              <w:t>1 year</w:t>
            </w:r>
          </w:p>
        </w:tc>
      </w:tr>
      <w:tr>
        <w:trPr>
          <w:trHeight w:val="215"/>
        </w:trPr>
        <w:tc>
          <w:tcPr>
            <w:tcW w:w="4700" w:type="dxa"/>
            <w:vAlign w:val="bottom"/>
          </w:tcPr>
          <w:p>
            <w:pPr>
              <w:ind w:left="20"/>
              <w:spacing w:after="0" w:line="215" w:lineRule="exact"/>
              <w:rPr>
                <w:sz w:val="20"/>
                <w:szCs w:val="20"/>
                <w:color w:val="auto"/>
              </w:rPr>
            </w:pPr>
            <w:r>
              <w:rPr>
                <w:rFonts w:ascii="Calibri" w:cs="Calibri" w:eastAsia="Calibri" w:hAnsi="Calibri"/>
                <w:sz w:val="18"/>
                <w:szCs w:val="18"/>
                <w:color w:val="auto"/>
              </w:rPr>
              <w:t>Kodak trade name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17</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jc w:val="right"/>
              <w:spacing w:after="0" w:line="215" w:lineRule="exact"/>
              <w:rPr>
                <w:sz w:val="20"/>
                <w:szCs w:val="20"/>
                <w:color w:val="auto"/>
              </w:rPr>
            </w:pPr>
            <w:r>
              <w:rPr>
                <w:rFonts w:ascii="Calibri" w:cs="Calibri" w:eastAsia="Calibri" w:hAnsi="Calibri"/>
                <w:sz w:val="18"/>
                <w:szCs w:val="18"/>
                <w:color w:val="auto"/>
              </w:rPr>
              <w:t>17</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60" w:type="dxa"/>
            <w:vAlign w:val="bottom"/>
          </w:tcPr>
          <w:p>
            <w:pPr>
              <w:jc w:val="center"/>
              <w:spacing w:after="0" w:line="215" w:lineRule="exact"/>
              <w:rPr>
                <w:sz w:val="20"/>
                <w:szCs w:val="20"/>
                <w:color w:val="auto"/>
              </w:rPr>
            </w:pPr>
            <w:r>
              <w:rPr>
                <w:rFonts w:ascii="Calibri" w:cs="Calibri" w:eastAsia="Calibri" w:hAnsi="Calibri"/>
                <w:sz w:val="18"/>
                <w:szCs w:val="18"/>
                <w:color w:val="auto"/>
              </w:rPr>
              <w:t>Indefnite</w:t>
            </w:r>
          </w:p>
        </w:tc>
      </w:tr>
      <w:tr>
        <w:trPr>
          <w:trHeight w:val="216"/>
        </w:trPr>
        <w:tc>
          <w:tcPr>
            <w:tcW w:w="4700" w:type="dxa"/>
            <w:vAlign w:val="bottom"/>
            <w:tcBorders>
              <w:bottom w:val="single" w:sz="8" w:color="CFF0FC"/>
            </w:tcBorders>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Customer-related and other</w:t>
            </w:r>
          </w:p>
        </w:tc>
        <w:tc>
          <w:tcPr>
            <w:tcW w:w="8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gridSpan w:val="2"/>
            <w:shd w:val="clear" w:color="auto" w:fill="CFF0FC"/>
          </w:tcPr>
          <w:p>
            <w:pPr>
              <w:jc w:val="right"/>
              <w:ind w:right="20"/>
              <w:spacing w:after="0" w:line="216" w:lineRule="exact"/>
              <w:rPr>
                <w:sz w:val="20"/>
                <w:szCs w:val="20"/>
                <w:color w:val="auto"/>
              </w:rPr>
            </w:pPr>
            <w:r>
              <w:rPr>
                <w:rFonts w:ascii="Calibri" w:cs="Calibri" w:eastAsia="Calibri" w:hAnsi="Calibri"/>
                <w:sz w:val="18"/>
                <w:szCs w:val="18"/>
                <w:color w:val="auto"/>
              </w:rPr>
              <w:t>9</w:t>
            </w:r>
          </w:p>
        </w:tc>
        <w:tc>
          <w:tcPr>
            <w:tcW w:w="24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9</w:t>
            </w:r>
          </w:p>
        </w:tc>
        <w:tc>
          <w:tcPr>
            <w:tcW w:w="26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CFF0FC"/>
            </w:tcBorders>
            <w:shd w:val="clear" w:color="auto" w:fill="CFF0FC"/>
          </w:tcPr>
          <w:p>
            <w:pPr>
              <w:jc w:val="center"/>
              <w:spacing w:after="0" w:line="216" w:lineRule="exact"/>
              <w:rPr>
                <w:sz w:val="20"/>
                <w:szCs w:val="20"/>
                <w:color w:val="auto"/>
              </w:rPr>
            </w:pPr>
            <w:r>
              <w:rPr>
                <w:rFonts w:ascii="Calibri" w:cs="Calibri" w:eastAsia="Calibri" w:hAnsi="Calibri"/>
                <w:sz w:val="18"/>
                <w:szCs w:val="18"/>
                <w:color w:val="auto"/>
                <w:w w:val="96"/>
              </w:rPr>
              <w:t>N/A</w:t>
            </w:r>
          </w:p>
        </w:tc>
      </w:tr>
      <w:tr>
        <w:trPr>
          <w:trHeight w:val="209"/>
        </w:trPr>
        <w:tc>
          <w:tcPr>
            <w:tcW w:w="4700" w:type="dxa"/>
            <w:vAlign w:val="bottom"/>
          </w:tcPr>
          <w:p>
            <w:pPr>
              <w:ind w:left="200"/>
              <w:spacing w:after="0" w:line="209" w:lineRule="exact"/>
              <w:rPr>
                <w:sz w:val="20"/>
                <w:szCs w:val="20"/>
                <w:color w:val="auto"/>
              </w:rPr>
            </w:pPr>
            <w:r>
              <w:rPr>
                <w:rFonts w:ascii="Calibri" w:cs="Calibri" w:eastAsia="Calibri" w:hAnsi="Calibri"/>
                <w:sz w:val="18"/>
                <w:szCs w:val="18"/>
                <w:color w:val="auto"/>
              </w:rPr>
              <w:t>Total</w:t>
            </w:r>
          </w:p>
        </w:tc>
        <w:tc>
          <w:tcPr>
            <w:tcW w:w="200" w:type="dxa"/>
            <w:vAlign w:val="bottom"/>
            <w:tcBorders>
              <w:bottom w:val="single" w:sz="8" w:color="auto"/>
            </w:tcBorders>
            <w:gridSpan w:val="2"/>
          </w:tcPr>
          <w:p>
            <w:pPr>
              <w:jc w:val="right"/>
              <w:ind w:right="80"/>
              <w:spacing w:after="0" w:line="209" w:lineRule="exact"/>
              <w:rPr>
                <w:sz w:val="20"/>
                <w:szCs w:val="20"/>
                <w:color w:val="auto"/>
              </w:rPr>
            </w:pPr>
            <w:r>
              <w:rPr>
                <w:rFonts w:ascii="Calibri" w:cs="Calibri" w:eastAsia="Calibri" w:hAnsi="Calibri"/>
                <w:sz w:val="18"/>
                <w:szCs w:val="18"/>
                <w:color w:val="auto"/>
              </w:rPr>
              <w:t>$</w:t>
            </w:r>
          </w:p>
        </w:tc>
        <w:tc>
          <w:tcPr>
            <w:tcW w:w="1280" w:type="dxa"/>
            <w:vAlign w:val="bottom"/>
            <w:tcBorders>
              <w:bottom w:val="single" w:sz="8" w:color="auto"/>
            </w:tcBorders>
            <w:gridSpan w:val="2"/>
          </w:tcPr>
          <w:p>
            <w:pPr>
              <w:jc w:val="right"/>
              <w:ind w:right="20"/>
              <w:spacing w:after="0" w:line="209" w:lineRule="exact"/>
              <w:rPr>
                <w:sz w:val="20"/>
                <w:szCs w:val="20"/>
                <w:color w:val="auto"/>
              </w:rPr>
            </w:pPr>
            <w:r>
              <w:rPr>
                <w:rFonts w:ascii="Calibri" w:cs="Calibri" w:eastAsia="Calibri" w:hAnsi="Calibri"/>
                <w:sz w:val="18"/>
                <w:szCs w:val="18"/>
                <w:color w:val="auto"/>
              </w:rPr>
              <w:t>125</w:t>
            </w:r>
          </w:p>
        </w:tc>
        <w:tc>
          <w:tcPr>
            <w:tcW w:w="260" w:type="dxa"/>
            <w:vAlign w:val="bottom"/>
            <w:gridSpan w:val="2"/>
          </w:tcPr>
          <w:p>
            <w:pPr>
              <w:spacing w:after="0"/>
              <w:rPr>
                <w:sz w:val="18"/>
                <w:szCs w:val="18"/>
                <w:color w:val="auto"/>
              </w:rPr>
            </w:pPr>
          </w:p>
        </w:tc>
        <w:tc>
          <w:tcPr>
            <w:tcW w:w="14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w w:val="87"/>
              </w:rPr>
              <w:t>$</w:t>
            </w:r>
          </w:p>
        </w:tc>
        <w:tc>
          <w:tcPr>
            <w:tcW w:w="120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105</w:t>
            </w:r>
          </w:p>
        </w:tc>
        <w:tc>
          <w:tcPr>
            <w:tcW w:w="260" w:type="dxa"/>
            <w:vAlign w:val="bottom"/>
          </w:tcPr>
          <w:p>
            <w:pPr>
              <w:spacing w:after="0"/>
              <w:rPr>
                <w:sz w:val="18"/>
                <w:szCs w:val="18"/>
                <w:color w:val="auto"/>
              </w:rPr>
            </w:pPr>
          </w:p>
        </w:tc>
        <w:tc>
          <w:tcPr>
            <w:tcW w:w="1000" w:type="dxa"/>
            <w:vAlign w:val="bottom"/>
            <w:tcBorders>
              <w:bottom w:val="single" w:sz="8" w:color="auto"/>
            </w:tcBorders>
          </w:tcPr>
          <w:p>
            <w:pPr>
              <w:jc w:val="right"/>
              <w:ind w:right="810"/>
              <w:spacing w:after="0" w:line="209" w:lineRule="exact"/>
              <w:rPr>
                <w:sz w:val="20"/>
                <w:szCs w:val="20"/>
                <w:color w:val="auto"/>
              </w:rPr>
            </w:pPr>
            <w:r>
              <w:rPr>
                <w:rFonts w:ascii="Calibri" w:cs="Calibri" w:eastAsia="Calibri" w:hAnsi="Calibri"/>
                <w:sz w:val="18"/>
                <w:szCs w:val="18"/>
                <w:color w:val="auto"/>
                <w:w w:val="87"/>
              </w:rPr>
              <w:t>$</w:t>
            </w:r>
          </w:p>
        </w:tc>
        <w:tc>
          <w:tcPr>
            <w:tcW w:w="36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20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0"/>
        </w:trPr>
        <w:tc>
          <w:tcPr>
            <w:tcW w:w="4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390"/>
        </w:trPr>
        <w:tc>
          <w:tcPr>
            <w:tcW w:w="4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60" w:type="dxa"/>
            <w:vAlign w:val="bottom"/>
            <w:gridSpan w:val="3"/>
          </w:tcPr>
          <w:p>
            <w:pPr>
              <w:jc w:val="right"/>
              <w:ind w:right="90"/>
              <w:spacing w:after="0"/>
              <w:rPr>
                <w:sz w:val="20"/>
                <w:szCs w:val="20"/>
                <w:color w:val="auto"/>
              </w:rPr>
            </w:pPr>
            <w:r>
              <w:rPr>
                <w:rFonts w:ascii="Calibri" w:cs="Calibri" w:eastAsia="Calibri" w:hAnsi="Calibri"/>
                <w:sz w:val="18"/>
                <w:szCs w:val="18"/>
                <w:b w:val="1"/>
                <w:bCs w:val="1"/>
                <w:color w:val="auto"/>
              </w:rPr>
              <w:t>As of December 31, 2023</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3"/>
        </w:trPr>
        <w:tc>
          <w:tcPr>
            <w:tcW w:w="4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87"/>
        </w:trPr>
        <w:tc>
          <w:tcPr>
            <w:tcW w:w="4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60" w:type="dxa"/>
            <w:vAlign w:val="bottom"/>
          </w:tcPr>
          <w:p>
            <w:pPr>
              <w:jc w:val="center"/>
              <w:spacing w:after="0" w:line="187" w:lineRule="exact"/>
              <w:rPr>
                <w:sz w:val="20"/>
                <w:szCs w:val="20"/>
                <w:color w:val="auto"/>
              </w:rPr>
            </w:pPr>
            <w:r>
              <w:rPr>
                <w:rFonts w:ascii="Calibri" w:cs="Calibri" w:eastAsia="Calibri" w:hAnsi="Calibri"/>
                <w:sz w:val="18"/>
                <w:szCs w:val="18"/>
                <w:b w:val="1"/>
                <w:bCs w:val="1"/>
                <w:color w:val="auto"/>
                <w:w w:val="96"/>
              </w:rPr>
              <w:t>Weighted Average</w:t>
            </w:r>
          </w:p>
        </w:tc>
      </w:tr>
      <w:tr>
        <w:trPr>
          <w:trHeight w:val="215"/>
        </w:trPr>
        <w:tc>
          <w:tcPr>
            <w:tcW w:w="4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60" w:type="dxa"/>
            <w:vAlign w:val="bottom"/>
          </w:tcPr>
          <w:p>
            <w:pPr>
              <w:jc w:val="center"/>
              <w:spacing w:after="0" w:line="215" w:lineRule="exact"/>
              <w:rPr>
                <w:sz w:val="20"/>
                <w:szCs w:val="20"/>
                <w:color w:val="auto"/>
              </w:rPr>
            </w:pPr>
            <w:r>
              <w:rPr>
                <w:rFonts w:ascii="Calibri" w:cs="Calibri" w:eastAsia="Calibri" w:hAnsi="Calibri"/>
                <w:sz w:val="18"/>
                <w:szCs w:val="18"/>
                <w:b w:val="1"/>
                <w:bCs w:val="1"/>
                <w:color w:val="auto"/>
                <w:w w:val="98"/>
              </w:rPr>
              <w:t>Remaining</w:t>
            </w:r>
          </w:p>
        </w:tc>
      </w:tr>
      <w:tr>
        <w:trPr>
          <w:trHeight w:val="216"/>
        </w:trPr>
        <w:tc>
          <w:tcPr>
            <w:tcW w:w="4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6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rPr>
              <w:t>Amortzaton</w:t>
            </w:r>
          </w:p>
        </w:tc>
      </w:tr>
      <w:tr>
        <w:trPr>
          <w:trHeight w:val="216"/>
        </w:trPr>
        <w:tc>
          <w:tcPr>
            <w:tcW w:w="4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80"/>
              <w:spacing w:after="0" w:line="216" w:lineRule="exact"/>
              <w:rPr>
                <w:sz w:val="20"/>
                <w:szCs w:val="20"/>
                <w:color w:val="auto"/>
              </w:rPr>
            </w:pPr>
            <w:r>
              <w:rPr>
                <w:rFonts w:ascii="Calibri" w:cs="Calibri" w:eastAsia="Calibri" w:hAnsi="Calibri"/>
                <w:sz w:val="18"/>
                <w:szCs w:val="18"/>
                <w:b w:val="1"/>
                <w:bCs w:val="1"/>
                <w:color w:val="auto"/>
                <w:w w:val="99"/>
              </w:rPr>
              <w:t>Gross Carrying</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ind w:left="40"/>
              <w:spacing w:after="0" w:line="216" w:lineRule="exact"/>
              <w:rPr>
                <w:sz w:val="20"/>
                <w:szCs w:val="20"/>
                <w:color w:val="auto"/>
              </w:rPr>
            </w:pPr>
            <w:r>
              <w:rPr>
                <w:rFonts w:ascii="Calibri" w:cs="Calibri" w:eastAsia="Calibri" w:hAnsi="Calibri"/>
                <w:sz w:val="18"/>
                <w:szCs w:val="18"/>
                <w:b w:val="1"/>
                <w:bCs w:val="1"/>
                <w:color w:val="auto"/>
              </w:rPr>
              <w:t>Accumulated</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6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4"/>
              </w:rPr>
              <w:t>Period</w:t>
            </w:r>
          </w:p>
        </w:tc>
      </w:tr>
      <w:tr>
        <w:trPr>
          <w:trHeight w:val="234"/>
        </w:trPr>
        <w:tc>
          <w:tcPr>
            <w:tcW w:w="4700" w:type="dxa"/>
            <w:vAlign w:val="bottom"/>
          </w:tcPr>
          <w:p>
            <w:pPr>
              <w:ind w:left="20"/>
              <w:spacing w:after="0"/>
              <w:rPr>
                <w:sz w:val="20"/>
                <w:szCs w:val="20"/>
                <w:color w:val="auto"/>
              </w:rPr>
            </w:pPr>
            <w:r>
              <w:rPr>
                <w:rFonts w:ascii="Calibri" w:cs="Calibri" w:eastAsia="Calibri" w:hAnsi="Calibri"/>
                <w:sz w:val="18"/>
                <w:szCs w:val="18"/>
                <w:color w:val="auto"/>
              </w:rPr>
              <w:t>(in millions)</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90"/>
              <w:spacing w:after="0" w:line="216" w:lineRule="exact"/>
              <w:rPr>
                <w:sz w:val="20"/>
                <w:szCs w:val="20"/>
                <w:color w:val="auto"/>
              </w:rPr>
            </w:pPr>
            <w:r>
              <w:rPr>
                <w:rFonts w:ascii="Calibri" w:cs="Calibri" w:eastAsia="Calibri" w:hAnsi="Calibri"/>
                <w:sz w:val="18"/>
                <w:szCs w:val="18"/>
                <w:b w:val="1"/>
                <w:bCs w:val="1"/>
                <w:color w:val="auto"/>
              </w:rPr>
              <w:t>Amount</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ind w:left="40"/>
              <w:spacing w:after="0" w:line="216" w:lineRule="exact"/>
              <w:rPr>
                <w:sz w:val="20"/>
                <w:szCs w:val="20"/>
                <w:color w:val="auto"/>
              </w:rPr>
            </w:pPr>
            <w:r>
              <w:rPr>
                <w:rFonts w:ascii="Calibri" w:cs="Calibri" w:eastAsia="Calibri" w:hAnsi="Calibri"/>
                <w:sz w:val="18"/>
                <w:szCs w:val="18"/>
                <w:b w:val="1"/>
                <w:bCs w:val="1"/>
                <w:color w:val="auto"/>
              </w:rPr>
              <w:t>Amortzaton</w:t>
            </w:r>
          </w:p>
        </w:tc>
        <w:tc>
          <w:tcPr>
            <w:tcW w:w="260" w:type="dxa"/>
            <w:vAlign w:val="bottom"/>
          </w:tcPr>
          <w:p>
            <w:pPr>
              <w:spacing w:after="0"/>
              <w:rPr>
                <w:sz w:val="20"/>
                <w:szCs w:val="20"/>
                <w:color w:val="auto"/>
              </w:rPr>
            </w:pPr>
          </w:p>
        </w:tc>
        <w:tc>
          <w:tcPr>
            <w:tcW w:w="1000" w:type="dxa"/>
            <w:vAlign w:val="bottom"/>
            <w:tcBorders>
              <w:bottom w:val="single" w:sz="8" w:color="auto"/>
            </w:tcBorders>
          </w:tcPr>
          <w:p>
            <w:pPr>
              <w:jc w:val="right"/>
              <w:ind w:right="90"/>
              <w:spacing w:after="0" w:line="216" w:lineRule="exact"/>
              <w:rPr>
                <w:sz w:val="20"/>
                <w:szCs w:val="20"/>
                <w:color w:val="auto"/>
              </w:rPr>
            </w:pPr>
            <w:r>
              <w:rPr>
                <w:rFonts w:ascii="Calibri" w:cs="Calibri" w:eastAsia="Calibri" w:hAnsi="Calibri"/>
                <w:sz w:val="18"/>
                <w:szCs w:val="18"/>
                <w:b w:val="1"/>
                <w:bCs w:val="1"/>
                <w:color w:val="auto"/>
              </w:rPr>
              <w:t>Net</w:t>
            </w:r>
          </w:p>
        </w:tc>
        <w:tc>
          <w:tcPr>
            <w:tcW w:w="3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60" w:type="dxa"/>
            <w:vAlign w:val="bottom"/>
            <w:tcBorders>
              <w:bottom w:val="single" w:sz="8" w:color="auto"/>
            </w:tcBorders>
          </w:tcPr>
          <w:p>
            <w:pPr>
              <w:jc w:val="center"/>
              <w:spacing w:after="0" w:line="216" w:lineRule="exact"/>
              <w:rPr>
                <w:sz w:val="20"/>
                <w:szCs w:val="20"/>
                <w:color w:val="auto"/>
              </w:rPr>
            </w:pPr>
            <w:r>
              <w:rPr>
                <w:rFonts w:ascii="Calibri" w:cs="Calibri" w:eastAsia="Calibri" w:hAnsi="Calibri"/>
                <w:sz w:val="18"/>
                <w:szCs w:val="18"/>
                <w:b w:val="1"/>
                <w:bCs w:val="1"/>
                <w:color w:val="auto"/>
                <w:w w:val="94"/>
              </w:rPr>
              <w:t>(in years)</w:t>
            </w:r>
          </w:p>
        </w:tc>
      </w:tr>
      <w:tr>
        <w:trPr>
          <w:trHeight w:val="215"/>
        </w:trPr>
        <w:tc>
          <w:tcPr>
            <w:tcW w:w="4700" w:type="dxa"/>
            <w:vAlign w:val="bottom"/>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Technology-based</w:t>
            </w:r>
          </w:p>
        </w:tc>
        <w:tc>
          <w:tcPr>
            <w:tcW w:w="200" w:type="dxa"/>
            <w:vAlign w:val="bottom"/>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12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99</w:t>
            </w:r>
          </w:p>
        </w:tc>
        <w:tc>
          <w:tcPr>
            <w:tcW w:w="20" w:type="dxa"/>
            <w:vAlign w:val="bottom"/>
            <w:shd w:val="clear" w:color="auto" w:fill="CFF0FC"/>
          </w:tcPr>
          <w:p>
            <w:pPr>
              <w:spacing w:after="0"/>
              <w:rPr>
                <w:sz w:val="18"/>
                <w:szCs w:val="18"/>
                <w:color w:val="auto"/>
              </w:rPr>
            </w:pPr>
          </w:p>
        </w:tc>
        <w:tc>
          <w:tcPr>
            <w:tcW w:w="400" w:type="dxa"/>
            <w:vAlign w:val="bottom"/>
            <w:gridSpan w:val="3"/>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12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92</w:t>
            </w:r>
          </w:p>
        </w:tc>
        <w:tc>
          <w:tcPr>
            <w:tcW w:w="1260" w:type="dxa"/>
            <w:vAlign w:val="bottom"/>
            <w:gridSpan w:val="2"/>
            <w:shd w:val="clear" w:color="auto" w:fill="CFF0FC"/>
          </w:tcPr>
          <w:p>
            <w:pPr>
              <w:jc w:val="right"/>
              <w:ind w:right="810"/>
              <w:spacing w:after="0" w:line="215" w:lineRule="exact"/>
              <w:rPr>
                <w:sz w:val="20"/>
                <w:szCs w:val="20"/>
                <w:color w:val="auto"/>
              </w:rPr>
            </w:pPr>
            <w:r>
              <w:rPr>
                <w:rFonts w:ascii="Calibri" w:cs="Calibri" w:eastAsia="Calibri" w:hAnsi="Calibri"/>
                <w:sz w:val="18"/>
                <w:szCs w:val="18"/>
                <w:color w:val="auto"/>
              </w:rPr>
              <w:t>$</w:t>
            </w:r>
          </w:p>
        </w:tc>
        <w:tc>
          <w:tcPr>
            <w:tcW w:w="3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line="215" w:lineRule="exact"/>
              <w:rPr>
                <w:sz w:val="20"/>
                <w:szCs w:val="20"/>
                <w:color w:val="auto"/>
              </w:rPr>
            </w:pPr>
            <w:r>
              <w:rPr>
                <w:rFonts w:ascii="Calibri" w:cs="Calibri" w:eastAsia="Calibri" w:hAnsi="Calibri"/>
                <w:sz w:val="18"/>
                <w:szCs w:val="18"/>
                <w:color w:val="auto"/>
                <w:w w:val="95"/>
              </w:rPr>
              <w:t>2 years</w:t>
            </w:r>
          </w:p>
        </w:tc>
      </w:tr>
      <w:tr>
        <w:trPr>
          <w:trHeight w:val="215"/>
        </w:trPr>
        <w:tc>
          <w:tcPr>
            <w:tcW w:w="4700" w:type="dxa"/>
            <w:vAlign w:val="bottom"/>
          </w:tcPr>
          <w:p>
            <w:pPr>
              <w:ind w:left="20"/>
              <w:spacing w:after="0" w:line="215" w:lineRule="exact"/>
              <w:rPr>
                <w:sz w:val="20"/>
                <w:szCs w:val="20"/>
                <w:color w:val="auto"/>
              </w:rPr>
            </w:pPr>
            <w:r>
              <w:rPr>
                <w:rFonts w:ascii="Calibri" w:cs="Calibri" w:eastAsia="Calibri" w:hAnsi="Calibri"/>
                <w:sz w:val="18"/>
                <w:szCs w:val="18"/>
                <w:color w:val="auto"/>
              </w:rPr>
              <w:t>Kodak trade name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line="215" w:lineRule="exact"/>
              <w:rPr>
                <w:sz w:val="20"/>
                <w:szCs w:val="20"/>
                <w:color w:val="auto"/>
              </w:rPr>
            </w:pPr>
            <w:r>
              <w:rPr>
                <w:rFonts w:ascii="Calibri" w:cs="Calibri" w:eastAsia="Calibri" w:hAnsi="Calibri"/>
                <w:sz w:val="18"/>
                <w:szCs w:val="18"/>
                <w:color w:val="auto"/>
              </w:rPr>
              <w:t>17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jc w:val="right"/>
              <w:spacing w:after="0" w:line="215" w:lineRule="exact"/>
              <w:rPr>
                <w:sz w:val="20"/>
                <w:szCs w:val="20"/>
                <w:color w:val="auto"/>
              </w:rPr>
            </w:pPr>
            <w:r>
              <w:rPr>
                <w:rFonts w:ascii="Calibri" w:cs="Calibri" w:eastAsia="Calibri" w:hAnsi="Calibri"/>
                <w:sz w:val="18"/>
                <w:szCs w:val="18"/>
                <w:color w:val="auto"/>
              </w:rPr>
              <w:t>17</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60" w:type="dxa"/>
            <w:vAlign w:val="bottom"/>
          </w:tcPr>
          <w:p>
            <w:pPr>
              <w:jc w:val="center"/>
              <w:spacing w:after="0" w:line="215" w:lineRule="exact"/>
              <w:rPr>
                <w:sz w:val="20"/>
                <w:szCs w:val="20"/>
                <w:color w:val="auto"/>
              </w:rPr>
            </w:pPr>
            <w:r>
              <w:rPr>
                <w:rFonts w:ascii="Calibri" w:cs="Calibri" w:eastAsia="Calibri" w:hAnsi="Calibri"/>
                <w:sz w:val="18"/>
                <w:szCs w:val="18"/>
                <w:color w:val="auto"/>
              </w:rPr>
              <w:t>Indefnite life</w:t>
            </w:r>
          </w:p>
        </w:tc>
      </w:tr>
      <w:tr>
        <w:trPr>
          <w:trHeight w:val="216"/>
        </w:trPr>
        <w:tc>
          <w:tcPr>
            <w:tcW w:w="4700" w:type="dxa"/>
            <w:vAlign w:val="bottom"/>
            <w:tcBorders>
              <w:bottom w:val="single" w:sz="8" w:color="CFF0FC"/>
            </w:tcBorders>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Customer-related</w:t>
            </w: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9</w:t>
            </w:r>
          </w:p>
        </w:tc>
        <w:tc>
          <w:tcPr>
            <w:tcW w:w="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9</w:t>
            </w:r>
          </w:p>
        </w:tc>
        <w:tc>
          <w:tcPr>
            <w:tcW w:w="26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CFF0FC"/>
            </w:tcBorders>
            <w:shd w:val="clear" w:color="auto" w:fill="CFF0FC"/>
          </w:tcPr>
          <w:p>
            <w:pPr>
              <w:jc w:val="center"/>
              <w:spacing w:after="0" w:line="216" w:lineRule="exact"/>
              <w:rPr>
                <w:sz w:val="20"/>
                <w:szCs w:val="20"/>
                <w:color w:val="auto"/>
              </w:rPr>
            </w:pPr>
            <w:r>
              <w:rPr>
                <w:rFonts w:ascii="Calibri" w:cs="Calibri" w:eastAsia="Calibri" w:hAnsi="Calibri"/>
                <w:sz w:val="18"/>
                <w:szCs w:val="18"/>
                <w:color w:val="auto"/>
              </w:rPr>
              <w:t>N/A</w:t>
            </w:r>
          </w:p>
        </w:tc>
      </w:tr>
      <w:tr>
        <w:trPr>
          <w:trHeight w:val="209"/>
        </w:trPr>
        <w:tc>
          <w:tcPr>
            <w:tcW w:w="4700" w:type="dxa"/>
            <w:vAlign w:val="bottom"/>
          </w:tcPr>
          <w:p>
            <w:pPr>
              <w:ind w:left="200"/>
              <w:spacing w:after="0" w:line="209" w:lineRule="exact"/>
              <w:rPr>
                <w:sz w:val="20"/>
                <w:szCs w:val="20"/>
                <w:color w:val="auto"/>
              </w:rPr>
            </w:pPr>
            <w:r>
              <w:rPr>
                <w:rFonts w:ascii="Calibri" w:cs="Calibri" w:eastAsia="Calibri" w:hAnsi="Calibri"/>
                <w:sz w:val="18"/>
                <w:szCs w:val="18"/>
                <w:color w:val="auto"/>
              </w:rPr>
              <w:t>Total</w:t>
            </w:r>
          </w:p>
        </w:tc>
        <w:tc>
          <w:tcPr>
            <w:tcW w:w="200" w:type="dxa"/>
            <w:vAlign w:val="bottom"/>
            <w:gridSpan w:val="2"/>
          </w:tcPr>
          <w:p>
            <w:pPr>
              <w:jc w:val="right"/>
              <w:spacing w:after="0" w:line="209" w:lineRule="exact"/>
              <w:rPr>
                <w:sz w:val="20"/>
                <w:szCs w:val="20"/>
                <w:color w:val="auto"/>
              </w:rPr>
            </w:pPr>
            <w:r>
              <w:rPr>
                <w:rFonts w:ascii="Calibri" w:cs="Calibri" w:eastAsia="Calibri" w:hAnsi="Calibri"/>
                <w:sz w:val="18"/>
                <w:szCs w:val="18"/>
                <w:color w:val="auto"/>
              </w:rPr>
              <w:t>$</w:t>
            </w:r>
          </w:p>
        </w:tc>
        <w:tc>
          <w:tcPr>
            <w:tcW w:w="1260" w:type="dxa"/>
            <w:vAlign w:val="bottom"/>
          </w:tcPr>
          <w:p>
            <w:pPr>
              <w:jc w:val="right"/>
              <w:spacing w:after="0" w:line="209" w:lineRule="exact"/>
              <w:rPr>
                <w:sz w:val="20"/>
                <w:szCs w:val="20"/>
                <w:color w:val="auto"/>
              </w:rPr>
            </w:pPr>
            <w:r>
              <w:rPr>
                <w:rFonts w:ascii="Calibri" w:cs="Calibri" w:eastAsia="Calibri" w:hAnsi="Calibri"/>
                <w:sz w:val="18"/>
                <w:szCs w:val="18"/>
                <w:color w:val="auto"/>
              </w:rPr>
              <w:t>125</w:t>
            </w:r>
          </w:p>
        </w:tc>
        <w:tc>
          <w:tcPr>
            <w:tcW w:w="20" w:type="dxa"/>
            <w:vAlign w:val="bottom"/>
          </w:tcPr>
          <w:p>
            <w:pPr>
              <w:spacing w:after="0"/>
              <w:rPr>
                <w:sz w:val="18"/>
                <w:szCs w:val="18"/>
                <w:color w:val="auto"/>
              </w:rPr>
            </w:pPr>
          </w:p>
        </w:tc>
        <w:tc>
          <w:tcPr>
            <w:tcW w:w="400" w:type="dxa"/>
            <w:vAlign w:val="bottom"/>
            <w:gridSpan w:val="3"/>
          </w:tcPr>
          <w:p>
            <w:pPr>
              <w:jc w:val="right"/>
              <w:spacing w:after="0" w:line="209" w:lineRule="exact"/>
              <w:rPr>
                <w:sz w:val="20"/>
                <w:szCs w:val="20"/>
                <w:color w:val="auto"/>
              </w:rPr>
            </w:pPr>
            <w:r>
              <w:rPr>
                <w:rFonts w:ascii="Calibri" w:cs="Calibri" w:eastAsia="Calibri" w:hAnsi="Calibri"/>
                <w:sz w:val="18"/>
                <w:szCs w:val="18"/>
                <w:color w:val="auto"/>
              </w:rPr>
              <w:t>$</w:t>
            </w:r>
          </w:p>
        </w:tc>
        <w:tc>
          <w:tcPr>
            <w:tcW w:w="1200" w:type="dxa"/>
            <w:vAlign w:val="bottom"/>
          </w:tcPr>
          <w:p>
            <w:pPr>
              <w:jc w:val="right"/>
              <w:spacing w:after="0" w:line="209" w:lineRule="exact"/>
              <w:rPr>
                <w:sz w:val="20"/>
                <w:szCs w:val="20"/>
                <w:color w:val="auto"/>
              </w:rPr>
            </w:pPr>
            <w:r>
              <w:rPr>
                <w:rFonts w:ascii="Calibri" w:cs="Calibri" w:eastAsia="Calibri" w:hAnsi="Calibri"/>
                <w:sz w:val="18"/>
                <w:szCs w:val="18"/>
                <w:color w:val="auto"/>
              </w:rPr>
              <w:t>101</w:t>
            </w:r>
          </w:p>
        </w:tc>
        <w:tc>
          <w:tcPr>
            <w:tcW w:w="1260" w:type="dxa"/>
            <w:vAlign w:val="bottom"/>
            <w:gridSpan w:val="2"/>
          </w:tcPr>
          <w:p>
            <w:pPr>
              <w:jc w:val="right"/>
              <w:ind w:right="810"/>
              <w:spacing w:after="0" w:line="209" w:lineRule="exact"/>
              <w:rPr>
                <w:sz w:val="20"/>
                <w:szCs w:val="20"/>
                <w:color w:val="auto"/>
              </w:rPr>
            </w:pPr>
            <w:r>
              <w:rPr>
                <w:rFonts w:ascii="Calibri" w:cs="Calibri" w:eastAsia="Calibri" w:hAnsi="Calibri"/>
                <w:sz w:val="18"/>
                <w:szCs w:val="18"/>
                <w:color w:val="auto"/>
              </w:rPr>
              <w:t>$</w:t>
            </w:r>
          </w:p>
        </w:tc>
        <w:tc>
          <w:tcPr>
            <w:tcW w:w="360" w:type="dxa"/>
            <w:vAlign w:val="bottom"/>
          </w:tcPr>
          <w:p>
            <w:pPr>
              <w:jc w:val="right"/>
              <w:spacing w:after="0" w:line="209" w:lineRule="exact"/>
              <w:rPr>
                <w:sz w:val="20"/>
                <w:szCs w:val="20"/>
                <w:color w:val="auto"/>
              </w:rPr>
            </w:pPr>
            <w:r>
              <w:rPr>
                <w:rFonts w:ascii="Calibri" w:cs="Calibri" w:eastAsia="Calibri" w:hAnsi="Calibri"/>
                <w:sz w:val="18"/>
                <w:szCs w:val="18"/>
                <w:color w:val="auto"/>
              </w:rPr>
              <w:t>24</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0"/>
        </w:trPr>
        <w:tc>
          <w:tcPr>
            <w:tcW w:w="4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-1731010</wp:posOffset>
            </wp:positionV>
            <wp:extent cx="6858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-1731010</wp:posOffset>
            </wp:positionV>
            <wp:extent cx="6858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-1731010</wp:posOffset>
            </wp:positionV>
            <wp:extent cx="6858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-170815</wp:posOffset>
            </wp:positionV>
            <wp:extent cx="685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-170815</wp:posOffset>
            </wp:positionV>
            <wp:extent cx="6858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-170815</wp:posOffset>
            </wp:positionV>
            <wp:extent cx="6858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ind w:right="300"/>
        <w:spacing w:after="0" w:line="235" w:lineRule="auto"/>
        <w:rPr>
          <w:sz w:val="20"/>
          <w:szCs w:val="20"/>
          <w:color w:val="auto"/>
        </w:rPr>
      </w:pPr>
      <w:r>
        <w:rPr>
          <w:rFonts w:ascii="Calibri" w:cs="Calibri" w:eastAsia="Calibri" w:hAnsi="Calibri"/>
          <w:sz w:val="18"/>
          <w:szCs w:val="18"/>
          <w:color w:val="auto"/>
        </w:rPr>
        <w:t>Based on the results of Kodak’s December 31, 2024 annual impairment test, no impairment of Kodak's trade name was indicated. Based on the results of Kodak’s December 31, 2023 annual impairment test, the carrying value of the Kodak trade name exceeded its</w:t>
      </w:r>
    </w:p>
    <w:p>
      <w:pPr>
        <w:spacing w:after="0" w:line="172"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sectPr>
      </w:pPr>
    </w:p>
    <w:bookmarkStart w:id="68" w:name="page69"/>
    <w:bookmarkEnd w:id="68"/>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fair value and Kodak recorded a pre-tax impairment charge of less than $1 million. The impairment charge was included in Other operatng (income) expense, net in the Consolidated Statement of Operatons.</w:t>
      </w:r>
    </w:p>
    <w:p>
      <w:pPr>
        <w:spacing w:after="0" w:line="218"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color w:val="auto"/>
        </w:rPr>
        <w:t>Amortzaton expense related to intangible assets was $4 million for both of the years ended December 31, 2024 and 2023 and $5 million for the year ended December 31, 2022.</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color w:val="auto"/>
        </w:rPr>
        <w:t>Estmated amortzaton expense for 2025 related to intangible assets that are currently being amortzed as of December 31, 2024 is $3 million.</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6: OTHER CURRENT LIABILITIES</w:t>
      </w:r>
    </w:p>
    <w:p>
      <w:pPr>
        <w:spacing w:after="0" w:line="212" w:lineRule="exact"/>
        <w:rPr>
          <w:sz w:val="20"/>
          <w:szCs w:val="20"/>
          <w:color w:val="auto"/>
        </w:rPr>
      </w:pPr>
    </w:p>
    <w:p>
      <w:pPr>
        <w:ind w:left="8600"/>
        <w:spacing w:after="0"/>
        <w:rPr>
          <w:sz w:val="20"/>
          <w:szCs w:val="20"/>
          <w:color w:val="auto"/>
        </w:rPr>
      </w:pPr>
      <w:r>
        <w:rPr>
          <w:rFonts w:ascii="Calibri" w:cs="Calibri" w:eastAsia="Calibri" w:hAnsi="Calibri"/>
          <w:sz w:val="18"/>
          <w:szCs w:val="18"/>
          <w:b w:val="1"/>
          <w:bCs w:val="1"/>
          <w:color w:val="auto"/>
        </w:rPr>
        <w:t>As of December 31,</w:t>
      </w:r>
    </w:p>
    <w:tbl>
      <w:tblPr>
        <w:tblLayout w:type="fixed"/>
        <w:tblInd w:w="0" w:type="dxa"/>
        <w:tblCellMar>
          <w:top w:w="0" w:type="dxa"/>
          <w:left w:w="0" w:type="dxa"/>
          <w:bottom w:w="0" w:type="dxa"/>
          <w:right w:w="0" w:type="dxa"/>
        </w:tblCellMar>
      </w:tblPr>
      <w:tr>
        <w:trPr>
          <w:trHeight w:val="236"/>
        </w:trPr>
        <w:tc>
          <w:tcPr>
            <w:tcW w:w="7620" w:type="dxa"/>
            <w:vAlign w:val="bottom"/>
          </w:tcPr>
          <w:p>
            <w:pPr>
              <w:ind w:left="20"/>
              <w:spacing w:after="0"/>
              <w:rPr>
                <w:sz w:val="20"/>
                <w:szCs w:val="20"/>
                <w:color w:val="auto"/>
              </w:rPr>
            </w:pPr>
            <w:r>
              <w:rPr>
                <w:rFonts w:ascii="Calibri" w:cs="Calibri" w:eastAsia="Calibri" w:hAnsi="Calibri"/>
                <w:sz w:val="14"/>
                <w:szCs w:val="14"/>
                <w:color w:val="auto"/>
              </w:rPr>
              <w:t>(in millions)</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line="216" w:lineRule="exact"/>
              <w:rPr>
                <w:sz w:val="20"/>
                <w:szCs w:val="20"/>
                <w:color w:val="auto"/>
              </w:rPr>
            </w:pPr>
            <w:r>
              <w:rPr>
                <w:rFonts w:ascii="Calibri" w:cs="Calibri" w:eastAsia="Calibri" w:hAnsi="Calibri"/>
                <w:sz w:val="18"/>
                <w:szCs w:val="18"/>
                <w:b w:val="1"/>
                <w:bCs w:val="1"/>
                <w:color w:val="auto"/>
              </w:rPr>
              <w:t>2024</w:t>
            </w: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line="216" w:lineRule="exact"/>
              <w:rPr>
                <w:sz w:val="20"/>
                <w:szCs w:val="20"/>
                <w:color w:val="auto"/>
              </w:rPr>
            </w:pPr>
            <w:r>
              <w:rPr>
                <w:rFonts w:ascii="Calibri" w:cs="Calibri" w:eastAsia="Calibri" w:hAnsi="Calibri"/>
                <w:sz w:val="18"/>
                <w:szCs w:val="18"/>
                <w:b w:val="1"/>
                <w:bCs w:val="1"/>
                <w:color w:val="auto"/>
              </w:rPr>
              <w:t>2023</w:t>
            </w:r>
          </w:p>
        </w:tc>
        <w:tc>
          <w:tcPr>
            <w:tcW w:w="100" w:type="dxa"/>
            <w:vAlign w:val="bottom"/>
          </w:tcPr>
          <w:p>
            <w:pPr>
              <w:spacing w:after="0"/>
              <w:rPr>
                <w:sz w:val="20"/>
                <w:szCs w:val="20"/>
                <w:color w:val="auto"/>
              </w:rPr>
            </w:pPr>
          </w:p>
        </w:tc>
      </w:tr>
      <w:tr>
        <w:trPr>
          <w:trHeight w:val="213"/>
        </w:trPr>
        <w:tc>
          <w:tcPr>
            <w:tcW w:w="7620" w:type="dxa"/>
            <w:vAlign w:val="bottom"/>
            <w:shd w:val="clear" w:color="auto" w:fill="CFF0FC"/>
          </w:tcPr>
          <w:p>
            <w:pPr>
              <w:ind w:left="20"/>
              <w:spacing w:after="0" w:line="213" w:lineRule="exact"/>
              <w:rPr>
                <w:sz w:val="20"/>
                <w:szCs w:val="20"/>
                <w:color w:val="auto"/>
              </w:rPr>
            </w:pPr>
            <w:r>
              <w:rPr>
                <w:rFonts w:ascii="Calibri" w:cs="Calibri" w:eastAsia="Calibri" w:hAnsi="Calibri"/>
                <w:sz w:val="18"/>
                <w:szCs w:val="18"/>
                <w:color w:val="auto"/>
              </w:rPr>
              <w:t>Deferred revenue and customer deposits</w:t>
            </w:r>
          </w:p>
        </w:tc>
        <w:tc>
          <w:tcPr>
            <w:tcW w:w="360" w:type="dxa"/>
            <w:vAlign w:val="bottom"/>
            <w:shd w:val="clear" w:color="auto" w:fill="CFF0FC"/>
          </w:tcPr>
          <w:p>
            <w:pPr>
              <w:jc w:val="right"/>
              <w:ind w:right="170"/>
              <w:spacing w:after="0" w:line="213" w:lineRule="exact"/>
              <w:rPr>
                <w:sz w:val="20"/>
                <w:szCs w:val="20"/>
                <w:color w:val="auto"/>
              </w:rPr>
            </w:pPr>
            <w:r>
              <w:rPr>
                <w:rFonts w:ascii="Calibri" w:cs="Calibri" w:eastAsia="Calibri" w:hAnsi="Calibri"/>
                <w:sz w:val="18"/>
                <w:szCs w:val="18"/>
                <w:color w:val="auto"/>
                <w:w w:val="87"/>
              </w:rPr>
              <w:t>$</w:t>
            </w:r>
          </w:p>
        </w:tc>
        <w:tc>
          <w:tcPr>
            <w:tcW w:w="1200" w:type="dxa"/>
            <w:vAlign w:val="bottom"/>
            <w:shd w:val="clear" w:color="auto" w:fill="CFF0FC"/>
          </w:tcPr>
          <w:p>
            <w:pPr>
              <w:jc w:val="right"/>
              <w:spacing w:after="0" w:line="213" w:lineRule="exact"/>
              <w:rPr>
                <w:sz w:val="20"/>
                <w:szCs w:val="20"/>
                <w:color w:val="auto"/>
              </w:rPr>
            </w:pPr>
            <w:r>
              <w:rPr>
                <w:rFonts w:ascii="Calibri" w:cs="Calibri" w:eastAsia="Calibri" w:hAnsi="Calibri"/>
                <w:sz w:val="18"/>
                <w:szCs w:val="18"/>
                <w:color w:val="auto"/>
              </w:rPr>
              <w:t>35</w:t>
            </w:r>
          </w:p>
        </w:tc>
        <w:tc>
          <w:tcPr>
            <w:tcW w:w="620" w:type="dxa"/>
            <w:vAlign w:val="bottom"/>
            <w:gridSpan w:val="2"/>
            <w:shd w:val="clear" w:color="auto" w:fill="CFF0FC"/>
          </w:tcPr>
          <w:p>
            <w:pPr>
              <w:jc w:val="right"/>
              <w:ind w:right="150"/>
              <w:spacing w:after="0" w:line="213" w:lineRule="exact"/>
              <w:rPr>
                <w:sz w:val="20"/>
                <w:szCs w:val="20"/>
                <w:color w:val="auto"/>
              </w:rPr>
            </w:pPr>
            <w:r>
              <w:rPr>
                <w:rFonts w:ascii="Calibri" w:cs="Calibri" w:eastAsia="Calibri" w:hAnsi="Calibri"/>
                <w:sz w:val="18"/>
                <w:szCs w:val="18"/>
                <w:color w:val="auto"/>
              </w:rPr>
              <w:t>$</w:t>
            </w:r>
          </w:p>
        </w:tc>
        <w:tc>
          <w:tcPr>
            <w:tcW w:w="1220" w:type="dxa"/>
            <w:vAlign w:val="bottom"/>
            <w:shd w:val="clear" w:color="auto" w:fill="CFF0FC"/>
          </w:tcPr>
          <w:p>
            <w:pPr>
              <w:jc w:val="right"/>
              <w:spacing w:after="0" w:line="213" w:lineRule="exact"/>
              <w:rPr>
                <w:sz w:val="20"/>
                <w:szCs w:val="20"/>
                <w:color w:val="auto"/>
              </w:rPr>
            </w:pPr>
            <w:r>
              <w:rPr>
                <w:rFonts w:ascii="Calibri" w:cs="Calibri" w:eastAsia="Calibri" w:hAnsi="Calibri"/>
                <w:sz w:val="18"/>
                <w:szCs w:val="18"/>
                <w:color w:val="auto"/>
              </w:rPr>
              <w:t>37</w:t>
            </w:r>
          </w:p>
        </w:tc>
        <w:tc>
          <w:tcPr>
            <w:tcW w:w="100" w:type="dxa"/>
            <w:vAlign w:val="bottom"/>
            <w:shd w:val="clear" w:color="auto" w:fill="CFF0FC"/>
          </w:tcPr>
          <w:p>
            <w:pPr>
              <w:spacing w:after="0"/>
              <w:rPr>
                <w:sz w:val="18"/>
                <w:szCs w:val="18"/>
                <w:color w:val="auto"/>
              </w:rPr>
            </w:pPr>
          </w:p>
        </w:tc>
      </w:tr>
      <w:tr>
        <w:trPr>
          <w:trHeight w:val="215"/>
        </w:trPr>
        <w:tc>
          <w:tcPr>
            <w:tcW w:w="7620" w:type="dxa"/>
            <w:vAlign w:val="bottom"/>
          </w:tcPr>
          <w:p>
            <w:pPr>
              <w:ind w:left="20"/>
              <w:spacing w:after="0" w:line="215" w:lineRule="exact"/>
              <w:rPr>
                <w:sz w:val="20"/>
                <w:szCs w:val="20"/>
                <w:color w:val="auto"/>
              </w:rPr>
            </w:pPr>
            <w:r>
              <w:rPr>
                <w:rFonts w:ascii="Calibri" w:cs="Calibri" w:eastAsia="Calibri" w:hAnsi="Calibri"/>
                <w:sz w:val="18"/>
                <w:szCs w:val="18"/>
                <w:color w:val="auto"/>
              </w:rPr>
              <w:t>Employment-related liabilites</w:t>
            </w:r>
          </w:p>
        </w:tc>
        <w:tc>
          <w:tcPr>
            <w:tcW w:w="360" w:type="dxa"/>
            <w:vAlign w:val="bottom"/>
          </w:tcPr>
          <w:p>
            <w:pPr>
              <w:spacing w:after="0"/>
              <w:rPr>
                <w:sz w:val="18"/>
                <w:szCs w:val="18"/>
                <w:color w:val="auto"/>
              </w:rPr>
            </w:pPr>
          </w:p>
        </w:tc>
        <w:tc>
          <w:tcPr>
            <w:tcW w:w="1200" w:type="dxa"/>
            <w:vAlign w:val="bottom"/>
          </w:tcPr>
          <w:p>
            <w:pPr>
              <w:jc w:val="right"/>
              <w:spacing w:after="0" w:line="215" w:lineRule="exact"/>
              <w:rPr>
                <w:sz w:val="20"/>
                <w:szCs w:val="20"/>
                <w:color w:val="auto"/>
              </w:rPr>
            </w:pPr>
            <w:r>
              <w:rPr>
                <w:rFonts w:ascii="Calibri" w:cs="Calibri" w:eastAsia="Calibri" w:hAnsi="Calibri"/>
                <w:sz w:val="18"/>
                <w:szCs w:val="18"/>
                <w:color w:val="auto"/>
              </w:rPr>
              <w:t>32</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line="215" w:lineRule="exact"/>
              <w:rPr>
                <w:sz w:val="20"/>
                <w:szCs w:val="20"/>
                <w:color w:val="auto"/>
              </w:rPr>
            </w:pPr>
            <w:r>
              <w:rPr>
                <w:rFonts w:ascii="Calibri" w:cs="Calibri" w:eastAsia="Calibri" w:hAnsi="Calibri"/>
                <w:sz w:val="18"/>
                <w:szCs w:val="18"/>
                <w:color w:val="auto"/>
              </w:rPr>
              <w:t>36</w:t>
            </w:r>
          </w:p>
        </w:tc>
        <w:tc>
          <w:tcPr>
            <w:tcW w:w="100" w:type="dxa"/>
            <w:vAlign w:val="bottom"/>
          </w:tcPr>
          <w:p>
            <w:pPr>
              <w:spacing w:after="0"/>
              <w:rPr>
                <w:sz w:val="18"/>
                <w:szCs w:val="18"/>
                <w:color w:val="auto"/>
              </w:rPr>
            </w:pPr>
          </w:p>
        </w:tc>
      </w:tr>
      <w:tr>
        <w:trPr>
          <w:trHeight w:val="217"/>
        </w:trPr>
        <w:tc>
          <w:tcPr>
            <w:tcW w:w="762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Customer rebates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12</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12</w:t>
            </w:r>
          </w:p>
        </w:tc>
        <w:tc>
          <w:tcPr>
            <w:tcW w:w="100" w:type="dxa"/>
            <w:vAlign w:val="bottom"/>
            <w:shd w:val="clear" w:color="auto" w:fill="CFF0FC"/>
          </w:tcPr>
          <w:p>
            <w:pPr>
              <w:spacing w:after="0"/>
              <w:rPr>
                <w:sz w:val="18"/>
                <w:szCs w:val="18"/>
                <w:color w:val="auto"/>
              </w:rPr>
            </w:pPr>
          </w:p>
        </w:tc>
      </w:tr>
      <w:tr>
        <w:trPr>
          <w:trHeight w:val="215"/>
        </w:trPr>
        <w:tc>
          <w:tcPr>
            <w:tcW w:w="7620" w:type="dxa"/>
            <w:vAlign w:val="bottom"/>
          </w:tcPr>
          <w:p>
            <w:pPr>
              <w:ind w:left="20"/>
              <w:spacing w:after="0" w:line="215" w:lineRule="exact"/>
              <w:rPr>
                <w:sz w:val="20"/>
                <w:szCs w:val="20"/>
                <w:color w:val="auto"/>
              </w:rPr>
            </w:pPr>
            <w:r>
              <w:rPr>
                <w:rFonts w:ascii="Calibri" w:cs="Calibri" w:eastAsia="Calibri" w:hAnsi="Calibri"/>
                <w:sz w:val="18"/>
                <w:szCs w:val="18"/>
                <w:color w:val="auto"/>
              </w:rPr>
              <w:t>Workers' compensaton</w:t>
            </w:r>
          </w:p>
        </w:tc>
        <w:tc>
          <w:tcPr>
            <w:tcW w:w="360" w:type="dxa"/>
            <w:vAlign w:val="bottom"/>
          </w:tcPr>
          <w:p>
            <w:pPr>
              <w:spacing w:after="0"/>
              <w:rPr>
                <w:sz w:val="18"/>
                <w:szCs w:val="18"/>
                <w:color w:val="auto"/>
              </w:rPr>
            </w:pPr>
          </w:p>
        </w:tc>
        <w:tc>
          <w:tcPr>
            <w:tcW w:w="1200" w:type="dxa"/>
            <w:vAlign w:val="bottom"/>
          </w:tcPr>
          <w:p>
            <w:pPr>
              <w:jc w:val="right"/>
              <w:spacing w:after="0" w:line="215" w:lineRule="exact"/>
              <w:rPr>
                <w:sz w:val="20"/>
                <w:szCs w:val="20"/>
                <w:color w:val="auto"/>
              </w:rPr>
            </w:pPr>
            <w:r>
              <w:rPr>
                <w:rFonts w:ascii="Calibri" w:cs="Calibri" w:eastAsia="Calibri" w:hAnsi="Calibri"/>
                <w:sz w:val="18"/>
                <w:szCs w:val="18"/>
                <w:color w:val="auto"/>
              </w:rPr>
              <w:t>9</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line="215" w:lineRule="exact"/>
              <w:rPr>
                <w:sz w:val="20"/>
                <w:szCs w:val="20"/>
                <w:color w:val="auto"/>
              </w:rPr>
            </w:pPr>
            <w:r>
              <w:rPr>
                <w:rFonts w:ascii="Calibri" w:cs="Calibri" w:eastAsia="Calibri" w:hAnsi="Calibri"/>
                <w:sz w:val="18"/>
                <w:szCs w:val="18"/>
                <w:color w:val="auto"/>
              </w:rPr>
              <w:t>10</w:t>
            </w:r>
          </w:p>
        </w:tc>
        <w:tc>
          <w:tcPr>
            <w:tcW w:w="100" w:type="dxa"/>
            <w:vAlign w:val="bottom"/>
          </w:tcPr>
          <w:p>
            <w:pPr>
              <w:spacing w:after="0"/>
              <w:rPr>
                <w:sz w:val="18"/>
                <w:szCs w:val="18"/>
                <w:color w:val="auto"/>
              </w:rPr>
            </w:pPr>
          </w:p>
        </w:tc>
      </w:tr>
      <w:tr>
        <w:trPr>
          <w:trHeight w:val="217"/>
        </w:trPr>
        <w:tc>
          <w:tcPr>
            <w:tcW w:w="762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Restructuring liabilites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5</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5</w:t>
            </w:r>
          </w:p>
        </w:tc>
        <w:tc>
          <w:tcPr>
            <w:tcW w:w="100" w:type="dxa"/>
            <w:vAlign w:val="bottom"/>
            <w:shd w:val="clear" w:color="auto" w:fill="CFF0FC"/>
          </w:tcPr>
          <w:p>
            <w:pPr>
              <w:spacing w:after="0"/>
              <w:rPr>
                <w:sz w:val="18"/>
                <w:szCs w:val="18"/>
                <w:color w:val="auto"/>
              </w:rPr>
            </w:pPr>
          </w:p>
        </w:tc>
      </w:tr>
      <w:tr>
        <w:trPr>
          <w:trHeight w:val="215"/>
        </w:trPr>
        <w:tc>
          <w:tcPr>
            <w:tcW w:w="7620" w:type="dxa"/>
            <w:vAlign w:val="bottom"/>
          </w:tcPr>
          <w:p>
            <w:pPr>
              <w:ind w:left="20"/>
              <w:spacing w:after="0" w:line="215" w:lineRule="exact"/>
              <w:rPr>
                <w:sz w:val="20"/>
                <w:szCs w:val="20"/>
                <w:color w:val="auto"/>
              </w:rPr>
            </w:pPr>
            <w:r>
              <w:rPr>
                <w:rFonts w:ascii="Calibri" w:cs="Calibri" w:eastAsia="Calibri" w:hAnsi="Calibri"/>
                <w:sz w:val="18"/>
                <w:szCs w:val="18"/>
                <w:color w:val="auto"/>
              </w:rPr>
              <w:t>Accrued interest</w:t>
            </w:r>
          </w:p>
        </w:tc>
        <w:tc>
          <w:tcPr>
            <w:tcW w:w="360" w:type="dxa"/>
            <w:vAlign w:val="bottom"/>
          </w:tcPr>
          <w:p>
            <w:pPr>
              <w:spacing w:after="0"/>
              <w:rPr>
                <w:sz w:val="18"/>
                <w:szCs w:val="18"/>
                <w:color w:val="auto"/>
              </w:rPr>
            </w:pPr>
          </w:p>
        </w:tc>
        <w:tc>
          <w:tcPr>
            <w:tcW w:w="1200" w:type="dxa"/>
            <w:vAlign w:val="bottom"/>
          </w:tcPr>
          <w:p>
            <w:pPr>
              <w:jc w:val="right"/>
              <w:spacing w:after="0" w:line="215" w:lineRule="exact"/>
              <w:rPr>
                <w:sz w:val="20"/>
                <w:szCs w:val="20"/>
                <w:color w:val="auto"/>
              </w:rPr>
            </w:pPr>
            <w:r>
              <w:rPr>
                <w:rFonts w:ascii="Calibri" w:cs="Calibri" w:eastAsia="Calibri" w:hAnsi="Calibri"/>
                <w:sz w:val="18"/>
                <w:szCs w:val="18"/>
                <w:color w:val="auto"/>
              </w:rPr>
              <w:t>9</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line="215" w:lineRule="exact"/>
              <w:rPr>
                <w:sz w:val="20"/>
                <w:szCs w:val="20"/>
                <w:color w:val="auto"/>
              </w:rPr>
            </w:pPr>
            <w:r>
              <w:rPr>
                <w:rFonts w:ascii="Calibri" w:cs="Calibri" w:eastAsia="Calibri" w:hAnsi="Calibri"/>
                <w:sz w:val="18"/>
                <w:szCs w:val="18"/>
                <w:color w:val="auto"/>
              </w:rPr>
              <w:t>9</w:t>
            </w:r>
          </w:p>
        </w:tc>
        <w:tc>
          <w:tcPr>
            <w:tcW w:w="100" w:type="dxa"/>
            <w:vAlign w:val="bottom"/>
          </w:tcPr>
          <w:p>
            <w:pPr>
              <w:spacing w:after="0"/>
              <w:rPr>
                <w:sz w:val="18"/>
                <w:szCs w:val="18"/>
                <w:color w:val="auto"/>
              </w:rPr>
            </w:pPr>
          </w:p>
        </w:tc>
      </w:tr>
      <w:tr>
        <w:trPr>
          <w:trHeight w:val="217"/>
        </w:trPr>
        <w:tc>
          <w:tcPr>
            <w:tcW w:w="762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Preferred Stock dividends payable</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w:t>
            </w:r>
          </w:p>
        </w:tc>
        <w:tc>
          <w:tcPr>
            <w:tcW w:w="100" w:type="dxa"/>
            <w:vAlign w:val="bottom"/>
            <w:shd w:val="clear" w:color="auto" w:fill="CFF0FC"/>
          </w:tcPr>
          <w:p>
            <w:pPr>
              <w:spacing w:after="0"/>
              <w:rPr>
                <w:sz w:val="18"/>
                <w:szCs w:val="18"/>
                <w:color w:val="auto"/>
              </w:rPr>
            </w:pPr>
          </w:p>
        </w:tc>
      </w:tr>
      <w:tr>
        <w:trPr>
          <w:trHeight w:val="215"/>
        </w:trPr>
        <w:tc>
          <w:tcPr>
            <w:tcW w:w="7620" w:type="dxa"/>
            <w:vAlign w:val="bottom"/>
          </w:tcPr>
          <w:p>
            <w:pPr>
              <w:ind w:left="20"/>
              <w:spacing w:after="0" w:line="215" w:lineRule="exact"/>
              <w:rPr>
                <w:sz w:val="20"/>
                <w:szCs w:val="20"/>
                <w:color w:val="auto"/>
              </w:rPr>
            </w:pPr>
            <w:r>
              <w:rPr>
                <w:rFonts w:ascii="Calibri" w:cs="Calibri" w:eastAsia="Calibri" w:hAnsi="Calibri"/>
                <w:sz w:val="18"/>
                <w:szCs w:val="18"/>
                <w:color w:val="auto"/>
              </w:rPr>
              <w:t>Other</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26</w:t>
            </w: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34</w:t>
            </w:r>
          </w:p>
        </w:tc>
        <w:tc>
          <w:tcPr>
            <w:tcW w:w="100" w:type="dxa"/>
            <w:vAlign w:val="bottom"/>
          </w:tcPr>
          <w:p>
            <w:pPr>
              <w:spacing w:after="0"/>
              <w:rPr>
                <w:sz w:val="18"/>
                <w:szCs w:val="18"/>
                <w:color w:val="auto"/>
              </w:rPr>
            </w:pPr>
          </w:p>
        </w:tc>
      </w:tr>
      <w:tr>
        <w:trPr>
          <w:trHeight w:val="250"/>
        </w:trPr>
        <w:tc>
          <w:tcPr>
            <w:tcW w:w="7620" w:type="dxa"/>
            <w:vAlign w:val="bottom"/>
            <w:tcBorders>
              <w:bottom w:val="single" w:sz="8" w:color="CFF0FC"/>
            </w:tcBorders>
            <w:shd w:val="clear" w:color="auto" w:fill="CFF0FC"/>
          </w:tcPr>
          <w:p>
            <w:pPr>
              <w:ind w:left="200"/>
              <w:spacing w:after="0" w:line="210" w:lineRule="exact"/>
              <w:rPr>
                <w:sz w:val="20"/>
                <w:szCs w:val="20"/>
                <w:color w:val="auto"/>
              </w:rPr>
            </w:pPr>
            <w:r>
              <w:rPr>
                <w:rFonts w:ascii="Calibri" w:cs="Calibri" w:eastAsia="Calibri" w:hAnsi="Calibri"/>
                <w:sz w:val="18"/>
                <w:szCs w:val="18"/>
                <w:color w:val="auto"/>
              </w:rPr>
              <w:t>Total</w:t>
            </w:r>
          </w:p>
        </w:tc>
        <w:tc>
          <w:tcPr>
            <w:tcW w:w="360" w:type="dxa"/>
            <w:vAlign w:val="bottom"/>
            <w:tcBorders>
              <w:bottom w:val="single" w:sz="8" w:color="auto"/>
            </w:tcBorders>
            <w:shd w:val="clear" w:color="auto" w:fill="CFF0FC"/>
          </w:tcPr>
          <w:p>
            <w:pPr>
              <w:jc w:val="right"/>
              <w:ind w:right="170"/>
              <w:spacing w:after="0" w:line="210" w:lineRule="exact"/>
              <w:rPr>
                <w:sz w:val="20"/>
                <w:szCs w:val="20"/>
                <w:color w:val="auto"/>
              </w:rPr>
            </w:pPr>
            <w:r>
              <w:rPr>
                <w:rFonts w:ascii="Calibri" w:cs="Calibri" w:eastAsia="Calibri" w:hAnsi="Calibri"/>
                <w:sz w:val="18"/>
                <w:szCs w:val="18"/>
                <w:color w:val="auto"/>
                <w:w w:val="87"/>
              </w:rPr>
              <w:t>$</w:t>
            </w:r>
          </w:p>
        </w:tc>
        <w:tc>
          <w:tcPr>
            <w:tcW w:w="1200" w:type="dxa"/>
            <w:vAlign w:val="bottom"/>
            <w:tcBorders>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129</w:t>
            </w:r>
          </w:p>
        </w:tc>
        <w:tc>
          <w:tcPr>
            <w:tcW w:w="2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50"/>
              <w:spacing w:after="0" w:line="210" w:lineRule="exact"/>
              <w:rPr>
                <w:sz w:val="20"/>
                <w:szCs w:val="20"/>
                <w:color w:val="auto"/>
              </w:rPr>
            </w:pPr>
            <w:r>
              <w:rPr>
                <w:rFonts w:ascii="Calibri" w:cs="Calibri" w:eastAsia="Calibri" w:hAnsi="Calibri"/>
                <w:sz w:val="18"/>
                <w:szCs w:val="18"/>
                <w:color w:val="auto"/>
                <w:w w:val="87"/>
              </w:rPr>
              <w:t>$</w:t>
            </w:r>
          </w:p>
        </w:tc>
        <w:tc>
          <w:tcPr>
            <w:tcW w:w="1220" w:type="dxa"/>
            <w:vAlign w:val="bottom"/>
            <w:tcBorders>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144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-25400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-8255</wp:posOffset>
            </wp:positionV>
            <wp:extent cx="6858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-25400</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-8255</wp:posOffset>
            </wp:positionV>
            <wp:extent cx="6858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Calibri" w:cs="Calibri" w:eastAsia="Calibri" w:hAnsi="Calibri"/>
          <w:sz w:val="18"/>
          <w:szCs w:val="18"/>
          <w:color w:val="auto"/>
        </w:rPr>
        <w:t>The customer rebate amounts will potentally be setled through customer deductons applied to outstanding trade receivables in lieu of cash payments.</w:t>
      </w:r>
    </w:p>
    <w:p>
      <w:pPr>
        <w:spacing w:after="0" w:line="190" w:lineRule="exact"/>
        <w:rPr>
          <w:sz w:val="20"/>
          <w:szCs w:val="20"/>
          <w:color w:val="auto"/>
        </w:rPr>
      </w:pPr>
    </w:p>
    <w:p>
      <w:pPr>
        <w:jc w:val="both"/>
        <w:ind w:right="120"/>
        <w:spacing w:after="0" w:line="235" w:lineRule="auto"/>
        <w:rPr>
          <w:sz w:val="20"/>
          <w:szCs w:val="20"/>
          <w:color w:val="auto"/>
        </w:rPr>
      </w:pPr>
      <w:r>
        <w:rPr>
          <w:rFonts w:ascii="Calibri" w:cs="Calibri" w:eastAsia="Calibri" w:hAnsi="Calibri"/>
          <w:sz w:val="18"/>
          <w:szCs w:val="18"/>
          <w:color w:val="auto"/>
        </w:rPr>
        <w:t>The Other component above consists of other miscellaneous current liabilites that, individually, were less than 5% of the total current liabilites component within the Consolidated Statement of Financial Positon and therefore have been aggregated in accordance with Regulaton S-X.</w:t>
      </w:r>
    </w:p>
    <w:p>
      <w:pPr>
        <w:sectPr>
          <w:pgSz w:w="11900" w:h="16838" w:orient="portrait"/>
          <w:cols w:equalWidth="0" w:num="1">
            <w:col w:w="11240"/>
          </w:cols>
          <w:pgMar w:left="320" w:top="112" w:right="339" w:bottom="1440" w:gutter="0" w:footer="0" w:header="0"/>
        </w:sectPr>
      </w:pP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7: OTHER LONG-TERM LIABILITIES</w:t>
      </w:r>
    </w:p>
    <w:p>
      <w:pPr>
        <w:spacing w:after="0" w:line="200" w:lineRule="exact"/>
        <w:rPr>
          <w:sz w:val="20"/>
          <w:szCs w:val="20"/>
          <w:color w:val="auto"/>
        </w:rPr>
      </w:pPr>
    </w:p>
    <w:p>
      <w:pPr>
        <w:spacing w:after="0" w:line="294" w:lineRule="exact"/>
        <w:rPr>
          <w:sz w:val="20"/>
          <w:szCs w:val="20"/>
          <w:color w:val="auto"/>
        </w:rPr>
      </w:pPr>
    </w:p>
    <w:p>
      <w:pPr>
        <w:ind w:left="20"/>
        <w:spacing w:after="0"/>
        <w:rPr>
          <w:sz w:val="20"/>
          <w:szCs w:val="20"/>
          <w:color w:val="auto"/>
        </w:rPr>
      </w:pPr>
      <w:r>
        <w:rPr>
          <w:rFonts w:ascii="Calibri" w:cs="Calibri" w:eastAsia="Calibri" w:hAnsi="Calibri"/>
          <w:sz w:val="14"/>
          <w:szCs w:val="14"/>
          <w:color w:val="auto"/>
        </w:rPr>
        <w:t>(in millions)</w:t>
      </w:r>
    </w:p>
    <w:p>
      <w:pPr>
        <w:ind w:left="20"/>
        <w:spacing w:after="0" w:line="232" w:lineRule="auto"/>
        <w:rPr>
          <w:sz w:val="20"/>
          <w:szCs w:val="20"/>
          <w:color w:val="auto"/>
        </w:rPr>
      </w:pPr>
      <w:r>
        <w:rPr>
          <w:rFonts w:ascii="Calibri" w:cs="Calibri" w:eastAsia="Calibri" w:hAnsi="Calibri"/>
          <w:sz w:val="18"/>
          <w:szCs w:val="18"/>
          <w:color w:val="auto"/>
        </w:rPr>
        <w:t>Workers' compensaton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054850" cy="13716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054850" cy="137160"/>
                    </a:xfrm>
                    <a:prstGeom prst="rect">
                      <a:avLst/>
                    </a:prstGeom>
                    <a:noFill/>
                  </pic:spPr>
                </pic:pic>
              </a:graphicData>
            </a:graphic>
          </wp:anchor>
        </w:drawing>
      </w:r>
    </w:p>
    <w:p>
      <w:pPr>
        <w:ind w:left="20"/>
        <w:spacing w:after="0" w:line="236" w:lineRule="auto"/>
        <w:rPr>
          <w:sz w:val="20"/>
          <w:szCs w:val="20"/>
          <w:color w:val="auto"/>
        </w:rPr>
      </w:pPr>
      <w:r>
        <w:rPr>
          <w:rFonts w:ascii="Calibri" w:cs="Calibri" w:eastAsia="Calibri" w:hAnsi="Calibri"/>
          <w:sz w:val="18"/>
          <w:szCs w:val="18"/>
          <w:color w:val="auto"/>
        </w:rPr>
        <w:t>Asset retrement obligatons</w:t>
      </w:r>
    </w:p>
    <w:p>
      <w:pPr>
        <w:ind w:left="20"/>
        <w:spacing w:after="0" w:line="235" w:lineRule="auto"/>
        <w:rPr>
          <w:sz w:val="20"/>
          <w:szCs w:val="20"/>
          <w:color w:val="auto"/>
        </w:rPr>
      </w:pPr>
      <w:r>
        <w:rPr>
          <w:rFonts w:ascii="Calibri" w:cs="Calibri" w:eastAsia="Calibri" w:hAnsi="Calibri"/>
          <w:sz w:val="18"/>
          <w:szCs w:val="18"/>
          <w:color w:val="auto"/>
        </w:rPr>
        <w:t>Deferred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054850" cy="13716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054850" cy="137160"/>
                    </a:xfrm>
                    <a:prstGeom prst="rect">
                      <a:avLst/>
                    </a:prstGeom>
                    <a:noFill/>
                  </pic:spPr>
                </pic:pic>
              </a:graphicData>
            </a:graphic>
          </wp:anchor>
        </w:drawing>
      </w:r>
    </w:p>
    <w:p>
      <w:pPr>
        <w:ind w:left="20"/>
        <w:spacing w:after="0" w:line="236" w:lineRule="auto"/>
        <w:rPr>
          <w:sz w:val="20"/>
          <w:szCs w:val="20"/>
          <w:color w:val="auto"/>
        </w:rPr>
      </w:pPr>
      <w:r>
        <w:rPr>
          <w:rFonts w:ascii="Calibri" w:cs="Calibri" w:eastAsia="Calibri" w:hAnsi="Calibri"/>
          <w:sz w:val="18"/>
          <w:szCs w:val="18"/>
          <w:color w:val="auto"/>
        </w:rPr>
        <w:t>Deferred brand licensing revenue</w:t>
      </w:r>
    </w:p>
    <w:p>
      <w:pPr>
        <w:ind w:left="20"/>
        <w:spacing w:after="0" w:line="236" w:lineRule="auto"/>
        <w:rPr>
          <w:sz w:val="20"/>
          <w:szCs w:val="20"/>
          <w:color w:val="auto"/>
        </w:rPr>
      </w:pPr>
      <w:r>
        <w:rPr>
          <w:rFonts w:ascii="Calibri" w:cs="Calibri" w:eastAsia="Calibri" w:hAnsi="Calibri"/>
          <w:sz w:val="18"/>
          <w:szCs w:val="18"/>
          <w:color w:val="auto"/>
        </w:rPr>
        <w:t>Environmental liabilites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054850" cy="13716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054850" cy="137160"/>
                    </a:xfrm>
                    <a:prstGeom prst="rect">
                      <a:avLst/>
                    </a:prstGeom>
                    <a:noFill/>
                  </pic:spPr>
                </pic:pic>
              </a:graphicData>
            </a:graphic>
          </wp:anchor>
        </w:drawing>
      </w:r>
    </w:p>
    <w:p>
      <w:pPr>
        <w:ind w:left="20"/>
        <w:spacing w:after="0" w:line="236" w:lineRule="auto"/>
        <w:rPr>
          <w:sz w:val="20"/>
          <w:szCs w:val="20"/>
          <w:color w:val="auto"/>
        </w:rPr>
      </w:pPr>
      <w:r>
        <w:rPr>
          <w:rFonts w:ascii="Calibri" w:cs="Calibri" w:eastAsia="Calibri" w:hAnsi="Calibri"/>
          <w:sz w:val="18"/>
          <w:szCs w:val="18"/>
          <w:color w:val="auto"/>
        </w:rPr>
        <w:t>Embedded conversion opton derivatve liabilites</w:t>
      </w:r>
    </w:p>
    <w:p>
      <w:pPr>
        <w:spacing w:after="0" w:line="10"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054850" cy="14605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054850" cy="146050"/>
                    </a:xfrm>
                    <a:prstGeom prst="rect">
                      <a:avLst/>
                    </a:prstGeom>
                    <a:noFill/>
                  </pic:spPr>
                </pic:pic>
              </a:graphicData>
            </a:graphic>
          </wp:anchor>
        </w:drawing>
      </w:r>
    </w:p>
    <w:p>
      <w:pPr>
        <w:spacing w:after="0" w:line="17"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360" w:type="dxa"/>
            <w:vAlign w:val="bottom"/>
          </w:tcPr>
          <w:p>
            <w:pPr>
              <w:spacing w:after="0"/>
              <w:rPr>
                <w:sz w:val="19"/>
                <w:szCs w:val="19"/>
                <w:color w:val="auto"/>
              </w:rPr>
            </w:pPr>
          </w:p>
        </w:tc>
        <w:tc>
          <w:tcPr>
            <w:tcW w:w="2060" w:type="dxa"/>
            <w:vAlign w:val="bottom"/>
            <w:gridSpan w:val="3"/>
          </w:tcPr>
          <w:p>
            <w:pPr>
              <w:jc w:val="right"/>
              <w:spacing w:after="0"/>
              <w:rPr>
                <w:sz w:val="20"/>
                <w:szCs w:val="20"/>
                <w:color w:val="auto"/>
              </w:rPr>
            </w:pPr>
            <w:r>
              <w:rPr>
                <w:rFonts w:ascii="Calibri" w:cs="Calibri" w:eastAsia="Calibri" w:hAnsi="Calibri"/>
                <w:sz w:val="18"/>
                <w:szCs w:val="18"/>
                <w:b w:val="1"/>
                <w:bCs w:val="1"/>
                <w:color w:val="auto"/>
              </w:rPr>
              <w:t>As of December 31,</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200" w:type="dxa"/>
            <w:vAlign w:val="bottom"/>
          </w:tcPr>
          <w:p>
            <w:pPr>
              <w:jc w:val="right"/>
              <w:ind w:right="510"/>
              <w:spacing w:after="0" w:line="216" w:lineRule="exact"/>
              <w:rPr>
                <w:sz w:val="20"/>
                <w:szCs w:val="20"/>
                <w:color w:val="auto"/>
              </w:rPr>
            </w:pPr>
            <w:r>
              <w:rPr>
                <w:rFonts w:ascii="Calibri" w:cs="Calibri" w:eastAsia="Calibri" w:hAnsi="Calibri"/>
                <w:sz w:val="18"/>
                <w:szCs w:val="18"/>
                <w:b w:val="1"/>
                <w:bCs w:val="1"/>
                <w:color w:val="auto"/>
              </w:rPr>
              <w:t>2024</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jc w:val="right"/>
              <w:ind w:right="510"/>
              <w:spacing w:after="0" w:line="216" w:lineRule="exact"/>
              <w:rPr>
                <w:sz w:val="20"/>
                <w:szCs w:val="20"/>
                <w:color w:val="auto"/>
              </w:rPr>
            </w:pPr>
            <w:r>
              <w:rPr>
                <w:rFonts w:ascii="Calibri" w:cs="Calibri" w:eastAsia="Calibri" w:hAnsi="Calibri"/>
                <w:sz w:val="18"/>
                <w:szCs w:val="18"/>
                <w:b w:val="1"/>
                <w:bCs w:val="1"/>
                <w:color w:val="auto"/>
                <w:w w:val="98"/>
              </w:rPr>
              <w:t>2023</w:t>
            </w:r>
          </w:p>
        </w:tc>
        <w:tc>
          <w:tcPr>
            <w:tcW w:w="0" w:type="dxa"/>
            <w:vAlign w:val="bottom"/>
          </w:tcPr>
          <w:p>
            <w:pPr>
              <w:spacing w:after="0"/>
              <w:rPr>
                <w:sz w:val="1"/>
                <w:szCs w:val="1"/>
                <w:color w:val="auto"/>
              </w:rPr>
            </w:pPr>
          </w:p>
        </w:tc>
      </w:tr>
      <w:tr>
        <w:trPr>
          <w:trHeight w:val="23"/>
        </w:trPr>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vMerge w:val="restart"/>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360" w:type="dxa"/>
            <w:vAlign w:val="bottom"/>
          </w:tcPr>
          <w:p>
            <w:pPr>
              <w:jc w:val="right"/>
              <w:ind w:right="170"/>
              <w:spacing w:after="0" w:line="187" w:lineRule="exact"/>
              <w:rPr>
                <w:sz w:val="20"/>
                <w:szCs w:val="20"/>
                <w:color w:val="auto"/>
              </w:rPr>
            </w:pPr>
            <w:r>
              <w:rPr>
                <w:rFonts w:ascii="Calibri" w:cs="Calibri" w:eastAsia="Calibri" w:hAnsi="Calibri"/>
                <w:sz w:val="18"/>
                <w:szCs w:val="18"/>
                <w:color w:val="auto"/>
                <w:w w:val="87"/>
              </w:rPr>
              <w:t>$</w:t>
            </w:r>
          </w:p>
        </w:tc>
        <w:tc>
          <w:tcPr>
            <w:tcW w:w="1200" w:type="dxa"/>
            <w:vAlign w:val="bottom"/>
          </w:tcPr>
          <w:p>
            <w:pPr>
              <w:jc w:val="right"/>
              <w:spacing w:after="0" w:line="187" w:lineRule="exact"/>
              <w:rPr>
                <w:sz w:val="20"/>
                <w:szCs w:val="20"/>
                <w:color w:val="auto"/>
              </w:rPr>
            </w:pPr>
            <w:r>
              <w:rPr>
                <w:rFonts w:ascii="Calibri" w:cs="Calibri" w:eastAsia="Calibri" w:hAnsi="Calibri"/>
                <w:sz w:val="18"/>
                <w:szCs w:val="18"/>
                <w:color w:val="auto"/>
              </w:rPr>
              <w:t>53</w:t>
            </w:r>
          </w:p>
        </w:tc>
        <w:tc>
          <w:tcPr>
            <w:tcW w:w="280" w:type="dxa"/>
            <w:vAlign w:val="bottom"/>
            <w:vMerge w:val="continue"/>
          </w:tcPr>
          <w:p>
            <w:pPr>
              <w:spacing w:after="0"/>
              <w:rPr>
                <w:sz w:val="16"/>
                <w:szCs w:val="16"/>
                <w:color w:val="auto"/>
              </w:rPr>
            </w:pPr>
          </w:p>
        </w:tc>
        <w:tc>
          <w:tcPr>
            <w:tcW w:w="580" w:type="dxa"/>
            <w:vAlign w:val="bottom"/>
          </w:tcPr>
          <w:p>
            <w:pPr>
              <w:jc w:val="right"/>
              <w:ind w:right="390"/>
              <w:spacing w:after="0" w:line="187" w:lineRule="exact"/>
              <w:rPr>
                <w:sz w:val="20"/>
                <w:szCs w:val="20"/>
                <w:color w:val="auto"/>
              </w:rPr>
            </w:pPr>
            <w:r>
              <w:rPr>
                <w:rFonts w:ascii="Calibri" w:cs="Calibri" w:eastAsia="Calibri" w:hAnsi="Calibri"/>
                <w:sz w:val="18"/>
                <w:szCs w:val="18"/>
                <w:color w:val="auto"/>
                <w:w w:val="87"/>
              </w:rPr>
              <w:t>$</w:t>
            </w:r>
          </w:p>
        </w:tc>
        <w:tc>
          <w:tcPr>
            <w:tcW w:w="980" w:type="dxa"/>
            <w:vAlign w:val="bottom"/>
          </w:tcPr>
          <w:p>
            <w:pPr>
              <w:jc w:val="right"/>
              <w:spacing w:after="0" w:line="187" w:lineRule="exact"/>
              <w:rPr>
                <w:sz w:val="20"/>
                <w:szCs w:val="20"/>
                <w:color w:val="auto"/>
              </w:rPr>
            </w:pPr>
            <w:r>
              <w:rPr>
                <w:rFonts w:ascii="Calibri" w:cs="Calibri" w:eastAsia="Calibri" w:hAnsi="Calibri"/>
                <w:sz w:val="18"/>
                <w:szCs w:val="18"/>
                <w:color w:val="auto"/>
              </w:rPr>
              <w:t>56</w:t>
            </w:r>
          </w:p>
        </w:tc>
        <w:tc>
          <w:tcPr>
            <w:tcW w:w="0" w:type="dxa"/>
            <w:vAlign w:val="bottom"/>
          </w:tcPr>
          <w:p>
            <w:pPr>
              <w:spacing w:after="0"/>
              <w:rPr>
                <w:sz w:val="1"/>
                <w:szCs w:val="1"/>
                <w:color w:val="auto"/>
              </w:rPr>
            </w:pPr>
          </w:p>
        </w:tc>
      </w:tr>
      <w:tr>
        <w:trPr>
          <w:trHeight w:val="215"/>
        </w:trPr>
        <w:tc>
          <w:tcPr>
            <w:tcW w:w="360" w:type="dxa"/>
            <w:vAlign w:val="bottom"/>
          </w:tcPr>
          <w:p>
            <w:pPr>
              <w:spacing w:after="0"/>
              <w:rPr>
                <w:sz w:val="18"/>
                <w:szCs w:val="18"/>
                <w:color w:val="auto"/>
              </w:rPr>
            </w:pPr>
          </w:p>
        </w:tc>
        <w:tc>
          <w:tcPr>
            <w:tcW w:w="1200" w:type="dxa"/>
            <w:vAlign w:val="bottom"/>
          </w:tcPr>
          <w:p>
            <w:pPr>
              <w:jc w:val="right"/>
              <w:spacing w:after="0" w:line="215" w:lineRule="exact"/>
              <w:rPr>
                <w:sz w:val="20"/>
                <w:szCs w:val="20"/>
                <w:color w:val="auto"/>
              </w:rPr>
            </w:pPr>
            <w:r>
              <w:rPr>
                <w:rFonts w:ascii="Calibri" w:cs="Calibri" w:eastAsia="Calibri" w:hAnsi="Calibri"/>
                <w:sz w:val="18"/>
                <w:szCs w:val="18"/>
                <w:color w:val="auto"/>
              </w:rPr>
              <w:t>43</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43</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200" w:type="dxa"/>
            <w:vAlign w:val="bottom"/>
          </w:tcPr>
          <w:p>
            <w:pPr>
              <w:jc w:val="right"/>
              <w:spacing w:after="0" w:line="216" w:lineRule="exact"/>
              <w:rPr>
                <w:sz w:val="20"/>
                <w:szCs w:val="20"/>
                <w:color w:val="auto"/>
              </w:rPr>
            </w:pPr>
            <w:r>
              <w:rPr>
                <w:rFonts w:ascii="Calibri" w:cs="Calibri" w:eastAsia="Calibri" w:hAnsi="Calibri"/>
                <w:sz w:val="18"/>
                <w:szCs w:val="18"/>
                <w:color w:val="auto"/>
              </w:rPr>
              <w:t>24</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jc w:val="right"/>
              <w:spacing w:after="0" w:line="216" w:lineRule="exact"/>
              <w:rPr>
                <w:sz w:val="20"/>
                <w:szCs w:val="20"/>
                <w:color w:val="auto"/>
              </w:rPr>
            </w:pPr>
            <w:r>
              <w:rPr>
                <w:rFonts w:ascii="Calibri" w:cs="Calibri" w:eastAsia="Calibri" w:hAnsi="Calibri"/>
                <w:sz w:val="18"/>
                <w:szCs w:val="18"/>
                <w:color w:val="auto"/>
              </w:rPr>
              <w:t>27</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200" w:type="dxa"/>
            <w:vAlign w:val="bottom"/>
          </w:tcPr>
          <w:p>
            <w:pPr>
              <w:jc w:val="right"/>
              <w:spacing w:after="0" w:line="216" w:lineRule="exact"/>
              <w:rPr>
                <w:sz w:val="20"/>
                <w:szCs w:val="20"/>
                <w:color w:val="auto"/>
              </w:rPr>
            </w:pPr>
            <w:r>
              <w:rPr>
                <w:rFonts w:ascii="Calibri" w:cs="Calibri" w:eastAsia="Calibri" w:hAnsi="Calibri"/>
                <w:sz w:val="18"/>
                <w:szCs w:val="18"/>
                <w:color w:val="auto"/>
              </w:rPr>
              <w:t>57</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jc w:val="right"/>
              <w:spacing w:after="0" w:line="216" w:lineRule="exact"/>
              <w:rPr>
                <w:sz w:val="20"/>
                <w:szCs w:val="20"/>
                <w:color w:val="auto"/>
              </w:rPr>
            </w:pPr>
            <w:r>
              <w:rPr>
                <w:rFonts w:ascii="Calibri" w:cs="Calibri" w:eastAsia="Calibri" w:hAnsi="Calibri"/>
                <w:sz w:val="18"/>
                <w:szCs w:val="18"/>
                <w:color w:val="auto"/>
              </w:rPr>
              <w:t>63</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200" w:type="dxa"/>
            <w:vAlign w:val="bottom"/>
          </w:tcPr>
          <w:p>
            <w:pPr>
              <w:jc w:val="right"/>
              <w:spacing w:after="0" w:line="216" w:lineRule="exact"/>
              <w:rPr>
                <w:sz w:val="20"/>
                <w:szCs w:val="20"/>
                <w:color w:val="auto"/>
              </w:rPr>
            </w:pPr>
            <w:r>
              <w:rPr>
                <w:rFonts w:ascii="Calibri" w:cs="Calibri" w:eastAsia="Calibri" w:hAnsi="Calibri"/>
                <w:sz w:val="18"/>
                <w:szCs w:val="18"/>
                <w:color w:val="auto"/>
              </w:rPr>
              <w:t>9</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jc w:val="right"/>
              <w:spacing w:after="0" w:line="216" w:lineRule="exact"/>
              <w:rPr>
                <w:sz w:val="20"/>
                <w:szCs w:val="20"/>
                <w:color w:val="auto"/>
              </w:rPr>
            </w:pPr>
            <w:r>
              <w:rPr>
                <w:rFonts w:ascii="Calibri" w:cs="Calibri" w:eastAsia="Calibri" w:hAnsi="Calibri"/>
                <w:sz w:val="18"/>
                <w:szCs w:val="18"/>
                <w:color w:val="auto"/>
              </w:rPr>
              <w:t>9</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200" w:type="dxa"/>
            <w:vAlign w:val="bottom"/>
          </w:tcPr>
          <w:p>
            <w:pPr>
              <w:jc w:val="right"/>
              <w:spacing w:after="0" w:line="216" w:lineRule="exact"/>
              <w:rPr>
                <w:sz w:val="20"/>
                <w:szCs w:val="20"/>
                <w:color w:val="auto"/>
              </w:rPr>
            </w:pPr>
            <w:r>
              <w:rPr>
                <w:rFonts w:ascii="Calibri" w:cs="Calibri" w:eastAsia="Calibri" w:hAnsi="Calibri"/>
                <w:sz w:val="18"/>
                <w:szCs w:val="18"/>
                <w:color w:val="auto"/>
              </w:rPr>
              <w:t>1</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jc w:val="right"/>
              <w:spacing w:after="0" w:line="216" w:lineRule="exact"/>
              <w:rPr>
                <w:sz w:val="20"/>
                <w:szCs w:val="20"/>
                <w:color w:val="auto"/>
              </w:rPr>
            </w:pPr>
            <w:r>
              <w:rPr>
                <w:rFonts w:ascii="Calibri" w:cs="Calibri" w:eastAsia="Calibri" w:hAnsi="Calibri"/>
                <w:sz w:val="18"/>
                <w:szCs w:val="18"/>
                <w:color w:val="auto"/>
              </w:rPr>
              <w:t>2</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200" w:type="dxa"/>
            <w:vAlign w:val="bottom"/>
          </w:tcPr>
          <w:p>
            <w:pPr>
              <w:jc w:val="right"/>
              <w:spacing w:after="0" w:line="216" w:lineRule="exact"/>
              <w:rPr>
                <w:sz w:val="20"/>
                <w:szCs w:val="20"/>
                <w:color w:val="auto"/>
              </w:rPr>
            </w:pPr>
            <w:r>
              <w:rPr>
                <w:rFonts w:ascii="Calibri" w:cs="Calibri" w:eastAsia="Calibri" w:hAnsi="Calibri"/>
                <w:sz w:val="18"/>
                <w:szCs w:val="18"/>
                <w:color w:val="auto"/>
              </w:rPr>
              <w:t>10</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jc w:val="right"/>
              <w:spacing w:after="0" w:line="216" w:lineRule="exact"/>
              <w:rPr>
                <w:sz w:val="20"/>
                <w:szCs w:val="20"/>
                <w:color w:val="auto"/>
              </w:rPr>
            </w:pPr>
            <w:r>
              <w:rPr>
                <w:rFonts w:ascii="Calibri" w:cs="Calibri" w:eastAsia="Calibri" w:hAnsi="Calibri"/>
                <w:sz w:val="18"/>
                <w:szCs w:val="18"/>
                <w:color w:val="auto"/>
              </w:rPr>
              <w:t>13</w:t>
            </w:r>
          </w:p>
        </w:tc>
        <w:tc>
          <w:tcPr>
            <w:tcW w:w="0" w:type="dxa"/>
            <w:vAlign w:val="bottom"/>
          </w:tcPr>
          <w:p>
            <w:pPr>
              <w:spacing w:after="0"/>
              <w:rPr>
                <w:sz w:val="1"/>
                <w:szCs w:val="1"/>
                <w:color w:val="auto"/>
              </w:rPr>
            </w:pPr>
          </w:p>
        </w:tc>
      </w:tr>
      <w:tr>
        <w:trPr>
          <w:trHeight w:val="23"/>
        </w:trPr>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vMerge w:val="restart"/>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60" w:type="dxa"/>
            <w:vAlign w:val="bottom"/>
            <w:tcBorders>
              <w:bottom w:val="single" w:sz="8" w:color="auto"/>
            </w:tcBorders>
          </w:tcPr>
          <w:p>
            <w:pPr>
              <w:jc w:val="right"/>
              <w:ind w:right="170"/>
              <w:spacing w:after="0" w:line="209" w:lineRule="exact"/>
              <w:rPr>
                <w:sz w:val="20"/>
                <w:szCs w:val="20"/>
                <w:color w:val="auto"/>
              </w:rPr>
            </w:pPr>
            <w:r>
              <w:rPr>
                <w:rFonts w:ascii="Calibri" w:cs="Calibri" w:eastAsia="Calibri" w:hAnsi="Calibri"/>
                <w:sz w:val="18"/>
                <w:szCs w:val="18"/>
                <w:color w:val="auto"/>
                <w:w w:val="87"/>
              </w:rPr>
              <w:t>$</w:t>
            </w:r>
          </w:p>
        </w:tc>
        <w:tc>
          <w:tcPr>
            <w:tcW w:w="120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197</w:t>
            </w:r>
          </w:p>
        </w:tc>
        <w:tc>
          <w:tcPr>
            <w:tcW w:w="280" w:type="dxa"/>
            <w:vAlign w:val="bottom"/>
            <w:vMerge w:val="continue"/>
          </w:tcPr>
          <w:p>
            <w:pPr>
              <w:spacing w:after="0"/>
              <w:rPr>
                <w:sz w:val="18"/>
                <w:szCs w:val="18"/>
                <w:color w:val="auto"/>
              </w:rPr>
            </w:pPr>
          </w:p>
        </w:tc>
        <w:tc>
          <w:tcPr>
            <w:tcW w:w="580" w:type="dxa"/>
            <w:vAlign w:val="bottom"/>
            <w:tcBorders>
              <w:bottom w:val="single" w:sz="8" w:color="auto"/>
            </w:tcBorders>
          </w:tcPr>
          <w:p>
            <w:pPr>
              <w:jc w:val="right"/>
              <w:ind w:right="390"/>
              <w:spacing w:after="0" w:line="209" w:lineRule="exact"/>
              <w:rPr>
                <w:sz w:val="20"/>
                <w:szCs w:val="20"/>
                <w:color w:val="auto"/>
              </w:rPr>
            </w:pPr>
            <w:r>
              <w:rPr>
                <w:rFonts w:ascii="Calibri" w:cs="Calibri" w:eastAsia="Calibri" w:hAnsi="Calibri"/>
                <w:sz w:val="18"/>
                <w:szCs w:val="18"/>
                <w:color w:val="auto"/>
                <w:w w:val="87"/>
              </w:rPr>
              <w:t>$</w:t>
            </w:r>
          </w:p>
        </w:tc>
        <w:tc>
          <w:tcPr>
            <w:tcW w:w="98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213</w:t>
            </w:r>
          </w:p>
        </w:tc>
        <w:tc>
          <w:tcPr>
            <w:tcW w:w="0" w:type="dxa"/>
            <w:vAlign w:val="bottom"/>
          </w:tcPr>
          <w:p>
            <w:pPr>
              <w:spacing w:after="0"/>
              <w:rPr>
                <w:sz w:val="1"/>
                <w:szCs w:val="1"/>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sectPr>
          <w:pgSz w:w="11900" w:h="16838" w:orient="portrait"/>
          <w:cols w:equalWidth="0" w:num="2">
            <w:col w:w="6900" w:space="720"/>
            <w:col w:w="3620"/>
          </w:cols>
          <w:pgMar w:left="320" w:top="112" w:right="339" w:bottom="1440" w:gutter="0" w:footer="0" w:header="0"/>
          <w:type w:val="continuous"/>
        </w:sectPr>
      </w:pPr>
    </w:p>
    <w:p>
      <w:pPr>
        <w:ind w:right="60"/>
        <w:spacing w:after="0" w:line="235" w:lineRule="auto"/>
        <w:rPr>
          <w:sz w:val="20"/>
          <w:szCs w:val="20"/>
          <w:color w:val="auto"/>
        </w:rPr>
      </w:pPr>
      <w:r>
        <w:rPr>
          <w:rFonts w:ascii="Calibri" w:cs="Calibri" w:eastAsia="Calibri" w:hAnsi="Calibri"/>
          <w:sz w:val="18"/>
          <w:szCs w:val="18"/>
          <w:color w:val="auto"/>
        </w:rPr>
        <w:t>The Other component above consists of other miscellaneous long-term liabilites that, individually, were less than 5% of the total liabilites component in the accompanying Consolidated Statement of Financial Positon and therefore have been aggregated in accordance with Regulaton S-X.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311150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69" w:name="page70"/>
    <w:bookmarkEnd w:id="69"/>
    <w:tbl>
      <w:tblPr>
        <w:tblLayout w:type="fixed"/>
        <w:tblInd w:w="0" w:type="dxa"/>
        <w:tblCellMar>
          <w:top w:w="0" w:type="dxa"/>
          <w:left w:w="0" w:type="dxa"/>
          <w:bottom w:w="0" w:type="dxa"/>
          <w:right w:w="0" w:type="dxa"/>
        </w:tblCellMar>
      </w:tblPr>
      <w:tr>
        <w:trPr>
          <w:trHeight w:val="220"/>
        </w:trPr>
        <w:tc>
          <w:tcPr>
            <w:tcW w:w="1300" w:type="dxa"/>
            <w:vAlign w:val="bottom"/>
            <w:tcBorders>
              <w:bottom w:val="single" w:sz="8" w:color="0000FF"/>
            </w:tcBorders>
          </w:tcPr>
          <w:p>
            <w:pPr>
              <w:spacing w:after="0"/>
              <w:rPr>
                <w:sz w:val="20"/>
                <w:szCs w:val="20"/>
                <w:color w:val="auto"/>
              </w:rPr>
            </w:pPr>
            <w:r>
              <w:rPr>
                <w:rFonts w:ascii="Calibri" w:cs="Calibri" w:eastAsia="Calibri" w:hAnsi="Calibri"/>
                <w:sz w:val="18"/>
                <w:szCs w:val="18"/>
                <w:b w:val="1"/>
                <w:bCs w:val="1"/>
                <w:color w:val="0000FF"/>
                <w:w w:val="97"/>
              </w:rPr>
              <w:t>Table of Contents</w:t>
            </w:r>
          </w:p>
        </w:tc>
        <w:tc>
          <w:tcPr>
            <w:tcW w:w="1500" w:type="dxa"/>
            <w:vAlign w:val="bottom"/>
            <w:gridSpan w:val="2"/>
          </w:tcPr>
          <w:p>
            <w:pPr>
              <w:spacing w:after="0"/>
              <w:rPr>
                <w:sz w:val="19"/>
                <w:szCs w:val="19"/>
                <w:color w:val="auto"/>
              </w:rPr>
            </w:pPr>
          </w:p>
        </w:tc>
        <w:tc>
          <w:tcPr>
            <w:tcW w:w="1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928"/>
        </w:trPr>
        <w:tc>
          <w:tcPr>
            <w:tcW w:w="2800" w:type="dxa"/>
            <w:vAlign w:val="bottom"/>
            <w:gridSpan w:val="3"/>
          </w:tcPr>
          <w:p>
            <w:pPr>
              <w:spacing w:after="0"/>
              <w:rPr>
                <w:sz w:val="20"/>
                <w:szCs w:val="20"/>
                <w:color w:val="auto"/>
              </w:rPr>
            </w:pPr>
            <w:r>
              <w:rPr>
                <w:rFonts w:ascii="Calibri" w:cs="Calibri" w:eastAsia="Calibri" w:hAnsi="Calibri"/>
                <w:sz w:val="18"/>
                <w:szCs w:val="18"/>
                <w:b w:val="1"/>
                <w:bCs w:val="1"/>
                <w:color w:val="auto"/>
                <w:w w:val="99"/>
              </w:rPr>
              <w:t>NOTE 8: DEBT AND CREDIT FACILITIES</w:t>
            </w:r>
          </w:p>
        </w:tc>
        <w:tc>
          <w:tcPr>
            <w:tcW w:w="1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2"/>
        </w:trPr>
        <w:tc>
          <w:tcPr>
            <w:tcW w:w="8160" w:type="dxa"/>
            <w:vAlign w:val="bottom"/>
            <w:gridSpan w:val="10"/>
          </w:tcPr>
          <w:p>
            <w:pPr>
              <w:spacing w:after="0"/>
              <w:rPr>
                <w:sz w:val="20"/>
                <w:szCs w:val="20"/>
                <w:color w:val="auto"/>
              </w:rPr>
            </w:pPr>
            <w:r>
              <w:rPr>
                <w:rFonts w:ascii="Calibri" w:cs="Calibri" w:eastAsia="Calibri" w:hAnsi="Calibri"/>
                <w:sz w:val="18"/>
                <w:szCs w:val="18"/>
                <w:color w:val="auto"/>
                <w:w w:val="98"/>
              </w:rPr>
              <w:t>Debt and fnance leases and related maturites and interest rates were as follows at December 31, 2024 and 2023:</w:t>
            </w: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32"/>
        </w:trPr>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80" w:type="dxa"/>
            <w:vAlign w:val="bottom"/>
            <w:gridSpan w:val="2"/>
          </w:tcPr>
          <w:p>
            <w:pPr>
              <w:jc w:val="center"/>
              <w:ind w:right="160"/>
              <w:spacing w:after="0"/>
              <w:rPr>
                <w:sz w:val="20"/>
                <w:szCs w:val="20"/>
                <w:color w:val="auto"/>
              </w:rPr>
            </w:pPr>
            <w:r>
              <w:rPr>
                <w:rFonts w:ascii="Calibri" w:cs="Calibri" w:eastAsia="Calibri" w:hAnsi="Calibri"/>
                <w:sz w:val="18"/>
                <w:szCs w:val="18"/>
                <w:b w:val="1"/>
                <w:bCs w:val="1"/>
                <w:color w:val="auto"/>
                <w:w w:val="98"/>
              </w:rPr>
              <w:t>Weighted-Average</w:t>
            </w:r>
          </w:p>
        </w:tc>
        <w:tc>
          <w:tcPr>
            <w:tcW w:w="160" w:type="dxa"/>
            <w:vAlign w:val="bottom"/>
          </w:tcPr>
          <w:p>
            <w:pPr>
              <w:spacing w:after="0"/>
              <w:rPr>
                <w:sz w:val="24"/>
                <w:szCs w:val="24"/>
                <w:color w:val="auto"/>
              </w:rPr>
            </w:pPr>
          </w:p>
        </w:tc>
        <w:tc>
          <w:tcPr>
            <w:tcW w:w="3080" w:type="dxa"/>
            <w:vAlign w:val="bottom"/>
            <w:gridSpan w:val="5"/>
          </w:tcPr>
          <w:p>
            <w:pPr>
              <w:ind w:left="700"/>
              <w:spacing w:after="0"/>
              <w:rPr>
                <w:sz w:val="20"/>
                <w:szCs w:val="20"/>
                <w:color w:val="auto"/>
              </w:rPr>
            </w:pPr>
            <w:r>
              <w:rPr>
                <w:rFonts w:ascii="Calibri" w:cs="Calibri" w:eastAsia="Calibri" w:hAnsi="Calibri"/>
                <w:sz w:val="18"/>
                <w:szCs w:val="18"/>
                <w:b w:val="1"/>
                <w:bCs w:val="1"/>
                <w:color w:val="auto"/>
              </w:rPr>
              <w:t>As of December 31,</w:t>
            </w:r>
          </w:p>
        </w:tc>
      </w:tr>
      <w:tr>
        <w:trPr>
          <w:trHeight w:val="233"/>
        </w:trPr>
        <w:tc>
          <w:tcPr>
            <w:tcW w:w="1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80" w:type="dxa"/>
            <w:vAlign w:val="bottom"/>
            <w:gridSpan w:val="2"/>
          </w:tcPr>
          <w:p>
            <w:pPr>
              <w:jc w:val="center"/>
              <w:ind w:right="160"/>
              <w:spacing w:after="0"/>
              <w:rPr>
                <w:sz w:val="20"/>
                <w:szCs w:val="20"/>
                <w:color w:val="auto"/>
              </w:rPr>
            </w:pPr>
            <w:r>
              <w:rPr>
                <w:rFonts w:ascii="Calibri" w:cs="Calibri" w:eastAsia="Calibri" w:hAnsi="Calibri"/>
                <w:sz w:val="18"/>
                <w:szCs w:val="18"/>
                <w:b w:val="1"/>
                <w:bCs w:val="1"/>
                <w:color w:val="auto"/>
              </w:rPr>
              <w:t>Efectve</w:t>
            </w: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50"/>
              <w:spacing w:after="0" w:line="216" w:lineRule="exact"/>
              <w:rPr>
                <w:sz w:val="20"/>
                <w:szCs w:val="20"/>
                <w:color w:val="auto"/>
              </w:rPr>
            </w:pPr>
            <w:r>
              <w:rPr>
                <w:rFonts w:ascii="Calibri" w:cs="Calibri" w:eastAsia="Calibri" w:hAnsi="Calibri"/>
                <w:sz w:val="18"/>
                <w:szCs w:val="18"/>
                <w:b w:val="1"/>
                <w:bCs w:val="1"/>
                <w:color w:val="auto"/>
              </w:rPr>
              <w:t>2024</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line="216" w:lineRule="exact"/>
              <w:rPr>
                <w:sz w:val="20"/>
                <w:szCs w:val="20"/>
                <w:color w:val="auto"/>
              </w:rPr>
            </w:pPr>
            <w:r>
              <w:rPr>
                <w:rFonts w:ascii="Calibri" w:cs="Calibri" w:eastAsia="Calibri" w:hAnsi="Calibri"/>
                <w:sz w:val="18"/>
                <w:szCs w:val="18"/>
                <w:b w:val="1"/>
                <w:bCs w:val="1"/>
                <w:color w:val="auto"/>
              </w:rPr>
              <w:t>2023</w:t>
            </w:r>
          </w:p>
        </w:tc>
        <w:tc>
          <w:tcPr>
            <w:tcW w:w="120" w:type="dxa"/>
            <w:vAlign w:val="bottom"/>
          </w:tcPr>
          <w:p>
            <w:pPr>
              <w:spacing w:after="0"/>
              <w:rPr>
                <w:sz w:val="20"/>
                <w:szCs w:val="20"/>
                <w:color w:val="auto"/>
              </w:rPr>
            </w:pPr>
          </w:p>
        </w:tc>
      </w:tr>
      <w:tr>
        <w:trPr>
          <w:trHeight w:val="215"/>
        </w:trPr>
        <w:tc>
          <w:tcPr>
            <w:tcW w:w="2660" w:type="dxa"/>
            <w:vAlign w:val="bottom"/>
            <w:gridSpan w:val="2"/>
          </w:tcPr>
          <w:p>
            <w:pPr>
              <w:ind w:left="20"/>
              <w:spacing w:after="0" w:line="156" w:lineRule="exact"/>
              <w:rPr>
                <w:sz w:val="20"/>
                <w:szCs w:val="20"/>
                <w:color w:val="auto"/>
              </w:rPr>
            </w:pPr>
            <w:r>
              <w:rPr>
                <w:rFonts w:ascii="Calibri" w:cs="Calibri" w:eastAsia="Calibri" w:hAnsi="Calibri"/>
                <w:sz w:val="14"/>
                <w:szCs w:val="14"/>
                <w:color w:val="auto"/>
              </w:rPr>
              <w:t>(in millions)</w:t>
            </w:r>
          </w:p>
        </w:tc>
        <w:tc>
          <w:tcPr>
            <w:tcW w:w="1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center"/>
              <w:ind w:right="50"/>
              <w:spacing w:after="0" w:line="193" w:lineRule="exact"/>
              <w:rPr>
                <w:sz w:val="20"/>
                <w:szCs w:val="20"/>
                <w:color w:val="auto"/>
              </w:rPr>
            </w:pPr>
            <w:r>
              <w:rPr>
                <w:rFonts w:ascii="Calibri" w:cs="Calibri" w:eastAsia="Calibri" w:hAnsi="Calibri"/>
                <w:sz w:val="18"/>
                <w:szCs w:val="18"/>
                <w:b w:val="1"/>
                <w:bCs w:val="1"/>
                <w:color w:val="auto"/>
                <w:w w:val="99"/>
              </w:rPr>
              <w:t>Type</w:t>
            </w:r>
          </w:p>
        </w:tc>
        <w:tc>
          <w:tcPr>
            <w:tcW w:w="160" w:type="dxa"/>
            <w:vAlign w:val="bottom"/>
          </w:tcPr>
          <w:p>
            <w:pPr>
              <w:spacing w:after="0"/>
              <w:rPr>
                <w:sz w:val="18"/>
                <w:szCs w:val="18"/>
                <w:color w:val="auto"/>
              </w:rPr>
            </w:pPr>
          </w:p>
        </w:tc>
        <w:tc>
          <w:tcPr>
            <w:tcW w:w="1240" w:type="dxa"/>
            <w:vAlign w:val="bottom"/>
            <w:tcBorders>
              <w:bottom w:val="single" w:sz="8" w:color="auto"/>
            </w:tcBorders>
          </w:tcPr>
          <w:p>
            <w:pPr>
              <w:jc w:val="center"/>
              <w:spacing w:after="0" w:line="193" w:lineRule="exact"/>
              <w:rPr>
                <w:sz w:val="20"/>
                <w:szCs w:val="20"/>
                <w:color w:val="auto"/>
              </w:rPr>
            </w:pPr>
            <w:r>
              <w:rPr>
                <w:rFonts w:ascii="Calibri" w:cs="Calibri" w:eastAsia="Calibri" w:hAnsi="Calibri"/>
                <w:sz w:val="18"/>
                <w:szCs w:val="18"/>
                <w:b w:val="1"/>
                <w:bCs w:val="1"/>
                <w:color w:val="auto"/>
                <w:w w:val="96"/>
              </w:rPr>
              <w:t>Maturity</w:t>
            </w:r>
          </w:p>
        </w:tc>
        <w:tc>
          <w:tcPr>
            <w:tcW w:w="160" w:type="dxa"/>
            <w:vAlign w:val="bottom"/>
          </w:tcPr>
          <w:p>
            <w:pPr>
              <w:spacing w:after="0"/>
              <w:rPr>
                <w:sz w:val="18"/>
                <w:szCs w:val="18"/>
                <w:color w:val="auto"/>
              </w:rPr>
            </w:pPr>
          </w:p>
        </w:tc>
        <w:tc>
          <w:tcPr>
            <w:tcW w:w="1820" w:type="dxa"/>
            <w:vAlign w:val="bottom"/>
            <w:tcBorders>
              <w:bottom w:val="single" w:sz="8" w:color="auto"/>
            </w:tcBorders>
          </w:tcPr>
          <w:p>
            <w:pPr>
              <w:jc w:val="center"/>
              <w:spacing w:after="0" w:line="193" w:lineRule="exact"/>
              <w:rPr>
                <w:sz w:val="20"/>
                <w:szCs w:val="20"/>
                <w:color w:val="auto"/>
              </w:rPr>
            </w:pPr>
            <w:r>
              <w:rPr>
                <w:rFonts w:ascii="Calibri" w:cs="Calibri" w:eastAsia="Calibri" w:hAnsi="Calibri"/>
                <w:sz w:val="18"/>
                <w:szCs w:val="18"/>
                <w:b w:val="1"/>
                <w:bCs w:val="1"/>
                <w:color w:val="auto"/>
                <w:w w:val="96"/>
              </w:rPr>
              <w:t>Interest Rate</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90"/>
              <w:spacing w:after="0" w:line="215" w:lineRule="exact"/>
              <w:rPr>
                <w:sz w:val="20"/>
                <w:szCs w:val="20"/>
                <w:color w:val="auto"/>
              </w:rPr>
            </w:pPr>
            <w:r>
              <w:rPr>
                <w:rFonts w:ascii="Calibri" w:cs="Calibri" w:eastAsia="Calibri" w:hAnsi="Calibri"/>
                <w:sz w:val="18"/>
                <w:szCs w:val="18"/>
                <w:b w:val="1"/>
                <w:bCs w:val="1"/>
                <w:color w:val="auto"/>
                <w:w w:val="97"/>
              </w:rPr>
              <w:t>Carrying Value</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90"/>
              <w:spacing w:after="0" w:line="215" w:lineRule="exact"/>
              <w:rPr>
                <w:sz w:val="20"/>
                <w:szCs w:val="20"/>
                <w:color w:val="auto"/>
              </w:rPr>
            </w:pPr>
            <w:r>
              <w:rPr>
                <w:rFonts w:ascii="Calibri" w:cs="Calibri" w:eastAsia="Calibri" w:hAnsi="Calibri"/>
                <w:sz w:val="18"/>
                <w:szCs w:val="18"/>
                <w:b w:val="1"/>
                <w:bCs w:val="1"/>
                <w:color w:val="auto"/>
                <w:w w:val="98"/>
              </w:rPr>
              <w:t>Carrying Value</w:t>
            </w:r>
          </w:p>
        </w:tc>
        <w:tc>
          <w:tcPr>
            <w:tcW w:w="120" w:type="dxa"/>
            <w:vAlign w:val="bottom"/>
          </w:tcPr>
          <w:p>
            <w:pPr>
              <w:spacing w:after="0"/>
              <w:rPr>
                <w:sz w:val="18"/>
                <w:szCs w:val="18"/>
                <w:color w:val="auto"/>
              </w:rPr>
            </w:pPr>
          </w:p>
        </w:tc>
      </w:tr>
      <w:tr>
        <w:trPr>
          <w:trHeight w:val="210"/>
        </w:trPr>
        <w:tc>
          <w:tcPr>
            <w:tcW w:w="2800" w:type="dxa"/>
            <w:vAlign w:val="bottom"/>
            <w:gridSpan w:val="3"/>
            <w:shd w:val="clear" w:color="auto" w:fill="CFF0FC"/>
          </w:tcPr>
          <w:p>
            <w:pPr>
              <w:ind w:left="20"/>
              <w:spacing w:after="0" w:line="210" w:lineRule="exact"/>
              <w:rPr>
                <w:sz w:val="20"/>
                <w:szCs w:val="20"/>
                <w:color w:val="auto"/>
              </w:rPr>
            </w:pPr>
            <w:r>
              <w:rPr>
                <w:rFonts w:ascii="Calibri" w:cs="Calibri" w:eastAsia="Calibri" w:hAnsi="Calibri"/>
                <w:sz w:val="18"/>
                <w:szCs w:val="18"/>
                <w:color w:val="auto"/>
              </w:rPr>
              <w:t>Current porton:</w:t>
            </w:r>
          </w:p>
        </w:tc>
        <w:tc>
          <w:tcPr>
            <w:tcW w:w="1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5"/>
        </w:trPr>
        <w:tc>
          <w:tcPr>
            <w:tcW w:w="1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center"/>
              <w:ind w:right="50"/>
              <w:spacing w:after="0" w:line="215" w:lineRule="exact"/>
              <w:rPr>
                <w:sz w:val="20"/>
                <w:szCs w:val="20"/>
                <w:color w:val="auto"/>
              </w:rPr>
            </w:pPr>
            <w:r>
              <w:rPr>
                <w:rFonts w:ascii="Calibri" w:cs="Calibri" w:eastAsia="Calibri" w:hAnsi="Calibri"/>
                <w:sz w:val="18"/>
                <w:szCs w:val="18"/>
                <w:color w:val="auto"/>
                <w:w w:val="98"/>
              </w:rPr>
              <w:t>RED-Rochester, LLC</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980" w:type="dxa"/>
            <w:vAlign w:val="bottom"/>
            <w:gridSpan w:val="2"/>
          </w:tcPr>
          <w:p>
            <w:pPr>
              <w:jc w:val="center"/>
              <w:ind w:left="70"/>
              <w:spacing w:after="0" w:line="215" w:lineRule="exact"/>
              <w:rPr>
                <w:sz w:val="20"/>
                <w:szCs w:val="20"/>
                <w:color w:val="auto"/>
              </w:rPr>
            </w:pPr>
            <w:r>
              <w:rPr>
                <w:rFonts w:ascii="Calibri" w:cs="Calibri" w:eastAsia="Calibri" w:hAnsi="Calibri"/>
                <w:sz w:val="18"/>
                <w:szCs w:val="18"/>
                <w:color w:val="auto"/>
              </w:rPr>
              <w:t>11.46%</w:t>
            </w:r>
          </w:p>
        </w:tc>
        <w:tc>
          <w:tcPr>
            <w:tcW w:w="160" w:type="dxa"/>
            <w:vAlign w:val="bottom"/>
          </w:tcPr>
          <w:p>
            <w:pPr>
              <w:spacing w:after="0"/>
              <w:rPr>
                <w:sz w:val="18"/>
                <w:szCs w:val="18"/>
                <w:color w:val="auto"/>
              </w:rPr>
            </w:pPr>
          </w:p>
        </w:tc>
        <w:tc>
          <w:tcPr>
            <w:tcW w:w="16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260" w:type="dxa"/>
            <w:vAlign w:val="bottom"/>
          </w:tcPr>
          <w:p>
            <w:pPr>
              <w:jc w:val="right"/>
              <w:spacing w:after="0" w:line="215" w:lineRule="exact"/>
              <w:rPr>
                <w:sz w:val="20"/>
                <w:szCs w:val="20"/>
                <w:color w:val="auto"/>
              </w:rPr>
            </w:pPr>
            <w:r>
              <w:rPr>
                <w:rFonts w:ascii="Calibri" w:cs="Calibri" w:eastAsia="Calibri" w:hAnsi="Calibri"/>
                <w:sz w:val="18"/>
                <w:szCs w:val="18"/>
                <w:color w:val="auto"/>
              </w:rPr>
              <w:t>1</w:t>
            </w:r>
          </w:p>
        </w:tc>
        <w:tc>
          <w:tcPr>
            <w:tcW w:w="42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w:t>
            </w:r>
          </w:p>
        </w:tc>
        <w:tc>
          <w:tcPr>
            <w:tcW w:w="1280" w:type="dxa"/>
            <w:vAlign w:val="bottom"/>
          </w:tcPr>
          <w:p>
            <w:pPr>
              <w:jc w:val="right"/>
              <w:spacing w:after="0" w:line="215" w:lineRule="exact"/>
              <w:rPr>
                <w:sz w:val="20"/>
                <w:szCs w:val="20"/>
                <w:color w:val="auto"/>
              </w:rPr>
            </w:pPr>
            <w:r>
              <w:rPr>
                <w:rFonts w:ascii="Calibri" w:cs="Calibri" w:eastAsia="Calibri" w:hAnsi="Calibri"/>
                <w:sz w:val="18"/>
                <w:szCs w:val="18"/>
                <w:color w:val="auto"/>
              </w:rPr>
              <w:t>1</w:t>
            </w:r>
          </w:p>
        </w:tc>
        <w:tc>
          <w:tcPr>
            <w:tcW w:w="120" w:type="dxa"/>
            <w:vAlign w:val="bottom"/>
          </w:tcPr>
          <w:p>
            <w:pPr>
              <w:spacing w:after="0"/>
              <w:rPr>
                <w:sz w:val="18"/>
                <w:szCs w:val="18"/>
                <w:color w:val="auto"/>
              </w:rPr>
            </w:pPr>
          </w:p>
        </w:tc>
      </w:tr>
      <w:tr>
        <w:trPr>
          <w:trHeight w:val="209"/>
        </w:trPr>
        <w:tc>
          <w:tcPr>
            <w:tcW w:w="130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6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8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260" w:type="dxa"/>
            <w:vAlign w:val="bottom"/>
            <w:tcBorders>
              <w:top w:val="single" w:sz="8" w:color="auto"/>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1</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280" w:type="dxa"/>
            <w:vAlign w:val="bottom"/>
            <w:tcBorders>
              <w:top w:val="single" w:sz="8" w:color="auto"/>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1</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403"/>
        </w:trPr>
        <w:tc>
          <w:tcPr>
            <w:tcW w:w="2800" w:type="dxa"/>
            <w:vAlign w:val="bottom"/>
            <w:gridSpan w:val="3"/>
          </w:tcPr>
          <w:p>
            <w:pPr>
              <w:ind w:left="20"/>
              <w:spacing w:after="0"/>
              <w:rPr>
                <w:sz w:val="20"/>
                <w:szCs w:val="20"/>
                <w:color w:val="auto"/>
              </w:rPr>
            </w:pPr>
            <w:r>
              <w:rPr>
                <w:rFonts w:ascii="Calibri" w:cs="Calibri" w:eastAsia="Calibri" w:hAnsi="Calibri"/>
                <w:sz w:val="18"/>
                <w:szCs w:val="18"/>
                <w:color w:val="auto"/>
              </w:rPr>
              <w:t>Non-current porton:</w:t>
            </w:r>
          </w:p>
        </w:tc>
        <w:tc>
          <w:tcPr>
            <w:tcW w:w="1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
        </w:trPr>
        <w:tc>
          <w:tcPr>
            <w:tcW w:w="1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13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jc w:val="center"/>
              <w:ind w:right="50"/>
              <w:spacing w:after="0" w:line="215" w:lineRule="exact"/>
              <w:rPr>
                <w:sz w:val="20"/>
                <w:szCs w:val="20"/>
                <w:color w:val="auto"/>
              </w:rPr>
            </w:pPr>
            <w:r>
              <w:rPr>
                <w:rFonts w:ascii="Calibri" w:cs="Calibri" w:eastAsia="Calibri" w:hAnsi="Calibri"/>
                <w:sz w:val="18"/>
                <w:szCs w:val="18"/>
                <w:color w:val="auto"/>
                <w:w w:val="99"/>
              </w:rPr>
              <w:t>Term Loans</w:t>
            </w:r>
          </w:p>
        </w:tc>
        <w:tc>
          <w:tcPr>
            <w:tcW w:w="1400" w:type="dxa"/>
            <w:vAlign w:val="bottom"/>
            <w:gridSpan w:val="2"/>
            <w:shd w:val="clear" w:color="auto" w:fill="CFF0FC"/>
          </w:tcPr>
          <w:p>
            <w:pPr>
              <w:jc w:val="center"/>
              <w:ind w:left="70"/>
              <w:spacing w:after="0" w:line="215" w:lineRule="exact"/>
              <w:rPr>
                <w:sz w:val="20"/>
                <w:szCs w:val="20"/>
                <w:color w:val="auto"/>
              </w:rPr>
            </w:pPr>
            <w:r>
              <w:rPr>
                <w:rFonts w:ascii="Calibri" w:cs="Calibri" w:eastAsia="Calibri" w:hAnsi="Calibri"/>
                <w:sz w:val="18"/>
                <w:szCs w:val="18"/>
                <w:color w:val="auto"/>
                <w:w w:val="98"/>
              </w:rPr>
              <w:t>2028</w:t>
            </w:r>
          </w:p>
        </w:tc>
        <w:tc>
          <w:tcPr>
            <w:tcW w:w="1980" w:type="dxa"/>
            <w:vAlign w:val="bottom"/>
            <w:gridSpan w:val="2"/>
            <w:shd w:val="clear" w:color="auto" w:fill="CFF0FC"/>
          </w:tcPr>
          <w:p>
            <w:pPr>
              <w:jc w:val="center"/>
              <w:ind w:left="70"/>
              <w:spacing w:after="0" w:line="215" w:lineRule="exact"/>
              <w:rPr>
                <w:sz w:val="20"/>
                <w:szCs w:val="20"/>
                <w:color w:val="auto"/>
              </w:rPr>
            </w:pPr>
            <w:r>
              <w:rPr>
                <w:rFonts w:ascii="Calibri" w:cs="Calibri" w:eastAsia="Calibri" w:hAnsi="Calibri"/>
                <w:sz w:val="18"/>
                <w:szCs w:val="18"/>
                <w:color w:val="auto"/>
              </w:rPr>
              <w:t>13.48%</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455</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446</w:t>
            </w:r>
          </w:p>
        </w:tc>
        <w:tc>
          <w:tcPr>
            <w:tcW w:w="120" w:type="dxa"/>
            <w:vAlign w:val="bottom"/>
            <w:shd w:val="clear" w:color="auto" w:fill="CFF0FC"/>
          </w:tcPr>
          <w:p>
            <w:pPr>
              <w:spacing w:after="0"/>
              <w:rPr>
                <w:sz w:val="18"/>
                <w:szCs w:val="18"/>
                <w:color w:val="auto"/>
              </w:rPr>
            </w:pPr>
          </w:p>
        </w:tc>
      </w:tr>
      <w:tr>
        <w:trPr>
          <w:trHeight w:val="215"/>
        </w:trPr>
        <w:tc>
          <w:tcPr>
            <w:tcW w:w="1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center"/>
              <w:ind w:right="50"/>
              <w:spacing w:after="0" w:line="215" w:lineRule="exact"/>
              <w:rPr>
                <w:sz w:val="20"/>
                <w:szCs w:val="20"/>
                <w:color w:val="auto"/>
              </w:rPr>
            </w:pPr>
            <w:r>
              <w:rPr>
                <w:rFonts w:ascii="Calibri" w:cs="Calibri" w:eastAsia="Calibri" w:hAnsi="Calibri"/>
                <w:sz w:val="18"/>
                <w:szCs w:val="18"/>
                <w:color w:val="auto"/>
                <w:w w:val="98"/>
              </w:rPr>
              <w:t>RED-Rochester, LLC</w:t>
            </w:r>
          </w:p>
        </w:tc>
        <w:tc>
          <w:tcPr>
            <w:tcW w:w="1400" w:type="dxa"/>
            <w:vAlign w:val="bottom"/>
            <w:gridSpan w:val="2"/>
          </w:tcPr>
          <w:p>
            <w:pPr>
              <w:jc w:val="center"/>
              <w:ind w:left="70"/>
              <w:spacing w:after="0" w:line="215" w:lineRule="exact"/>
              <w:rPr>
                <w:sz w:val="20"/>
                <w:szCs w:val="20"/>
                <w:color w:val="auto"/>
              </w:rPr>
            </w:pPr>
            <w:r>
              <w:rPr>
                <w:rFonts w:ascii="Calibri" w:cs="Calibri" w:eastAsia="Calibri" w:hAnsi="Calibri"/>
                <w:sz w:val="18"/>
                <w:szCs w:val="18"/>
                <w:color w:val="auto"/>
                <w:w w:val="98"/>
              </w:rPr>
              <w:t>2033</w:t>
            </w:r>
          </w:p>
        </w:tc>
        <w:tc>
          <w:tcPr>
            <w:tcW w:w="1980" w:type="dxa"/>
            <w:vAlign w:val="bottom"/>
            <w:gridSpan w:val="2"/>
          </w:tcPr>
          <w:p>
            <w:pPr>
              <w:jc w:val="center"/>
              <w:ind w:left="70"/>
              <w:spacing w:after="0" w:line="215" w:lineRule="exact"/>
              <w:rPr>
                <w:sz w:val="20"/>
                <w:szCs w:val="20"/>
                <w:color w:val="auto"/>
              </w:rPr>
            </w:pPr>
            <w:r>
              <w:rPr>
                <w:rFonts w:ascii="Calibri" w:cs="Calibri" w:eastAsia="Calibri" w:hAnsi="Calibri"/>
                <w:sz w:val="18"/>
                <w:szCs w:val="18"/>
                <w:color w:val="auto"/>
              </w:rPr>
              <w:t>11.46%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line="215" w:lineRule="exact"/>
              <w:rPr>
                <w:sz w:val="20"/>
                <w:szCs w:val="20"/>
                <w:color w:val="auto"/>
              </w:rPr>
            </w:pPr>
            <w:r>
              <w:rPr>
                <w:rFonts w:ascii="Calibri" w:cs="Calibri" w:eastAsia="Calibri" w:hAnsi="Calibri"/>
                <w:sz w:val="18"/>
                <w:szCs w:val="18"/>
                <w:color w:val="auto"/>
              </w:rPr>
              <w:t>10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line="215" w:lineRule="exact"/>
              <w:rPr>
                <w:sz w:val="20"/>
                <w:szCs w:val="20"/>
                <w:color w:val="auto"/>
              </w:rPr>
            </w:pPr>
            <w:r>
              <w:rPr>
                <w:rFonts w:ascii="Calibri" w:cs="Calibri" w:eastAsia="Calibri" w:hAnsi="Calibri"/>
                <w:sz w:val="18"/>
                <w:szCs w:val="18"/>
                <w:color w:val="auto"/>
              </w:rPr>
              <w:t>10</w:t>
            </w:r>
          </w:p>
        </w:tc>
        <w:tc>
          <w:tcPr>
            <w:tcW w:w="120" w:type="dxa"/>
            <w:vAlign w:val="bottom"/>
          </w:tcPr>
          <w:p>
            <w:pPr>
              <w:spacing w:after="0"/>
              <w:rPr>
                <w:sz w:val="18"/>
                <w:szCs w:val="18"/>
                <w:color w:val="auto"/>
              </w:rPr>
            </w:pPr>
          </w:p>
        </w:tc>
      </w:tr>
      <w:tr>
        <w:trPr>
          <w:trHeight w:val="216"/>
        </w:trPr>
        <w:tc>
          <w:tcPr>
            <w:tcW w:w="130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660" w:type="dxa"/>
            <w:vAlign w:val="bottom"/>
            <w:tcBorders>
              <w:bottom w:val="single" w:sz="8" w:color="CFF0FC"/>
            </w:tcBorders>
            <w:shd w:val="clear" w:color="auto" w:fill="CFF0FC"/>
          </w:tcPr>
          <w:p>
            <w:pPr>
              <w:jc w:val="center"/>
              <w:ind w:right="50"/>
              <w:spacing w:after="0" w:line="216" w:lineRule="exact"/>
              <w:rPr>
                <w:sz w:val="20"/>
                <w:szCs w:val="20"/>
                <w:color w:val="auto"/>
              </w:rPr>
            </w:pPr>
            <w:r>
              <w:rPr>
                <w:rFonts w:ascii="Calibri" w:cs="Calibri" w:eastAsia="Calibri" w:hAnsi="Calibri"/>
                <w:sz w:val="18"/>
                <w:szCs w:val="18"/>
                <w:color w:val="auto"/>
                <w:w w:val="99"/>
              </w:rPr>
              <w:t>Finance Leases</w:t>
            </w:r>
          </w:p>
        </w:tc>
        <w:tc>
          <w:tcPr>
            <w:tcW w:w="16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CFF0FC"/>
            </w:tcBorders>
            <w:shd w:val="clear" w:color="auto" w:fill="CFF0FC"/>
          </w:tcPr>
          <w:p>
            <w:pPr>
              <w:jc w:val="center"/>
              <w:spacing w:after="0" w:line="216" w:lineRule="exact"/>
              <w:rPr>
                <w:sz w:val="20"/>
                <w:szCs w:val="20"/>
                <w:color w:val="auto"/>
              </w:rPr>
            </w:pPr>
            <w:r>
              <w:rPr>
                <w:rFonts w:ascii="Calibri" w:cs="Calibri" w:eastAsia="Calibri" w:hAnsi="Calibri"/>
                <w:sz w:val="18"/>
                <w:szCs w:val="18"/>
                <w:color w:val="auto"/>
                <w:w w:val="97"/>
              </w:rPr>
              <w:t>Various</w:t>
            </w:r>
          </w:p>
        </w:tc>
        <w:tc>
          <w:tcPr>
            <w:tcW w:w="160" w:type="dxa"/>
            <w:vAlign w:val="bottom"/>
            <w:tcBorders>
              <w:bottom w:val="single" w:sz="8" w:color="CFF0FC"/>
            </w:tcBorders>
            <w:shd w:val="clear" w:color="auto" w:fill="CFF0FC"/>
          </w:tcPr>
          <w:p>
            <w:pPr>
              <w:spacing w:after="0"/>
              <w:rPr>
                <w:sz w:val="18"/>
                <w:szCs w:val="18"/>
                <w:color w:val="auto"/>
              </w:rPr>
            </w:pPr>
          </w:p>
        </w:tc>
        <w:tc>
          <w:tcPr>
            <w:tcW w:w="1980" w:type="dxa"/>
            <w:vAlign w:val="bottom"/>
            <w:tcBorders>
              <w:bottom w:val="single" w:sz="8" w:color="CFF0FC"/>
            </w:tcBorders>
            <w:gridSpan w:val="2"/>
            <w:shd w:val="clear" w:color="auto" w:fill="CFF0FC"/>
          </w:tcPr>
          <w:p>
            <w:pPr>
              <w:jc w:val="center"/>
              <w:ind w:right="160"/>
              <w:spacing w:after="0" w:line="216" w:lineRule="exact"/>
              <w:rPr>
                <w:sz w:val="20"/>
                <w:szCs w:val="20"/>
                <w:color w:val="auto"/>
              </w:rPr>
            </w:pPr>
            <w:r>
              <w:rPr>
                <w:rFonts w:ascii="Calibri" w:cs="Calibri" w:eastAsia="Calibri" w:hAnsi="Calibri"/>
                <w:sz w:val="18"/>
                <w:szCs w:val="18"/>
                <w:color w:val="auto"/>
                <w:w w:val="97"/>
              </w:rPr>
              <w:t>Various</w:t>
            </w:r>
          </w:p>
        </w:tc>
        <w:tc>
          <w:tcPr>
            <w:tcW w:w="16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1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466</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457</w:t>
            </w:r>
          </w:p>
        </w:tc>
        <w:tc>
          <w:tcPr>
            <w:tcW w:w="120" w:type="dxa"/>
            <w:vAlign w:val="bottom"/>
          </w:tcPr>
          <w:p>
            <w:pPr>
              <w:spacing w:after="0"/>
              <w:rPr>
                <w:sz w:val="18"/>
                <w:szCs w:val="18"/>
                <w:color w:val="auto"/>
              </w:rPr>
            </w:pPr>
          </w:p>
        </w:tc>
      </w:tr>
      <w:tr>
        <w:trPr>
          <w:trHeight w:val="249"/>
        </w:trPr>
        <w:tc>
          <w:tcPr>
            <w:tcW w:w="130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6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8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w w:val="87"/>
              </w:rPr>
              <w:t>$</w:t>
            </w:r>
          </w:p>
        </w:tc>
        <w:tc>
          <w:tcPr>
            <w:tcW w:w="126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467</w:t>
            </w: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w:t>
            </w:r>
          </w:p>
        </w:tc>
        <w:tc>
          <w:tcPr>
            <w:tcW w:w="128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458</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-1010920</wp:posOffset>
            </wp:positionV>
            <wp:extent cx="6858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-1010920</wp:posOffset>
            </wp:positionV>
            <wp:extent cx="7747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-316230</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-316230</wp:posOffset>
            </wp:positionV>
            <wp:extent cx="7747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-25400</wp:posOffset>
            </wp:positionV>
            <wp:extent cx="6858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-7620</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620" w:type="dxa"/>
            <w:vAlign w:val="bottom"/>
          </w:tcPr>
          <w:p>
            <w:pPr>
              <w:spacing w:after="0"/>
              <w:rPr>
                <w:sz w:val="20"/>
                <w:szCs w:val="20"/>
                <w:color w:val="auto"/>
              </w:rPr>
            </w:pPr>
            <w:r>
              <w:rPr>
                <w:rFonts w:ascii="Calibri" w:cs="Calibri" w:eastAsia="Calibri" w:hAnsi="Calibri"/>
                <w:sz w:val="18"/>
                <w:szCs w:val="18"/>
                <w:color w:val="auto"/>
              </w:rPr>
              <w:t>Annual maturites of debt and fnance leases outstanding at December 31, 2024 were as follows:</w:t>
            </w:r>
          </w:p>
        </w:tc>
        <w:tc>
          <w:tcPr>
            <w:tcW w:w="1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32"/>
        </w:trPr>
        <w:tc>
          <w:tcPr>
            <w:tcW w:w="7620" w:type="dxa"/>
            <w:vAlign w:val="bottom"/>
          </w:tcPr>
          <w:p>
            <w:pPr>
              <w:spacing w:after="0"/>
              <w:rPr>
                <w:sz w:val="24"/>
                <w:szCs w:val="24"/>
                <w:color w:val="auto"/>
              </w:rPr>
            </w:pPr>
          </w:p>
        </w:tc>
        <w:tc>
          <w:tcPr>
            <w:tcW w:w="1180" w:type="dxa"/>
            <w:vAlign w:val="bottom"/>
          </w:tcPr>
          <w:p>
            <w:pPr>
              <w:jc w:val="center"/>
              <w:ind w:left="290"/>
              <w:spacing w:after="0"/>
              <w:rPr>
                <w:sz w:val="20"/>
                <w:szCs w:val="20"/>
                <w:color w:val="auto"/>
              </w:rPr>
            </w:pPr>
            <w:r>
              <w:rPr>
                <w:rFonts w:ascii="Calibri" w:cs="Calibri" w:eastAsia="Calibri" w:hAnsi="Calibri"/>
                <w:sz w:val="18"/>
                <w:szCs w:val="18"/>
                <w:b w:val="1"/>
                <w:bCs w:val="1"/>
                <w:color w:val="auto"/>
                <w:w w:val="96"/>
              </w:rPr>
              <w:t>Carrying</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gridSpan w:val="2"/>
          </w:tcPr>
          <w:p>
            <w:pPr>
              <w:jc w:val="center"/>
              <w:ind w:right="380"/>
              <w:spacing w:after="0"/>
              <w:rPr>
                <w:sz w:val="20"/>
                <w:szCs w:val="20"/>
                <w:color w:val="auto"/>
              </w:rPr>
            </w:pPr>
            <w:r>
              <w:rPr>
                <w:rFonts w:ascii="Calibri" w:cs="Calibri" w:eastAsia="Calibri" w:hAnsi="Calibri"/>
                <w:sz w:val="18"/>
                <w:szCs w:val="18"/>
                <w:b w:val="1"/>
                <w:bCs w:val="1"/>
                <w:color w:val="auto"/>
                <w:w w:val="96"/>
              </w:rPr>
              <w:t>Maturity</w:t>
            </w:r>
          </w:p>
        </w:tc>
      </w:tr>
      <w:tr>
        <w:trPr>
          <w:trHeight w:val="216"/>
        </w:trPr>
        <w:tc>
          <w:tcPr>
            <w:tcW w:w="7620" w:type="dxa"/>
            <w:vAlign w:val="bottom"/>
          </w:tcPr>
          <w:p>
            <w:pPr>
              <w:ind w:left="20"/>
              <w:spacing w:after="0"/>
              <w:rPr>
                <w:sz w:val="20"/>
                <w:szCs w:val="20"/>
                <w:color w:val="auto"/>
              </w:rPr>
            </w:pPr>
            <w:r>
              <w:rPr>
                <w:rFonts w:ascii="Calibri" w:cs="Calibri" w:eastAsia="Calibri" w:hAnsi="Calibri"/>
                <w:sz w:val="14"/>
                <w:szCs w:val="14"/>
                <w:color w:val="auto"/>
              </w:rPr>
              <w:t>(in millions)</w:t>
            </w:r>
          </w:p>
        </w:tc>
        <w:tc>
          <w:tcPr>
            <w:tcW w:w="1180" w:type="dxa"/>
            <w:vAlign w:val="bottom"/>
          </w:tcPr>
          <w:p>
            <w:pPr>
              <w:jc w:val="center"/>
              <w:ind w:left="290"/>
              <w:spacing w:after="0" w:line="216" w:lineRule="exact"/>
              <w:rPr>
                <w:sz w:val="20"/>
                <w:szCs w:val="20"/>
                <w:color w:val="auto"/>
              </w:rPr>
            </w:pPr>
            <w:r>
              <w:rPr>
                <w:rFonts w:ascii="Calibri" w:cs="Calibri" w:eastAsia="Calibri" w:hAnsi="Calibri"/>
                <w:sz w:val="18"/>
                <w:szCs w:val="18"/>
                <w:b w:val="1"/>
                <w:bCs w:val="1"/>
                <w:color w:val="auto"/>
                <w:w w:val="93"/>
              </w:rPr>
              <w:t>Value</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center"/>
              <w:ind w:right="400"/>
              <w:spacing w:after="0" w:line="216" w:lineRule="exact"/>
              <w:rPr>
                <w:sz w:val="20"/>
                <w:szCs w:val="20"/>
                <w:color w:val="auto"/>
              </w:rPr>
            </w:pPr>
            <w:r>
              <w:rPr>
                <w:rFonts w:ascii="Calibri" w:cs="Calibri" w:eastAsia="Calibri" w:hAnsi="Calibri"/>
                <w:sz w:val="18"/>
                <w:szCs w:val="18"/>
                <w:b w:val="1"/>
                <w:bCs w:val="1"/>
                <w:color w:val="auto"/>
                <w:w w:val="98"/>
              </w:rPr>
              <w:t>Value</w:t>
            </w:r>
          </w:p>
        </w:tc>
      </w:tr>
      <w:tr>
        <w:trPr>
          <w:trHeight w:val="23"/>
        </w:trPr>
        <w:tc>
          <w:tcPr>
            <w:tcW w:w="76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9"/>
        </w:trPr>
        <w:tc>
          <w:tcPr>
            <w:tcW w:w="7620" w:type="dxa"/>
            <w:vAlign w:val="bottom"/>
            <w:shd w:val="clear" w:color="auto" w:fill="CFF0FC"/>
          </w:tcPr>
          <w:p>
            <w:pPr>
              <w:ind w:left="20"/>
              <w:spacing w:after="0" w:line="209" w:lineRule="exact"/>
              <w:rPr>
                <w:sz w:val="20"/>
                <w:szCs w:val="20"/>
                <w:color w:val="auto"/>
              </w:rPr>
            </w:pPr>
            <w:r>
              <w:rPr>
                <w:rFonts w:ascii="Calibri" w:cs="Calibri" w:eastAsia="Calibri" w:hAnsi="Calibri"/>
                <w:sz w:val="18"/>
                <w:szCs w:val="18"/>
                <w:color w:val="auto"/>
              </w:rPr>
              <w:t>2025</w:t>
            </w:r>
          </w:p>
        </w:tc>
        <w:tc>
          <w:tcPr>
            <w:tcW w:w="118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1</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1</w:t>
            </w:r>
          </w:p>
        </w:tc>
        <w:tc>
          <w:tcPr>
            <w:tcW w:w="100" w:type="dxa"/>
            <w:vAlign w:val="bottom"/>
            <w:shd w:val="clear" w:color="auto" w:fill="CFF0FC"/>
          </w:tcPr>
          <w:p>
            <w:pPr>
              <w:spacing w:after="0"/>
              <w:rPr>
                <w:sz w:val="18"/>
                <w:szCs w:val="18"/>
                <w:color w:val="auto"/>
              </w:rPr>
            </w:pPr>
          </w:p>
        </w:tc>
      </w:tr>
      <w:tr>
        <w:trPr>
          <w:trHeight w:val="215"/>
        </w:trPr>
        <w:tc>
          <w:tcPr>
            <w:tcW w:w="7620" w:type="dxa"/>
            <w:vAlign w:val="bottom"/>
          </w:tcPr>
          <w:p>
            <w:pPr>
              <w:ind w:left="20"/>
              <w:spacing w:after="0" w:line="215" w:lineRule="exact"/>
              <w:rPr>
                <w:sz w:val="20"/>
                <w:szCs w:val="20"/>
                <w:color w:val="auto"/>
              </w:rPr>
            </w:pPr>
            <w:r>
              <w:rPr>
                <w:rFonts w:ascii="Calibri" w:cs="Calibri" w:eastAsia="Calibri" w:hAnsi="Calibri"/>
                <w:sz w:val="18"/>
                <w:szCs w:val="18"/>
                <w:color w:val="auto"/>
              </w:rPr>
              <w:t>2026</w:t>
            </w:r>
          </w:p>
        </w:tc>
        <w:tc>
          <w:tcPr>
            <w:tcW w:w="1180" w:type="dxa"/>
            <w:vAlign w:val="bottom"/>
          </w:tcPr>
          <w:p>
            <w:pPr>
              <w:spacing w:after="0"/>
              <w:rPr>
                <w:sz w:val="18"/>
                <w:szCs w:val="18"/>
                <w:color w:val="auto"/>
              </w:rPr>
            </w:pPr>
          </w:p>
        </w:tc>
        <w:tc>
          <w:tcPr>
            <w:tcW w:w="380" w:type="dxa"/>
            <w:vAlign w:val="bottom"/>
          </w:tcPr>
          <w:p>
            <w:pPr>
              <w:jc w:val="right"/>
              <w:spacing w:after="0" w:line="215" w:lineRule="exact"/>
              <w:rPr>
                <w:sz w:val="20"/>
                <w:szCs w:val="20"/>
                <w:color w:val="auto"/>
              </w:rPr>
            </w:pPr>
            <w:r>
              <w:rPr>
                <w:rFonts w:ascii="Calibri" w:cs="Calibri" w:eastAsia="Calibri" w:hAnsi="Calibri"/>
                <w:sz w:val="18"/>
                <w:szCs w:val="18"/>
                <w:color w:val="auto"/>
              </w:rPr>
              <w:t>1</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line="215" w:lineRule="exact"/>
              <w:rPr>
                <w:sz w:val="20"/>
                <w:szCs w:val="20"/>
                <w:color w:val="auto"/>
              </w:rPr>
            </w:pPr>
            <w:r>
              <w:rPr>
                <w:rFonts w:ascii="Calibri" w:cs="Calibri" w:eastAsia="Calibri" w:hAnsi="Calibri"/>
                <w:sz w:val="18"/>
                <w:szCs w:val="18"/>
                <w:color w:val="auto"/>
              </w:rPr>
              <w:t>1</w:t>
            </w:r>
          </w:p>
        </w:tc>
        <w:tc>
          <w:tcPr>
            <w:tcW w:w="100" w:type="dxa"/>
            <w:vAlign w:val="bottom"/>
          </w:tcPr>
          <w:p>
            <w:pPr>
              <w:spacing w:after="0"/>
              <w:rPr>
                <w:sz w:val="18"/>
                <w:szCs w:val="18"/>
                <w:color w:val="auto"/>
              </w:rPr>
            </w:pPr>
          </w:p>
        </w:tc>
      </w:tr>
      <w:tr>
        <w:trPr>
          <w:trHeight w:val="217"/>
        </w:trPr>
        <w:tc>
          <w:tcPr>
            <w:tcW w:w="762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2027</w:t>
            </w:r>
          </w:p>
        </w:tc>
        <w:tc>
          <w:tcPr>
            <w:tcW w:w="118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w:t>
            </w:r>
          </w:p>
        </w:tc>
        <w:tc>
          <w:tcPr>
            <w:tcW w:w="100" w:type="dxa"/>
            <w:vAlign w:val="bottom"/>
            <w:shd w:val="clear" w:color="auto" w:fill="CFF0FC"/>
          </w:tcPr>
          <w:p>
            <w:pPr>
              <w:spacing w:after="0"/>
              <w:rPr>
                <w:sz w:val="18"/>
                <w:szCs w:val="18"/>
                <w:color w:val="auto"/>
              </w:rPr>
            </w:pPr>
          </w:p>
        </w:tc>
      </w:tr>
      <w:tr>
        <w:trPr>
          <w:trHeight w:val="215"/>
        </w:trPr>
        <w:tc>
          <w:tcPr>
            <w:tcW w:w="7620" w:type="dxa"/>
            <w:vAlign w:val="bottom"/>
          </w:tcPr>
          <w:p>
            <w:pPr>
              <w:ind w:left="20"/>
              <w:spacing w:after="0" w:line="215" w:lineRule="exact"/>
              <w:rPr>
                <w:sz w:val="20"/>
                <w:szCs w:val="20"/>
                <w:color w:val="auto"/>
              </w:rPr>
            </w:pPr>
            <w:r>
              <w:rPr>
                <w:rFonts w:ascii="Calibri" w:cs="Calibri" w:eastAsia="Calibri" w:hAnsi="Calibri"/>
                <w:sz w:val="18"/>
                <w:szCs w:val="18"/>
                <w:color w:val="auto"/>
              </w:rPr>
              <w:t>2028</w:t>
            </w:r>
          </w:p>
        </w:tc>
        <w:tc>
          <w:tcPr>
            <w:tcW w:w="1180" w:type="dxa"/>
            <w:vAlign w:val="bottom"/>
          </w:tcPr>
          <w:p>
            <w:pPr>
              <w:spacing w:after="0"/>
              <w:rPr>
                <w:sz w:val="18"/>
                <w:szCs w:val="18"/>
                <w:color w:val="auto"/>
              </w:rPr>
            </w:pPr>
          </w:p>
        </w:tc>
        <w:tc>
          <w:tcPr>
            <w:tcW w:w="380" w:type="dxa"/>
            <w:vAlign w:val="bottom"/>
          </w:tcPr>
          <w:p>
            <w:pPr>
              <w:jc w:val="right"/>
              <w:spacing w:after="0" w:line="215" w:lineRule="exact"/>
              <w:rPr>
                <w:sz w:val="20"/>
                <w:szCs w:val="20"/>
                <w:color w:val="auto"/>
              </w:rPr>
            </w:pPr>
            <w:r>
              <w:rPr>
                <w:rFonts w:ascii="Calibri" w:cs="Calibri" w:eastAsia="Calibri" w:hAnsi="Calibri"/>
                <w:sz w:val="18"/>
                <w:szCs w:val="18"/>
                <w:color w:val="auto"/>
              </w:rPr>
              <w:t>456</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line="215" w:lineRule="exact"/>
              <w:rPr>
                <w:sz w:val="20"/>
                <w:szCs w:val="20"/>
                <w:color w:val="auto"/>
              </w:rPr>
            </w:pPr>
            <w:r>
              <w:rPr>
                <w:rFonts w:ascii="Calibri" w:cs="Calibri" w:eastAsia="Calibri" w:hAnsi="Calibri"/>
                <w:sz w:val="18"/>
                <w:szCs w:val="18"/>
                <w:color w:val="auto"/>
              </w:rPr>
              <w:t>561</w:t>
            </w:r>
          </w:p>
        </w:tc>
        <w:tc>
          <w:tcPr>
            <w:tcW w:w="100" w:type="dxa"/>
            <w:vAlign w:val="bottom"/>
          </w:tcPr>
          <w:p>
            <w:pPr>
              <w:spacing w:after="0"/>
              <w:rPr>
                <w:sz w:val="18"/>
                <w:szCs w:val="18"/>
                <w:color w:val="auto"/>
              </w:rPr>
            </w:pPr>
          </w:p>
        </w:tc>
      </w:tr>
      <w:tr>
        <w:trPr>
          <w:trHeight w:val="217"/>
        </w:trPr>
        <w:tc>
          <w:tcPr>
            <w:tcW w:w="762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2029</w:t>
            </w:r>
          </w:p>
        </w:tc>
        <w:tc>
          <w:tcPr>
            <w:tcW w:w="118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w:t>
            </w:r>
          </w:p>
        </w:tc>
        <w:tc>
          <w:tcPr>
            <w:tcW w:w="100" w:type="dxa"/>
            <w:vAlign w:val="bottom"/>
            <w:shd w:val="clear" w:color="auto" w:fill="CFF0FC"/>
          </w:tcPr>
          <w:p>
            <w:pPr>
              <w:spacing w:after="0"/>
              <w:rPr>
                <w:sz w:val="18"/>
                <w:szCs w:val="18"/>
                <w:color w:val="auto"/>
              </w:rPr>
            </w:pPr>
          </w:p>
        </w:tc>
      </w:tr>
      <w:tr>
        <w:trPr>
          <w:trHeight w:val="215"/>
        </w:trPr>
        <w:tc>
          <w:tcPr>
            <w:tcW w:w="7620" w:type="dxa"/>
            <w:vAlign w:val="bottom"/>
          </w:tcPr>
          <w:p>
            <w:pPr>
              <w:ind w:left="20"/>
              <w:spacing w:after="0" w:line="215" w:lineRule="exact"/>
              <w:rPr>
                <w:sz w:val="20"/>
                <w:szCs w:val="20"/>
                <w:color w:val="auto"/>
              </w:rPr>
            </w:pPr>
            <w:r>
              <w:rPr>
                <w:rFonts w:ascii="Calibri" w:cs="Calibri" w:eastAsia="Calibri" w:hAnsi="Calibri"/>
                <w:sz w:val="18"/>
                <w:szCs w:val="18"/>
                <w:color w:val="auto"/>
              </w:rPr>
              <w:t>2030 and thereafer</w:t>
            </w:r>
          </w:p>
        </w:tc>
        <w:tc>
          <w:tcPr>
            <w:tcW w:w="11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6</w:t>
            </w:r>
          </w:p>
        </w:tc>
        <w:tc>
          <w:tcPr>
            <w:tcW w:w="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6</w:t>
            </w:r>
          </w:p>
        </w:tc>
        <w:tc>
          <w:tcPr>
            <w:tcW w:w="100" w:type="dxa"/>
            <w:vAlign w:val="bottom"/>
          </w:tcPr>
          <w:p>
            <w:pPr>
              <w:spacing w:after="0"/>
              <w:rPr>
                <w:sz w:val="18"/>
                <w:szCs w:val="18"/>
                <w:color w:val="auto"/>
              </w:rPr>
            </w:pPr>
          </w:p>
        </w:tc>
      </w:tr>
      <w:tr>
        <w:trPr>
          <w:trHeight w:val="250"/>
        </w:trPr>
        <w:tc>
          <w:tcPr>
            <w:tcW w:w="7620" w:type="dxa"/>
            <w:vAlign w:val="bottom"/>
            <w:tcBorders>
              <w:bottom w:val="single" w:sz="8" w:color="CFF0FC"/>
            </w:tcBorders>
            <w:shd w:val="clear" w:color="auto" w:fill="CFF0FC"/>
          </w:tcPr>
          <w:p>
            <w:pPr>
              <w:ind w:left="120"/>
              <w:spacing w:after="0" w:line="210" w:lineRule="exact"/>
              <w:rPr>
                <w:sz w:val="20"/>
                <w:szCs w:val="20"/>
                <w:color w:val="auto"/>
              </w:rPr>
            </w:pPr>
            <w:r>
              <w:rPr>
                <w:rFonts w:ascii="Calibri" w:cs="Calibri" w:eastAsia="Calibri" w:hAnsi="Calibri"/>
                <w:sz w:val="18"/>
                <w:szCs w:val="18"/>
                <w:color w:val="auto"/>
              </w:rPr>
              <w:t>Total</w:t>
            </w:r>
          </w:p>
        </w:tc>
        <w:tc>
          <w:tcPr>
            <w:tcW w:w="1180" w:type="dxa"/>
            <w:vAlign w:val="bottom"/>
            <w:tcBorders>
              <w:bottom w:val="single" w:sz="8" w:color="auto"/>
            </w:tcBorders>
            <w:shd w:val="clear" w:color="auto" w:fill="CFF0FC"/>
          </w:tcPr>
          <w:p>
            <w:pPr>
              <w:jc w:val="right"/>
              <w:ind w:right="990"/>
              <w:spacing w:after="0" w:line="210" w:lineRule="exact"/>
              <w:rPr>
                <w:sz w:val="20"/>
                <w:szCs w:val="20"/>
                <w:color w:val="auto"/>
              </w:rPr>
            </w:pPr>
            <w:r>
              <w:rPr>
                <w:rFonts w:ascii="Calibri" w:cs="Calibri" w:eastAsia="Calibri" w:hAnsi="Calibri"/>
                <w:sz w:val="18"/>
                <w:szCs w:val="18"/>
                <w:color w:val="auto"/>
                <w:w w:val="87"/>
              </w:rPr>
              <w:t>$</w:t>
            </w:r>
          </w:p>
        </w:tc>
        <w:tc>
          <w:tcPr>
            <w:tcW w:w="380" w:type="dxa"/>
            <w:vAlign w:val="bottom"/>
            <w:tcBorders>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467</w:t>
            </w:r>
          </w:p>
        </w:tc>
        <w:tc>
          <w:tcPr>
            <w:tcW w:w="2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line="210" w:lineRule="exact"/>
              <w:rPr>
                <w:sz w:val="20"/>
                <w:szCs w:val="20"/>
                <w:color w:val="auto"/>
              </w:rPr>
            </w:pPr>
            <w:r>
              <w:rPr>
                <w:rFonts w:ascii="Calibri" w:cs="Calibri" w:eastAsia="Calibri" w:hAnsi="Calibri"/>
                <w:sz w:val="18"/>
                <w:szCs w:val="18"/>
                <w:color w:val="auto"/>
                <w:w w:val="87"/>
              </w:rPr>
              <w:t>$</w:t>
            </w:r>
          </w:p>
        </w:tc>
        <w:tc>
          <w:tcPr>
            <w:tcW w:w="1280" w:type="dxa"/>
            <w:vAlign w:val="bottom"/>
            <w:tcBorders>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572</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-24765</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-7620</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-24765</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-7620</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Term Loan Credit Agreement</w:t>
      </w:r>
    </w:p>
    <w:p>
      <w:pPr>
        <w:spacing w:after="0" w:line="177"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On February 26, 2021, the Company and certain of its subsidiaries (the "Subsidiary Guarantors") entered into a Credit Agreement (the “Original Term Loan Credit Agreement”) with certain funds afliated with Kennedy Lewis Investment Management LLC (“KLIM”) as lenders (the “Original Term Loan Lenders”) and Alter Domus (US) LLC, as administratve agent (the “Term Loan Agent”). Pursuant to the Original Term Loan Credit Agreement, the Original Term Loan Lenders provided the Company with (i) an inital term loan in the amount of $225 million, which was drawn in full on the same date, and (ii) a commitment to provide delayed draw term loans in an aggregate principal amount of up to $50 million on or before February 26, 2023 (collectvely, the “Original Term Loans”). The delayed draw term loans were drawn in full on June 15, 2022. The maturity date of the Original Term Loans was February 26, 2026, and the Original Term Loans were non-amortzing.</w:t>
      </w:r>
    </w:p>
    <w:p>
      <w:pPr>
        <w:spacing w:after="0" w:line="195"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color w:val="auto"/>
        </w:rPr>
        <w:t>On June 30, 2023, the Company and the Subsidiary Guarantors entered into an amendment (the “Term Loan Amendment”) to the Original Term Loan Credit Agreement (the Original Term Loan Credit Agreement, as amended and restated by the Term Loan Amendment, the “Amended and Restated Term Loan Credit Agreement”), with certain funds afliated with KLIM as lenders (the “Term Loan Lenders”) and the Term Loan Agent. Subject to the terms and conditons of the Term Loan Amendment, the Term Loan Lenders provided the Company with a commitment to provide term loans in an aggregate principal amount of $450 million (the “Term Loans”).</w:t>
      </w:r>
    </w:p>
    <w:p>
      <w:pPr>
        <w:spacing w:after="0" w:line="180"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On July 21, 2023, the Amended and Restated Term Loan Credit Agreement became efectve and the Company completed its borrowing of the Term Loans. The Company received net proceeds of $435 million from the Term Loans which were used to (i) refnance the obligatons under the Original Term Loan Credit Agreement, (ii) repay in full and terminate the commitments under the Company’s asset-based revolving credit facility made available pursuant to the 2023 Amended ABL Credit Agreement as defned below, (iii) repay in full the Company’s outstanding 5.0% unsecured convertble promissory notes due May 28, 2026 (the "Convertble Notes") held by the Original Term Loan Lenders, (iv) pay certain fees and expenses related to the foregoing and the Amended and Restated L/C Facility Agreement (defned below), (v) provide cash collateral in respect of the Amended and Restated L/C Facility Agreement, as described below, or other collateral obligatons, and (vi) for general corporate purposes and working capital needs of the Company and its subsidiaries (a net amount of $29 million).</w:t>
      </w:r>
    </w:p>
    <w:p>
      <w:pPr>
        <w:spacing w:after="0" w:line="177"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 w:right="339" w:bottom="1440" w:gutter="0" w:footer="0" w:header="0"/>
        </w:sectPr>
      </w:pPr>
    </w:p>
    <w:bookmarkStart w:id="70" w:name="page71"/>
    <w:bookmarkEnd w:id="70"/>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The Term Loan Amendment also amended and restated the Original Term Loan Credit Agreement to, among other things, (i) extend the maturity date to the earlier of August 15, 2028 or the date that is 91 days prior to the maturity date or mandatory redempton date of any of the Company’s then-outstanding Series B Preferred Stock or Series C Preferred Stock ("Convertble Securites") or any extensions or refnancings of any of the foregoing, (ii) make certain other changes to the terms of the Original Term Loan Credit Agreement and (iii) make certain other changes to the terms of the Guarantee and Collateral Agreement, dated as of February 26, 2021, among the Company, the Subsidiary Guarantors and the Term Loan Agent.</w:t>
      </w:r>
    </w:p>
    <w:p>
      <w:pPr>
        <w:spacing w:after="0" w:line="180" w:lineRule="exact"/>
        <w:rPr>
          <w:sz w:val="20"/>
          <w:szCs w:val="20"/>
          <w:color w:val="auto"/>
        </w:rPr>
      </w:pPr>
    </w:p>
    <w:p>
      <w:pPr>
        <w:jc w:val="both"/>
        <w:ind w:right="100"/>
        <w:spacing w:after="0" w:line="235" w:lineRule="auto"/>
        <w:rPr>
          <w:sz w:val="20"/>
          <w:szCs w:val="20"/>
          <w:color w:val="auto"/>
        </w:rPr>
      </w:pPr>
      <w:r>
        <w:rPr>
          <w:rFonts w:ascii="Calibri" w:cs="Calibri" w:eastAsia="Calibri" w:hAnsi="Calibri"/>
          <w:sz w:val="18"/>
          <w:szCs w:val="18"/>
          <w:color w:val="auto"/>
        </w:rPr>
        <w:t>The Term Loans bear interest at a rate of 7.5% per annum payable in cash and 5.0% per annum payable “in-kind” ("PIK") or in cash at the Company’s opton, for an aggregate interest rate of 12.5% per annum. Obligatons under the Amended and Restated Term Loan Credit Agreement are secured by a frst priority lien on substantally all assets of the Company and the Subsidiary Guarantors (subject to certain exceptons) not consttutng L/C Cash Collateral, as defned below (collectvely, the “Term Loan Priority Collateral”), and a second priority lien on the L/C Cash Collateral. The aggregate carrying value of the Term Loan Priority Collateral and L/C Cash Collateral as of December 31, 2024 was $3.9 billion.</w:t>
      </w:r>
    </w:p>
    <w:p>
      <w:pPr>
        <w:spacing w:after="0" w:line="180"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The Amended and Restated Term Loan Credit Agreement contnues to limit, among other things, the ability of the Company and its Restricted Subsidiaries (as defned in the Amended and Restated Term Loan Credit Agreement) to (i) incur indebtedness, (ii) incur or create liens, (iii) dispose of assets, (iv) make restricted payments and (v) make investments. The Amended and Restated Term Loan Credit Agreement contains customary afrmatve covenants, including delivery of certain of the Company’s fnancial statements, and customary event of default provisions, including a cross-default provision that would give rise to an event of default if there is a default under or acceleraton of “Material Indebtedness” other than intercompany indebtedness. Material Indebtedness includes obligatons having a principal amount of at least $20 million (increasing to $25 million if the Term Loans are paid down to $200 million, which is referred to as the “Deleveraging Milestone Date”). The Amended and Restated Term Loan Credit Agreement does not include a fnancial maintenance covenant or any subjectve acceleraton clauses.</w:t>
      </w:r>
    </w:p>
    <w:p>
      <w:pPr>
        <w:spacing w:after="0" w:line="196"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On an annual basis, the Company is obligated to prepay, within 10 business days following the fling of annual Form 10-K, outstanding Term Loans in an amount equal to Excess Cash Flow (“ECF”) as defned in the Amended and Restated Term Loan Credit Agreement provided no such prepayment is required if such prepayment would cause U.S. liquidity to be less than $60 million, or $85 million afer the Deleveraging Milestone Date. For the year ended December 31, 2024, ECF was a negatve amount. In additon to customary prepayment covenants, the Company is also required to use the Net Proceeds from the monetzaton of Target Non-Core Assets as such terms are defned in the Amended and Restated Term Loan Credit Agreement to make prepayments subject to certain exceptons. During the frst quarter of 2024, the Company prepaid $17 million of the Term Loans with Net Proceeds from the sale of Target Non-Core Assets.</w:t>
      </w:r>
    </w:p>
    <w:p>
      <w:pPr>
        <w:spacing w:after="0" w:line="181"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color w:val="auto"/>
        </w:rPr>
        <w:t>On February 26, 2025, the Company and the Subsidiary Guarantors entered into an amendment to the Amended and Restated Term Loan Credit Agreement (the “2025 Term Loan Credit Agreement Amendment”) with the Term Loan Lenders and the Term Loan Agent to modify the maturity date of the Term Loans to the earlier of August 15, 2028 or May 21, 2026, the date that is fve days prior to the maturity date or mandatory redempton date of any of the Company’s then-outstanding Convertble Securites or any extensions or refnancings of any of the foregoing.</w:t>
      </w:r>
    </w:p>
    <w:p>
      <w:pPr>
        <w:spacing w:after="0" w:line="17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Loss on Early Extnguishment of Debt - Original Term Loans</w:t>
      </w:r>
    </w:p>
    <w:p>
      <w:pPr>
        <w:spacing w:after="0" w:line="190" w:lineRule="exact"/>
        <w:rPr>
          <w:sz w:val="20"/>
          <w:szCs w:val="20"/>
          <w:color w:val="auto"/>
        </w:rPr>
      </w:pPr>
    </w:p>
    <w:p>
      <w:pPr>
        <w:jc w:val="both"/>
        <w:ind w:right="140"/>
        <w:spacing w:after="0" w:line="252" w:lineRule="auto"/>
        <w:rPr>
          <w:sz w:val="20"/>
          <w:szCs w:val="20"/>
          <w:color w:val="auto"/>
        </w:rPr>
      </w:pPr>
      <w:r>
        <w:rPr>
          <w:rFonts w:ascii="Calibri" w:cs="Calibri" w:eastAsia="Calibri" w:hAnsi="Calibri"/>
          <w:sz w:val="17"/>
          <w:szCs w:val="17"/>
          <w:color w:val="auto"/>
        </w:rPr>
        <w:t>The Company used $316 million of the net proceeds received from the Term Loans, which represented the aggregate principal amount of the Original Term Loans plus accrued PIK and prepayment premium, to refnance the Company’s obligatons under the Original Term Loan Credit Agreement. In additon, the Company used $2 million of the net proceeds to pay accrued and unpaid cash interest. The carrying value of the Original Term Loans as of July 21, 2023 was approximately $293 million. The Company recorded a loss on early extnguishment of debt of approximately $23 million during the third quarter of 2023.</w:t>
      </w:r>
    </w:p>
    <w:p>
      <w:pPr>
        <w:spacing w:after="0" w:line="163"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Board Rights Agreement</w:t>
      </w:r>
    </w:p>
    <w:p>
      <w:pPr>
        <w:spacing w:after="0" w:line="177"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On June 30, 2023, in connecton with the executon of the Term Loan Amendment, the Company entered into an amendment (the "Board Rights Agreement Amendment") to the leter agreement with KLIM, dated February 26, 2021 (the “Original Board Rights Agreement”). Pursuant to the Board Rights Agreement Amendment, KLIM's right to nominate one individual for electon as a member of the Company’s board of directors will last untl the date on which KLIM ceases to hold at least $200 million of the original principal amount of Term Loans. The individual nominated pursuant to the Original Board Rights Agreement was appointed to the Company's Board of Directors on April 1, 2021 and has been elected to serve one-year terms at each of the annual meetngs since May 19,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1" w:name="page72"/>
    <w:bookmarkEnd w:id="71"/>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Securites Purchase Agreement</w:t>
      </w:r>
    </w:p>
    <w:p>
      <w:pPr>
        <w:spacing w:after="0" w:line="177"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On February 26, 2021, the Company and the Term Loan Lenders (the “Buyers”), entered into a Securites Purchase Agreement (the “Securites Purchase Agreement”) pursuant to which the Company sold to the Buyers (i) an aggregate of 1,000,000 shares (the “Purchased Shares”) of the Company’s common stock, par value $0.01 per share (“Common Stock”) for a purchase price of $10.00 in cash per share for an aggregate purchase price of $10 million and (ii) $25 million aggregate principal amount of the newly issued Convertble Notes in a private placement transacton. The issuance and sale of the Purchased Shares and Convertble Notes were consummated on February 26, 2021.</w:t>
      </w:r>
    </w:p>
    <w:p>
      <w:pPr>
        <w:spacing w:after="0" w:line="17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Convertble Notes</w:t>
      </w:r>
    </w:p>
    <w:p>
      <w:pPr>
        <w:spacing w:after="0" w:line="190"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The Convertble Notes bore interest at a rate of 5.0% per annum, which was payable in cash on the maturity date and in additonal shares of Common Stock on any conversion date. The payment of interest only at the maturity date has the same efect as delivering additonal debt instruments to the holders of the Convertble Notes and therefore is considered PIK. Therefore, PIK was being added to the carrying value of the debt through the term and interest expense was recorded using the efectve interest method. The maturity date of the Convertble Notes was May 28, 2026.</w:t>
      </w:r>
    </w:p>
    <w:p>
      <w:pPr>
        <w:spacing w:after="0" w:line="17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Embedded Derivatves</w:t>
      </w:r>
    </w:p>
    <w:p>
      <w:pPr>
        <w:spacing w:after="0" w:line="177" w:lineRule="exact"/>
        <w:rPr>
          <w:sz w:val="20"/>
          <w:szCs w:val="20"/>
          <w:color w:val="auto"/>
        </w:rPr>
      </w:pPr>
    </w:p>
    <w:p>
      <w:pPr>
        <w:ind w:right="180"/>
        <w:spacing w:after="0" w:line="235" w:lineRule="auto"/>
        <w:rPr>
          <w:sz w:val="20"/>
          <w:szCs w:val="20"/>
          <w:color w:val="auto"/>
        </w:rPr>
      </w:pPr>
      <w:r>
        <w:rPr>
          <w:rFonts w:ascii="Calibri" w:cs="Calibri" w:eastAsia="Calibri" w:hAnsi="Calibri"/>
          <w:sz w:val="18"/>
          <w:szCs w:val="18"/>
          <w:color w:val="auto"/>
        </w:rPr>
        <w:t>The Convertble Notes were considered more akin to a debt-type instrument and the economic characteristcs and risks of the embedded conversion features were not considered clearly and closely related to the Convertble Notes. Kodak allocated $12 million of the net proceeds received to a derivatve liability based on the aggregate fair value of the embedded features on the date of issuance which reduced the net carrying value of the Convertble Notes. The derivatve was being accounted for at fair value with subsequent changes in the fair value being reported as part of Other (income) charges, net in the Consolidated Statement of Operatons. The fair value of the Convertble Notes embedded derivatve at July 21, 2023, when the Convertble Notes were repaid, was a liability of $5 million.</w:t>
      </w:r>
    </w:p>
    <w:p>
      <w:pPr>
        <w:spacing w:after="0" w:line="189"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Loss on Early Extnguishment of Debt - Convertble Notes</w:t>
      </w:r>
    </w:p>
    <w:p>
      <w:pPr>
        <w:spacing w:after="0" w:line="177" w:lineRule="exact"/>
        <w:rPr>
          <w:sz w:val="20"/>
          <w:szCs w:val="20"/>
          <w:color w:val="auto"/>
        </w:rPr>
      </w:pPr>
    </w:p>
    <w:p>
      <w:pPr>
        <w:ind w:right="100"/>
        <w:spacing w:after="0" w:line="254" w:lineRule="auto"/>
        <w:rPr>
          <w:sz w:val="20"/>
          <w:szCs w:val="20"/>
          <w:color w:val="auto"/>
        </w:rPr>
      </w:pPr>
      <w:r>
        <w:rPr>
          <w:rFonts w:ascii="Calibri" w:cs="Calibri" w:eastAsia="Calibri" w:hAnsi="Calibri"/>
          <w:sz w:val="17"/>
          <w:szCs w:val="17"/>
          <w:color w:val="auto"/>
        </w:rPr>
        <w:t>The carrying value, including the fair value of the embedded derivatve liability, of the Convertble Notes at July 21, 2023 was approximately $24 million. The Company used $28 million of the net proceeds received from the Term Loans to repay in full the aggregate principal amount of the Convertble Notes plus accrued PIK interest. The Company recorded a loss on early extnguishment of debt of approximately $4 million during the third quarter of 2023.</w:t>
      </w:r>
    </w:p>
    <w:p>
      <w:pPr>
        <w:spacing w:after="0" w:line="160"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Securites Registraton Rights Agreement</w:t>
      </w:r>
    </w:p>
    <w:p>
      <w:pPr>
        <w:spacing w:after="0" w:line="190"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color w:val="auto"/>
        </w:rPr>
        <w:t>On February 26, 2021, the Company and the Buyers entered into a Registraton Rights Agreement (the “Securites Registraton Rights Agreement”) providing the Buyers with registraton rights in respect of the Purchased Shares and the Common Stock issuable upon conversion of the Convertble Notes. The Securites Registraton Rights Agreement contains other customary terms and conditons, including certain customary indemnifcaton obligatons; however, the Securites Registraton Rights Agreement does not obligate the Company to facilitate an underwriten ofering of the registered Common Stock by the Buyers.</w:t>
      </w:r>
    </w:p>
    <w:p>
      <w:pPr>
        <w:spacing w:after="0" w:line="17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Amended ABL Credit Agreement</w:t>
      </w:r>
    </w:p>
    <w:p>
      <w:pPr>
        <w:spacing w:after="0" w:line="177" w:lineRule="exact"/>
        <w:rPr>
          <w:sz w:val="20"/>
          <w:szCs w:val="20"/>
          <w:color w:val="auto"/>
        </w:rPr>
      </w:pPr>
    </w:p>
    <w:p>
      <w:pPr>
        <w:ind w:right="40"/>
        <w:spacing w:after="0" w:line="251" w:lineRule="auto"/>
        <w:rPr>
          <w:sz w:val="20"/>
          <w:szCs w:val="20"/>
          <w:color w:val="auto"/>
        </w:rPr>
      </w:pPr>
      <w:r>
        <w:rPr>
          <w:rFonts w:ascii="Calibri" w:cs="Calibri" w:eastAsia="Calibri" w:hAnsi="Calibri"/>
          <w:sz w:val="17"/>
          <w:szCs w:val="17"/>
          <w:color w:val="auto"/>
        </w:rPr>
        <w:t>On September 3, 2013, the Company entered into an Asset Based Revolving Credit Agreement (the “Original ABL Credit Agreement”). On February 26, 2021, the Company and the Subsidiary Guarantors entered into a fourth amendment to the Original ABL Credit Agreement (as amended in 2021, the “Amended ABL Credit Agreement”), among the Company, the Subsidiary Guarantors, the lenders party thereto, Bank of America, N.A., as agent (the “Agent”), and Bank of America, N.A. and JPMorgan Chase Bank, N.A., as arrangers, with the Agent and the Required Lenders. Each of the capitalized but undefned terms used in the context of describing the Amended ABL Credit Agreement has the meaning ascribed to such term in the Amended ABL Credit Agreement.</w:t>
      </w:r>
    </w:p>
    <w:p>
      <w:pPr>
        <w:spacing w:after="0" w:line="184"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The Amended ABL Credit Agreement amended the Original ABL Credit Agreement to, among other things, (i) extend the maturity date to February 26, 2024 or the date that was 90 days prior to the earliest scheduled maturity date or mandatory redempton date of any of the Company’s Term Loans, Convertble Notes, Series B Preferred Stock, Series C Preferred Stock or any refnancings of any of the foregoing and (ii) decreased the aggregate amount of commitments from $110 million to $90 million, which decreased the minimum Excess Availability to $11.25 million from the previous amount of $13.75 million. Commitments under the Amended ABL Credit Agreement contnued to be able to be used in the form of revolving loans or leters of credit.</w:t>
      </w:r>
    </w:p>
    <w:p>
      <w:pPr>
        <w:spacing w:after="0" w:line="180"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On March 14, 2023, the Company and the Subsidiary Guarantors entered into amendment No. 5 to the Amended and Restated Credit Agreement (the “2023 Amended ABL Credit Agreement") with the lenders party thereto (the “Lenders”), Bank of America, N.A., as administratve agent and collateral agent to, among other things: (i) extend the maturity date of the Company's asset based</w:t>
      </w:r>
    </w:p>
    <w:p>
      <w:pPr>
        <w:spacing w:after="0" w:line="17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2" w:name="page73"/>
    <w:bookmarkEnd w:id="72"/>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loan facility from February 26, 2024 to the earliest of June 12, 2024, the terminaton of the 2023 Amended L/C Facility Agreement (as defned below) or the date that is 91 days prior to the earliest scheduled maturity date or mandatory redempton date of any of the Company’s Original Term Loans, Convertble Notes, Series B Preferred Stock, Series C Preferred Stock or any refnancings of any of the foregoing; (ii) require the Company to maintain daily Minimum Liquidity of $50 million, subject to certain cure rights, and to maintaining quarterly Minimum Liquidity of $80 million, and (iii) on February 26, 2024, decrease the aggregate amount of commitments from $90 million to $81 million. Each of the capitalized but undefned terms used in the context of describing the 2023 Amended ABL Credit Agreement has the meaning ascribed to such term in the 2023 Amended ABL Credit Agreement.</w:t>
      </w:r>
    </w:p>
    <w:p>
      <w:pPr>
        <w:spacing w:after="0" w:line="181" w:lineRule="exact"/>
        <w:rPr>
          <w:sz w:val="20"/>
          <w:szCs w:val="20"/>
          <w:color w:val="auto"/>
        </w:rPr>
      </w:pPr>
    </w:p>
    <w:p>
      <w:pPr>
        <w:jc w:val="both"/>
        <w:ind w:right="40"/>
        <w:spacing w:after="0" w:line="235" w:lineRule="auto"/>
        <w:rPr>
          <w:sz w:val="20"/>
          <w:szCs w:val="20"/>
          <w:color w:val="auto"/>
        </w:rPr>
      </w:pPr>
      <w:r>
        <w:rPr>
          <w:rFonts w:ascii="Calibri" w:cs="Calibri" w:eastAsia="Calibri" w:hAnsi="Calibri"/>
          <w:sz w:val="18"/>
          <w:szCs w:val="18"/>
          <w:color w:val="auto"/>
        </w:rPr>
        <w:t>If Minimum Liquidity fell below the daily or quarterly required minimum, an Event of Default would have occurred, in which case the Agent had the right to declare the obligaton of each Lender to make Revolving Loans and of the Issuing Banks to issue Leters of Credit to be terminated, and declare the Revolving Loans, all interest thereon and all other amounts payable under the 2023 Amended ABL Credit Agreement to be due and payable.</w:t>
      </w:r>
    </w:p>
    <w:p>
      <w:pPr>
        <w:spacing w:after="0" w:line="173" w:lineRule="exact"/>
        <w:rPr>
          <w:sz w:val="20"/>
          <w:szCs w:val="20"/>
          <w:color w:val="auto"/>
        </w:rPr>
      </w:pPr>
    </w:p>
    <w:p>
      <w:pPr>
        <w:spacing w:after="0"/>
        <w:rPr>
          <w:sz w:val="20"/>
          <w:szCs w:val="20"/>
          <w:color w:val="auto"/>
        </w:rPr>
      </w:pPr>
      <w:r>
        <w:rPr>
          <w:rFonts w:ascii="Calibri" w:cs="Calibri" w:eastAsia="Calibri" w:hAnsi="Calibri"/>
          <w:sz w:val="18"/>
          <w:szCs w:val="18"/>
          <w:color w:val="auto"/>
        </w:rPr>
        <w:t>Approximately $58 million leters of credit were issued under the 2023 Amended ABL Credit Agreement as of July 21, 2023 and December 31, 2022.</w:t>
      </w:r>
    </w:p>
    <w:p>
      <w:pPr>
        <w:spacing w:after="0" w:line="190" w:lineRule="exact"/>
        <w:rPr>
          <w:sz w:val="20"/>
          <w:szCs w:val="20"/>
          <w:color w:val="auto"/>
        </w:rPr>
      </w:pPr>
    </w:p>
    <w:p>
      <w:pPr>
        <w:jc w:val="both"/>
        <w:ind w:right="320"/>
        <w:spacing w:after="0" w:line="254" w:lineRule="auto"/>
        <w:rPr>
          <w:sz w:val="20"/>
          <w:szCs w:val="20"/>
          <w:color w:val="auto"/>
        </w:rPr>
      </w:pPr>
      <w:r>
        <w:rPr>
          <w:rFonts w:ascii="Calibri" w:cs="Calibri" w:eastAsia="Calibri" w:hAnsi="Calibri"/>
          <w:sz w:val="17"/>
          <w:szCs w:val="17"/>
          <w:color w:val="auto"/>
        </w:rPr>
        <w:t>On July 21, 2023, the Company used the net proceeds from the Term Loans to repay in full the amounts outstanding under its 2023 Amended ABL Credit Agreement. Upon the administratve agent’s receipt of the payment, the 2023 Amended ABL Credit Agreement was terminated and the lenders’ security interest in any of the Company’s or its subsidiaries assets or property securing the 2023 Amended ABL Credit Agreement was released.</w:t>
      </w:r>
    </w:p>
    <w:p>
      <w:pPr>
        <w:spacing w:after="0" w:line="16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Leter of Credit Facility Agreement</w:t>
      </w:r>
    </w:p>
    <w:p>
      <w:pPr>
        <w:spacing w:after="0" w:line="177"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On February 26, 2021, the Company and the Subsidiary Guarantors entered into a Leter of Credit Facility Agreement (the “L/C Facility Agreement”) among the Company, the Subsidiary Guarantors, the lenders party thereto (the “L/C Lenders”), Bank of America, N.A., as agent, and Bank of America, N.A., as issuing bank. Pursuant to the L/C Facility Agreement, the L/C Lenders commited to issue leters of credit on the Company’s behalf in an aggregate amount of up to $50 million, provided that the Company posts cash collateral in an amount greater than or equal to 103% of the aggregate amount of leters of credit issued and outstanding at any given tme (the “L/C Cash Collateral”).</w:t>
      </w:r>
    </w:p>
    <w:p>
      <w:pPr>
        <w:spacing w:after="0" w:line="193"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On March 14, 2023, the Company entered into an amendment to the L/C Facility Agreement (the “2023 Amended L/C Facility Agreement”) to, among other things: (i) extend the maturity date of the L/C Facility Agreement from February 26, 2024 to the earliest of June 12, 2024, the terminaton of the 2023 Amended ABL Credit Agreement, as applicable, or the date that is 91 days prior to the earliest scheduled maturity date or mandatory redempton date of any of the Company’s Term Loans, Convertble Notes, Series B Preferred Stock, Series C Preferred Stock or any refnancing of any of the foregoing and (ii) require the Company to maintain daily Minimum Liquidity of $50 million, subject to certain cure rights, and to maintaining a quarterly Minimum Liquidity of $80 million. Each of the capitalized but undefned terms used in the context of describing the 2023 Amended L/C Facility Agreement has the meaning ascribed to such term in the 2023 Amended L/C Facility Agreement.</w:t>
      </w:r>
    </w:p>
    <w:p>
      <w:pPr>
        <w:spacing w:after="0" w:line="177" w:lineRule="exact"/>
        <w:rPr>
          <w:sz w:val="20"/>
          <w:szCs w:val="20"/>
          <w:color w:val="auto"/>
        </w:rPr>
      </w:pPr>
    </w:p>
    <w:p>
      <w:pPr>
        <w:spacing w:after="0"/>
        <w:rPr>
          <w:sz w:val="20"/>
          <w:szCs w:val="20"/>
          <w:color w:val="auto"/>
        </w:rPr>
      </w:pPr>
      <w:r>
        <w:rPr>
          <w:rFonts w:ascii="Calibri" w:cs="Calibri" w:eastAsia="Calibri" w:hAnsi="Calibri"/>
          <w:sz w:val="18"/>
          <w:szCs w:val="18"/>
          <w:color w:val="auto"/>
        </w:rPr>
        <w:t>The 2023 Amended L/C Facility Agreement required the Company to maintain Excess Availability above the greater of 12.5% of lender commitments or</w:t>
      </w:r>
    </w:p>
    <w:p>
      <w:pPr>
        <w:spacing w:after="0" w:line="1"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$11.25 million. If Excess Availability fell below the greater of 12.5% of lender commitments or $11.25 million, a Fixed Charge Coverage Rato Trigger Event would have occurred under the 2023 Amended L/C Facility Agreement. During any Fixed Charge Coverage Rato Trigger Event, the Company would have been required to maintain a Fixed Charge Coverage Rato of greater than or equal to 1.0 to 1.0. Since Excess Availability was greater than 12.5% of lender commitments or $11.25 million throughout the term of the 2023 Amended L/C Facility Agreement, Kodak was not required to have a minimum Fixed Charge Coverage Rato of greater than or equal to 1.0 to 1.0.</w:t>
      </w:r>
    </w:p>
    <w:p>
      <w:pPr>
        <w:spacing w:after="0" w:line="180" w:lineRule="exact"/>
        <w:rPr>
          <w:sz w:val="20"/>
          <w:szCs w:val="20"/>
          <w:color w:val="auto"/>
        </w:rPr>
      </w:pPr>
    </w:p>
    <w:p>
      <w:pPr>
        <w:jc w:val="both"/>
        <w:ind w:right="20"/>
        <w:spacing w:after="0" w:line="254" w:lineRule="auto"/>
        <w:rPr>
          <w:sz w:val="20"/>
          <w:szCs w:val="20"/>
          <w:color w:val="auto"/>
        </w:rPr>
      </w:pPr>
      <w:r>
        <w:rPr>
          <w:rFonts w:ascii="Calibri" w:cs="Calibri" w:eastAsia="Calibri" w:hAnsi="Calibri"/>
          <w:sz w:val="17"/>
          <w:szCs w:val="17"/>
          <w:color w:val="auto"/>
        </w:rPr>
        <w:t>On June 30, 2023, the Company and the Subsidiary Guarantors entered into an amendment (the “June 2023 L/C Facility Amendment”) to the 2023 Amended L/C Facility Agreement (as amended and restated by the June 2023 L/C Facility Amendment, the “Amended and Restated L/C Facility Agreement”), with Bank of America, N.A., as L/C Lender, L/C Agent and Issuing Bank. The June 2023 L/C Facility Amendment became efectve on July 21, 2023.</w:t>
      </w:r>
    </w:p>
    <w:p>
      <w:pPr>
        <w:spacing w:after="0" w:line="178" w:lineRule="exact"/>
        <w:rPr>
          <w:sz w:val="20"/>
          <w:szCs w:val="20"/>
          <w:color w:val="auto"/>
        </w:rPr>
      </w:pPr>
    </w:p>
    <w:p>
      <w:pPr>
        <w:ind w:right="340"/>
        <w:spacing w:after="0" w:line="235" w:lineRule="auto"/>
        <w:rPr>
          <w:sz w:val="20"/>
          <w:szCs w:val="20"/>
          <w:color w:val="auto"/>
        </w:rPr>
      </w:pPr>
      <w:r>
        <w:rPr>
          <w:rFonts w:ascii="Calibri" w:cs="Calibri" w:eastAsia="Calibri" w:hAnsi="Calibri"/>
          <w:sz w:val="18"/>
          <w:szCs w:val="18"/>
          <w:color w:val="auto"/>
        </w:rPr>
        <w:t>Under the terms and conditons of the June 2023 L/C Facility Amendment, the L/C Lender increased the commitment to issue leters of credit on the Company’s behalf from an aggregate amount of up to $50 million, to an aggregate amount of up to $100 million (the “L/C Facility Commitments”), untl August 30, 2023; provided that, at all tmes, the Company posted cash collateral in an amount greater than or equal to 104% of the aggregate amount of leters of credit issued and outstanding at any given tme (the “L/C Cash Collateral”).</w:t>
      </w:r>
    </w:p>
    <w:p>
      <w:pPr>
        <w:spacing w:after="0" w:line="179"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Upon the terminaton of the 2023 Amended ABL Credit Agreement on July 21, 2023, the leters of credit totaling $58 million issued under the 2023 Amended ABL Credit Agreement were transferred to the Amended and Restated L/C Facility Agreement. The</w:t>
      </w:r>
    </w:p>
    <w:p>
      <w:pPr>
        <w:spacing w:after="0" w:line="172"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73" w:name="page74"/>
    <w:bookmarkEnd w:id="73"/>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Company used $59 million of the net proceeds from the Term Loans to cash collateralize the leters of credit transferred to the L/C Facility. In August 2023, the Company used $68 million of the funds in the L/C Cash Collateral account to cash collateralize the Company’s undiscounted actuarial workers’ compensaton obligatons directly with the NYS WCB, reducing the issued leters of credit to $31 million, and elected to reduce the L/C Facility Commitments to $50 million efectve August 15, 2023.</w:t>
      </w:r>
    </w:p>
    <w:p>
      <w:pPr>
        <w:spacing w:after="0" w:line="179" w:lineRule="exact"/>
        <w:rPr>
          <w:sz w:val="20"/>
          <w:szCs w:val="20"/>
          <w:color w:val="auto"/>
        </w:rPr>
      </w:pPr>
    </w:p>
    <w:p>
      <w:pPr>
        <w:ind w:right="140"/>
        <w:spacing w:after="0" w:line="235" w:lineRule="auto"/>
        <w:rPr>
          <w:sz w:val="20"/>
          <w:szCs w:val="20"/>
          <w:color w:val="auto"/>
        </w:rPr>
      </w:pPr>
      <w:r>
        <w:rPr>
          <w:rFonts w:ascii="Calibri" w:cs="Calibri" w:eastAsia="Calibri" w:hAnsi="Calibri"/>
          <w:sz w:val="18"/>
          <w:szCs w:val="18"/>
          <w:color w:val="auto"/>
        </w:rPr>
        <w:t>The June 2023 L/C Facility Amendment also amended and restated the 2023 Amended L/C Facility Agreement to, among other things, (i) extended the maturity date to the earliest of (x) the ffh anniversary of the Restatement Date (as defned therein), (y) the date that is 90 days prior to the maturity of the Amended and Restated Term Loan Credit Agreement, as such date may be extended pursuant to the terms thereof (or the maturity date of any refnancing thereof), or (z) the date that is 90 days prior to the earliest scheduled maturity date or mandatory redempton date of any of the Company’s then-outstanding Convertble Securites or any refnancings of any of the foregoing, (ii) eliminated the existng cash maintenance requirements, and (iii) made certain other changes to the terms of the 2023 Amended L/C Facility Agreement.</w:t>
      </w:r>
    </w:p>
    <w:p>
      <w:pPr>
        <w:spacing w:after="0" w:line="181" w:lineRule="exact"/>
        <w:rPr>
          <w:sz w:val="20"/>
          <w:szCs w:val="20"/>
          <w:color w:val="auto"/>
        </w:rPr>
      </w:pPr>
    </w:p>
    <w:p>
      <w:pPr>
        <w:ind w:right="100"/>
        <w:spacing w:after="0" w:line="235" w:lineRule="auto"/>
        <w:rPr>
          <w:sz w:val="20"/>
          <w:szCs w:val="20"/>
          <w:color w:val="auto"/>
        </w:rPr>
      </w:pPr>
      <w:r>
        <w:rPr>
          <w:rFonts w:ascii="Calibri" w:cs="Calibri" w:eastAsia="Calibri" w:hAnsi="Calibri"/>
          <w:sz w:val="18"/>
          <w:szCs w:val="18"/>
          <w:color w:val="auto"/>
        </w:rPr>
        <w:t>Approximately $27 million and $31 million leters of credit were issued under the Amended and Restated L/C Facility Agreement as of December 31, 2024 and 2023, respectvely. The balance on deposit in the L/C Cash Collateral account as of December 31, 2024 and 2023 was approximately $29 million and $32 million, respectvely.</w:t>
      </w:r>
    </w:p>
    <w:p>
      <w:pPr>
        <w:spacing w:after="0" w:line="192" w:lineRule="exact"/>
        <w:rPr>
          <w:sz w:val="20"/>
          <w:szCs w:val="20"/>
          <w:color w:val="auto"/>
        </w:rPr>
      </w:pPr>
    </w:p>
    <w:p>
      <w:pPr>
        <w:ind w:right="260"/>
        <w:spacing w:after="0" w:line="235" w:lineRule="auto"/>
        <w:rPr>
          <w:sz w:val="20"/>
          <w:szCs w:val="20"/>
          <w:color w:val="auto"/>
        </w:rPr>
      </w:pPr>
      <w:r>
        <w:rPr>
          <w:rFonts w:ascii="Calibri" w:cs="Calibri" w:eastAsia="Calibri" w:hAnsi="Calibri"/>
          <w:sz w:val="18"/>
          <w:szCs w:val="18"/>
          <w:color w:val="auto"/>
        </w:rPr>
        <w:t>The Company’s obligatons under the Amended and Restated L/C Facility Agreement are guaranteed by the Subsidiary Guarantors and are secured by (i) a frst priority lien on the L/C Cash Collateral and (ii) a second priority lien on certain Term Loan Priority Collateral of the Company and U.S. subsidiary guarantors.</w:t>
      </w:r>
    </w:p>
    <w:p>
      <w:pPr>
        <w:spacing w:after="0" w:line="178" w:lineRule="exact"/>
        <w:rPr>
          <w:sz w:val="20"/>
          <w:szCs w:val="20"/>
          <w:color w:val="auto"/>
        </w:rPr>
      </w:pPr>
    </w:p>
    <w:p>
      <w:pPr>
        <w:ind w:right="360"/>
        <w:spacing w:after="0" w:line="235" w:lineRule="auto"/>
        <w:rPr>
          <w:sz w:val="20"/>
          <w:szCs w:val="20"/>
          <w:color w:val="auto"/>
        </w:rPr>
      </w:pPr>
      <w:r>
        <w:rPr>
          <w:rFonts w:ascii="Calibri" w:cs="Calibri" w:eastAsia="Calibri" w:hAnsi="Calibri"/>
          <w:sz w:val="18"/>
          <w:szCs w:val="18"/>
          <w:color w:val="auto"/>
        </w:rPr>
        <w:t>The Amended and Restated L/C Facility Agreement contains certain afrmatve and negatve covenants similar to the afrmatve and negatve covenants contained in the Amended and Restated Term Loan Credit Agreement. The Amended and Restated L/C Facility Agreement does not include a minimum liquidity or fnancial maintenance covenant.</w:t>
      </w:r>
    </w:p>
    <w:p>
      <w:pPr>
        <w:spacing w:after="0" w:line="178" w:lineRule="exact"/>
        <w:rPr>
          <w:sz w:val="20"/>
          <w:szCs w:val="20"/>
          <w:color w:val="auto"/>
        </w:rPr>
      </w:pPr>
    </w:p>
    <w:p>
      <w:pPr>
        <w:ind w:right="40"/>
        <w:spacing w:after="0" w:line="251" w:lineRule="auto"/>
        <w:rPr>
          <w:sz w:val="20"/>
          <w:szCs w:val="20"/>
          <w:color w:val="auto"/>
        </w:rPr>
      </w:pPr>
      <w:r>
        <w:rPr>
          <w:rFonts w:ascii="Calibri" w:cs="Calibri" w:eastAsia="Calibri" w:hAnsi="Calibri"/>
          <w:sz w:val="17"/>
          <w:szCs w:val="17"/>
          <w:color w:val="auto"/>
        </w:rPr>
        <w:t>The Company will pay an unused line fee of 37.5-50 basis points per annum, depending on whether the unused porton of the maximum commitments is less than or equal to 50% or greater than 50% of such commitments, respectvely. The Company will pay a leter of credit fee of 3.75% per annum on issued and outstanding leters of credit, in additon to a frontng fee of 25 basis points on such leters of credit. Amounts drawn under any leter of credit will be reimbursed from the L/C Cash Collateral. If not so reimbursed, and not otherwise repaid by the Company to the L/C Lender, such amounts will accrue interest, to be paid monthly, at a foatng Base Rate (as defned in the Amended and Restated L/C Facility Agreement) plus 2.75% per annum untl repaid.</w:t>
      </w:r>
    </w:p>
    <w:p>
      <w:pPr>
        <w:spacing w:after="0" w:line="184"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On February 26, 2025, the Company and the Subsidiary Guarantors entered into an amendment to the Amended and Restated L/C Facility Agreement (the “2025 L/C Facility Agreement Amendment”) with the L/C Lenders and Bank of America, N.A. to modify the maturity date of the facility to the earliest of (x) the ffh anniversary of the Restatement Date, (y) May 11, 2026, the date that is 10 days prior to the maturity of the Amended and Restated Term Loan Credit Agreement, as such date may be extended pursuant to the terms thereof, or (z) May 11, 2026, the date that is 15 days prior to the earliest scheduled maturity date or mandatory redempton date of any of the Company’s then-outstanding Convertble Securites. Upon a Permited Refnancing (as defned therein) of any of the foregoing, the springing maturity date will be 30 days prior to the maturity date or redempton date of the refnancing.</w:t>
      </w:r>
    </w:p>
    <w:p>
      <w:pPr>
        <w:spacing w:after="0" w:line="17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RED-Rochester, LLC</w:t>
      </w:r>
    </w:p>
    <w:p>
      <w:pPr>
        <w:spacing w:after="0" w:line="177" w:lineRule="exact"/>
        <w:rPr>
          <w:sz w:val="20"/>
          <w:szCs w:val="20"/>
          <w:color w:val="auto"/>
        </w:rPr>
      </w:pPr>
    </w:p>
    <w:p>
      <w:pPr>
        <w:ind w:right="300"/>
        <w:spacing w:after="0" w:line="252" w:lineRule="auto"/>
        <w:rPr>
          <w:sz w:val="20"/>
          <w:szCs w:val="20"/>
          <w:color w:val="auto"/>
        </w:rPr>
      </w:pPr>
      <w:r>
        <w:rPr>
          <w:rFonts w:ascii="Calibri" w:cs="Calibri" w:eastAsia="Calibri" w:hAnsi="Calibri"/>
          <w:sz w:val="17"/>
          <w:szCs w:val="17"/>
          <w:color w:val="auto"/>
        </w:rPr>
        <w:t>In January 2019 Kodak entered into a series of agreements with RED-Rochester, LLC (“RED”), which provides utlites to Eastman Business Park. Kodak received a payment of $14 million from RED. Kodak is required to pay a minimum annual payment to RED of approximately $2 million regardless of utlity usage. Kodak is accountng for the $14 million payment from RED as debt. The minimum payments required under the agreement from Kodak to RED are reported as a reducton of the debt and interest expense using the efectve interest method. The debt payments to RED contnue untl August 2033.</w:t>
      </w:r>
    </w:p>
    <w:p>
      <w:pPr>
        <w:spacing w:after="0" w:line="17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9: REDEEMABLE, CONVERTIBLE PREFERRED STOCK</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color w:val="auto"/>
        </w:rPr>
        <w:t>Redeemable convertble preferred stock was as follows:</w:t>
      </w:r>
    </w:p>
    <w:p>
      <w:pPr>
        <w:spacing w:after="0" w:line="212" w:lineRule="exact"/>
        <w:rPr>
          <w:sz w:val="20"/>
          <w:szCs w:val="20"/>
          <w:color w:val="auto"/>
        </w:rPr>
      </w:pPr>
    </w:p>
    <w:p>
      <w:pPr>
        <w:ind w:left="8600"/>
        <w:spacing w:after="0"/>
        <w:rPr>
          <w:sz w:val="20"/>
          <w:szCs w:val="20"/>
          <w:color w:val="auto"/>
        </w:rPr>
      </w:pPr>
      <w:r>
        <w:rPr>
          <w:rFonts w:ascii="Calibri" w:cs="Calibri" w:eastAsia="Calibri" w:hAnsi="Calibri"/>
          <w:sz w:val="18"/>
          <w:szCs w:val="18"/>
          <w:b w:val="1"/>
          <w:bCs w:val="1"/>
          <w:color w:val="auto"/>
        </w:rPr>
        <w:t>As of December 31,</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620" w:type="dxa"/>
            <w:vAlign w:val="bottom"/>
          </w:tcPr>
          <w:p>
            <w:pPr>
              <w:ind w:left="20"/>
              <w:spacing w:after="0"/>
              <w:rPr>
                <w:sz w:val="20"/>
                <w:szCs w:val="20"/>
                <w:color w:val="auto"/>
              </w:rPr>
            </w:pPr>
            <w:r>
              <w:rPr>
                <w:rFonts w:ascii="Calibri" w:cs="Calibri" w:eastAsia="Calibri" w:hAnsi="Calibri"/>
                <w:sz w:val="14"/>
                <w:szCs w:val="14"/>
                <w:color w:val="auto"/>
              </w:rPr>
              <w:t>(in millions)</w:t>
            </w:r>
          </w:p>
        </w:tc>
        <w:tc>
          <w:tcPr>
            <w:tcW w:w="400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Calibri" w:cs="Calibri" w:eastAsia="Calibri" w:hAnsi="Calibri"/>
                <w:sz w:val="18"/>
                <w:szCs w:val="18"/>
                <w:b w:val="1"/>
                <w:bCs w:val="1"/>
                <w:color w:val="auto"/>
              </w:rPr>
              <w:t>2024</w:t>
            </w:r>
          </w:p>
        </w:tc>
        <w:tc>
          <w:tcPr>
            <w:tcW w:w="28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Calibri" w:cs="Calibri" w:eastAsia="Calibri" w:hAnsi="Calibri"/>
                <w:sz w:val="18"/>
                <w:szCs w:val="18"/>
                <w:b w:val="1"/>
                <w:bCs w:val="1"/>
                <w:color w:val="auto"/>
              </w:rPr>
              <w:t>2023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0"/>
        </w:trPr>
        <w:tc>
          <w:tcPr>
            <w:tcW w:w="362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color w:val="auto"/>
              </w:rPr>
              <w:t>Series B preferred stock</w:t>
            </w:r>
          </w:p>
        </w:tc>
        <w:tc>
          <w:tcPr>
            <w:tcW w:w="4360" w:type="dxa"/>
            <w:vAlign w:val="bottom"/>
            <w:gridSpan w:val="2"/>
            <w:shd w:val="clear" w:color="auto" w:fill="CFF0FC"/>
          </w:tcPr>
          <w:p>
            <w:pPr>
              <w:jc w:val="right"/>
              <w:ind w:right="260"/>
              <w:spacing w:after="0" w:line="210" w:lineRule="exact"/>
              <w:rPr>
                <w:sz w:val="20"/>
                <w:szCs w:val="20"/>
                <w:color w:val="auto"/>
              </w:rPr>
            </w:pPr>
            <w:r>
              <w:rPr>
                <w:rFonts w:ascii="Calibri" w:cs="Calibri" w:eastAsia="Calibri" w:hAnsi="Calibri"/>
                <w:sz w:val="18"/>
                <w:szCs w:val="18"/>
                <w:color w:val="auto"/>
              </w:rPr>
              <w:t>$</w:t>
            </w:r>
          </w:p>
        </w:tc>
        <w:tc>
          <w:tcPr>
            <w:tcW w:w="120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98</w:t>
            </w:r>
          </w:p>
        </w:tc>
        <w:tc>
          <w:tcPr>
            <w:tcW w:w="620" w:type="dxa"/>
            <w:vAlign w:val="bottom"/>
            <w:gridSpan w:val="2"/>
            <w:shd w:val="clear" w:color="auto" w:fill="CFF0FC"/>
          </w:tcPr>
          <w:p>
            <w:pPr>
              <w:jc w:val="right"/>
              <w:ind w:right="240"/>
              <w:spacing w:after="0" w:line="210" w:lineRule="exact"/>
              <w:rPr>
                <w:sz w:val="20"/>
                <w:szCs w:val="20"/>
                <w:color w:val="auto"/>
              </w:rPr>
            </w:pPr>
            <w:r>
              <w:rPr>
                <w:rFonts w:ascii="Calibri" w:cs="Calibri" w:eastAsia="Calibri" w:hAnsi="Calibri"/>
                <w:sz w:val="18"/>
                <w:szCs w:val="18"/>
                <w:color w:val="auto"/>
              </w:rPr>
              <w:t>$</w:t>
            </w:r>
          </w:p>
        </w:tc>
        <w:tc>
          <w:tcPr>
            <w:tcW w:w="122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96</w:t>
            </w:r>
          </w:p>
        </w:tc>
        <w:tc>
          <w:tcPr>
            <w:tcW w:w="100" w:type="dxa"/>
            <w:vAlign w:val="bottom"/>
            <w:shd w:val="clear" w:color="auto" w:fill="CFF0FC"/>
          </w:tcPr>
          <w:p>
            <w:pPr>
              <w:spacing w:after="0"/>
              <w:rPr>
                <w:sz w:val="18"/>
                <w:szCs w:val="18"/>
                <w:color w:val="auto"/>
              </w:rPr>
            </w:pPr>
          </w:p>
        </w:tc>
        <w:tc>
          <w:tcPr>
            <w:tcW w:w="120" w:type="dxa"/>
            <w:vAlign w:val="bottom"/>
          </w:tcPr>
          <w:p>
            <w:pPr>
              <w:spacing w:after="0"/>
              <w:rPr>
                <w:sz w:val="18"/>
                <w:szCs w:val="18"/>
                <w:color w:val="auto"/>
              </w:rPr>
            </w:pPr>
          </w:p>
        </w:tc>
      </w:tr>
      <w:tr>
        <w:trPr>
          <w:trHeight w:val="215"/>
        </w:trPr>
        <w:tc>
          <w:tcPr>
            <w:tcW w:w="3620" w:type="dxa"/>
            <w:vAlign w:val="bottom"/>
          </w:tcPr>
          <w:p>
            <w:pPr>
              <w:ind w:left="20"/>
              <w:spacing w:after="0" w:line="215" w:lineRule="exact"/>
              <w:rPr>
                <w:sz w:val="20"/>
                <w:szCs w:val="20"/>
                <w:color w:val="auto"/>
              </w:rPr>
            </w:pPr>
            <w:r>
              <w:rPr>
                <w:rFonts w:ascii="Calibri" w:cs="Calibri" w:eastAsia="Calibri" w:hAnsi="Calibri"/>
                <w:sz w:val="18"/>
                <w:szCs w:val="18"/>
                <w:color w:val="auto"/>
              </w:rPr>
              <w:t>Series C preferred stock</w:t>
            </w:r>
          </w:p>
        </w:tc>
        <w:tc>
          <w:tcPr>
            <w:tcW w:w="40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120</w:t>
            </w: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49"/>
        </w:trPr>
        <w:tc>
          <w:tcPr>
            <w:tcW w:w="3620" w:type="dxa"/>
            <w:vAlign w:val="bottom"/>
            <w:shd w:val="clear" w:color="auto" w:fill="CFF0FC"/>
          </w:tcPr>
          <w:p>
            <w:pPr>
              <w:ind w:left="200"/>
              <w:spacing w:after="0" w:line="209" w:lineRule="exact"/>
              <w:rPr>
                <w:sz w:val="20"/>
                <w:szCs w:val="20"/>
                <w:color w:val="auto"/>
              </w:rPr>
            </w:pPr>
            <w:r>
              <w:rPr>
                <w:rFonts w:ascii="Calibri" w:cs="Calibri" w:eastAsia="Calibri" w:hAnsi="Calibri"/>
                <w:sz w:val="18"/>
                <w:szCs w:val="18"/>
                <w:color w:val="auto"/>
              </w:rPr>
              <w:t>Total</w:t>
            </w:r>
          </w:p>
        </w:tc>
        <w:tc>
          <w:tcPr>
            <w:tcW w:w="4360" w:type="dxa"/>
            <w:vAlign w:val="bottom"/>
            <w:gridSpan w:val="2"/>
            <w:shd w:val="clear" w:color="auto" w:fill="CFF0FC"/>
          </w:tcPr>
          <w:p>
            <w:pPr>
              <w:jc w:val="right"/>
              <w:ind w:right="260"/>
              <w:spacing w:after="0" w:line="209" w:lineRule="exact"/>
              <w:rPr>
                <w:sz w:val="20"/>
                <w:szCs w:val="20"/>
                <w:color w:val="auto"/>
              </w:rPr>
            </w:pPr>
            <w:r>
              <w:rPr>
                <w:rFonts w:ascii="Calibri" w:cs="Calibri" w:eastAsia="Calibri" w:hAnsi="Calibri"/>
                <w:sz w:val="18"/>
                <w:szCs w:val="18"/>
                <w:color w:val="auto"/>
              </w:rPr>
              <w:t>$</w:t>
            </w:r>
          </w:p>
        </w:tc>
        <w:tc>
          <w:tcPr>
            <w:tcW w:w="120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218</w:t>
            </w:r>
          </w:p>
        </w:tc>
        <w:tc>
          <w:tcPr>
            <w:tcW w:w="620" w:type="dxa"/>
            <w:vAlign w:val="bottom"/>
            <w:gridSpan w:val="2"/>
            <w:shd w:val="clear" w:color="auto" w:fill="CFF0FC"/>
          </w:tcPr>
          <w:p>
            <w:pPr>
              <w:jc w:val="right"/>
              <w:ind w:right="240"/>
              <w:spacing w:after="0" w:line="209" w:lineRule="exact"/>
              <w:rPr>
                <w:sz w:val="20"/>
                <w:szCs w:val="20"/>
                <w:color w:val="auto"/>
              </w:rPr>
            </w:pPr>
            <w:r>
              <w:rPr>
                <w:rFonts w:ascii="Calibri" w:cs="Calibri" w:eastAsia="Calibri" w:hAnsi="Calibri"/>
                <w:sz w:val="18"/>
                <w:szCs w:val="18"/>
                <w:color w:val="auto"/>
              </w:rPr>
              <w:t>$</w:t>
            </w:r>
          </w:p>
        </w:tc>
        <w:tc>
          <w:tcPr>
            <w:tcW w:w="122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210</w:t>
            </w:r>
          </w:p>
        </w:tc>
        <w:tc>
          <w:tcPr>
            <w:tcW w:w="100" w:type="dxa"/>
            <w:vAlign w:val="bottom"/>
            <w:shd w:val="clear" w:color="auto" w:fill="CFF0FC"/>
          </w:tcPr>
          <w:p>
            <w:pPr>
              <w:spacing w:after="0"/>
              <w:rPr>
                <w:sz w:val="21"/>
                <w:szCs w:val="21"/>
                <w:color w:val="auto"/>
              </w:rPr>
            </w:pPr>
          </w:p>
        </w:tc>
        <w:tc>
          <w:tcPr>
            <w:tcW w:w="120" w:type="dxa"/>
            <w:vAlign w:val="bottom"/>
          </w:tcPr>
          <w:p>
            <w:pPr>
              <w:spacing w:after="0"/>
              <w:rPr>
                <w:sz w:val="21"/>
                <w:szCs w:val="21"/>
                <w:color w:val="auto"/>
              </w:rPr>
            </w:pPr>
          </w:p>
        </w:tc>
      </w:tr>
      <w:tr>
        <w:trPr>
          <w:trHeight w:val="754"/>
        </w:trPr>
        <w:tc>
          <w:tcPr>
            <w:tcW w:w="3620" w:type="dxa"/>
            <w:vAlign w:val="bottom"/>
            <w:tcBorders>
              <w:top w:val="single" w:sz="8" w:color="CFF0FC"/>
            </w:tcBorders>
          </w:tcPr>
          <w:p>
            <w:pPr>
              <w:spacing w:after="0"/>
              <w:rPr>
                <w:sz w:val="24"/>
                <w:szCs w:val="24"/>
                <w:color w:val="auto"/>
              </w:rPr>
            </w:pPr>
          </w:p>
        </w:tc>
        <w:tc>
          <w:tcPr>
            <w:tcW w:w="4000" w:type="dxa"/>
            <w:vAlign w:val="bottom"/>
            <w:tcBorders>
              <w:top w:val="single" w:sz="8" w:color="CFF0FC"/>
            </w:tcBorders>
          </w:tcPr>
          <w:p>
            <w:pPr>
              <w:jc w:val="right"/>
              <w:ind w:right="1810"/>
              <w:spacing w:after="0"/>
              <w:rPr>
                <w:sz w:val="20"/>
                <w:szCs w:val="20"/>
                <w:color w:val="auto"/>
              </w:rPr>
            </w:pPr>
            <w:r>
              <w:rPr>
                <w:rFonts w:ascii="Calibri" w:cs="Calibri" w:eastAsia="Calibri" w:hAnsi="Calibri"/>
                <w:sz w:val="18"/>
                <w:szCs w:val="18"/>
                <w:color w:val="auto"/>
              </w:rPr>
              <w:t>74</w:t>
            </w:r>
          </w:p>
        </w:tc>
        <w:tc>
          <w:tcPr>
            <w:tcW w:w="3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20" w:type="dxa"/>
            <w:vAlign w:val="bottom"/>
          </w:tcPr>
          <w:p>
            <w:pPr>
              <w:spacing w:after="0"/>
              <w:rPr>
                <w:sz w:val="24"/>
                <w:szCs w:val="24"/>
                <w:color w:val="auto"/>
              </w:rPr>
            </w:pPr>
          </w:p>
        </w:tc>
      </w:tr>
      <w:tr>
        <w:trPr>
          <w:trHeight w:val="516"/>
        </w:trPr>
        <w:tc>
          <w:tcPr>
            <w:tcW w:w="3620" w:type="dxa"/>
            <w:vAlign w:val="bottom"/>
            <w:tcBorders>
              <w:bottom w:val="single" w:sz="8" w:color="9A9A9A"/>
            </w:tcBorders>
          </w:tcPr>
          <w:p>
            <w:pPr>
              <w:spacing w:after="0"/>
              <w:rPr>
                <w:sz w:val="24"/>
                <w:szCs w:val="24"/>
                <w:color w:val="auto"/>
              </w:rPr>
            </w:pPr>
          </w:p>
        </w:tc>
        <w:tc>
          <w:tcPr>
            <w:tcW w:w="40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-856615</wp:posOffset>
            </wp:positionV>
            <wp:extent cx="6858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-839470</wp:posOffset>
            </wp:positionV>
            <wp:extent cx="6858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-856615</wp:posOffset>
            </wp:positionV>
            <wp:extent cx="6858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-839470</wp:posOffset>
            </wp:positionV>
            <wp:extent cx="6858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4" w:name="page75"/>
    <w:bookmarkEnd w:id="74"/>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Series B Preferred Stock</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Repurchase and Exchange Agreement</w:t>
      </w:r>
    </w:p>
    <w:p>
      <w:pPr>
        <w:spacing w:after="0" w:line="177"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On February 26, 2021 the Company entered into a Series A Preferred Stock Repurchase and Exchange Agreement (the “Repurchase and Exchange Agreement”) with Southeastern Asset Management, Inc. (“Southeastern”), Longleaf Partners Small-Cap Fund, C2W Partners Master Fund Limited and Deseret Mutual Pension Trust, which are investment funds managed by Southeastern (such investment funds, collectvely, the “Purchasers”). The Company repurchased one million shares of its Series A Preferred Stock under the terms of the Repurchase and Exchange Agreement for $100,641,667, representng the liquidaton value of such Series A Preferred Stock plus accrued and unpaid dividends. In additon, the Company and the Purchasers agreed to exchange the remaining one million shares of the Company's Series A Preferred Stock held by the Purchasers for shares of the Company’s newly created 4.0% Series B Convertble Preferred Stock, no par value (the “Series B Preferred Stock”) on a one-for-one basis plus accrued and unpaid dividends of $641,667. The exchange of shares of Series A Preferred Stock for shares of Series B Preferred Stock was a noncash fnancing actvity. The fair value of the Series B Preferred Stock at the tme of issuance was approximately $95 million. The Company has classifed the Series B Preferred Stock as temporary equity in the Consolidated Statement of Financial Positon.</w:t>
      </w:r>
    </w:p>
    <w:p>
      <w:pPr>
        <w:spacing w:after="0" w:line="193"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Dividend and Other Rights</w:t>
      </w:r>
    </w:p>
    <w:p>
      <w:pPr>
        <w:spacing w:after="0" w:line="177" w:lineRule="exact"/>
        <w:rPr>
          <w:sz w:val="20"/>
          <w:szCs w:val="20"/>
          <w:color w:val="auto"/>
        </w:rPr>
      </w:pPr>
    </w:p>
    <w:p>
      <w:pPr>
        <w:ind w:right="220"/>
        <w:spacing w:after="0" w:line="235" w:lineRule="auto"/>
        <w:rPr>
          <w:sz w:val="20"/>
          <w:szCs w:val="20"/>
          <w:color w:val="auto"/>
        </w:rPr>
      </w:pPr>
      <w:r>
        <w:rPr>
          <w:rFonts w:ascii="Calibri" w:cs="Calibri" w:eastAsia="Calibri" w:hAnsi="Calibri"/>
          <w:sz w:val="18"/>
          <w:szCs w:val="18"/>
          <w:color w:val="auto"/>
        </w:rPr>
        <w:t>On February 25, 2021, the Company fled with the Department of Treasury of the State of New Jersey a Certfcate of Amendment to the Second Amended and Restated Certfcate of Incorporaton of the Company (the “Series B Certfcate of Designatons”) which established the designaton, number of shares, rights, preferences and limitatons of the Series B Preferred Stock which became efectve upon fling. The Series B Preferred Stock ranks senior to the Common Stock and pari passu with the Series C Preferred Stock with respect to dividend rights and rights on liquidaton, winding-up and dissoluton. The Series B Preferred Stock has a liquidaton preference of $100 per share, and the holders of Series B Preferred Stock are enttled to cumulatve dividends payable quarterly in cash at a rate of 4.0% per annum. If dividends on any Series B Preferred Stock are in arrears for six or more consecutve or non-consecutve dividend periods, the holders of the Series B Preferred Stock will be enttled to nominate one director at the next annual shareholder meetng and all subsequent shareholder meetngs untl all accumulated dividends on such Series B Preferred Stock have been paid or set aside. Dividends owed on the Series B Preferred Stock have been declared and paid when due. Holders of Series B Preferred Stock will have certain limited special approval rights, including with respect to the issuance of pari passu or senior equity securites of the Company.</w:t>
      </w:r>
    </w:p>
    <w:p>
      <w:pPr>
        <w:spacing w:after="0" w:line="179"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Conversion Features</w:t>
      </w:r>
    </w:p>
    <w:p>
      <w:pPr>
        <w:spacing w:after="0" w:line="190"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Each share of Series B Preferred Stock is convertble, at the opton of each holder at any tme, into shares of Common Stock at the inital conversion rate of 9.5238 shares of Common Stock for each share of Series B Preferred Stock (equivalent to an inital conversion price of $10.50 per share of Common Stock). The inital conversion rate and the corresponding conversion price are subject to certain customary ant-diluton adjustments. If a holder elects to convert any shares of Series B Preferred Stock during a specifed period in connecton with a fundamental change (as defned in the Series B Certfcate of Designatons), such holder can elect to have the conversion rate adjusted and can elect to receive a cash payment in lieu of shares for a porton of the shares. Such holder will also be enttled to a payment in respect of accumulated dividends. In additon, the Company will have the right to require holders to convert any shares of Series B Preferred Stock in connecton with certain reorganizaton events in which case the conversion rate will be adjusted, subject to certain limitatons.</w:t>
      </w:r>
    </w:p>
    <w:p>
      <w:pPr>
        <w:spacing w:after="0" w:line="182"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The Company has the right to cause the mandatory conversion of the Series B Preferred Stock into shares of Common Stock if the closing price of the Common Stock has equaled or exceeded $14.50 (subject to adjustment in the same manner as the conversion price) for 45 trading days within a period of 60 consecutve trading days.</w:t>
      </w:r>
    </w:p>
    <w:p>
      <w:pPr>
        <w:spacing w:after="0" w:line="173"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Embedded Conversion Features</w:t>
      </w:r>
    </w:p>
    <w:p>
      <w:pPr>
        <w:spacing w:after="0" w:line="1"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The Company concluded that the Series B Preferred Stock was more akin to a debt-type instrument and that the economic characteristcs and risks of the conversion opton upon a fundamental change by the holder was not considered clearly and closely related to the Series B Preferred Stock. Accordingly, this embedded conversion feature was bifurcated from the Series B Preferred Stock and is being separately accounted for as a derivatve. The Company allocated $1 million to the derivatve liability based on the aggregate fair value of the embedded conversion feature on the date of issuance which reduced the original carrying value of the Series B Preferred Stock.</w:t>
      </w:r>
    </w:p>
    <w:p>
      <w:pPr>
        <w:spacing w:after="0" w:line="220" w:lineRule="exact"/>
        <w:rPr>
          <w:sz w:val="20"/>
          <w:szCs w:val="20"/>
          <w:color w:val="auto"/>
        </w:rPr>
      </w:pPr>
    </w:p>
    <w:p>
      <w:pPr>
        <w:ind w:right="260"/>
        <w:spacing w:after="0" w:line="235" w:lineRule="auto"/>
        <w:rPr>
          <w:sz w:val="20"/>
          <w:szCs w:val="20"/>
          <w:color w:val="auto"/>
        </w:rPr>
      </w:pPr>
      <w:r>
        <w:rPr>
          <w:rFonts w:ascii="Calibri" w:cs="Calibri" w:eastAsia="Calibri" w:hAnsi="Calibri"/>
          <w:sz w:val="18"/>
          <w:szCs w:val="18"/>
          <w:color w:val="auto"/>
        </w:rPr>
        <w:t>The conversion opton upon a fundamental change embedded derivatve value at issuance was calculated as the diference between the total value of the Series B Preferred Stock and the sum of the net present value of the cash fows if the Series B Preferred Stock is redeemed on its redempton date and the values of other embedded derivatves. Other than events which alter the likelihood of a fundamental change, the value of the conversion opton upon a fundamental change embedded derivatve refects the value as of</w:t>
      </w:r>
    </w:p>
    <w:p>
      <w:pPr>
        <w:spacing w:after="0" w:line="188"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5" w:name="page76"/>
    <w:bookmarkEnd w:id="75"/>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the issuance date, amortzed for the passage of tme. The derivatve amortzaton is reported in Other (income) charges, net in the Consolidated Statement of Operatons.</w:t>
      </w:r>
    </w:p>
    <w:p>
      <w:pPr>
        <w:spacing w:after="0" w:line="218" w:lineRule="exact"/>
        <w:rPr>
          <w:sz w:val="20"/>
          <w:szCs w:val="20"/>
          <w:color w:val="auto"/>
        </w:rPr>
      </w:pPr>
    </w:p>
    <w:p>
      <w:pPr>
        <w:ind w:right="520"/>
        <w:spacing w:after="0" w:line="235" w:lineRule="auto"/>
        <w:rPr>
          <w:sz w:val="20"/>
          <w:szCs w:val="20"/>
          <w:color w:val="auto"/>
        </w:rPr>
      </w:pPr>
      <w:r>
        <w:rPr>
          <w:rFonts w:ascii="Calibri" w:cs="Calibri" w:eastAsia="Calibri" w:hAnsi="Calibri"/>
          <w:sz w:val="18"/>
          <w:szCs w:val="18"/>
          <w:color w:val="auto"/>
        </w:rPr>
        <w:t>The carrying value of the Series B Preferred Stock embedded derivatve as of December 31, 2024 and 2023 was a liability of less than $1 million and $1 million, respectvely, and is included in Other long-term liabilites in the accompanying Consolidated Statement of Financial Positon.</w:t>
      </w:r>
    </w:p>
    <w:p>
      <w:pPr>
        <w:spacing w:after="0" w:line="191" w:lineRule="exact"/>
        <w:rPr>
          <w:sz w:val="20"/>
          <w:szCs w:val="20"/>
          <w:color w:val="auto"/>
        </w:rPr>
      </w:pPr>
    </w:p>
    <w:p>
      <w:pPr>
        <w:ind w:right="100"/>
        <w:spacing w:after="0" w:line="235" w:lineRule="auto"/>
        <w:rPr>
          <w:sz w:val="20"/>
          <w:szCs w:val="20"/>
          <w:color w:val="auto"/>
        </w:rPr>
      </w:pPr>
      <w:r>
        <w:rPr>
          <w:rFonts w:ascii="Calibri" w:cs="Calibri" w:eastAsia="Calibri" w:hAnsi="Calibri"/>
          <w:sz w:val="18"/>
          <w:szCs w:val="18"/>
          <w:color w:val="auto"/>
        </w:rPr>
        <w:t>The carrying value of the Series B Preferred Stock at the tme of issuance, $93 million ($95 million fair value of Series B Preferred Stock on February 26, 2021 less $1 million allocated to the derivatve liability and $1 million of transacton costs) is being accreted to the mandatory redempton amount using the efectve interest method to Additonal paid in capital in the Consolidated Statement of Financial Positon as a deemed dividend from the date of issuance through the mandatory redempton date, May 28, 2026.</w:t>
      </w:r>
    </w:p>
    <w:p>
      <w:pPr>
        <w:spacing w:after="0" w:line="17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Redempton Features</w:t>
      </w:r>
    </w:p>
    <w:p>
      <w:pPr>
        <w:spacing w:after="0" w:line="177" w:lineRule="exact"/>
        <w:rPr>
          <w:sz w:val="20"/>
          <w:szCs w:val="20"/>
          <w:color w:val="auto"/>
        </w:rPr>
      </w:pPr>
    </w:p>
    <w:p>
      <w:pPr>
        <w:jc w:val="both"/>
        <w:ind w:right="80"/>
        <w:spacing w:after="0" w:line="235" w:lineRule="auto"/>
        <w:rPr>
          <w:sz w:val="20"/>
          <w:szCs w:val="20"/>
          <w:color w:val="auto"/>
        </w:rPr>
      </w:pPr>
      <w:r>
        <w:rPr>
          <w:rFonts w:ascii="Calibri" w:cs="Calibri" w:eastAsia="Calibri" w:hAnsi="Calibri"/>
          <w:sz w:val="18"/>
          <w:szCs w:val="18"/>
          <w:color w:val="auto"/>
        </w:rPr>
        <w:t>If any shares of Series B Preferred Stock have not been converted prior to May 28, 2026 (the “Redempton Date”), the Company is required to redeem such shares at $100 per share plus the amount of accrued and unpaid dividends. As the Company concluded that the Series B Preferred Stock is considered more akin to a debt-type instrument, the redempton feature is considered to be clearly and closely related to the host contract and therefore was not required to be separated from the Series B Preferred Stock.</w:t>
      </w:r>
    </w:p>
    <w:p>
      <w:pPr>
        <w:spacing w:after="0" w:line="18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Series B Registraton Rights Agreement</w:t>
      </w:r>
    </w:p>
    <w:p>
      <w:pPr>
        <w:spacing w:after="0" w:line="177"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On November 15, 2016, the Company and the Purchasers entered into a Registraton Rights Agreement (the “Series A Registraton Rights Agreement”) which provided the Purchasers with customary registraton rights in respect of the shares of Common Stock issuable upon conversion of the Company's Series A Preferred Stock held by the Purchasers. The Series A Registraton Rights Agreement contains other customary terms and conditons, including certain customary indemnifcaton obligatons. The Repurchase and Exchange Agreement extended the registraton rights provided under the Series A Registraton Rights Agreement to shares of Common Stock issuable upon conversion of the Series B Preferred Stock.</w:t>
      </w:r>
    </w:p>
    <w:p>
      <w:pPr>
        <w:spacing w:after="0" w:line="17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Series C Preferred Stock</w:t>
      </w:r>
    </w:p>
    <w:p>
      <w:pPr>
        <w:spacing w:after="0" w:line="18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Purchase Agreement</w:t>
      </w:r>
    </w:p>
    <w:p>
      <w:pPr>
        <w:spacing w:after="0" w:line="177" w:lineRule="exact"/>
        <w:rPr>
          <w:sz w:val="20"/>
          <w:szCs w:val="20"/>
          <w:color w:val="auto"/>
        </w:rPr>
      </w:pPr>
    </w:p>
    <w:p>
      <w:pPr>
        <w:ind w:right="80"/>
        <w:spacing w:after="0" w:line="251" w:lineRule="auto"/>
        <w:rPr>
          <w:sz w:val="20"/>
          <w:szCs w:val="20"/>
          <w:color w:val="auto"/>
        </w:rPr>
      </w:pPr>
      <w:r>
        <w:rPr>
          <w:rFonts w:ascii="Calibri" w:cs="Calibri" w:eastAsia="Calibri" w:hAnsi="Calibri"/>
          <w:sz w:val="17"/>
          <w:szCs w:val="17"/>
          <w:color w:val="auto"/>
        </w:rPr>
        <w:t>On February 26, 2021, the Company and GO EK Ventures IV, LLC (the “Investor”) entered into a Series C Preferred Stock Purchase Agreement (the “Purchase Agreement”) pursuant to which the Company agreed to sell to the Investor, and the Investor agreed to purchase from the Company, an aggregate of 1,000,000 shares of the Company’s newly created 5.0% Series C Convertble Preferred Stock, no par value per share (the “Series C Preferred Stock”), for a purchase price of $100 per share, representng $100 million of gross proceeds to the Company. The inital issuance and sale of 750,000 shares ($75 million gross proceeds) closed on February 26, 2021. The fnal issuance and sale of the remaining 250,000 shares ($25 million gross proceeds) closed on March 30, 2021 afer expiraton of the waitng period under the Hart-Scot-Rodino Anttrust Improvements Act. The Investor is a fund managed by Grand Oaks Capital. The Company used the proceeds from the sale of the Series C Preferred Stock for general corporate purposes including the funding of growth initatves. The Company has classifed the Series C Preferred Stock as temporary equity in the Consolidated Statement of Financial Positon.</w:t>
      </w:r>
    </w:p>
    <w:p>
      <w:pPr>
        <w:spacing w:after="0" w:line="16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Dividend and Other Rights</w:t>
      </w:r>
    </w:p>
    <w:p>
      <w:pPr>
        <w:spacing w:after="0" w:line="190"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On February 25, 2021, the Company fled with the Department of Treasury of the State of New Jersey a Certfcate of Amendment to the Second Amended and Restated Certfcate of Incorporaton of the Company (the “Series C Certfcate of Designatons”) which established the designaton, number of shares, rights, preferences and limitatons of the Series C Preferred Stock and became efectve upon fling. The Series C Preferred Stock ranks senior to the Common Stock and pari passu with the Series B Preferred Stock with respect to dividend rights and rights on liquidaton, winding-up and dissoluton. The Series C Preferred Stock has an inital liquidaton preference of $100 per share, and holders of Series C Preferred Stock are enttled to cumulatve dividends payable quarterly “in-kind” in the form of additonal shares of Series C Preferred Stock at a rate of 5.0% per annum. If dividends on the Series C Preferred Stock are not declared and paid for any given fscal quarter, the liquidaton preference is automatcally increased by the amount of such unpaid dividends. Holders of the Series C Preferred Stock are also enttled to partcipate in any dividends paid on the Common Stock (other than stock dividends) on an as-converted basis, with such dividends on any shares of the Series C Preferred Stock being payable upon conversion of such shares of Series C Preferred Stock to Common Stock. Dividends owed on the Series C Preferred Stock have been declared and additonal Series C shares issued when due.</w:t>
      </w:r>
    </w:p>
    <w:p>
      <w:pPr>
        <w:spacing w:after="0" w:line="184" w:lineRule="exact"/>
        <w:rPr>
          <w:sz w:val="20"/>
          <w:szCs w:val="20"/>
          <w:color w:val="auto"/>
        </w:rPr>
      </w:pPr>
    </w:p>
    <w:p>
      <w:pPr>
        <w:ind w:right="340"/>
        <w:spacing w:after="0" w:line="235" w:lineRule="auto"/>
        <w:rPr>
          <w:sz w:val="20"/>
          <w:szCs w:val="20"/>
          <w:color w:val="auto"/>
        </w:rPr>
      </w:pPr>
      <w:r>
        <w:rPr>
          <w:rFonts w:ascii="Calibri" w:cs="Calibri" w:eastAsia="Calibri" w:hAnsi="Calibri"/>
          <w:sz w:val="18"/>
          <w:szCs w:val="18"/>
          <w:color w:val="auto"/>
        </w:rPr>
        <w:t>Holders of Series C Preferred Stock are enttled to vote together with the holders of the Common Stock as a single class, in each case, on an as-converted basis, except where a separate class vote is required by law. Holders of Series C Preferred Stock have</w:t>
      </w:r>
    </w:p>
    <w:p>
      <w:pPr>
        <w:spacing w:after="0" w:line="172"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6" w:name="page77"/>
    <w:bookmarkEnd w:id="76"/>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alibri" w:cs="Calibri" w:eastAsia="Calibri" w:hAnsi="Calibri"/>
          <w:sz w:val="18"/>
          <w:szCs w:val="18"/>
          <w:color w:val="auto"/>
        </w:rPr>
        <w:t>certain limited special approval rights, including with respect to the issuance of pari passu or senior equity securites of the Company.</w:t>
      </w:r>
    </w:p>
    <w:p>
      <w:pPr>
        <w:spacing w:after="0" w:line="177"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color w:val="auto"/>
        </w:rPr>
        <w:t>Pursuant to the Purchase Agreement, the Investor has the right to nominate one director at each annual or special meetng of the Company’s shareholders ("Designee") untl the earlier of the third anniversary of the executon of the Purchase Agreement and such tme as the Investor and its Afliates (as defned in the Purchase Agreement) do not hold at least a majority of the Series C Preferred Stock purchased under the Purchase Agreement. The Designee was elected to serve one-year terms at each of the annual meetngs since May 19, 2021. In the third quarter of 2023 the Designee resigned and a successor Designee nominated by the Investor was appointed by the Company's Board of Directors to fll the vacancy.</w:t>
      </w:r>
    </w:p>
    <w:p>
      <w:pPr>
        <w:spacing w:after="0" w:line="17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Conversion Features</w:t>
      </w:r>
    </w:p>
    <w:p>
      <w:pPr>
        <w:spacing w:after="0" w:line="190"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Each share of Series C Preferred Stock is convertble, at the opton of each holder at any tme, into shares of Common Stock at the inital conversion price of $10 per share of Common Stock. The inital conversion price and the corresponding conversion rate are subject to certain customary ant-diluton adjustments and to proportonal increase in the event the liquidaton preference of the Series C Preferred Stock is automatcally increased as described above. If a holder elects to convert any shares of Series C Preferred Stock during a specifed period in connecton with a fundamental change (as defned in the Series C Certfcate of Designatons), such holder can elect to have the conversion rate adjusted and can elect to receive a cash payment in lieu of shares for a porton of the shares of Common Stock. Such holder will also be enttled to a payment in respect of accumulated dividends and a payment based on the present value of all required remaining dividend payments through May 28, 2026, the mandatory redempton date. Such additonal payments will be payable at the Company’s opton in cash or in additonal shares of Common Stock. In additon, the Company will have the right to require holders to convert any shares of Series C Preferred Stock in connecton with certain reorganizaton events in which case the conversion rate will be adjusted, subject to certain limitatons.</w:t>
      </w:r>
    </w:p>
    <w:p>
      <w:pPr>
        <w:spacing w:after="0" w:line="184"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The Company has the right to cause the mandatory conversion of the Series C Preferred Stock into shares of Common Stock (i) at any tme afer February 26, 2023 if the closing price of the Common Stock has equaled or exceeded 200% of the then-efectve conversion price for 45 trading days within a period of 60 consecutve trading days, or (ii) at any tme afer February 26, 2024 if the closing price of the Common Stock has equaled or exceeded 150% of the then-efectve conversion price for 45 trading days within a period of 60 consecutve trading days.</w:t>
      </w:r>
    </w:p>
    <w:p>
      <w:pPr>
        <w:spacing w:after="0" w:line="17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Embedded Conversion Features</w:t>
      </w:r>
    </w:p>
    <w:p>
      <w:pPr>
        <w:spacing w:after="0" w:line="1" w:lineRule="exact"/>
        <w:rPr>
          <w:sz w:val="20"/>
          <w:szCs w:val="20"/>
          <w:color w:val="auto"/>
        </w:rPr>
      </w:pPr>
    </w:p>
    <w:p>
      <w:pPr>
        <w:ind w:right="260"/>
        <w:spacing w:after="0" w:line="235" w:lineRule="auto"/>
        <w:rPr>
          <w:sz w:val="20"/>
          <w:szCs w:val="20"/>
          <w:color w:val="auto"/>
        </w:rPr>
      </w:pPr>
      <w:r>
        <w:rPr>
          <w:rFonts w:ascii="Calibri" w:cs="Calibri" w:eastAsia="Calibri" w:hAnsi="Calibri"/>
          <w:sz w:val="18"/>
          <w:szCs w:val="18"/>
          <w:color w:val="auto"/>
        </w:rPr>
        <w:t>The Company concluded that the Series C Preferred Stock is more akin to a debt-type instrument and that the economic characteristcs and risks of the conversion opton upon a fundamental change by the holder is not considered clearly and closely related to the Series C Preferred Stock. Accordingly, this embedded conversion feature was bifurcated from the Series C Preferred Stock and separately accounted for as a derivatve. The Company allocated $2 million of the net proceeds received to the derivatve liability based on the aggregate fair value of the embedded conversion features on the dates of issuance which reduced the original carrying value of the Series C Preferred Stock.</w:t>
      </w:r>
    </w:p>
    <w:p>
      <w:pPr>
        <w:spacing w:after="0" w:line="220" w:lineRule="exact"/>
        <w:rPr>
          <w:sz w:val="20"/>
          <w:szCs w:val="20"/>
          <w:color w:val="auto"/>
        </w:rPr>
      </w:pPr>
    </w:p>
    <w:p>
      <w:pPr>
        <w:ind w:right="240"/>
        <w:spacing w:after="0" w:line="235" w:lineRule="auto"/>
        <w:rPr>
          <w:sz w:val="20"/>
          <w:szCs w:val="20"/>
          <w:color w:val="auto"/>
        </w:rPr>
      </w:pPr>
      <w:r>
        <w:rPr>
          <w:rFonts w:ascii="Calibri" w:cs="Calibri" w:eastAsia="Calibri" w:hAnsi="Calibri"/>
          <w:sz w:val="18"/>
          <w:szCs w:val="18"/>
          <w:color w:val="auto"/>
        </w:rPr>
        <w:t>The conversion opton upon a fundamental change embedded derivatve value at issuance was calculated as the diference between the total value of the Series C Preferred Stock and the sum of the net present value of the cash fows if the Series C Preferred Stock is redeemed on its redempton date and the values of other embedded derivatves. Other than events which alter the likelihood of a fundamental change, the value of the conversion opton upon a fundamental change embedded derivatve refects the value as of the issuance date, amortzed for the passage of tme. The derivatve amortzaton is reported in Other (income) charges, net in the Consolidated Statement of Operatons.</w:t>
      </w:r>
    </w:p>
    <w:p>
      <w:pPr>
        <w:spacing w:after="0" w:line="193" w:lineRule="exact"/>
        <w:rPr>
          <w:sz w:val="20"/>
          <w:szCs w:val="20"/>
          <w:color w:val="auto"/>
        </w:rPr>
      </w:pPr>
    </w:p>
    <w:p>
      <w:pPr>
        <w:ind w:right="500"/>
        <w:spacing w:after="0" w:line="235" w:lineRule="auto"/>
        <w:rPr>
          <w:sz w:val="20"/>
          <w:szCs w:val="20"/>
          <w:color w:val="auto"/>
        </w:rPr>
      </w:pPr>
      <w:r>
        <w:rPr>
          <w:rFonts w:ascii="Calibri" w:cs="Calibri" w:eastAsia="Calibri" w:hAnsi="Calibri"/>
          <w:sz w:val="18"/>
          <w:szCs w:val="18"/>
          <w:color w:val="auto"/>
        </w:rPr>
        <w:t>The carrying value of the Series C Preferred Stock embedded derivatve as of December 31, 2024 and 2023 was a liability of less than $1 million and $1 million, respectvely, and is included in Other long-term liabilites in the accompanying Consolidated Statement of Financial Positon.</w:t>
      </w:r>
    </w:p>
    <w:p>
      <w:pPr>
        <w:spacing w:after="0" w:line="177"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color w:val="auto"/>
        </w:rPr>
        <w:t>The carrying value of the Series C Preferred Stock at the tme of issuance, $97 million ($100 million aggregate gross proceeds less $2 million allocated to the derivatve liability and $1 million in transacton costs) is being accreted to the mandatory redempton amount using the efectve interest method to Additonal paid in capital in the Consolidated Statement of Financial Positon as a deemed dividend from the date of issuance through the mandatory redempton date.</w:t>
      </w:r>
    </w:p>
    <w:p>
      <w:pPr>
        <w:spacing w:after="0" w:line="17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77" w:name="page78"/>
    <w:bookmarkEnd w:id="77"/>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Redempton Features</w:t>
      </w:r>
    </w:p>
    <w:p>
      <w:pPr>
        <w:spacing w:after="0" w:line="177" w:lineRule="exact"/>
        <w:rPr>
          <w:sz w:val="20"/>
          <w:szCs w:val="20"/>
          <w:color w:val="auto"/>
        </w:rPr>
      </w:pPr>
    </w:p>
    <w:p>
      <w:pPr>
        <w:ind w:right="80"/>
        <w:spacing w:after="0" w:line="252" w:lineRule="auto"/>
        <w:rPr>
          <w:sz w:val="20"/>
          <w:szCs w:val="20"/>
          <w:color w:val="auto"/>
        </w:rPr>
      </w:pPr>
      <w:r>
        <w:rPr>
          <w:rFonts w:ascii="Calibri" w:cs="Calibri" w:eastAsia="Calibri" w:hAnsi="Calibri"/>
          <w:sz w:val="17"/>
          <w:szCs w:val="17"/>
          <w:color w:val="auto"/>
        </w:rPr>
        <w:t>If any shares of Series C Preferred Stock have not been converted prior to the Redempton Date, the Company is required to redeem such shares at $100 per share plus the amount of accrued and unpaid dividends thereon; provided that the holders of the Series C Preferred Stock have the right to extend such redempton date by up to two years. As the Company concluded that the Series C Preferred Stock is more akin to a debt-type instrument, the redempton feature is considered to be clearly and closely related to the host contract and therefore was not required to be separated from the Series C Preferred Stock.</w:t>
      </w:r>
    </w:p>
    <w:p>
      <w:pPr>
        <w:spacing w:after="0" w:line="163"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Series C Registraton Rights Agreement</w:t>
      </w:r>
    </w:p>
    <w:p>
      <w:pPr>
        <w:spacing w:after="0" w:line="109" w:lineRule="exact"/>
        <w:rPr>
          <w:sz w:val="20"/>
          <w:szCs w:val="20"/>
          <w:color w:val="auto"/>
        </w:rPr>
      </w:pPr>
    </w:p>
    <w:p>
      <w:pPr>
        <w:ind w:right="160"/>
        <w:spacing w:after="0" w:line="254" w:lineRule="auto"/>
        <w:rPr>
          <w:sz w:val="20"/>
          <w:szCs w:val="20"/>
          <w:color w:val="auto"/>
        </w:rPr>
      </w:pPr>
      <w:r>
        <w:rPr>
          <w:rFonts w:ascii="Calibri" w:cs="Calibri" w:eastAsia="Calibri" w:hAnsi="Calibri"/>
          <w:sz w:val="17"/>
          <w:szCs w:val="17"/>
          <w:color w:val="auto"/>
        </w:rPr>
        <w:t>On February 26, 2021, the Company and the Investor entered into a Registraton Rights Agreement (the “Series C Registraton Rights Agreement”) which provides the Investor with customary registraton rights in respect of the shares of Common Stock issuable upon conversion of the Series C Preferred Stock. The Series C Registraton Rights Agreement contains other customary terms and conditons, including certain customary indemnifcaton obligatons.</w:t>
      </w:r>
    </w:p>
    <w:p>
      <w:pPr>
        <w:spacing w:after="0" w:line="17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10: LEASES</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Kodak as lessee</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color w:val="auto"/>
        </w:rPr>
        <w:t>The table below presents the lease-related assets and liabilites on the Consolidated Statement of Financial Positon: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040" w:type="dxa"/>
            <w:vAlign w:val="bottom"/>
          </w:tcPr>
          <w:p>
            <w:pPr>
              <w:spacing w:after="0"/>
              <w:rPr>
                <w:sz w:val="19"/>
                <w:szCs w:val="19"/>
                <w:color w:val="auto"/>
              </w:rPr>
            </w:pPr>
          </w:p>
        </w:tc>
        <w:tc>
          <w:tcPr>
            <w:tcW w:w="5400" w:type="dxa"/>
            <w:vAlign w:val="bottom"/>
          </w:tcPr>
          <w:p>
            <w:pPr>
              <w:jc w:val="center"/>
              <w:spacing w:after="0"/>
              <w:rPr>
                <w:sz w:val="20"/>
                <w:szCs w:val="20"/>
                <w:color w:val="auto"/>
              </w:rPr>
            </w:pPr>
            <w:r>
              <w:rPr>
                <w:rFonts w:ascii="Calibri" w:cs="Calibri" w:eastAsia="Calibri" w:hAnsi="Calibri"/>
                <w:sz w:val="18"/>
                <w:szCs w:val="18"/>
                <w:b w:val="1"/>
                <w:bCs w:val="1"/>
                <w:color w:val="auto"/>
              </w:rPr>
              <w:t>Classifcaton in the</w:t>
            </w:r>
          </w:p>
        </w:tc>
        <w:tc>
          <w:tcPr>
            <w:tcW w:w="260" w:type="dxa"/>
            <w:vAlign w:val="bottom"/>
          </w:tcPr>
          <w:p>
            <w:pPr>
              <w:spacing w:after="0"/>
              <w:rPr>
                <w:sz w:val="19"/>
                <w:szCs w:val="19"/>
                <w:color w:val="auto"/>
              </w:rPr>
            </w:pPr>
          </w:p>
        </w:tc>
        <w:tc>
          <w:tcPr>
            <w:tcW w:w="1600" w:type="dxa"/>
            <w:vAlign w:val="bottom"/>
            <w:gridSpan w:val="3"/>
          </w:tcPr>
          <w:p>
            <w:pPr>
              <w:jc w:val="right"/>
              <w:ind w:right="20"/>
              <w:spacing w:after="0"/>
              <w:rPr>
                <w:sz w:val="20"/>
                <w:szCs w:val="20"/>
                <w:color w:val="auto"/>
              </w:rPr>
            </w:pPr>
            <w:r>
              <w:rPr>
                <w:rFonts w:ascii="Calibri" w:cs="Calibri" w:eastAsia="Calibri" w:hAnsi="Calibri"/>
                <w:sz w:val="18"/>
                <w:szCs w:val="18"/>
                <w:b w:val="1"/>
                <w:bCs w:val="1"/>
                <w:color w:val="auto"/>
              </w:rPr>
              <w:t>December 31,</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6"/>
        </w:trPr>
        <w:tc>
          <w:tcPr>
            <w:tcW w:w="3040" w:type="dxa"/>
            <w:vAlign w:val="bottom"/>
          </w:tcPr>
          <w:p>
            <w:pPr>
              <w:ind w:left="20"/>
              <w:spacing w:after="0"/>
              <w:rPr>
                <w:sz w:val="20"/>
                <w:szCs w:val="20"/>
                <w:color w:val="auto"/>
              </w:rPr>
            </w:pPr>
            <w:r>
              <w:rPr>
                <w:rFonts w:ascii="Calibri" w:cs="Calibri" w:eastAsia="Calibri" w:hAnsi="Calibri"/>
                <w:sz w:val="14"/>
                <w:szCs w:val="14"/>
                <w:color w:val="auto"/>
              </w:rPr>
              <w:t>(in millions)</w:t>
            </w:r>
          </w:p>
        </w:tc>
        <w:tc>
          <w:tcPr>
            <w:tcW w:w="540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8"/>
              </w:rPr>
              <w:t>Consolidated Statement of Financial Positon</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line="216" w:lineRule="exact"/>
              <w:rPr>
                <w:sz w:val="20"/>
                <w:szCs w:val="20"/>
                <w:color w:val="auto"/>
              </w:rPr>
            </w:pPr>
            <w:r>
              <w:rPr>
                <w:rFonts w:ascii="Calibri" w:cs="Calibri" w:eastAsia="Calibri" w:hAnsi="Calibri"/>
                <w:sz w:val="18"/>
                <w:szCs w:val="18"/>
                <w:b w:val="1"/>
                <w:bCs w:val="1"/>
                <w:color w:val="auto"/>
              </w:rPr>
              <w:t>2024</w:t>
            </w:r>
          </w:p>
        </w:tc>
        <w:tc>
          <w:tcPr>
            <w:tcW w:w="2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50"/>
              <w:spacing w:after="0" w:line="216" w:lineRule="exact"/>
              <w:rPr>
                <w:sz w:val="20"/>
                <w:szCs w:val="20"/>
                <w:color w:val="auto"/>
              </w:rPr>
            </w:pPr>
            <w:r>
              <w:rPr>
                <w:rFonts w:ascii="Calibri" w:cs="Calibri" w:eastAsia="Calibri" w:hAnsi="Calibri"/>
                <w:sz w:val="18"/>
                <w:szCs w:val="18"/>
                <w:b w:val="1"/>
                <w:bCs w:val="1"/>
                <w:color w:val="auto"/>
                <w:w w:val="98"/>
              </w:rPr>
              <w:t>2023</w:t>
            </w:r>
          </w:p>
        </w:tc>
        <w:tc>
          <w:tcPr>
            <w:tcW w:w="120" w:type="dxa"/>
            <w:vAlign w:val="bottom"/>
          </w:tcPr>
          <w:p>
            <w:pPr>
              <w:spacing w:after="0"/>
              <w:rPr>
                <w:sz w:val="20"/>
                <w:szCs w:val="20"/>
                <w:color w:val="auto"/>
              </w:rPr>
            </w:pPr>
          </w:p>
        </w:tc>
      </w:tr>
      <w:tr>
        <w:trPr>
          <w:trHeight w:val="213"/>
        </w:trPr>
        <w:tc>
          <w:tcPr>
            <w:tcW w:w="3040" w:type="dxa"/>
            <w:vAlign w:val="bottom"/>
            <w:shd w:val="clear" w:color="auto" w:fill="CFF0FC"/>
          </w:tcPr>
          <w:p>
            <w:pPr>
              <w:ind w:left="20"/>
              <w:spacing w:after="0" w:line="213" w:lineRule="exact"/>
              <w:rPr>
                <w:sz w:val="20"/>
                <w:szCs w:val="20"/>
                <w:color w:val="auto"/>
              </w:rPr>
            </w:pPr>
            <w:r>
              <w:rPr>
                <w:rFonts w:ascii="Calibri" w:cs="Calibri" w:eastAsia="Calibri" w:hAnsi="Calibri"/>
                <w:sz w:val="18"/>
                <w:szCs w:val="18"/>
                <w:b w:val="1"/>
                <w:bCs w:val="1"/>
                <w:color w:val="auto"/>
              </w:rPr>
              <w:t>Assets</w:t>
            </w:r>
          </w:p>
        </w:tc>
        <w:tc>
          <w:tcPr>
            <w:tcW w:w="54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5"/>
        </w:trPr>
        <w:tc>
          <w:tcPr>
            <w:tcW w:w="3040" w:type="dxa"/>
            <w:vAlign w:val="bottom"/>
          </w:tcPr>
          <w:p>
            <w:pPr>
              <w:ind w:left="200"/>
              <w:spacing w:after="0" w:line="215" w:lineRule="exact"/>
              <w:rPr>
                <w:sz w:val="20"/>
                <w:szCs w:val="20"/>
                <w:color w:val="auto"/>
              </w:rPr>
            </w:pPr>
            <w:r>
              <w:rPr>
                <w:rFonts w:ascii="Calibri" w:cs="Calibri" w:eastAsia="Calibri" w:hAnsi="Calibri"/>
                <w:sz w:val="18"/>
                <w:szCs w:val="18"/>
                <w:color w:val="auto"/>
              </w:rPr>
              <w:t>Operatng lease assets</w:t>
            </w:r>
          </w:p>
        </w:tc>
        <w:tc>
          <w:tcPr>
            <w:tcW w:w="5400" w:type="dxa"/>
            <w:vAlign w:val="bottom"/>
          </w:tcPr>
          <w:p>
            <w:pPr>
              <w:jc w:val="center"/>
              <w:spacing w:after="0" w:line="215" w:lineRule="exact"/>
              <w:rPr>
                <w:sz w:val="20"/>
                <w:szCs w:val="20"/>
                <w:color w:val="auto"/>
              </w:rPr>
            </w:pPr>
            <w:r>
              <w:rPr>
                <w:rFonts w:ascii="Calibri" w:cs="Calibri" w:eastAsia="Calibri" w:hAnsi="Calibri"/>
                <w:sz w:val="18"/>
                <w:szCs w:val="18"/>
                <w:color w:val="auto"/>
                <w:w w:val="99"/>
              </w:rPr>
              <w:t>Operatng lease right-of-use assets</w:t>
            </w:r>
          </w:p>
        </w:tc>
        <w:tc>
          <w:tcPr>
            <w:tcW w:w="260" w:type="dxa"/>
            <w:vAlign w:val="bottom"/>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27</w:t>
            </w:r>
          </w:p>
        </w:tc>
        <w:tc>
          <w:tcPr>
            <w:tcW w:w="660" w:type="dxa"/>
            <w:vAlign w:val="bottom"/>
            <w:gridSpan w:val="2"/>
          </w:tcPr>
          <w:p>
            <w:pPr>
              <w:jc w:val="right"/>
              <w:ind w:right="300"/>
              <w:spacing w:after="0" w:line="215" w:lineRule="exact"/>
              <w:rPr>
                <w:sz w:val="20"/>
                <w:szCs w:val="20"/>
                <w:color w:val="auto"/>
              </w:rPr>
            </w:pPr>
            <w:r>
              <w:rPr>
                <w:rFonts w:ascii="Calibri" w:cs="Calibri" w:eastAsia="Calibri" w:hAnsi="Calibri"/>
                <w:sz w:val="18"/>
                <w:szCs w:val="18"/>
                <w:color w:val="auto"/>
              </w:rPr>
              <w:t>$</w:t>
            </w:r>
          </w:p>
        </w:tc>
        <w:tc>
          <w:tcPr>
            <w:tcW w:w="820" w:type="dxa"/>
            <w:vAlign w:val="bottom"/>
          </w:tcPr>
          <w:p>
            <w:pPr>
              <w:jc w:val="right"/>
              <w:spacing w:after="0" w:line="215" w:lineRule="exact"/>
              <w:rPr>
                <w:sz w:val="20"/>
                <w:szCs w:val="20"/>
                <w:color w:val="auto"/>
              </w:rPr>
            </w:pPr>
            <w:r>
              <w:rPr>
                <w:rFonts w:ascii="Calibri" w:cs="Calibri" w:eastAsia="Calibri" w:hAnsi="Calibri"/>
                <w:sz w:val="18"/>
                <w:szCs w:val="18"/>
                <w:color w:val="auto"/>
              </w:rPr>
              <w:t>30</w:t>
            </w:r>
          </w:p>
        </w:tc>
        <w:tc>
          <w:tcPr>
            <w:tcW w:w="120" w:type="dxa"/>
            <w:vAlign w:val="bottom"/>
          </w:tcPr>
          <w:p>
            <w:pPr>
              <w:spacing w:after="0"/>
              <w:rPr>
                <w:sz w:val="18"/>
                <w:szCs w:val="18"/>
                <w:color w:val="auto"/>
              </w:rPr>
            </w:pPr>
          </w:p>
        </w:tc>
      </w:tr>
      <w:tr>
        <w:trPr>
          <w:trHeight w:val="216"/>
        </w:trPr>
        <w:tc>
          <w:tcPr>
            <w:tcW w:w="3040" w:type="dxa"/>
            <w:vAlign w:val="bottom"/>
            <w:tcBorders>
              <w:bottom w:val="single" w:sz="8" w:color="CFF0FC"/>
            </w:tcBorders>
            <w:shd w:val="clear" w:color="auto" w:fill="CFF0FC"/>
          </w:tcPr>
          <w:p>
            <w:pPr>
              <w:ind w:left="200"/>
              <w:spacing w:after="0" w:line="216" w:lineRule="exact"/>
              <w:rPr>
                <w:sz w:val="20"/>
                <w:szCs w:val="20"/>
                <w:color w:val="auto"/>
              </w:rPr>
            </w:pPr>
            <w:r>
              <w:rPr>
                <w:rFonts w:ascii="Calibri" w:cs="Calibri" w:eastAsia="Calibri" w:hAnsi="Calibri"/>
                <w:sz w:val="18"/>
                <w:szCs w:val="18"/>
                <w:color w:val="auto"/>
              </w:rPr>
              <w:t>Finance lease assets</w:t>
            </w:r>
          </w:p>
        </w:tc>
        <w:tc>
          <w:tcPr>
            <w:tcW w:w="5400" w:type="dxa"/>
            <w:vAlign w:val="bottom"/>
            <w:tcBorders>
              <w:bottom w:val="single" w:sz="8" w:color="CFF0FC"/>
            </w:tcBorders>
            <w:shd w:val="clear" w:color="auto" w:fill="CFF0FC"/>
          </w:tcPr>
          <w:p>
            <w:pPr>
              <w:jc w:val="center"/>
              <w:spacing w:after="0" w:line="216" w:lineRule="exact"/>
              <w:rPr>
                <w:sz w:val="20"/>
                <w:szCs w:val="20"/>
                <w:color w:val="auto"/>
              </w:rPr>
            </w:pPr>
            <w:r>
              <w:rPr>
                <w:rFonts w:ascii="Calibri" w:cs="Calibri" w:eastAsia="Calibri" w:hAnsi="Calibri"/>
                <w:sz w:val="18"/>
                <w:szCs w:val="18"/>
                <w:color w:val="auto"/>
                <w:w w:val="97"/>
              </w:rPr>
              <w:t>Property, plant and equipment, net</w:t>
            </w:r>
          </w:p>
        </w:tc>
        <w:tc>
          <w:tcPr>
            <w:tcW w:w="2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w:t>
            </w:r>
          </w:p>
        </w:tc>
        <w:tc>
          <w:tcPr>
            <w:tcW w:w="24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3040" w:type="dxa"/>
            <w:vAlign w:val="bottom"/>
          </w:tcPr>
          <w:p>
            <w:pPr>
              <w:ind w:left="20"/>
              <w:spacing w:after="0" w:line="209" w:lineRule="exact"/>
              <w:rPr>
                <w:sz w:val="20"/>
                <w:szCs w:val="20"/>
                <w:color w:val="auto"/>
              </w:rPr>
            </w:pPr>
            <w:r>
              <w:rPr>
                <w:rFonts w:ascii="Calibri" w:cs="Calibri" w:eastAsia="Calibri" w:hAnsi="Calibri"/>
                <w:sz w:val="18"/>
                <w:szCs w:val="18"/>
                <w:color w:val="auto"/>
              </w:rPr>
              <w:t>Total lease assets</w:t>
            </w:r>
          </w:p>
        </w:tc>
        <w:tc>
          <w:tcPr>
            <w:tcW w:w="5400" w:type="dxa"/>
            <w:vAlign w:val="bottom"/>
          </w:tcPr>
          <w:p>
            <w:pPr>
              <w:spacing w:after="0"/>
              <w:rPr>
                <w:sz w:val="18"/>
                <w:szCs w:val="18"/>
                <w:color w:val="auto"/>
              </w:rPr>
            </w:pPr>
          </w:p>
        </w:tc>
        <w:tc>
          <w:tcPr>
            <w:tcW w:w="260" w:type="dxa"/>
            <w:vAlign w:val="bottom"/>
          </w:tcPr>
          <w:p>
            <w:pPr>
              <w:jc w:val="right"/>
              <w:ind w:right="70"/>
              <w:spacing w:after="0" w:line="209" w:lineRule="exact"/>
              <w:rPr>
                <w:sz w:val="20"/>
                <w:szCs w:val="20"/>
                <w:color w:val="auto"/>
              </w:rPr>
            </w:pPr>
            <w:r>
              <w:rPr>
                <w:rFonts w:ascii="Calibri" w:cs="Calibri" w:eastAsia="Calibri" w:hAnsi="Calibri"/>
                <w:sz w:val="18"/>
                <w:szCs w:val="18"/>
                <w:color w:val="auto"/>
                <w:w w:val="87"/>
              </w:rPr>
              <w:t>$</w:t>
            </w:r>
          </w:p>
        </w:tc>
        <w:tc>
          <w:tcPr>
            <w:tcW w:w="940" w:type="dxa"/>
            <w:vAlign w:val="bottom"/>
          </w:tcPr>
          <w:p>
            <w:pPr>
              <w:jc w:val="right"/>
              <w:spacing w:after="0" w:line="209" w:lineRule="exact"/>
              <w:rPr>
                <w:sz w:val="20"/>
                <w:szCs w:val="20"/>
                <w:color w:val="auto"/>
              </w:rPr>
            </w:pPr>
            <w:r>
              <w:rPr>
                <w:rFonts w:ascii="Calibri" w:cs="Calibri" w:eastAsia="Calibri" w:hAnsi="Calibri"/>
                <w:sz w:val="18"/>
                <w:szCs w:val="18"/>
                <w:color w:val="auto"/>
              </w:rPr>
              <w:t>28</w:t>
            </w:r>
          </w:p>
        </w:tc>
        <w:tc>
          <w:tcPr>
            <w:tcW w:w="660" w:type="dxa"/>
            <w:vAlign w:val="bottom"/>
            <w:gridSpan w:val="2"/>
          </w:tcPr>
          <w:p>
            <w:pPr>
              <w:jc w:val="right"/>
              <w:ind w:right="300"/>
              <w:spacing w:after="0" w:line="209" w:lineRule="exact"/>
              <w:rPr>
                <w:sz w:val="20"/>
                <w:szCs w:val="20"/>
                <w:color w:val="auto"/>
              </w:rPr>
            </w:pPr>
            <w:r>
              <w:rPr>
                <w:rFonts w:ascii="Calibri" w:cs="Calibri" w:eastAsia="Calibri" w:hAnsi="Calibri"/>
                <w:sz w:val="18"/>
                <w:szCs w:val="18"/>
                <w:color w:val="auto"/>
              </w:rPr>
              <w:t>$</w:t>
            </w:r>
          </w:p>
        </w:tc>
        <w:tc>
          <w:tcPr>
            <w:tcW w:w="820" w:type="dxa"/>
            <w:vAlign w:val="bottom"/>
          </w:tcPr>
          <w:p>
            <w:pPr>
              <w:jc w:val="right"/>
              <w:spacing w:after="0" w:line="209" w:lineRule="exact"/>
              <w:rPr>
                <w:sz w:val="20"/>
                <w:szCs w:val="20"/>
                <w:color w:val="auto"/>
              </w:rPr>
            </w:pPr>
            <w:r>
              <w:rPr>
                <w:rFonts w:ascii="Calibri" w:cs="Calibri" w:eastAsia="Calibri" w:hAnsi="Calibri"/>
                <w:sz w:val="18"/>
                <w:szCs w:val="18"/>
                <w:color w:val="auto"/>
              </w:rPr>
              <w:t>31</w:t>
            </w:r>
          </w:p>
        </w:tc>
        <w:tc>
          <w:tcPr>
            <w:tcW w:w="120" w:type="dxa"/>
            <w:vAlign w:val="bottom"/>
          </w:tcPr>
          <w:p>
            <w:pPr>
              <w:spacing w:after="0"/>
              <w:rPr>
                <w:sz w:val="18"/>
                <w:szCs w:val="18"/>
                <w:color w:val="auto"/>
              </w:rPr>
            </w:pPr>
          </w:p>
        </w:tc>
      </w:tr>
      <w:tr>
        <w:trPr>
          <w:trHeight w:val="20"/>
        </w:trPr>
        <w:tc>
          <w:tcPr>
            <w:tcW w:w="304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3040" w:type="dxa"/>
            <w:vAlign w:val="bottom"/>
            <w:shd w:val="clear" w:color="auto" w:fill="CFF0FC"/>
          </w:tcPr>
          <w:p>
            <w:pPr>
              <w:spacing w:after="0"/>
              <w:rPr>
                <w:sz w:val="17"/>
                <w:szCs w:val="17"/>
                <w:color w:val="auto"/>
              </w:rPr>
            </w:pPr>
          </w:p>
        </w:tc>
        <w:tc>
          <w:tcPr>
            <w:tcW w:w="54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5"/>
        </w:trPr>
        <w:tc>
          <w:tcPr>
            <w:tcW w:w="3040" w:type="dxa"/>
            <w:vAlign w:val="bottom"/>
          </w:tcPr>
          <w:p>
            <w:pPr>
              <w:ind w:left="20"/>
              <w:spacing w:after="0" w:line="215" w:lineRule="exact"/>
              <w:rPr>
                <w:sz w:val="20"/>
                <w:szCs w:val="20"/>
                <w:color w:val="auto"/>
              </w:rPr>
            </w:pPr>
            <w:r>
              <w:rPr>
                <w:rFonts w:ascii="Calibri" w:cs="Calibri" w:eastAsia="Calibri" w:hAnsi="Calibri"/>
                <w:sz w:val="18"/>
                <w:szCs w:val="18"/>
                <w:b w:val="1"/>
                <w:bCs w:val="1"/>
                <w:color w:val="auto"/>
              </w:rPr>
              <w:t>Liabilites</w:t>
            </w:r>
          </w:p>
        </w:tc>
        <w:tc>
          <w:tcPr>
            <w:tcW w:w="5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7"/>
        </w:trPr>
        <w:tc>
          <w:tcPr>
            <w:tcW w:w="304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Current</w:t>
            </w:r>
          </w:p>
        </w:tc>
        <w:tc>
          <w:tcPr>
            <w:tcW w:w="54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5"/>
        </w:trPr>
        <w:tc>
          <w:tcPr>
            <w:tcW w:w="3040" w:type="dxa"/>
            <w:vAlign w:val="bottom"/>
          </w:tcPr>
          <w:p>
            <w:pPr>
              <w:ind w:left="200"/>
              <w:spacing w:after="0" w:line="215" w:lineRule="exact"/>
              <w:rPr>
                <w:sz w:val="20"/>
                <w:szCs w:val="20"/>
                <w:color w:val="auto"/>
              </w:rPr>
            </w:pPr>
            <w:r>
              <w:rPr>
                <w:rFonts w:ascii="Calibri" w:cs="Calibri" w:eastAsia="Calibri" w:hAnsi="Calibri"/>
                <w:sz w:val="18"/>
                <w:szCs w:val="18"/>
                <w:color w:val="auto"/>
              </w:rPr>
              <w:t>Operatng lease liabilites</w:t>
            </w:r>
          </w:p>
        </w:tc>
        <w:tc>
          <w:tcPr>
            <w:tcW w:w="5400" w:type="dxa"/>
            <w:vAlign w:val="bottom"/>
          </w:tcPr>
          <w:p>
            <w:pPr>
              <w:jc w:val="center"/>
              <w:spacing w:after="0" w:line="215" w:lineRule="exact"/>
              <w:rPr>
                <w:sz w:val="20"/>
                <w:szCs w:val="20"/>
                <w:color w:val="auto"/>
              </w:rPr>
            </w:pPr>
            <w:r>
              <w:rPr>
                <w:rFonts w:ascii="Calibri" w:cs="Calibri" w:eastAsia="Calibri" w:hAnsi="Calibri"/>
                <w:sz w:val="18"/>
                <w:szCs w:val="18"/>
                <w:color w:val="auto"/>
              </w:rPr>
              <w:t>Current porton of operatng leases</w:t>
            </w:r>
          </w:p>
        </w:tc>
        <w:tc>
          <w:tcPr>
            <w:tcW w:w="260" w:type="dxa"/>
            <w:vAlign w:val="bottom"/>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11</w:t>
            </w:r>
          </w:p>
        </w:tc>
        <w:tc>
          <w:tcPr>
            <w:tcW w:w="660" w:type="dxa"/>
            <w:vAlign w:val="bottom"/>
            <w:gridSpan w:val="2"/>
          </w:tcPr>
          <w:p>
            <w:pPr>
              <w:jc w:val="right"/>
              <w:ind w:right="300"/>
              <w:spacing w:after="0" w:line="215" w:lineRule="exact"/>
              <w:rPr>
                <w:sz w:val="20"/>
                <w:szCs w:val="20"/>
                <w:color w:val="auto"/>
              </w:rPr>
            </w:pPr>
            <w:r>
              <w:rPr>
                <w:rFonts w:ascii="Calibri" w:cs="Calibri" w:eastAsia="Calibri" w:hAnsi="Calibri"/>
                <w:sz w:val="18"/>
                <w:szCs w:val="18"/>
                <w:color w:val="auto"/>
              </w:rPr>
              <w:t>$</w:t>
            </w:r>
          </w:p>
        </w:tc>
        <w:tc>
          <w:tcPr>
            <w:tcW w:w="820" w:type="dxa"/>
            <w:vAlign w:val="bottom"/>
          </w:tcPr>
          <w:p>
            <w:pPr>
              <w:jc w:val="right"/>
              <w:spacing w:after="0" w:line="215" w:lineRule="exact"/>
              <w:rPr>
                <w:sz w:val="20"/>
                <w:szCs w:val="20"/>
                <w:color w:val="auto"/>
              </w:rPr>
            </w:pPr>
            <w:r>
              <w:rPr>
                <w:rFonts w:ascii="Calibri" w:cs="Calibri" w:eastAsia="Calibri" w:hAnsi="Calibri"/>
                <w:sz w:val="18"/>
                <w:szCs w:val="18"/>
                <w:color w:val="auto"/>
              </w:rPr>
              <w:t>13</w:t>
            </w:r>
          </w:p>
        </w:tc>
        <w:tc>
          <w:tcPr>
            <w:tcW w:w="120" w:type="dxa"/>
            <w:vAlign w:val="bottom"/>
          </w:tcPr>
          <w:p>
            <w:pPr>
              <w:spacing w:after="0"/>
              <w:rPr>
                <w:sz w:val="18"/>
                <w:szCs w:val="18"/>
                <w:color w:val="auto"/>
              </w:rPr>
            </w:pPr>
          </w:p>
        </w:tc>
      </w:tr>
      <w:tr>
        <w:trPr>
          <w:trHeight w:val="217"/>
        </w:trPr>
        <w:tc>
          <w:tcPr>
            <w:tcW w:w="304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Noncurrent</w:t>
            </w:r>
          </w:p>
        </w:tc>
        <w:tc>
          <w:tcPr>
            <w:tcW w:w="54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5"/>
        </w:trPr>
        <w:tc>
          <w:tcPr>
            <w:tcW w:w="3040" w:type="dxa"/>
            <w:vAlign w:val="bottom"/>
          </w:tcPr>
          <w:p>
            <w:pPr>
              <w:ind w:left="200"/>
              <w:spacing w:after="0" w:line="215" w:lineRule="exact"/>
              <w:rPr>
                <w:sz w:val="20"/>
                <w:szCs w:val="20"/>
                <w:color w:val="auto"/>
              </w:rPr>
            </w:pPr>
            <w:r>
              <w:rPr>
                <w:rFonts w:ascii="Calibri" w:cs="Calibri" w:eastAsia="Calibri" w:hAnsi="Calibri"/>
                <w:sz w:val="18"/>
                <w:szCs w:val="18"/>
                <w:color w:val="auto"/>
              </w:rPr>
              <w:t>Operatng lease liabilites</w:t>
            </w:r>
          </w:p>
        </w:tc>
        <w:tc>
          <w:tcPr>
            <w:tcW w:w="5400" w:type="dxa"/>
            <w:vAlign w:val="bottom"/>
          </w:tcPr>
          <w:p>
            <w:pPr>
              <w:jc w:val="center"/>
              <w:spacing w:after="0" w:line="215" w:lineRule="exact"/>
              <w:rPr>
                <w:sz w:val="20"/>
                <w:szCs w:val="20"/>
                <w:color w:val="auto"/>
              </w:rPr>
            </w:pPr>
            <w:r>
              <w:rPr>
                <w:rFonts w:ascii="Calibri" w:cs="Calibri" w:eastAsia="Calibri" w:hAnsi="Calibri"/>
                <w:sz w:val="18"/>
                <w:szCs w:val="18"/>
                <w:color w:val="auto"/>
              </w:rPr>
              <w:t>Operatng leases, net of current porton</w:t>
            </w:r>
          </w:p>
        </w:tc>
        <w:tc>
          <w:tcPr>
            <w:tcW w:w="260" w:type="dxa"/>
            <w:vAlign w:val="bottom"/>
          </w:tcPr>
          <w:p>
            <w:pPr>
              <w:spacing w:after="0"/>
              <w:rPr>
                <w:sz w:val="18"/>
                <w:szCs w:val="18"/>
                <w:color w:val="auto"/>
              </w:rPr>
            </w:pP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21</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line="215" w:lineRule="exact"/>
              <w:rPr>
                <w:sz w:val="20"/>
                <w:szCs w:val="20"/>
                <w:color w:val="auto"/>
              </w:rPr>
            </w:pPr>
            <w:r>
              <w:rPr>
                <w:rFonts w:ascii="Calibri" w:cs="Calibri" w:eastAsia="Calibri" w:hAnsi="Calibri"/>
                <w:sz w:val="18"/>
                <w:szCs w:val="18"/>
                <w:color w:val="auto"/>
              </w:rPr>
              <w:t>24</w:t>
            </w:r>
          </w:p>
        </w:tc>
        <w:tc>
          <w:tcPr>
            <w:tcW w:w="120" w:type="dxa"/>
            <w:vAlign w:val="bottom"/>
          </w:tcPr>
          <w:p>
            <w:pPr>
              <w:spacing w:after="0"/>
              <w:rPr>
                <w:sz w:val="18"/>
                <w:szCs w:val="18"/>
                <w:color w:val="auto"/>
              </w:rPr>
            </w:pPr>
          </w:p>
        </w:tc>
      </w:tr>
      <w:tr>
        <w:trPr>
          <w:trHeight w:val="216"/>
        </w:trPr>
        <w:tc>
          <w:tcPr>
            <w:tcW w:w="3040" w:type="dxa"/>
            <w:vAlign w:val="bottom"/>
            <w:tcBorders>
              <w:bottom w:val="single" w:sz="8" w:color="CFF0FC"/>
            </w:tcBorders>
            <w:shd w:val="clear" w:color="auto" w:fill="CFF0FC"/>
          </w:tcPr>
          <w:p>
            <w:pPr>
              <w:ind w:left="200"/>
              <w:spacing w:after="0" w:line="216" w:lineRule="exact"/>
              <w:rPr>
                <w:sz w:val="20"/>
                <w:szCs w:val="20"/>
                <w:color w:val="auto"/>
              </w:rPr>
            </w:pPr>
            <w:r>
              <w:rPr>
                <w:rFonts w:ascii="Calibri" w:cs="Calibri" w:eastAsia="Calibri" w:hAnsi="Calibri"/>
                <w:sz w:val="18"/>
                <w:szCs w:val="18"/>
                <w:color w:val="auto"/>
              </w:rPr>
              <w:t>Finance lease liabilites</w:t>
            </w:r>
          </w:p>
        </w:tc>
        <w:tc>
          <w:tcPr>
            <w:tcW w:w="5400" w:type="dxa"/>
            <w:vAlign w:val="bottom"/>
            <w:tcBorders>
              <w:bottom w:val="single" w:sz="8" w:color="CFF0FC"/>
            </w:tcBorders>
            <w:shd w:val="clear" w:color="auto" w:fill="CFF0FC"/>
          </w:tcPr>
          <w:p>
            <w:pPr>
              <w:jc w:val="center"/>
              <w:spacing w:after="0" w:line="216" w:lineRule="exact"/>
              <w:rPr>
                <w:sz w:val="20"/>
                <w:szCs w:val="20"/>
                <w:color w:val="auto"/>
              </w:rPr>
            </w:pPr>
            <w:r>
              <w:rPr>
                <w:rFonts w:ascii="Calibri" w:cs="Calibri" w:eastAsia="Calibri" w:hAnsi="Calibri"/>
                <w:sz w:val="18"/>
                <w:szCs w:val="18"/>
                <w:color w:val="auto"/>
                <w:w w:val="99"/>
              </w:rPr>
              <w:t>Long-term debt, net of current porton</w:t>
            </w:r>
          </w:p>
        </w:tc>
        <w:tc>
          <w:tcPr>
            <w:tcW w:w="2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w:t>
            </w:r>
          </w:p>
        </w:tc>
        <w:tc>
          <w:tcPr>
            <w:tcW w:w="24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3040" w:type="dxa"/>
            <w:vAlign w:val="bottom"/>
          </w:tcPr>
          <w:p>
            <w:pPr>
              <w:ind w:left="20"/>
              <w:spacing w:after="0" w:line="209" w:lineRule="exact"/>
              <w:rPr>
                <w:sz w:val="20"/>
                <w:szCs w:val="20"/>
                <w:color w:val="auto"/>
              </w:rPr>
            </w:pPr>
            <w:r>
              <w:rPr>
                <w:rFonts w:ascii="Calibri" w:cs="Calibri" w:eastAsia="Calibri" w:hAnsi="Calibri"/>
                <w:sz w:val="18"/>
                <w:szCs w:val="18"/>
                <w:color w:val="auto"/>
              </w:rPr>
              <w:t>Total lease liabilites</w:t>
            </w:r>
          </w:p>
        </w:tc>
        <w:tc>
          <w:tcPr>
            <w:tcW w:w="5400" w:type="dxa"/>
            <w:vAlign w:val="bottom"/>
          </w:tcPr>
          <w:p>
            <w:pPr>
              <w:spacing w:after="0"/>
              <w:rPr>
                <w:sz w:val="18"/>
                <w:szCs w:val="18"/>
                <w:color w:val="auto"/>
              </w:rPr>
            </w:pPr>
          </w:p>
        </w:tc>
        <w:tc>
          <w:tcPr>
            <w:tcW w:w="260" w:type="dxa"/>
            <w:vAlign w:val="bottom"/>
          </w:tcPr>
          <w:p>
            <w:pPr>
              <w:jc w:val="right"/>
              <w:ind w:right="70"/>
              <w:spacing w:after="0" w:line="209" w:lineRule="exact"/>
              <w:rPr>
                <w:sz w:val="20"/>
                <w:szCs w:val="20"/>
                <w:color w:val="auto"/>
              </w:rPr>
            </w:pPr>
            <w:r>
              <w:rPr>
                <w:rFonts w:ascii="Calibri" w:cs="Calibri" w:eastAsia="Calibri" w:hAnsi="Calibri"/>
                <w:sz w:val="18"/>
                <w:szCs w:val="18"/>
                <w:color w:val="auto"/>
                <w:w w:val="87"/>
              </w:rPr>
              <w:t>$</w:t>
            </w:r>
          </w:p>
        </w:tc>
        <w:tc>
          <w:tcPr>
            <w:tcW w:w="940" w:type="dxa"/>
            <w:vAlign w:val="bottom"/>
          </w:tcPr>
          <w:p>
            <w:pPr>
              <w:jc w:val="right"/>
              <w:spacing w:after="0" w:line="209" w:lineRule="exact"/>
              <w:rPr>
                <w:sz w:val="20"/>
                <w:szCs w:val="20"/>
                <w:color w:val="auto"/>
              </w:rPr>
            </w:pPr>
            <w:r>
              <w:rPr>
                <w:rFonts w:ascii="Calibri" w:cs="Calibri" w:eastAsia="Calibri" w:hAnsi="Calibri"/>
                <w:sz w:val="18"/>
                <w:szCs w:val="18"/>
                <w:color w:val="auto"/>
              </w:rPr>
              <w:t>33</w:t>
            </w:r>
          </w:p>
        </w:tc>
        <w:tc>
          <w:tcPr>
            <w:tcW w:w="660" w:type="dxa"/>
            <w:vAlign w:val="bottom"/>
            <w:gridSpan w:val="2"/>
          </w:tcPr>
          <w:p>
            <w:pPr>
              <w:jc w:val="right"/>
              <w:ind w:right="300"/>
              <w:spacing w:after="0" w:line="209" w:lineRule="exact"/>
              <w:rPr>
                <w:sz w:val="20"/>
                <w:szCs w:val="20"/>
                <w:color w:val="auto"/>
              </w:rPr>
            </w:pPr>
            <w:r>
              <w:rPr>
                <w:rFonts w:ascii="Calibri" w:cs="Calibri" w:eastAsia="Calibri" w:hAnsi="Calibri"/>
                <w:sz w:val="18"/>
                <w:szCs w:val="18"/>
                <w:color w:val="auto"/>
              </w:rPr>
              <w:t>$</w:t>
            </w:r>
          </w:p>
        </w:tc>
        <w:tc>
          <w:tcPr>
            <w:tcW w:w="820" w:type="dxa"/>
            <w:vAlign w:val="bottom"/>
          </w:tcPr>
          <w:p>
            <w:pPr>
              <w:jc w:val="right"/>
              <w:spacing w:after="0" w:line="209" w:lineRule="exact"/>
              <w:rPr>
                <w:sz w:val="20"/>
                <w:szCs w:val="20"/>
                <w:color w:val="auto"/>
              </w:rPr>
            </w:pPr>
            <w:r>
              <w:rPr>
                <w:rFonts w:ascii="Calibri" w:cs="Calibri" w:eastAsia="Calibri" w:hAnsi="Calibri"/>
                <w:sz w:val="18"/>
                <w:szCs w:val="18"/>
                <w:color w:val="auto"/>
              </w:rPr>
              <w:t>38</w:t>
            </w:r>
          </w:p>
        </w:tc>
        <w:tc>
          <w:tcPr>
            <w:tcW w:w="120" w:type="dxa"/>
            <w:vAlign w:val="bottom"/>
          </w:tcPr>
          <w:p>
            <w:pPr>
              <w:spacing w:after="0"/>
              <w:rPr>
                <w:sz w:val="18"/>
                <w:szCs w:val="18"/>
                <w:color w:val="auto"/>
              </w:rPr>
            </w:pPr>
          </w:p>
        </w:tc>
      </w:tr>
      <w:tr>
        <w:trPr>
          <w:trHeight w:val="20"/>
        </w:trPr>
        <w:tc>
          <w:tcPr>
            <w:tcW w:w="304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6125845</wp:posOffset>
            </wp:positionH>
            <wp:positionV relativeFrom="paragraph">
              <wp:posOffset>-1302385</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-1302385</wp:posOffset>
            </wp:positionV>
            <wp:extent cx="7747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-170815</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Lease Costs</w:t>
      </w:r>
    </w:p>
    <w:p>
      <w:pPr>
        <w:spacing w:after="0" w:line="190" w:lineRule="exact"/>
        <w:rPr>
          <w:sz w:val="20"/>
          <w:szCs w:val="20"/>
          <w:color w:val="auto"/>
        </w:rPr>
      </w:pPr>
    </w:p>
    <w:p>
      <w:pPr>
        <w:ind w:right="340"/>
        <w:spacing w:after="0" w:line="235" w:lineRule="auto"/>
        <w:rPr>
          <w:sz w:val="20"/>
          <w:szCs w:val="20"/>
          <w:color w:val="auto"/>
        </w:rPr>
      </w:pPr>
      <w:r>
        <w:rPr>
          <w:rFonts w:ascii="Calibri" w:cs="Calibri" w:eastAsia="Calibri" w:hAnsi="Calibri"/>
          <w:sz w:val="18"/>
          <w:szCs w:val="18"/>
          <w:color w:val="auto"/>
        </w:rPr>
        <w:t>The table below presents certain informaton related to the lease expense for fnance and operatng leases. Lease expense is presented gross of sublease income. See “Kodak as Lessor” secton below for income from subleases.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80" w:type="dxa"/>
            <w:vAlign w:val="bottom"/>
            <w:gridSpan w:val="6"/>
          </w:tcPr>
          <w:p>
            <w:pPr>
              <w:jc w:val="right"/>
              <w:ind w:right="240"/>
              <w:spacing w:after="0"/>
              <w:rPr>
                <w:sz w:val="20"/>
                <w:szCs w:val="20"/>
                <w:color w:val="auto"/>
              </w:rPr>
            </w:pPr>
            <w:r>
              <w:rPr>
                <w:rFonts w:ascii="Calibri" w:cs="Calibri" w:eastAsia="Calibri" w:hAnsi="Calibri"/>
                <w:sz w:val="18"/>
                <w:szCs w:val="18"/>
                <w:b w:val="1"/>
                <w:bCs w:val="1"/>
                <w:color w:val="auto"/>
              </w:rPr>
              <w:t>Year Ended December 31,</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6"/>
        </w:trPr>
        <w:tc>
          <w:tcPr>
            <w:tcW w:w="6620" w:type="dxa"/>
            <w:vAlign w:val="bottom"/>
          </w:tcPr>
          <w:p>
            <w:pPr>
              <w:ind w:left="20"/>
              <w:spacing w:after="0"/>
              <w:rPr>
                <w:sz w:val="20"/>
                <w:szCs w:val="20"/>
                <w:color w:val="auto"/>
              </w:rPr>
            </w:pPr>
            <w:r>
              <w:rPr>
                <w:rFonts w:ascii="Calibri" w:cs="Calibri" w:eastAsia="Calibri" w:hAnsi="Calibri"/>
                <w:sz w:val="14"/>
                <w:szCs w:val="14"/>
                <w:color w:val="auto"/>
              </w:rPr>
              <w:t>(in millions)</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2"/>
              <w:spacing w:after="0" w:line="216" w:lineRule="exact"/>
              <w:rPr>
                <w:sz w:val="20"/>
                <w:szCs w:val="20"/>
                <w:color w:val="auto"/>
              </w:rPr>
            </w:pPr>
            <w:r>
              <w:rPr>
                <w:rFonts w:ascii="Calibri" w:cs="Calibri" w:eastAsia="Calibri" w:hAnsi="Calibri"/>
                <w:sz w:val="18"/>
                <w:szCs w:val="18"/>
                <w:b w:val="1"/>
                <w:bCs w:val="1"/>
                <w:color w:val="auto"/>
              </w:rPr>
              <w:t>2024</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2"/>
              <w:spacing w:after="0" w:line="216" w:lineRule="exact"/>
              <w:rPr>
                <w:sz w:val="20"/>
                <w:szCs w:val="20"/>
                <w:color w:val="auto"/>
              </w:rPr>
            </w:pPr>
            <w:r>
              <w:rPr>
                <w:rFonts w:ascii="Calibri" w:cs="Calibri" w:eastAsia="Calibri" w:hAnsi="Calibri"/>
                <w:sz w:val="18"/>
                <w:szCs w:val="18"/>
                <w:b w:val="1"/>
                <w:bCs w:val="1"/>
                <w:color w:val="auto"/>
              </w:rPr>
              <w:t>2023</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2"/>
              <w:spacing w:after="0" w:line="216" w:lineRule="exact"/>
              <w:rPr>
                <w:sz w:val="20"/>
                <w:szCs w:val="20"/>
                <w:color w:val="auto"/>
              </w:rPr>
            </w:pPr>
            <w:r>
              <w:rPr>
                <w:rFonts w:ascii="Calibri" w:cs="Calibri" w:eastAsia="Calibri" w:hAnsi="Calibri"/>
                <w:sz w:val="18"/>
                <w:szCs w:val="18"/>
                <w:b w:val="1"/>
                <w:bCs w:val="1"/>
                <w:color w:val="auto"/>
              </w:rPr>
              <w:t>2022</w:t>
            </w:r>
          </w:p>
        </w:tc>
        <w:tc>
          <w:tcPr>
            <w:tcW w:w="100" w:type="dxa"/>
            <w:vAlign w:val="bottom"/>
          </w:tcPr>
          <w:p>
            <w:pPr>
              <w:spacing w:after="0"/>
              <w:rPr>
                <w:sz w:val="20"/>
                <w:szCs w:val="20"/>
                <w:color w:val="auto"/>
              </w:rPr>
            </w:pPr>
          </w:p>
        </w:tc>
      </w:tr>
      <w:tr>
        <w:trPr>
          <w:trHeight w:val="213"/>
        </w:trPr>
        <w:tc>
          <w:tcPr>
            <w:tcW w:w="6620" w:type="dxa"/>
            <w:vAlign w:val="bottom"/>
            <w:shd w:val="clear" w:color="auto" w:fill="CFF0FC"/>
          </w:tcPr>
          <w:p>
            <w:pPr>
              <w:ind w:left="20"/>
              <w:spacing w:after="0" w:line="213" w:lineRule="exact"/>
              <w:rPr>
                <w:sz w:val="20"/>
                <w:szCs w:val="20"/>
                <w:color w:val="auto"/>
              </w:rPr>
            </w:pPr>
            <w:r>
              <w:rPr>
                <w:rFonts w:ascii="Calibri" w:cs="Calibri" w:eastAsia="Calibri" w:hAnsi="Calibri"/>
                <w:sz w:val="18"/>
                <w:szCs w:val="18"/>
                <w:color w:val="auto"/>
              </w:rPr>
              <w:t>Finance lease expense</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6620" w:type="dxa"/>
            <w:vAlign w:val="bottom"/>
          </w:tcPr>
          <w:p>
            <w:pPr>
              <w:ind w:left="120"/>
              <w:spacing w:after="0" w:line="215" w:lineRule="exact"/>
              <w:rPr>
                <w:sz w:val="20"/>
                <w:szCs w:val="20"/>
                <w:color w:val="auto"/>
              </w:rPr>
            </w:pPr>
            <w:r>
              <w:rPr>
                <w:rFonts w:ascii="Calibri" w:cs="Calibri" w:eastAsia="Calibri" w:hAnsi="Calibri"/>
                <w:sz w:val="18"/>
                <w:szCs w:val="18"/>
                <w:color w:val="auto"/>
              </w:rPr>
              <w:t>Amortzaton of leased assets</w:t>
            </w:r>
          </w:p>
        </w:tc>
        <w:tc>
          <w:tcPr>
            <w:tcW w:w="30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1</w:t>
            </w:r>
          </w:p>
        </w:tc>
        <w:tc>
          <w:tcPr>
            <w:tcW w:w="52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1</w:t>
            </w:r>
          </w:p>
        </w:tc>
        <w:tc>
          <w:tcPr>
            <w:tcW w:w="52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1</w:t>
            </w:r>
          </w:p>
        </w:tc>
        <w:tc>
          <w:tcPr>
            <w:tcW w:w="100" w:type="dxa"/>
            <w:vAlign w:val="bottom"/>
          </w:tcPr>
          <w:p>
            <w:pPr>
              <w:spacing w:after="0"/>
              <w:rPr>
                <w:sz w:val="18"/>
                <w:szCs w:val="18"/>
                <w:color w:val="auto"/>
              </w:rPr>
            </w:pPr>
          </w:p>
        </w:tc>
      </w:tr>
      <w:tr>
        <w:trPr>
          <w:trHeight w:val="217"/>
        </w:trPr>
        <w:tc>
          <w:tcPr>
            <w:tcW w:w="6620" w:type="dxa"/>
            <w:vAlign w:val="bottom"/>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Interest on lease liabilites</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line="216" w:lineRule="exact"/>
              <w:rPr>
                <w:sz w:val="20"/>
                <w:szCs w:val="20"/>
                <w:color w:val="auto"/>
              </w:rPr>
            </w:pPr>
            <w:r>
              <w:rPr>
                <w:rFonts w:ascii="Calibri" w:cs="Calibri" w:eastAsia="Calibri" w:hAnsi="Calibri"/>
                <w:sz w:val="18"/>
                <w:szCs w:val="18"/>
                <w:color w:val="auto"/>
              </w:rPr>
              <w:t>—</w:t>
            </w:r>
          </w:p>
        </w:tc>
      </w:tr>
      <w:tr>
        <w:trPr>
          <w:trHeight w:val="156"/>
        </w:trPr>
        <w:tc>
          <w:tcPr>
            <w:tcW w:w="6620" w:type="dxa"/>
            <w:vAlign w:val="bottom"/>
          </w:tcPr>
          <w:p>
            <w:pPr>
              <w:ind w:left="20"/>
              <w:spacing w:after="0" w:line="156" w:lineRule="exact"/>
              <w:rPr>
                <w:sz w:val="20"/>
                <w:szCs w:val="20"/>
                <w:color w:val="auto"/>
              </w:rPr>
            </w:pPr>
            <w:r>
              <w:rPr>
                <w:rFonts w:ascii="Calibri" w:cs="Calibri" w:eastAsia="Calibri" w:hAnsi="Calibri"/>
                <w:sz w:val="16"/>
                <w:szCs w:val="16"/>
                <w:color w:val="auto"/>
              </w:rPr>
              <w:t>Operatng lease expense</w:t>
            </w:r>
          </w:p>
        </w:tc>
        <w:tc>
          <w:tcPr>
            <w:tcW w:w="300" w:type="dxa"/>
            <w:vAlign w:val="bottom"/>
          </w:tcPr>
          <w:p>
            <w:pPr>
              <w:spacing w:after="0"/>
              <w:rPr>
                <w:sz w:val="13"/>
                <w:szCs w:val="13"/>
                <w:color w:val="auto"/>
              </w:rPr>
            </w:pPr>
          </w:p>
        </w:tc>
        <w:tc>
          <w:tcPr>
            <w:tcW w:w="1020" w:type="dxa"/>
            <w:vAlign w:val="bottom"/>
          </w:tcPr>
          <w:p>
            <w:pPr>
              <w:jc w:val="right"/>
              <w:spacing w:after="0" w:line="156" w:lineRule="exact"/>
              <w:rPr>
                <w:sz w:val="20"/>
                <w:szCs w:val="20"/>
                <w:color w:val="auto"/>
              </w:rPr>
            </w:pPr>
            <w:r>
              <w:rPr>
                <w:rFonts w:ascii="Calibri" w:cs="Calibri" w:eastAsia="Calibri" w:hAnsi="Calibri"/>
                <w:sz w:val="16"/>
                <w:szCs w:val="16"/>
                <w:color w:val="auto"/>
              </w:rPr>
              <w:t>16</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line="156" w:lineRule="exact"/>
              <w:rPr>
                <w:sz w:val="20"/>
                <w:szCs w:val="20"/>
                <w:color w:val="auto"/>
              </w:rPr>
            </w:pPr>
            <w:r>
              <w:rPr>
                <w:rFonts w:ascii="Calibri" w:cs="Calibri" w:eastAsia="Calibri" w:hAnsi="Calibri"/>
                <w:sz w:val="16"/>
                <w:szCs w:val="16"/>
                <w:color w:val="auto"/>
              </w:rPr>
              <w:t>16</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line="156" w:lineRule="exact"/>
              <w:rPr>
                <w:sz w:val="20"/>
                <w:szCs w:val="20"/>
                <w:color w:val="auto"/>
              </w:rPr>
            </w:pPr>
            <w:r>
              <w:rPr>
                <w:rFonts w:ascii="Calibri" w:cs="Calibri" w:eastAsia="Calibri" w:hAnsi="Calibri"/>
                <w:sz w:val="16"/>
                <w:szCs w:val="16"/>
                <w:color w:val="auto"/>
              </w:rPr>
              <w:t>17</w:t>
            </w:r>
          </w:p>
        </w:tc>
        <w:tc>
          <w:tcPr>
            <w:tcW w:w="100" w:type="dxa"/>
            <w:vAlign w:val="bottom"/>
          </w:tcPr>
          <w:p>
            <w:pPr>
              <w:spacing w:after="0"/>
              <w:rPr>
                <w:sz w:val="13"/>
                <w:szCs w:val="13"/>
                <w:color w:val="auto"/>
              </w:rPr>
            </w:pPr>
          </w:p>
        </w:tc>
      </w:tr>
      <w:tr>
        <w:trPr>
          <w:trHeight w:val="276"/>
        </w:trPr>
        <w:tc>
          <w:tcPr>
            <w:tcW w:w="6620" w:type="dxa"/>
            <w:vAlign w:val="bottom"/>
          </w:tcPr>
          <w:p>
            <w:pPr>
              <w:ind w:left="20"/>
              <w:spacing w:after="0" w:line="276" w:lineRule="exact"/>
              <w:rPr>
                <w:sz w:val="20"/>
                <w:szCs w:val="20"/>
                <w:color w:val="auto"/>
              </w:rPr>
            </w:pPr>
            <w:r>
              <w:rPr>
                <w:rFonts w:ascii="Calibri" w:cs="Calibri" w:eastAsia="Calibri" w:hAnsi="Calibri"/>
                <w:sz w:val="18"/>
                <w:szCs w:val="18"/>
                <w:color w:val="auto"/>
              </w:rPr>
              <w:t xml:space="preserve">Variable lease expense </w:t>
            </w:r>
            <w:r>
              <w:rPr>
                <w:rFonts w:ascii="Calibri" w:cs="Calibri" w:eastAsia="Calibri" w:hAnsi="Calibri"/>
                <w:sz w:val="24"/>
                <w:szCs w:val="24"/>
                <w:color w:val="auto"/>
                <w:vertAlign w:val="superscript"/>
              </w:rPr>
              <w:t>(1)</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color w:val="auto"/>
              </w:rPr>
              <w:t>7</w:t>
            </w:r>
          </w:p>
        </w:tc>
        <w:tc>
          <w:tcPr>
            <w:tcW w:w="2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color w:val="auto"/>
              </w:rPr>
              <w:t>7</w:t>
            </w:r>
          </w:p>
        </w:tc>
        <w:tc>
          <w:tcPr>
            <w:tcW w:w="2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color w:val="auto"/>
              </w:rPr>
              <w:t>7</w:t>
            </w:r>
          </w:p>
        </w:tc>
        <w:tc>
          <w:tcPr>
            <w:tcW w:w="100" w:type="dxa"/>
            <w:vAlign w:val="bottom"/>
          </w:tcPr>
          <w:p>
            <w:pPr>
              <w:spacing w:after="0"/>
              <w:rPr>
                <w:sz w:val="24"/>
                <w:szCs w:val="24"/>
                <w:color w:val="auto"/>
              </w:rPr>
            </w:pPr>
          </w:p>
        </w:tc>
      </w:tr>
      <w:tr>
        <w:trPr>
          <w:trHeight w:val="209"/>
        </w:trPr>
        <w:tc>
          <w:tcPr>
            <w:tcW w:w="6620" w:type="dxa"/>
            <w:vAlign w:val="bottom"/>
          </w:tcPr>
          <w:p>
            <w:pPr>
              <w:ind w:left="120"/>
              <w:spacing w:after="0" w:line="195" w:lineRule="exact"/>
              <w:rPr>
                <w:sz w:val="20"/>
                <w:szCs w:val="20"/>
                <w:color w:val="auto"/>
              </w:rPr>
            </w:pPr>
            <w:r>
              <w:rPr>
                <w:rFonts w:ascii="Calibri" w:cs="Calibri" w:eastAsia="Calibri" w:hAnsi="Calibri"/>
                <w:sz w:val="18"/>
                <w:szCs w:val="18"/>
                <w:color w:val="auto"/>
              </w:rPr>
              <w:t>Total lease expense</w:t>
            </w:r>
          </w:p>
        </w:tc>
        <w:tc>
          <w:tcPr>
            <w:tcW w:w="300" w:type="dxa"/>
            <w:vAlign w:val="bottom"/>
          </w:tcPr>
          <w:p>
            <w:pPr>
              <w:jc w:val="right"/>
              <w:ind w:right="110"/>
              <w:spacing w:after="0" w:line="209" w:lineRule="exact"/>
              <w:rPr>
                <w:sz w:val="20"/>
                <w:szCs w:val="20"/>
                <w:color w:val="auto"/>
              </w:rPr>
            </w:pPr>
            <w:r>
              <w:rPr>
                <w:rFonts w:ascii="Calibri" w:cs="Calibri" w:eastAsia="Calibri" w:hAnsi="Calibri"/>
                <w:sz w:val="18"/>
                <w:szCs w:val="18"/>
                <w:color w:val="auto"/>
                <w:w w:val="87"/>
              </w:rPr>
              <w:t>$</w:t>
            </w:r>
          </w:p>
        </w:tc>
        <w:tc>
          <w:tcPr>
            <w:tcW w:w="1020" w:type="dxa"/>
            <w:vAlign w:val="bottom"/>
          </w:tcPr>
          <w:p>
            <w:pPr>
              <w:jc w:val="right"/>
              <w:spacing w:after="0" w:line="209" w:lineRule="exact"/>
              <w:rPr>
                <w:sz w:val="20"/>
                <w:szCs w:val="20"/>
                <w:color w:val="auto"/>
              </w:rPr>
            </w:pPr>
            <w:r>
              <w:rPr>
                <w:rFonts w:ascii="Calibri" w:cs="Calibri" w:eastAsia="Calibri" w:hAnsi="Calibri"/>
                <w:sz w:val="18"/>
                <w:szCs w:val="18"/>
                <w:color w:val="auto"/>
              </w:rPr>
              <w:t>24</w:t>
            </w:r>
          </w:p>
        </w:tc>
        <w:tc>
          <w:tcPr>
            <w:tcW w:w="520" w:type="dxa"/>
            <w:vAlign w:val="bottom"/>
            <w:gridSpan w:val="2"/>
          </w:tcPr>
          <w:p>
            <w:pPr>
              <w:jc w:val="right"/>
              <w:ind w:right="200"/>
              <w:spacing w:after="0" w:line="209" w:lineRule="exact"/>
              <w:rPr>
                <w:sz w:val="20"/>
                <w:szCs w:val="20"/>
                <w:color w:val="auto"/>
              </w:rPr>
            </w:pPr>
            <w:r>
              <w:rPr>
                <w:rFonts w:ascii="Calibri" w:cs="Calibri" w:eastAsia="Calibri" w:hAnsi="Calibri"/>
                <w:sz w:val="18"/>
                <w:szCs w:val="18"/>
                <w:color w:val="auto"/>
              </w:rPr>
              <w:t>$</w:t>
            </w:r>
          </w:p>
        </w:tc>
        <w:tc>
          <w:tcPr>
            <w:tcW w:w="1020" w:type="dxa"/>
            <w:vAlign w:val="bottom"/>
          </w:tcPr>
          <w:p>
            <w:pPr>
              <w:jc w:val="right"/>
              <w:spacing w:after="0" w:line="209" w:lineRule="exact"/>
              <w:rPr>
                <w:sz w:val="20"/>
                <w:szCs w:val="20"/>
                <w:color w:val="auto"/>
              </w:rPr>
            </w:pPr>
            <w:r>
              <w:rPr>
                <w:rFonts w:ascii="Calibri" w:cs="Calibri" w:eastAsia="Calibri" w:hAnsi="Calibri"/>
                <w:sz w:val="18"/>
                <w:szCs w:val="18"/>
                <w:color w:val="auto"/>
              </w:rPr>
              <w:t>24</w:t>
            </w:r>
          </w:p>
        </w:tc>
        <w:tc>
          <w:tcPr>
            <w:tcW w:w="520" w:type="dxa"/>
            <w:vAlign w:val="bottom"/>
            <w:gridSpan w:val="2"/>
          </w:tcPr>
          <w:p>
            <w:pPr>
              <w:jc w:val="right"/>
              <w:ind w:right="200"/>
              <w:spacing w:after="0" w:line="209" w:lineRule="exact"/>
              <w:rPr>
                <w:sz w:val="20"/>
                <w:szCs w:val="20"/>
                <w:color w:val="auto"/>
              </w:rPr>
            </w:pPr>
            <w:r>
              <w:rPr>
                <w:rFonts w:ascii="Calibri" w:cs="Calibri" w:eastAsia="Calibri" w:hAnsi="Calibri"/>
                <w:sz w:val="18"/>
                <w:szCs w:val="18"/>
                <w:color w:val="auto"/>
              </w:rPr>
              <w:t>$</w:t>
            </w:r>
          </w:p>
        </w:tc>
        <w:tc>
          <w:tcPr>
            <w:tcW w:w="1020" w:type="dxa"/>
            <w:vAlign w:val="bottom"/>
          </w:tcPr>
          <w:p>
            <w:pPr>
              <w:jc w:val="right"/>
              <w:spacing w:after="0" w:line="209" w:lineRule="exact"/>
              <w:rPr>
                <w:sz w:val="20"/>
                <w:szCs w:val="20"/>
                <w:color w:val="auto"/>
              </w:rPr>
            </w:pPr>
            <w:r>
              <w:rPr>
                <w:rFonts w:ascii="Calibri" w:cs="Calibri" w:eastAsia="Calibri" w:hAnsi="Calibri"/>
                <w:sz w:val="18"/>
                <w:szCs w:val="18"/>
                <w:color w:val="auto"/>
              </w:rPr>
              <w:t>25</w:t>
            </w:r>
          </w:p>
        </w:tc>
        <w:tc>
          <w:tcPr>
            <w:tcW w:w="100" w:type="dxa"/>
            <w:vAlign w:val="bottom"/>
          </w:tcPr>
          <w:p>
            <w:pPr>
              <w:spacing w:after="0"/>
              <w:rPr>
                <w:sz w:val="18"/>
                <w:szCs w:val="18"/>
                <w:color w:val="auto"/>
              </w:rPr>
            </w:pPr>
          </w:p>
        </w:tc>
      </w:tr>
      <w:tr>
        <w:trPr>
          <w:trHeight w:val="20"/>
        </w:trPr>
        <w:tc>
          <w:tcPr>
            <w:tcW w:w="66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-307975</wp:posOffset>
            </wp:positionV>
            <wp:extent cx="7054850" cy="14541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054850" cy="145415"/>
                    </a:xfrm>
                    <a:prstGeom prst="rect">
                      <a:avLst/>
                    </a:prstGeom>
                    <a:noFill/>
                  </pic:spPr>
                </pic:pic>
              </a:graphicData>
            </a:graphic>
          </wp:anchor>
        </w:drawing>
      </w:r>
    </w:p>
    <w:p>
      <w:pPr>
        <w:spacing w:after="0" w:line="174" w:lineRule="exact"/>
        <w:rPr>
          <w:sz w:val="20"/>
          <w:szCs w:val="20"/>
          <w:color w:val="auto"/>
        </w:rPr>
      </w:pPr>
    </w:p>
    <w:p>
      <w:pPr>
        <w:ind w:left="5540" w:right="2620" w:hanging="5262"/>
        <w:spacing w:after="0" w:line="342" w:lineRule="auto"/>
        <w:tabs>
          <w:tab w:leader="none" w:pos="551" w:val="left"/>
        </w:tabs>
        <w:numPr>
          <w:ilvl w:val="0"/>
          <w:numId w:val="36"/>
        </w:numPr>
        <w:rPr>
          <w:rFonts w:ascii="Calibri" w:cs="Calibri" w:eastAsia="Calibri" w:hAnsi="Calibri"/>
          <w:sz w:val="24"/>
          <w:szCs w:val="24"/>
          <w:color w:val="auto"/>
          <w:vertAlign w:val="superscript"/>
        </w:rPr>
      </w:pPr>
      <w:r>
        <w:rPr>
          <w:rFonts w:ascii="Calibri" w:cs="Calibri" w:eastAsia="Calibri" w:hAnsi="Calibri"/>
          <w:sz w:val="18"/>
          <w:szCs w:val="18"/>
          <w:color w:val="auto"/>
        </w:rPr>
        <w:t>Variable lease expense is related to real estate leases and primarily includes taxes, insurance and operatng costs. 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240665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8" w:name="page79"/>
    <w:bookmarkEnd w:id="78"/>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Other Informaton</w:t>
      </w:r>
    </w:p>
    <w:p>
      <w:pPr>
        <w:spacing w:after="0" w:line="177" w:lineRule="exact"/>
        <w:rPr>
          <w:sz w:val="20"/>
          <w:szCs w:val="20"/>
          <w:color w:val="auto"/>
        </w:rPr>
      </w:pPr>
    </w:p>
    <w:p>
      <w:pPr>
        <w:ind w:right="160"/>
        <w:spacing w:after="0" w:line="258" w:lineRule="auto"/>
        <w:rPr>
          <w:sz w:val="20"/>
          <w:szCs w:val="20"/>
          <w:color w:val="auto"/>
        </w:rPr>
      </w:pPr>
      <w:r>
        <w:rPr>
          <w:rFonts w:ascii="Calibri" w:cs="Calibri" w:eastAsia="Calibri" w:hAnsi="Calibri"/>
          <w:sz w:val="17"/>
          <w:szCs w:val="17"/>
          <w:color w:val="auto"/>
        </w:rPr>
        <w:t>The table below presents supplemental informaton related to leases. Changes in operatng lease liabilites and operatng lease assets are included in (Decrease) increase in liabilites excluding borrowings and trade payables, and Other items, net, respectvely, in the Consolidated Statement of Cash Flows.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00" w:type="dxa"/>
            <w:vAlign w:val="bottom"/>
            <w:gridSpan w:val="6"/>
          </w:tcPr>
          <w:p>
            <w:pPr>
              <w:ind w:left="1020"/>
              <w:spacing w:after="0"/>
              <w:rPr>
                <w:sz w:val="20"/>
                <w:szCs w:val="20"/>
                <w:color w:val="auto"/>
              </w:rPr>
            </w:pPr>
            <w:r>
              <w:rPr>
                <w:rFonts w:ascii="Calibri" w:cs="Calibri" w:eastAsia="Calibri" w:hAnsi="Calibri"/>
                <w:sz w:val="18"/>
                <w:szCs w:val="18"/>
                <w:b w:val="1"/>
                <w:bCs w:val="1"/>
                <w:color w:val="auto"/>
                <w:w w:val="96"/>
              </w:rPr>
              <w:t>Year Ended December 31,</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6"/>
        </w:trPr>
        <w:tc>
          <w:tcPr>
            <w:tcW w:w="6500" w:type="dxa"/>
            <w:vAlign w:val="bottom"/>
          </w:tcPr>
          <w:p>
            <w:pPr>
              <w:ind w:left="20"/>
              <w:spacing w:after="0"/>
              <w:rPr>
                <w:sz w:val="20"/>
                <w:szCs w:val="20"/>
                <w:color w:val="auto"/>
              </w:rPr>
            </w:pPr>
            <w:r>
              <w:rPr>
                <w:rFonts w:ascii="Calibri" w:cs="Calibri" w:eastAsia="Calibri" w:hAnsi="Calibri"/>
                <w:sz w:val="14"/>
                <w:szCs w:val="14"/>
                <w:color w:val="auto"/>
              </w:rPr>
              <w:t>(in millions)</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0"/>
              <w:spacing w:after="0" w:line="216" w:lineRule="exact"/>
              <w:rPr>
                <w:sz w:val="20"/>
                <w:szCs w:val="20"/>
                <w:color w:val="auto"/>
              </w:rPr>
            </w:pPr>
            <w:r>
              <w:rPr>
                <w:rFonts w:ascii="Calibri" w:cs="Calibri" w:eastAsia="Calibri" w:hAnsi="Calibri"/>
                <w:sz w:val="18"/>
                <w:szCs w:val="18"/>
                <w:b w:val="1"/>
                <w:bCs w:val="1"/>
                <w:color w:val="auto"/>
              </w:rPr>
              <w:t>2024</w:t>
            </w: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line="216" w:lineRule="exact"/>
              <w:rPr>
                <w:sz w:val="20"/>
                <w:szCs w:val="20"/>
                <w:color w:val="auto"/>
              </w:rPr>
            </w:pPr>
            <w:r>
              <w:rPr>
                <w:rFonts w:ascii="Calibri" w:cs="Calibri" w:eastAsia="Calibri" w:hAnsi="Calibri"/>
                <w:sz w:val="18"/>
                <w:szCs w:val="18"/>
                <w:b w:val="1"/>
                <w:bCs w:val="1"/>
                <w:color w:val="auto"/>
              </w:rPr>
              <w:t>2023</w:t>
            </w:r>
          </w:p>
        </w:tc>
        <w:tc>
          <w:tcPr>
            <w:tcW w:w="2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line="216" w:lineRule="exact"/>
              <w:rPr>
                <w:sz w:val="20"/>
                <w:szCs w:val="20"/>
                <w:color w:val="auto"/>
              </w:rPr>
            </w:pPr>
            <w:r>
              <w:rPr>
                <w:rFonts w:ascii="Calibri" w:cs="Calibri" w:eastAsia="Calibri" w:hAnsi="Calibri"/>
                <w:sz w:val="18"/>
                <w:szCs w:val="18"/>
                <w:b w:val="1"/>
                <w:bCs w:val="1"/>
                <w:color w:val="auto"/>
              </w:rPr>
              <w:t>2022</w:t>
            </w:r>
          </w:p>
        </w:tc>
        <w:tc>
          <w:tcPr>
            <w:tcW w:w="160" w:type="dxa"/>
            <w:vAlign w:val="bottom"/>
          </w:tcPr>
          <w:p>
            <w:pPr>
              <w:spacing w:after="0"/>
              <w:rPr>
                <w:sz w:val="20"/>
                <w:szCs w:val="20"/>
                <w:color w:val="auto"/>
              </w:rPr>
            </w:pPr>
          </w:p>
        </w:tc>
      </w:tr>
      <w:tr>
        <w:trPr>
          <w:trHeight w:val="190"/>
        </w:trPr>
        <w:tc>
          <w:tcPr>
            <w:tcW w:w="6500" w:type="dxa"/>
            <w:vAlign w:val="bottom"/>
            <w:shd w:val="clear" w:color="auto" w:fill="CFF0FC"/>
          </w:tcPr>
          <w:p>
            <w:pPr>
              <w:ind w:left="20"/>
              <w:spacing w:after="0" w:line="190" w:lineRule="exact"/>
              <w:rPr>
                <w:sz w:val="20"/>
                <w:szCs w:val="20"/>
                <w:color w:val="auto"/>
              </w:rPr>
            </w:pPr>
            <w:r>
              <w:rPr>
                <w:rFonts w:ascii="Calibri" w:cs="Calibri" w:eastAsia="Calibri" w:hAnsi="Calibri"/>
                <w:sz w:val="18"/>
                <w:szCs w:val="18"/>
                <w:color w:val="auto"/>
              </w:rPr>
              <w:t>Cash paid for amounts included in the measurement</w:t>
            </w:r>
          </w:p>
        </w:tc>
        <w:tc>
          <w:tcPr>
            <w:tcW w:w="28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r>
      <w:tr>
        <w:trPr>
          <w:trHeight w:val="218"/>
        </w:trPr>
        <w:tc>
          <w:tcPr>
            <w:tcW w:w="6500" w:type="dxa"/>
            <w:vAlign w:val="bottom"/>
            <w:tcBorders>
              <w:bottom w:val="single" w:sz="8" w:color="CFF0FC"/>
            </w:tcBorders>
            <w:shd w:val="clear" w:color="auto" w:fill="CFF0FC"/>
          </w:tcPr>
          <w:p>
            <w:pPr>
              <w:ind w:left="140"/>
              <w:spacing w:after="0" w:line="215" w:lineRule="exact"/>
              <w:rPr>
                <w:sz w:val="20"/>
                <w:szCs w:val="20"/>
                <w:color w:val="auto"/>
              </w:rPr>
            </w:pPr>
            <w:r>
              <w:rPr>
                <w:rFonts w:ascii="Calibri" w:cs="Calibri" w:eastAsia="Calibri" w:hAnsi="Calibri"/>
                <w:sz w:val="18"/>
                <w:szCs w:val="18"/>
                <w:color w:val="auto"/>
              </w:rPr>
              <w:t>of lease liabilites</w:t>
            </w:r>
          </w:p>
        </w:tc>
        <w:tc>
          <w:tcPr>
            <w:tcW w:w="28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r>
      <w:tr>
        <w:trPr>
          <w:trHeight w:val="215"/>
        </w:trPr>
        <w:tc>
          <w:tcPr>
            <w:tcW w:w="6500" w:type="dxa"/>
            <w:vAlign w:val="bottom"/>
          </w:tcPr>
          <w:p>
            <w:pPr>
              <w:ind w:left="20"/>
              <w:spacing w:after="0" w:line="215" w:lineRule="exact"/>
              <w:rPr>
                <w:sz w:val="20"/>
                <w:szCs w:val="20"/>
                <w:color w:val="auto"/>
              </w:rPr>
            </w:pPr>
            <w:r>
              <w:rPr>
                <w:rFonts w:ascii="Calibri" w:cs="Calibri" w:eastAsia="Calibri" w:hAnsi="Calibri"/>
                <w:sz w:val="18"/>
                <w:szCs w:val="18"/>
                <w:color w:val="auto"/>
              </w:rPr>
              <w:t>Operatng cash fows for operatng leases</w:t>
            </w:r>
          </w:p>
        </w:tc>
        <w:tc>
          <w:tcPr>
            <w:tcW w:w="28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w w:val="87"/>
              </w:rPr>
              <w:t>$</w:t>
            </w: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15</w:t>
            </w:r>
          </w:p>
        </w:tc>
        <w:tc>
          <w:tcPr>
            <w:tcW w:w="280" w:type="dxa"/>
            <w:vAlign w:val="bottom"/>
          </w:tcPr>
          <w:p>
            <w:pPr>
              <w:spacing w:after="0"/>
              <w:rPr>
                <w:sz w:val="18"/>
                <w:szCs w:val="18"/>
                <w:color w:val="auto"/>
              </w:rPr>
            </w:pPr>
          </w:p>
        </w:tc>
        <w:tc>
          <w:tcPr>
            <w:tcW w:w="28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w w:val="87"/>
              </w:rPr>
              <w:t>$</w:t>
            </w: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20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jc w:val="right"/>
              <w:ind w:right="101"/>
              <w:spacing w:after="0"/>
              <w:rPr>
                <w:sz w:val="20"/>
                <w:szCs w:val="20"/>
                <w:color w:val="auto"/>
              </w:rPr>
            </w:pPr>
            <w:r>
              <w:rPr>
                <w:rFonts w:ascii="Calibri" w:cs="Calibri" w:eastAsia="Calibri" w:hAnsi="Calibri"/>
                <w:sz w:val="16"/>
                <w:szCs w:val="16"/>
                <w:color w:val="auto"/>
                <w:w w:val="73"/>
              </w:rPr>
              <w:t>$</w:t>
            </w: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19</w:t>
            </w:r>
          </w:p>
        </w:tc>
        <w:tc>
          <w:tcPr>
            <w:tcW w:w="160" w:type="dxa"/>
            <w:vAlign w:val="bottom"/>
          </w:tcPr>
          <w:p>
            <w:pPr>
              <w:spacing w:after="0"/>
              <w:rPr>
                <w:sz w:val="18"/>
                <w:szCs w:val="18"/>
                <w:color w:val="auto"/>
              </w:rPr>
            </w:pPr>
          </w:p>
        </w:tc>
      </w:tr>
      <w:tr>
        <w:trPr>
          <w:trHeight w:val="217"/>
        </w:trPr>
        <w:tc>
          <w:tcPr>
            <w:tcW w:w="650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Operatng cash fow for fnance leases</w:t>
            </w:r>
          </w:p>
        </w:tc>
        <w:tc>
          <w:tcPr>
            <w:tcW w:w="2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300"/>
              <w:spacing w:after="0" w:line="216" w:lineRule="exact"/>
              <w:rPr>
                <w:sz w:val="20"/>
                <w:szCs w:val="20"/>
                <w:color w:val="auto"/>
              </w:rPr>
            </w:pPr>
            <w:r>
              <w:rPr>
                <w:rFonts w:ascii="Calibri" w:cs="Calibri" w:eastAsia="Calibri" w:hAnsi="Calibri"/>
                <w:sz w:val="18"/>
                <w:szCs w:val="18"/>
                <w:color w:val="auto"/>
              </w:rPr>
              <w:t>—</w:t>
            </w:r>
          </w:p>
        </w:tc>
        <w:tc>
          <w:tcPr>
            <w:tcW w:w="280" w:type="dxa"/>
            <w:vAlign w:val="bottom"/>
            <w:shd w:val="clear" w:color="auto" w:fill="CFF0FC"/>
          </w:tcPr>
          <w:p>
            <w:pPr>
              <w:spacing w:after="0"/>
              <w:rPr>
                <w:sz w:val="18"/>
                <w:szCs w:val="18"/>
                <w:color w:val="auto"/>
              </w:rPr>
            </w:pPr>
          </w:p>
        </w:tc>
        <w:tc>
          <w:tcPr>
            <w:tcW w:w="1320" w:type="dxa"/>
            <w:vAlign w:val="bottom"/>
            <w:gridSpan w:val="3"/>
            <w:shd w:val="clear" w:color="auto" w:fill="CFF0FC"/>
          </w:tcPr>
          <w:p>
            <w:pPr>
              <w:jc w:val="right"/>
              <w:ind w:right="320"/>
              <w:spacing w:after="0" w:line="216" w:lineRule="exact"/>
              <w:rPr>
                <w:sz w:val="20"/>
                <w:szCs w:val="20"/>
                <w:color w:val="auto"/>
              </w:rPr>
            </w:pPr>
            <w:r>
              <w:rPr>
                <w:rFonts w:ascii="Calibri" w:cs="Calibri" w:eastAsia="Calibri" w:hAnsi="Calibri"/>
                <w:sz w:val="18"/>
                <w:szCs w:val="18"/>
                <w:color w:val="auto"/>
              </w:rPr>
              <w:t>—</w:t>
            </w: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80"/>
              <w:spacing w:after="0" w:line="216" w:lineRule="exact"/>
              <w:rPr>
                <w:sz w:val="20"/>
                <w:szCs w:val="20"/>
                <w:color w:val="auto"/>
              </w:rPr>
            </w:pPr>
            <w:r>
              <w:rPr>
                <w:rFonts w:ascii="Calibri" w:cs="Calibri" w:eastAsia="Calibri" w:hAnsi="Calibri"/>
                <w:sz w:val="18"/>
                <w:szCs w:val="18"/>
                <w:color w:val="auto"/>
              </w:rPr>
              <w:t>—</w:t>
            </w:r>
          </w:p>
        </w:tc>
      </w:tr>
      <w:tr>
        <w:trPr>
          <w:trHeight w:val="215"/>
        </w:trPr>
        <w:tc>
          <w:tcPr>
            <w:tcW w:w="6500" w:type="dxa"/>
            <w:vAlign w:val="bottom"/>
          </w:tcPr>
          <w:p>
            <w:pPr>
              <w:ind w:left="20"/>
              <w:spacing w:after="0" w:line="215" w:lineRule="exact"/>
              <w:rPr>
                <w:sz w:val="20"/>
                <w:szCs w:val="20"/>
                <w:color w:val="auto"/>
              </w:rPr>
            </w:pPr>
            <w:r>
              <w:rPr>
                <w:rFonts w:ascii="Calibri" w:cs="Calibri" w:eastAsia="Calibri" w:hAnsi="Calibri"/>
                <w:sz w:val="18"/>
                <w:szCs w:val="18"/>
                <w:color w:val="auto"/>
              </w:rPr>
              <w:t>Financing cash fow for fnance leases</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w:t>
            </w:r>
          </w:p>
        </w:tc>
        <w:tc>
          <w:tcPr>
            <w:tcW w:w="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w:t>
            </w:r>
          </w:p>
        </w:tc>
        <w:tc>
          <w:tcPr>
            <w:tcW w:w="160" w:type="dxa"/>
            <w:vAlign w:val="bottom"/>
          </w:tcPr>
          <w:p>
            <w:pPr>
              <w:spacing w:after="0"/>
              <w:rPr>
                <w:sz w:val="18"/>
                <w:szCs w:val="18"/>
                <w:color w:val="auto"/>
              </w:rPr>
            </w:pPr>
          </w:p>
        </w:tc>
      </w:tr>
      <w:tr>
        <w:trPr>
          <w:trHeight w:val="249"/>
        </w:trPr>
        <w:tc>
          <w:tcPr>
            <w:tcW w:w="6500" w:type="dxa"/>
            <w:vAlign w:val="bottom"/>
            <w:tcBorders>
              <w:bottom w:val="single" w:sz="8" w:color="CFF0FC"/>
            </w:tcBorders>
            <w:shd w:val="clear" w:color="auto" w:fill="CFF0FC"/>
          </w:tcPr>
          <w:p>
            <w:pPr>
              <w:ind w:left="200"/>
              <w:spacing w:after="0" w:line="209" w:lineRule="exact"/>
              <w:rPr>
                <w:sz w:val="20"/>
                <w:szCs w:val="20"/>
                <w:color w:val="auto"/>
              </w:rPr>
            </w:pPr>
            <w:r>
              <w:rPr>
                <w:rFonts w:ascii="Calibri" w:cs="Calibri" w:eastAsia="Calibri" w:hAnsi="Calibri"/>
                <w:sz w:val="18"/>
                <w:szCs w:val="18"/>
                <w:color w:val="auto"/>
              </w:rPr>
              <w:t>Total</w:t>
            </w:r>
          </w:p>
        </w:tc>
        <w:tc>
          <w:tcPr>
            <w:tcW w:w="280" w:type="dxa"/>
            <w:vAlign w:val="bottom"/>
            <w:tcBorders>
              <w:bottom w:val="single" w:sz="8" w:color="auto"/>
            </w:tcBorders>
            <w:shd w:val="clear" w:color="auto" w:fill="CFF0FC"/>
          </w:tcPr>
          <w:p>
            <w:pPr>
              <w:jc w:val="right"/>
              <w:ind w:right="90"/>
              <w:spacing w:after="0" w:line="209" w:lineRule="exact"/>
              <w:rPr>
                <w:sz w:val="20"/>
                <w:szCs w:val="20"/>
                <w:color w:val="auto"/>
              </w:rPr>
            </w:pPr>
            <w:r>
              <w:rPr>
                <w:rFonts w:ascii="Calibri" w:cs="Calibri" w:eastAsia="Calibri" w:hAnsi="Calibri"/>
                <w:sz w:val="18"/>
                <w:szCs w:val="18"/>
                <w:color w:val="auto"/>
                <w:w w:val="87"/>
              </w:rPr>
              <w:t>$</w:t>
            </w:r>
          </w:p>
        </w:tc>
        <w:tc>
          <w:tcPr>
            <w:tcW w:w="102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16</w:t>
            </w:r>
          </w:p>
        </w:tc>
        <w:tc>
          <w:tcPr>
            <w:tcW w:w="2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line="209" w:lineRule="exact"/>
              <w:rPr>
                <w:sz w:val="20"/>
                <w:szCs w:val="20"/>
                <w:color w:val="auto"/>
              </w:rPr>
            </w:pPr>
            <w:r>
              <w:rPr>
                <w:rFonts w:ascii="Calibri" w:cs="Calibri" w:eastAsia="Calibri" w:hAnsi="Calibri"/>
                <w:sz w:val="18"/>
                <w:szCs w:val="18"/>
                <w:color w:val="auto"/>
                <w:w w:val="87"/>
              </w:rPr>
              <w:t>$</w:t>
            </w:r>
          </w:p>
        </w:tc>
        <w:tc>
          <w:tcPr>
            <w:tcW w:w="102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21</w:t>
            </w:r>
          </w:p>
        </w:tc>
        <w:tc>
          <w:tcPr>
            <w:tcW w:w="2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101"/>
              <w:spacing w:after="0"/>
              <w:rPr>
                <w:sz w:val="20"/>
                <w:szCs w:val="20"/>
                <w:color w:val="auto"/>
              </w:rPr>
            </w:pPr>
            <w:r>
              <w:rPr>
                <w:rFonts w:ascii="Calibri" w:cs="Calibri" w:eastAsia="Calibri" w:hAnsi="Calibri"/>
                <w:sz w:val="16"/>
                <w:szCs w:val="16"/>
                <w:color w:val="auto"/>
                <w:w w:val="73"/>
              </w:rPr>
              <w:t>$</w:t>
            </w:r>
          </w:p>
        </w:tc>
        <w:tc>
          <w:tcPr>
            <w:tcW w:w="102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20</w:t>
            </w:r>
          </w:p>
        </w:tc>
        <w:tc>
          <w:tcPr>
            <w:tcW w:w="160" w:type="dxa"/>
            <w:vAlign w:val="bottom"/>
            <w:tcBorders>
              <w:bottom w:val="single" w:sz="8" w:color="CFF0FC"/>
            </w:tcBorders>
            <w:shd w:val="clear" w:color="auto" w:fill="CFF0FC"/>
          </w:tcPr>
          <w:p>
            <w:pPr>
              <w:spacing w:after="0"/>
              <w:rPr>
                <w:sz w:val="21"/>
                <w:szCs w:val="21"/>
                <w:color w:val="auto"/>
              </w:rPr>
            </w:pPr>
          </w:p>
        </w:tc>
      </w:tr>
      <w:tr>
        <w:trPr>
          <w:trHeight w:val="390"/>
        </w:trPr>
        <w:tc>
          <w:tcPr>
            <w:tcW w:w="6500" w:type="dxa"/>
            <w:vAlign w:val="bottom"/>
          </w:tcPr>
          <w:p>
            <w:pPr>
              <w:ind w:left="20"/>
              <w:spacing w:after="0"/>
              <w:rPr>
                <w:sz w:val="20"/>
                <w:szCs w:val="20"/>
                <w:color w:val="auto"/>
              </w:rPr>
            </w:pPr>
            <w:r>
              <w:rPr>
                <w:rFonts w:ascii="Calibri" w:cs="Calibri" w:eastAsia="Calibri" w:hAnsi="Calibri"/>
                <w:sz w:val="18"/>
                <w:szCs w:val="18"/>
                <w:color w:val="auto"/>
              </w:rPr>
              <w:t>Noncash transacton:</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
        </w:trPr>
        <w:tc>
          <w:tcPr>
            <w:tcW w:w="6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94"/>
        </w:trPr>
        <w:tc>
          <w:tcPr>
            <w:tcW w:w="6500" w:type="dxa"/>
            <w:vAlign w:val="bottom"/>
            <w:shd w:val="clear" w:color="auto" w:fill="CFF0FC"/>
          </w:tcPr>
          <w:p>
            <w:pPr>
              <w:ind w:left="140"/>
              <w:spacing w:after="0" w:line="194" w:lineRule="exact"/>
              <w:rPr>
                <w:sz w:val="20"/>
                <w:szCs w:val="20"/>
                <w:color w:val="auto"/>
              </w:rPr>
            </w:pPr>
            <w:r>
              <w:rPr>
                <w:rFonts w:ascii="Calibri" w:cs="Calibri" w:eastAsia="Calibri" w:hAnsi="Calibri"/>
                <w:sz w:val="18"/>
                <w:szCs w:val="18"/>
                <w:color w:val="auto"/>
              </w:rPr>
              <w:t>Right-of-use asset obtained in exchange for new operatng</w:t>
            </w:r>
          </w:p>
        </w:tc>
        <w:tc>
          <w:tcPr>
            <w:tcW w:w="28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r>
      <w:tr>
        <w:trPr>
          <w:trHeight w:val="218"/>
        </w:trPr>
        <w:tc>
          <w:tcPr>
            <w:tcW w:w="6500" w:type="dxa"/>
            <w:vAlign w:val="bottom"/>
            <w:tcBorders>
              <w:bottom w:val="single" w:sz="8" w:color="CFF0FC"/>
            </w:tcBorders>
            <w:shd w:val="clear" w:color="auto" w:fill="CFF0FC"/>
          </w:tcPr>
          <w:p>
            <w:pPr>
              <w:ind w:left="340"/>
              <w:spacing w:after="0" w:line="215" w:lineRule="exact"/>
              <w:rPr>
                <w:sz w:val="20"/>
                <w:szCs w:val="20"/>
                <w:color w:val="auto"/>
              </w:rPr>
            </w:pPr>
            <w:r>
              <w:rPr>
                <w:rFonts w:ascii="Calibri" w:cs="Calibri" w:eastAsia="Calibri" w:hAnsi="Calibri"/>
                <w:sz w:val="18"/>
                <w:szCs w:val="18"/>
                <w:color w:val="auto"/>
              </w:rPr>
              <w:t>lease liabilites</w:t>
            </w:r>
          </w:p>
        </w:tc>
        <w:tc>
          <w:tcPr>
            <w:tcW w:w="280" w:type="dxa"/>
            <w:vAlign w:val="bottom"/>
            <w:tcBorders>
              <w:bottom w:val="single" w:sz="8" w:color="CFF0FC"/>
            </w:tcBorders>
            <w:shd w:val="clear" w:color="auto" w:fill="CFF0FC"/>
          </w:tcPr>
          <w:p>
            <w:pPr>
              <w:jc w:val="right"/>
              <w:ind w:right="90"/>
              <w:spacing w:after="0" w:line="215" w:lineRule="exact"/>
              <w:rPr>
                <w:sz w:val="20"/>
                <w:szCs w:val="20"/>
                <w:color w:val="auto"/>
              </w:rPr>
            </w:pPr>
            <w:r>
              <w:rPr>
                <w:rFonts w:ascii="Calibri" w:cs="Calibri" w:eastAsia="Calibri" w:hAnsi="Calibri"/>
                <w:sz w:val="18"/>
                <w:szCs w:val="18"/>
                <w:color w:val="auto"/>
                <w:w w:val="87"/>
              </w:rPr>
              <w:t>$</w:t>
            </w:r>
          </w:p>
        </w:tc>
        <w:tc>
          <w:tcPr>
            <w:tcW w:w="10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w:t>
            </w:r>
          </w:p>
        </w:tc>
        <w:tc>
          <w:tcPr>
            <w:tcW w:w="2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jc w:val="right"/>
              <w:ind w:right="90"/>
              <w:spacing w:after="0" w:line="215" w:lineRule="exact"/>
              <w:rPr>
                <w:sz w:val="20"/>
                <w:szCs w:val="20"/>
                <w:color w:val="auto"/>
              </w:rPr>
            </w:pPr>
            <w:r>
              <w:rPr>
                <w:rFonts w:ascii="Calibri" w:cs="Calibri" w:eastAsia="Calibri" w:hAnsi="Calibri"/>
                <w:sz w:val="18"/>
                <w:szCs w:val="18"/>
                <w:color w:val="auto"/>
                <w:w w:val="87"/>
              </w:rPr>
              <w:t>$</w:t>
            </w:r>
          </w:p>
        </w:tc>
        <w:tc>
          <w:tcPr>
            <w:tcW w:w="10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w:t>
            </w:r>
          </w:p>
        </w:tc>
        <w:tc>
          <w:tcPr>
            <w:tcW w:w="2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jc w:val="right"/>
              <w:ind w:right="101"/>
              <w:spacing w:after="0"/>
              <w:rPr>
                <w:sz w:val="20"/>
                <w:szCs w:val="20"/>
                <w:color w:val="auto"/>
              </w:rPr>
            </w:pPr>
            <w:r>
              <w:rPr>
                <w:rFonts w:ascii="Calibri" w:cs="Calibri" w:eastAsia="Calibri" w:hAnsi="Calibri"/>
                <w:sz w:val="16"/>
                <w:szCs w:val="16"/>
                <w:color w:val="auto"/>
                <w:w w:val="73"/>
              </w:rPr>
              <w:t>$</w:t>
            </w:r>
          </w:p>
        </w:tc>
        <w:tc>
          <w:tcPr>
            <w:tcW w:w="10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w:t>
            </w:r>
          </w:p>
        </w:tc>
        <w:tc>
          <w:tcPr>
            <w:tcW w:w="160" w:type="dxa"/>
            <w:vAlign w:val="bottom"/>
            <w:tcBorders>
              <w:bottom w:val="single" w:sz="8" w:color="CFF0FC"/>
            </w:tcBorders>
            <w:shd w:val="clear" w:color="auto" w:fill="CFF0FC"/>
          </w:tcPr>
          <w:p>
            <w:pPr>
              <w:spacing w:after="0"/>
              <w:rPr>
                <w:sz w:val="18"/>
                <w:szCs w:val="18"/>
                <w:color w:val="auto"/>
              </w:rPr>
            </w:pPr>
          </w:p>
        </w:tc>
      </w:tr>
      <w:tr>
        <w:trPr>
          <w:trHeight w:val="216"/>
        </w:trPr>
        <w:tc>
          <w:tcPr>
            <w:tcW w:w="6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500" w:type="dxa"/>
            <w:vAlign w:val="bottom"/>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Weighted-average remaining lease term (in years)</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15"/>
        </w:trPr>
        <w:tc>
          <w:tcPr>
            <w:tcW w:w="6500" w:type="dxa"/>
            <w:vAlign w:val="bottom"/>
          </w:tcPr>
          <w:p>
            <w:pPr>
              <w:ind w:left="120"/>
              <w:spacing w:after="0" w:line="215" w:lineRule="exact"/>
              <w:rPr>
                <w:sz w:val="20"/>
                <w:szCs w:val="20"/>
                <w:color w:val="auto"/>
              </w:rPr>
            </w:pPr>
            <w:r>
              <w:rPr>
                <w:rFonts w:ascii="Calibri" w:cs="Calibri" w:eastAsia="Calibri" w:hAnsi="Calibri"/>
                <w:sz w:val="18"/>
                <w:szCs w:val="18"/>
                <w:color w:val="auto"/>
              </w:rPr>
              <w:t>Operatng</w:t>
            </w:r>
          </w:p>
        </w:tc>
        <w:tc>
          <w:tcPr>
            <w:tcW w:w="280" w:type="dxa"/>
            <w:vAlign w:val="bottom"/>
          </w:tcPr>
          <w:p>
            <w:pPr>
              <w:spacing w:after="0"/>
              <w:rPr>
                <w:sz w:val="18"/>
                <w:szCs w:val="18"/>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4</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5</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5</w:t>
            </w:r>
          </w:p>
        </w:tc>
        <w:tc>
          <w:tcPr>
            <w:tcW w:w="160" w:type="dxa"/>
            <w:vAlign w:val="bottom"/>
          </w:tcPr>
          <w:p>
            <w:pPr>
              <w:spacing w:after="0"/>
              <w:rPr>
                <w:sz w:val="18"/>
                <w:szCs w:val="18"/>
                <w:color w:val="auto"/>
              </w:rPr>
            </w:pPr>
          </w:p>
        </w:tc>
      </w:tr>
      <w:tr>
        <w:trPr>
          <w:trHeight w:val="217"/>
        </w:trPr>
        <w:tc>
          <w:tcPr>
            <w:tcW w:w="6500" w:type="dxa"/>
            <w:vAlign w:val="bottom"/>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Finance</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w:t>
            </w:r>
          </w:p>
        </w:tc>
        <w:tc>
          <w:tcPr>
            <w:tcW w:w="160" w:type="dxa"/>
            <w:vAlign w:val="bottom"/>
            <w:shd w:val="clear" w:color="auto" w:fill="CFF0FC"/>
          </w:tcPr>
          <w:p>
            <w:pPr>
              <w:spacing w:after="0"/>
              <w:rPr>
                <w:sz w:val="18"/>
                <w:szCs w:val="18"/>
                <w:color w:val="auto"/>
              </w:rPr>
            </w:pPr>
          </w:p>
        </w:tc>
      </w:tr>
      <w:tr>
        <w:trPr>
          <w:trHeight w:val="215"/>
        </w:trPr>
        <w:tc>
          <w:tcPr>
            <w:tcW w:w="6500" w:type="dxa"/>
            <w:vAlign w:val="bottom"/>
          </w:tcPr>
          <w:p>
            <w:pPr>
              <w:ind w:left="20"/>
              <w:spacing w:after="0" w:line="215" w:lineRule="exact"/>
              <w:rPr>
                <w:sz w:val="20"/>
                <w:szCs w:val="20"/>
                <w:color w:val="auto"/>
              </w:rPr>
            </w:pPr>
            <w:r>
              <w:rPr>
                <w:rFonts w:ascii="Calibri" w:cs="Calibri" w:eastAsia="Calibri" w:hAnsi="Calibri"/>
                <w:sz w:val="18"/>
                <w:szCs w:val="18"/>
                <w:color w:val="auto"/>
              </w:rPr>
              <w:t>Weighted-average discount rate</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7"/>
        </w:trPr>
        <w:tc>
          <w:tcPr>
            <w:tcW w:w="6500" w:type="dxa"/>
            <w:vAlign w:val="bottom"/>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Operatng</w:t>
            </w:r>
          </w:p>
        </w:tc>
        <w:tc>
          <w:tcPr>
            <w:tcW w:w="2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40"/>
              <w:spacing w:after="0" w:line="216" w:lineRule="exact"/>
              <w:rPr>
                <w:sz w:val="20"/>
                <w:szCs w:val="20"/>
                <w:color w:val="auto"/>
              </w:rPr>
            </w:pPr>
            <w:r>
              <w:rPr>
                <w:rFonts w:ascii="Calibri" w:cs="Calibri" w:eastAsia="Calibri" w:hAnsi="Calibri"/>
                <w:sz w:val="18"/>
                <w:szCs w:val="18"/>
                <w:color w:val="auto"/>
              </w:rPr>
              <w:t>13.50 %</w:t>
            </w:r>
          </w:p>
        </w:tc>
        <w:tc>
          <w:tcPr>
            <w:tcW w:w="2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40"/>
              <w:spacing w:after="0" w:line="216" w:lineRule="exact"/>
              <w:rPr>
                <w:sz w:val="20"/>
                <w:szCs w:val="20"/>
                <w:color w:val="auto"/>
              </w:rPr>
            </w:pPr>
            <w:r>
              <w:rPr>
                <w:rFonts w:ascii="Calibri" w:cs="Calibri" w:eastAsia="Calibri" w:hAnsi="Calibri"/>
                <w:sz w:val="18"/>
                <w:szCs w:val="18"/>
                <w:color w:val="auto"/>
              </w:rPr>
              <w:t>13.22 %</w:t>
            </w: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
              <w:spacing w:after="0" w:line="216" w:lineRule="exact"/>
              <w:rPr>
                <w:sz w:val="20"/>
                <w:szCs w:val="20"/>
                <w:color w:val="auto"/>
              </w:rPr>
            </w:pPr>
            <w:r>
              <w:rPr>
                <w:rFonts w:ascii="Calibri" w:cs="Calibri" w:eastAsia="Calibri" w:hAnsi="Calibri"/>
                <w:sz w:val="18"/>
                <w:szCs w:val="18"/>
                <w:color w:val="auto"/>
              </w:rPr>
              <w:t>12.17 %</w:t>
            </w:r>
          </w:p>
        </w:tc>
      </w:tr>
      <w:tr>
        <w:trPr>
          <w:trHeight w:val="215"/>
        </w:trPr>
        <w:tc>
          <w:tcPr>
            <w:tcW w:w="6500" w:type="dxa"/>
            <w:vAlign w:val="bottom"/>
          </w:tcPr>
          <w:p>
            <w:pPr>
              <w:ind w:left="120"/>
              <w:spacing w:after="0" w:line="215" w:lineRule="exact"/>
              <w:rPr>
                <w:sz w:val="20"/>
                <w:szCs w:val="20"/>
                <w:color w:val="auto"/>
              </w:rPr>
            </w:pPr>
            <w:r>
              <w:rPr>
                <w:rFonts w:ascii="Calibri" w:cs="Calibri" w:eastAsia="Calibri" w:hAnsi="Calibri"/>
                <w:sz w:val="18"/>
                <w:szCs w:val="18"/>
                <w:color w:val="auto"/>
              </w:rPr>
              <w:t>Finance</w:t>
            </w:r>
          </w:p>
        </w:tc>
        <w:tc>
          <w:tcPr>
            <w:tcW w:w="280" w:type="dxa"/>
            <w:vAlign w:val="bottom"/>
          </w:tcPr>
          <w:p>
            <w:pPr>
              <w:spacing w:after="0"/>
              <w:rPr>
                <w:sz w:val="18"/>
                <w:szCs w:val="18"/>
                <w:color w:val="auto"/>
              </w:rPr>
            </w:pPr>
          </w:p>
        </w:tc>
        <w:tc>
          <w:tcPr>
            <w:tcW w:w="130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8.42 %</w:t>
            </w:r>
          </w:p>
        </w:tc>
        <w:tc>
          <w:tcPr>
            <w:tcW w:w="280" w:type="dxa"/>
            <w:vAlign w:val="bottom"/>
          </w:tcPr>
          <w:p>
            <w:pPr>
              <w:spacing w:after="0"/>
              <w:rPr>
                <w:sz w:val="18"/>
                <w:szCs w:val="18"/>
                <w:color w:val="auto"/>
              </w:rPr>
            </w:pPr>
          </w:p>
        </w:tc>
        <w:tc>
          <w:tcPr>
            <w:tcW w:w="130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6.42 %</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5.18 %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-1532890</wp:posOffset>
            </wp:positionV>
            <wp:extent cx="10287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-1515745</wp:posOffset>
            </wp:positionV>
            <wp:extent cx="10287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-1532890</wp:posOffset>
            </wp:positionV>
            <wp:extent cx="10287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-1515745</wp:posOffset>
            </wp:positionV>
            <wp:extent cx="10287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-1532890</wp:posOffset>
            </wp:positionV>
            <wp:extent cx="10287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-1515745</wp:posOffset>
            </wp:positionV>
            <wp:extent cx="10287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Undiscounted Cash Flows</w:t>
      </w:r>
    </w:p>
    <w:p>
      <w:pPr>
        <w:spacing w:after="0" w:line="177" w:lineRule="exact"/>
        <w:rPr>
          <w:sz w:val="20"/>
          <w:szCs w:val="20"/>
          <w:color w:val="auto"/>
        </w:rPr>
      </w:pPr>
    </w:p>
    <w:p>
      <w:pPr>
        <w:ind w:right="320"/>
        <w:spacing w:after="0" w:line="235" w:lineRule="auto"/>
        <w:rPr>
          <w:sz w:val="20"/>
          <w:szCs w:val="20"/>
          <w:color w:val="auto"/>
        </w:rPr>
      </w:pPr>
      <w:r>
        <w:rPr>
          <w:rFonts w:ascii="Calibri" w:cs="Calibri" w:eastAsia="Calibri" w:hAnsi="Calibri"/>
          <w:sz w:val="18"/>
          <w:szCs w:val="18"/>
          <w:color w:val="auto"/>
        </w:rPr>
        <w:t>The table below reconciles the undiscounted cash fows for the next fve years and thereafer to the fnance lease liabilites and operatng lease liabilites recorded on the Consolidated Statement of Financial Positon.</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660" w:type="dxa"/>
            <w:vAlign w:val="bottom"/>
          </w:tcPr>
          <w:p>
            <w:pPr>
              <w:ind w:left="20"/>
              <w:spacing w:after="0"/>
              <w:rPr>
                <w:sz w:val="20"/>
                <w:szCs w:val="20"/>
                <w:color w:val="auto"/>
              </w:rPr>
            </w:pPr>
            <w:r>
              <w:rPr>
                <w:rFonts w:ascii="Calibri" w:cs="Calibri" w:eastAsia="Calibri" w:hAnsi="Calibri"/>
                <w:sz w:val="18"/>
                <w:szCs w:val="18"/>
                <w:color w:val="auto"/>
              </w:rPr>
              <w:t>Undiscounted future cash fows:</w:t>
            </w: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6"/>
        </w:trPr>
        <w:tc>
          <w:tcPr>
            <w:tcW w:w="7660" w:type="dxa"/>
            <w:vAlign w:val="bottom"/>
          </w:tcPr>
          <w:p>
            <w:pPr>
              <w:ind w:left="20"/>
              <w:spacing w:after="0"/>
              <w:rPr>
                <w:sz w:val="20"/>
                <w:szCs w:val="20"/>
                <w:color w:val="auto"/>
              </w:rPr>
            </w:pPr>
            <w:r>
              <w:rPr>
                <w:rFonts w:ascii="Calibri" w:cs="Calibri" w:eastAsia="Calibri" w:hAnsi="Calibri"/>
                <w:sz w:val="14"/>
                <w:szCs w:val="14"/>
                <w:color w:val="auto"/>
              </w:rPr>
              <w:t>(in millions)</w:t>
            </w:r>
          </w:p>
        </w:tc>
        <w:tc>
          <w:tcPr>
            <w:tcW w:w="1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0"/>
              <w:spacing w:after="0" w:line="216" w:lineRule="exact"/>
              <w:rPr>
                <w:sz w:val="20"/>
                <w:szCs w:val="20"/>
                <w:color w:val="auto"/>
              </w:rPr>
            </w:pPr>
            <w:r>
              <w:rPr>
                <w:rFonts w:ascii="Calibri" w:cs="Calibri" w:eastAsia="Calibri" w:hAnsi="Calibri"/>
                <w:sz w:val="18"/>
                <w:szCs w:val="18"/>
                <w:b w:val="1"/>
                <w:bCs w:val="1"/>
                <w:color w:val="auto"/>
              </w:rPr>
              <w:t>Operatng Leases</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50"/>
              <w:spacing w:after="0" w:line="216" w:lineRule="exact"/>
              <w:rPr>
                <w:sz w:val="20"/>
                <w:szCs w:val="20"/>
                <w:color w:val="auto"/>
              </w:rPr>
            </w:pPr>
            <w:r>
              <w:rPr>
                <w:rFonts w:ascii="Calibri" w:cs="Calibri" w:eastAsia="Calibri" w:hAnsi="Calibri"/>
                <w:sz w:val="18"/>
                <w:szCs w:val="18"/>
                <w:b w:val="1"/>
                <w:bCs w:val="1"/>
                <w:color w:val="auto"/>
              </w:rPr>
              <w:t>Finance Leases</w:t>
            </w:r>
          </w:p>
        </w:tc>
        <w:tc>
          <w:tcPr>
            <w:tcW w:w="120" w:type="dxa"/>
            <w:vAlign w:val="bottom"/>
          </w:tcPr>
          <w:p>
            <w:pPr>
              <w:spacing w:after="0"/>
              <w:rPr>
                <w:sz w:val="20"/>
                <w:szCs w:val="20"/>
                <w:color w:val="auto"/>
              </w:rPr>
            </w:pPr>
          </w:p>
        </w:tc>
      </w:tr>
      <w:tr>
        <w:trPr>
          <w:trHeight w:val="213"/>
        </w:trPr>
        <w:tc>
          <w:tcPr>
            <w:tcW w:w="7660" w:type="dxa"/>
            <w:vAlign w:val="bottom"/>
            <w:shd w:val="clear" w:color="auto" w:fill="CFF0FC"/>
          </w:tcPr>
          <w:p>
            <w:pPr>
              <w:ind w:left="20"/>
              <w:spacing w:after="0" w:line="213" w:lineRule="exact"/>
              <w:rPr>
                <w:sz w:val="20"/>
                <w:szCs w:val="20"/>
                <w:color w:val="auto"/>
              </w:rPr>
            </w:pPr>
            <w:r>
              <w:rPr>
                <w:rFonts w:ascii="Calibri" w:cs="Calibri" w:eastAsia="Calibri" w:hAnsi="Calibri"/>
                <w:sz w:val="18"/>
                <w:szCs w:val="18"/>
                <w:color w:val="auto"/>
              </w:rPr>
              <w:t>2025</w:t>
            </w:r>
          </w:p>
        </w:tc>
        <w:tc>
          <w:tcPr>
            <w:tcW w:w="120" w:type="dxa"/>
            <w:vAlign w:val="bottom"/>
            <w:shd w:val="clear" w:color="auto" w:fill="CFF0FC"/>
          </w:tcPr>
          <w:p>
            <w:pPr>
              <w:jc w:val="right"/>
              <w:spacing w:after="0" w:line="213" w:lineRule="exact"/>
              <w:rPr>
                <w:sz w:val="20"/>
                <w:szCs w:val="20"/>
                <w:color w:val="auto"/>
              </w:rPr>
            </w:pPr>
            <w:r>
              <w:rPr>
                <w:rFonts w:ascii="Calibri" w:cs="Calibri" w:eastAsia="Calibri" w:hAnsi="Calibri"/>
                <w:sz w:val="18"/>
                <w:szCs w:val="18"/>
                <w:color w:val="auto"/>
                <w:w w:val="87"/>
              </w:rPr>
              <w:t>$</w:t>
            </w:r>
          </w:p>
        </w:tc>
        <w:tc>
          <w:tcPr>
            <w:tcW w:w="1420" w:type="dxa"/>
            <w:vAlign w:val="bottom"/>
            <w:shd w:val="clear" w:color="auto" w:fill="CFF0FC"/>
          </w:tcPr>
          <w:p>
            <w:pPr>
              <w:jc w:val="right"/>
              <w:spacing w:after="0" w:line="213" w:lineRule="exact"/>
              <w:rPr>
                <w:sz w:val="20"/>
                <w:szCs w:val="20"/>
                <w:color w:val="auto"/>
              </w:rPr>
            </w:pPr>
            <w:r>
              <w:rPr>
                <w:rFonts w:ascii="Calibri" w:cs="Calibri" w:eastAsia="Calibri" w:hAnsi="Calibri"/>
                <w:sz w:val="18"/>
                <w:szCs w:val="18"/>
                <w:color w:val="auto"/>
              </w:rPr>
              <w:t>14</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line="213" w:lineRule="exact"/>
              <w:rPr>
                <w:sz w:val="20"/>
                <w:szCs w:val="20"/>
                <w:color w:val="auto"/>
              </w:rPr>
            </w:pPr>
            <w:r>
              <w:rPr>
                <w:rFonts w:ascii="Calibri" w:cs="Calibri" w:eastAsia="Calibri" w:hAnsi="Calibri"/>
                <w:sz w:val="18"/>
                <w:szCs w:val="18"/>
                <w:color w:val="auto"/>
                <w:w w:val="87"/>
              </w:rPr>
              <w:t>$</w:t>
            </w:r>
          </w:p>
        </w:tc>
        <w:tc>
          <w:tcPr>
            <w:tcW w:w="1500" w:type="dxa"/>
            <w:vAlign w:val="bottom"/>
            <w:gridSpan w:val="2"/>
            <w:shd w:val="clear" w:color="auto" w:fill="CFF0FC"/>
          </w:tcPr>
          <w:p>
            <w:pPr>
              <w:jc w:val="right"/>
              <w:ind w:right="140"/>
              <w:spacing w:after="0" w:line="213" w:lineRule="exact"/>
              <w:rPr>
                <w:sz w:val="20"/>
                <w:szCs w:val="20"/>
                <w:color w:val="auto"/>
              </w:rPr>
            </w:pPr>
            <w:r>
              <w:rPr>
                <w:rFonts w:ascii="Calibri" w:cs="Calibri" w:eastAsia="Calibri" w:hAnsi="Calibri"/>
                <w:sz w:val="18"/>
                <w:szCs w:val="18"/>
                <w:color w:val="auto"/>
              </w:rPr>
              <w:t>—</w:t>
            </w:r>
          </w:p>
        </w:tc>
      </w:tr>
      <w:tr>
        <w:trPr>
          <w:trHeight w:val="215"/>
        </w:trPr>
        <w:tc>
          <w:tcPr>
            <w:tcW w:w="7660" w:type="dxa"/>
            <w:vAlign w:val="bottom"/>
          </w:tcPr>
          <w:p>
            <w:pPr>
              <w:ind w:left="20"/>
              <w:spacing w:after="0" w:line="215" w:lineRule="exact"/>
              <w:rPr>
                <w:sz w:val="20"/>
                <w:szCs w:val="20"/>
                <w:color w:val="auto"/>
              </w:rPr>
            </w:pPr>
            <w:r>
              <w:rPr>
                <w:rFonts w:ascii="Calibri" w:cs="Calibri" w:eastAsia="Calibri" w:hAnsi="Calibri"/>
                <w:sz w:val="18"/>
                <w:szCs w:val="18"/>
                <w:color w:val="auto"/>
              </w:rPr>
              <w:t>2026</w:t>
            </w:r>
          </w:p>
        </w:tc>
        <w:tc>
          <w:tcPr>
            <w:tcW w:w="120" w:type="dxa"/>
            <w:vAlign w:val="bottom"/>
          </w:tcPr>
          <w:p>
            <w:pPr>
              <w:spacing w:after="0"/>
              <w:rPr>
                <w:sz w:val="18"/>
                <w:szCs w:val="18"/>
                <w:color w:val="auto"/>
              </w:rPr>
            </w:pPr>
          </w:p>
        </w:tc>
        <w:tc>
          <w:tcPr>
            <w:tcW w:w="1420" w:type="dxa"/>
            <w:vAlign w:val="bottom"/>
          </w:tcPr>
          <w:p>
            <w:pPr>
              <w:jc w:val="right"/>
              <w:spacing w:after="0" w:line="215" w:lineRule="exact"/>
              <w:rPr>
                <w:sz w:val="20"/>
                <w:szCs w:val="20"/>
                <w:color w:val="auto"/>
              </w:rPr>
            </w:pPr>
            <w:r>
              <w:rPr>
                <w:rFonts w:ascii="Calibri" w:cs="Calibri" w:eastAsia="Calibri" w:hAnsi="Calibri"/>
                <w:sz w:val="18"/>
                <w:szCs w:val="18"/>
                <w:color w:val="auto"/>
              </w:rPr>
              <w:t>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line="215" w:lineRule="exact"/>
              <w:rPr>
                <w:sz w:val="20"/>
                <w:szCs w:val="20"/>
                <w:color w:val="auto"/>
              </w:rPr>
            </w:pPr>
            <w:r>
              <w:rPr>
                <w:rFonts w:ascii="Calibri" w:cs="Calibri" w:eastAsia="Calibri" w:hAnsi="Calibri"/>
                <w:sz w:val="18"/>
                <w:szCs w:val="18"/>
                <w:color w:val="auto"/>
              </w:rPr>
              <w:t>1</w:t>
            </w:r>
          </w:p>
        </w:tc>
        <w:tc>
          <w:tcPr>
            <w:tcW w:w="120" w:type="dxa"/>
            <w:vAlign w:val="bottom"/>
          </w:tcPr>
          <w:p>
            <w:pPr>
              <w:spacing w:after="0"/>
              <w:rPr>
                <w:sz w:val="18"/>
                <w:szCs w:val="18"/>
                <w:color w:val="auto"/>
              </w:rPr>
            </w:pPr>
          </w:p>
        </w:tc>
      </w:tr>
      <w:tr>
        <w:trPr>
          <w:trHeight w:val="217"/>
        </w:trPr>
        <w:tc>
          <w:tcPr>
            <w:tcW w:w="766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2027</w:t>
            </w: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6</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40"/>
              <w:spacing w:after="0" w:line="216" w:lineRule="exact"/>
              <w:rPr>
                <w:sz w:val="20"/>
                <w:szCs w:val="20"/>
                <w:color w:val="auto"/>
              </w:rPr>
            </w:pPr>
            <w:r>
              <w:rPr>
                <w:rFonts w:ascii="Calibri" w:cs="Calibri" w:eastAsia="Calibri" w:hAnsi="Calibri"/>
                <w:sz w:val="18"/>
                <w:szCs w:val="18"/>
                <w:color w:val="auto"/>
              </w:rPr>
              <w:t>—</w:t>
            </w:r>
          </w:p>
        </w:tc>
      </w:tr>
      <w:tr>
        <w:trPr>
          <w:trHeight w:val="215"/>
        </w:trPr>
        <w:tc>
          <w:tcPr>
            <w:tcW w:w="7660" w:type="dxa"/>
            <w:vAlign w:val="bottom"/>
          </w:tcPr>
          <w:p>
            <w:pPr>
              <w:ind w:left="20"/>
              <w:spacing w:after="0" w:line="215" w:lineRule="exact"/>
              <w:rPr>
                <w:sz w:val="20"/>
                <w:szCs w:val="20"/>
                <w:color w:val="auto"/>
              </w:rPr>
            </w:pPr>
            <w:r>
              <w:rPr>
                <w:rFonts w:ascii="Calibri" w:cs="Calibri" w:eastAsia="Calibri" w:hAnsi="Calibri"/>
                <w:sz w:val="18"/>
                <w:szCs w:val="18"/>
                <w:color w:val="auto"/>
              </w:rPr>
              <w:t>2028</w:t>
            </w:r>
          </w:p>
        </w:tc>
        <w:tc>
          <w:tcPr>
            <w:tcW w:w="120" w:type="dxa"/>
            <w:vAlign w:val="bottom"/>
          </w:tcPr>
          <w:p>
            <w:pPr>
              <w:spacing w:after="0"/>
              <w:rPr>
                <w:sz w:val="18"/>
                <w:szCs w:val="18"/>
                <w:color w:val="auto"/>
              </w:rPr>
            </w:pPr>
          </w:p>
        </w:tc>
        <w:tc>
          <w:tcPr>
            <w:tcW w:w="1420" w:type="dxa"/>
            <w:vAlign w:val="bottom"/>
          </w:tcPr>
          <w:p>
            <w:pPr>
              <w:jc w:val="right"/>
              <w:spacing w:after="0" w:line="215" w:lineRule="exact"/>
              <w:rPr>
                <w:sz w:val="20"/>
                <w:szCs w:val="20"/>
                <w:color w:val="auto"/>
              </w:rPr>
            </w:pPr>
            <w:r>
              <w:rPr>
                <w:rFonts w:ascii="Calibri" w:cs="Calibri" w:eastAsia="Calibri" w:hAnsi="Calibri"/>
                <w:sz w:val="18"/>
                <w:szCs w:val="18"/>
                <w:color w:val="auto"/>
              </w:rPr>
              <w:t>5</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w:t>
            </w:r>
          </w:p>
        </w:tc>
      </w:tr>
      <w:tr>
        <w:trPr>
          <w:trHeight w:val="217"/>
        </w:trPr>
        <w:tc>
          <w:tcPr>
            <w:tcW w:w="766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2029</w:t>
            </w: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4</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40"/>
              <w:spacing w:after="0" w:line="216" w:lineRule="exact"/>
              <w:rPr>
                <w:sz w:val="20"/>
                <w:szCs w:val="20"/>
                <w:color w:val="auto"/>
              </w:rPr>
            </w:pPr>
            <w:r>
              <w:rPr>
                <w:rFonts w:ascii="Calibri" w:cs="Calibri" w:eastAsia="Calibri" w:hAnsi="Calibri"/>
                <w:sz w:val="18"/>
                <w:szCs w:val="18"/>
                <w:color w:val="auto"/>
              </w:rPr>
              <w:t>—</w:t>
            </w:r>
          </w:p>
        </w:tc>
      </w:tr>
      <w:tr>
        <w:trPr>
          <w:trHeight w:val="215"/>
        </w:trPr>
        <w:tc>
          <w:tcPr>
            <w:tcW w:w="7660" w:type="dxa"/>
            <w:vAlign w:val="bottom"/>
          </w:tcPr>
          <w:p>
            <w:pPr>
              <w:ind w:left="20"/>
              <w:spacing w:after="0" w:line="215" w:lineRule="exact"/>
              <w:rPr>
                <w:sz w:val="20"/>
                <w:szCs w:val="20"/>
                <w:color w:val="auto"/>
              </w:rPr>
            </w:pPr>
            <w:r>
              <w:rPr>
                <w:rFonts w:ascii="Calibri" w:cs="Calibri" w:eastAsia="Calibri" w:hAnsi="Calibri"/>
                <w:sz w:val="18"/>
                <w:szCs w:val="18"/>
                <w:color w:val="auto"/>
              </w:rPr>
              <w:t>Thereafer</w:t>
            </w:r>
          </w:p>
        </w:tc>
        <w:tc>
          <w:tcPr>
            <w:tcW w:w="120" w:type="dxa"/>
            <w:vAlign w:val="bottom"/>
          </w:tcPr>
          <w:p>
            <w:pPr>
              <w:spacing w:after="0"/>
              <w:rPr>
                <w:sz w:val="18"/>
                <w:szCs w:val="18"/>
                <w:color w:val="auto"/>
              </w:rPr>
            </w:pPr>
          </w:p>
        </w:tc>
        <w:tc>
          <w:tcPr>
            <w:tcW w:w="1420" w:type="dxa"/>
            <w:vAlign w:val="bottom"/>
          </w:tcPr>
          <w:p>
            <w:pPr>
              <w:jc w:val="right"/>
              <w:spacing w:after="0" w:line="215" w:lineRule="exact"/>
              <w:rPr>
                <w:sz w:val="20"/>
                <w:szCs w:val="20"/>
                <w:color w:val="auto"/>
              </w:rPr>
            </w:pPr>
            <w:r>
              <w:rPr>
                <w:rFonts w:ascii="Calibri" w:cs="Calibri" w:eastAsia="Calibri" w:hAnsi="Calibri"/>
                <w:sz w:val="18"/>
                <w:szCs w:val="18"/>
                <w:color w:val="auto"/>
              </w:rPr>
              <w:t>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w:t>
            </w:r>
          </w:p>
        </w:tc>
      </w:tr>
      <w:tr>
        <w:trPr>
          <w:trHeight w:val="210"/>
        </w:trPr>
        <w:tc>
          <w:tcPr>
            <w:tcW w:w="7660" w:type="dxa"/>
            <w:vAlign w:val="bottom"/>
            <w:shd w:val="clear" w:color="auto" w:fill="CFF0FC"/>
          </w:tcPr>
          <w:p>
            <w:pPr>
              <w:ind w:left="200"/>
              <w:spacing w:after="0" w:line="210" w:lineRule="exact"/>
              <w:rPr>
                <w:sz w:val="20"/>
                <w:szCs w:val="20"/>
                <w:color w:val="auto"/>
              </w:rPr>
            </w:pPr>
            <w:r>
              <w:rPr>
                <w:rFonts w:ascii="Calibri" w:cs="Calibri" w:eastAsia="Calibri" w:hAnsi="Calibri"/>
                <w:sz w:val="18"/>
                <w:szCs w:val="18"/>
                <w:color w:val="auto"/>
              </w:rPr>
              <w:t>Total minimum lease payments</w:t>
            </w:r>
          </w:p>
        </w:tc>
        <w:tc>
          <w:tcPr>
            <w:tcW w:w="12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46</w:t>
            </w:r>
          </w:p>
        </w:tc>
        <w:tc>
          <w:tcPr>
            <w:tcW w:w="26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1</w:t>
            </w:r>
          </w:p>
        </w:tc>
        <w:tc>
          <w:tcPr>
            <w:tcW w:w="120" w:type="dxa"/>
            <w:vAlign w:val="bottom"/>
            <w:shd w:val="clear" w:color="auto" w:fill="CFF0FC"/>
          </w:tcPr>
          <w:p>
            <w:pPr>
              <w:spacing w:after="0"/>
              <w:rPr>
                <w:sz w:val="18"/>
                <w:szCs w:val="18"/>
                <w:color w:val="auto"/>
              </w:rPr>
            </w:pPr>
          </w:p>
        </w:tc>
      </w:tr>
      <w:tr>
        <w:trPr>
          <w:trHeight w:val="215"/>
        </w:trPr>
        <w:tc>
          <w:tcPr>
            <w:tcW w:w="7660" w:type="dxa"/>
            <w:vAlign w:val="bottom"/>
          </w:tcPr>
          <w:p>
            <w:pPr>
              <w:ind w:left="20"/>
              <w:spacing w:after="0" w:line="215" w:lineRule="exact"/>
              <w:rPr>
                <w:sz w:val="20"/>
                <w:szCs w:val="20"/>
                <w:color w:val="auto"/>
              </w:rPr>
            </w:pPr>
            <w:r>
              <w:rPr>
                <w:rFonts w:ascii="Calibri" w:cs="Calibri" w:eastAsia="Calibri" w:hAnsi="Calibri"/>
                <w:sz w:val="18"/>
                <w:szCs w:val="18"/>
                <w:color w:val="auto"/>
              </w:rPr>
              <w:t>Less: amount of lease payments representng interest</w:t>
            </w:r>
          </w:p>
        </w:tc>
        <w:tc>
          <w:tcPr>
            <w:tcW w:w="120" w:type="dxa"/>
            <w:vAlign w:val="bottom"/>
          </w:tcPr>
          <w:p>
            <w:pPr>
              <w:spacing w:after="0"/>
              <w:rPr>
                <w:sz w:val="18"/>
                <w:szCs w:val="18"/>
                <w:color w:val="auto"/>
              </w:rPr>
            </w:pPr>
          </w:p>
        </w:tc>
        <w:tc>
          <w:tcPr>
            <w:tcW w:w="168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(14 )</w:t>
            </w:r>
          </w:p>
        </w:tc>
        <w:tc>
          <w:tcPr>
            <w:tcW w:w="160" w:type="dxa"/>
            <w:vAlign w:val="bottom"/>
          </w:tcPr>
          <w:p>
            <w:pPr>
              <w:spacing w:after="0"/>
              <w:rPr>
                <w:sz w:val="18"/>
                <w:szCs w:val="18"/>
                <w:color w:val="auto"/>
              </w:rPr>
            </w:pPr>
          </w:p>
        </w:tc>
        <w:tc>
          <w:tcPr>
            <w:tcW w:w="150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w:t>
            </w:r>
          </w:p>
        </w:tc>
      </w:tr>
      <w:tr>
        <w:trPr>
          <w:trHeight w:val="210"/>
        </w:trPr>
        <w:tc>
          <w:tcPr>
            <w:tcW w:w="7660" w:type="dxa"/>
            <w:vAlign w:val="bottom"/>
            <w:shd w:val="clear" w:color="auto" w:fill="CFF0FC"/>
          </w:tcPr>
          <w:p>
            <w:pPr>
              <w:ind w:left="200"/>
              <w:spacing w:after="0" w:line="210" w:lineRule="exact"/>
              <w:rPr>
                <w:sz w:val="20"/>
                <w:szCs w:val="20"/>
                <w:color w:val="auto"/>
              </w:rPr>
            </w:pPr>
            <w:r>
              <w:rPr>
                <w:rFonts w:ascii="Calibri" w:cs="Calibri" w:eastAsia="Calibri" w:hAnsi="Calibri"/>
                <w:sz w:val="18"/>
                <w:szCs w:val="18"/>
                <w:color w:val="auto"/>
              </w:rPr>
              <w:t>Present value of future minimum lease payments</w:t>
            </w:r>
          </w:p>
        </w:tc>
        <w:tc>
          <w:tcPr>
            <w:tcW w:w="12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32</w:t>
            </w:r>
          </w:p>
        </w:tc>
        <w:tc>
          <w:tcPr>
            <w:tcW w:w="26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1</w:t>
            </w:r>
          </w:p>
        </w:tc>
        <w:tc>
          <w:tcPr>
            <w:tcW w:w="120" w:type="dxa"/>
            <w:vAlign w:val="bottom"/>
            <w:shd w:val="clear" w:color="auto" w:fill="CFF0FC"/>
          </w:tcPr>
          <w:p>
            <w:pPr>
              <w:spacing w:after="0"/>
              <w:rPr>
                <w:sz w:val="18"/>
                <w:szCs w:val="18"/>
                <w:color w:val="auto"/>
              </w:rPr>
            </w:pPr>
          </w:p>
        </w:tc>
      </w:tr>
      <w:tr>
        <w:trPr>
          <w:trHeight w:val="215"/>
        </w:trPr>
        <w:tc>
          <w:tcPr>
            <w:tcW w:w="7660" w:type="dxa"/>
            <w:vAlign w:val="bottom"/>
          </w:tcPr>
          <w:p>
            <w:pPr>
              <w:ind w:left="20"/>
              <w:spacing w:after="0" w:line="215" w:lineRule="exact"/>
              <w:rPr>
                <w:sz w:val="20"/>
                <w:szCs w:val="20"/>
                <w:color w:val="auto"/>
              </w:rPr>
            </w:pPr>
            <w:r>
              <w:rPr>
                <w:rFonts w:ascii="Calibri" w:cs="Calibri" w:eastAsia="Calibri" w:hAnsi="Calibri"/>
                <w:sz w:val="18"/>
                <w:szCs w:val="18"/>
                <w:color w:val="auto"/>
              </w:rPr>
              <w:t>Less: current obligatons under leases</w:t>
            </w:r>
          </w:p>
        </w:tc>
        <w:tc>
          <w:tcPr>
            <w:tcW w:w="120" w:type="dxa"/>
            <w:vAlign w:val="bottom"/>
          </w:tcPr>
          <w:p>
            <w:pPr>
              <w:spacing w:after="0"/>
              <w:rPr>
                <w:sz w:val="18"/>
                <w:szCs w:val="18"/>
                <w:color w:val="auto"/>
              </w:rPr>
            </w:pPr>
          </w:p>
        </w:tc>
        <w:tc>
          <w:tcPr>
            <w:tcW w:w="1420" w:type="dxa"/>
            <w:vAlign w:val="bottom"/>
          </w:tcPr>
          <w:p>
            <w:pPr>
              <w:jc w:val="right"/>
              <w:spacing w:after="0" w:line="215" w:lineRule="exact"/>
              <w:rPr>
                <w:sz w:val="20"/>
                <w:szCs w:val="20"/>
                <w:color w:val="auto"/>
              </w:rPr>
            </w:pPr>
            <w:r>
              <w:rPr>
                <w:rFonts w:ascii="Calibri" w:cs="Calibri" w:eastAsia="Calibri" w:hAnsi="Calibri"/>
                <w:sz w:val="18"/>
                <w:szCs w:val="18"/>
                <w:color w:val="auto"/>
              </w:rPr>
              <w:t>11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w:t>
            </w:r>
          </w:p>
        </w:tc>
      </w:tr>
      <w:tr>
        <w:trPr>
          <w:trHeight w:val="249"/>
        </w:trPr>
        <w:tc>
          <w:tcPr>
            <w:tcW w:w="7660" w:type="dxa"/>
            <w:vAlign w:val="bottom"/>
            <w:tcBorders>
              <w:bottom w:val="single" w:sz="8" w:color="CFF0FC"/>
            </w:tcBorders>
            <w:shd w:val="clear" w:color="auto" w:fill="CFF0FC"/>
          </w:tcPr>
          <w:p>
            <w:pPr>
              <w:ind w:left="20"/>
              <w:spacing w:after="0" w:line="209" w:lineRule="exact"/>
              <w:rPr>
                <w:sz w:val="20"/>
                <w:szCs w:val="20"/>
                <w:color w:val="auto"/>
              </w:rPr>
            </w:pPr>
            <w:r>
              <w:rPr>
                <w:rFonts w:ascii="Calibri" w:cs="Calibri" w:eastAsia="Calibri" w:hAnsi="Calibri"/>
                <w:sz w:val="18"/>
                <w:szCs w:val="18"/>
                <w:color w:val="auto"/>
              </w:rPr>
              <w:t>Long-term lease obligatons</w:t>
            </w:r>
          </w:p>
        </w:tc>
        <w:tc>
          <w:tcPr>
            <w:tcW w:w="120" w:type="dxa"/>
            <w:vAlign w:val="bottom"/>
            <w:tcBorders>
              <w:top w:val="single" w:sz="8" w:color="auto"/>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w w:val="87"/>
              </w:rPr>
              <w:t>$</w:t>
            </w:r>
          </w:p>
        </w:tc>
        <w:tc>
          <w:tcPr>
            <w:tcW w:w="1420" w:type="dxa"/>
            <w:vAlign w:val="bottom"/>
            <w:tcBorders>
              <w:top w:val="single" w:sz="8" w:color="auto"/>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21</w:t>
            </w: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w w:val="87"/>
              </w:rPr>
              <w:t>$</w:t>
            </w:r>
          </w:p>
        </w:tc>
        <w:tc>
          <w:tcPr>
            <w:tcW w:w="1380" w:type="dxa"/>
            <w:vAlign w:val="bottom"/>
            <w:tcBorders>
              <w:top w:val="single" w:sz="8" w:color="auto"/>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1</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-24765</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-8255</wp:posOffset>
            </wp:positionV>
            <wp:extent cx="6858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-24765</wp:posOffset>
            </wp:positionV>
            <wp:extent cx="7747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-8255</wp:posOffset>
            </wp:positionV>
            <wp:extent cx="7747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47" w:lineRule="exact"/>
        <w:rPr>
          <w:sz w:val="20"/>
          <w:szCs w:val="20"/>
          <w:color w:val="auto"/>
        </w:rPr>
      </w:pPr>
    </w:p>
    <w:p>
      <w:pPr>
        <w:ind w:right="540"/>
        <w:spacing w:after="0" w:line="235" w:lineRule="auto"/>
        <w:rPr>
          <w:sz w:val="20"/>
          <w:szCs w:val="20"/>
          <w:color w:val="auto"/>
        </w:rPr>
      </w:pPr>
      <w:r>
        <w:rPr>
          <w:rFonts w:ascii="Calibri" w:cs="Calibri" w:eastAsia="Calibri" w:hAnsi="Calibri"/>
          <w:sz w:val="18"/>
          <w:szCs w:val="18"/>
          <w:color w:val="auto"/>
        </w:rPr>
        <w:t>At December 31, 2024, Kodak had approximately $6 million of lease arrangements that were legally binding but had not yet commenced. These lease arrangements will commence in 2025 and are not included in the undiscounted future cash fows above.</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Kodak as Lessor</w:t>
      </w:r>
    </w:p>
    <w:p>
      <w:pPr>
        <w:spacing w:after="0" w:line="177"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Kodak’s net investment in sales-type leases as of both December 31, 2024 and 2023 was $3 million. The current porton of the net investment in sales-type leases is included in Other current assets in the Consolidated Statement of Financial Positon. The porton of the net investment in sales-type leases due afer one year is included in Other long-term assets.</w:t>
      </w:r>
    </w:p>
    <w:p>
      <w:pPr>
        <w:spacing w:after="0" w:line="187" w:lineRule="exact"/>
        <w:rPr>
          <w:sz w:val="20"/>
          <w:szCs w:val="20"/>
          <w:color w:val="auto"/>
        </w:rPr>
      </w:pPr>
    </w:p>
    <w:p>
      <w:pPr>
        <w:jc w:val="center"/>
        <w:ind w:right="-59"/>
        <w:spacing w:after="0"/>
        <w:rPr>
          <w:sz w:val="20"/>
          <w:szCs w:val="20"/>
          <w:color w:val="auto"/>
        </w:rPr>
      </w:pPr>
      <w:r>
        <w:rPr>
          <w:rFonts w:ascii="Calibri" w:cs="Calibri" w:eastAsia="Calibri" w:hAnsi="Calibri"/>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sectPr>
      </w:pPr>
    </w:p>
    <w:bookmarkStart w:id="79" w:name="page80"/>
    <w:bookmarkEnd w:id="79"/>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alibri" w:cs="Calibri" w:eastAsia="Calibri" w:hAnsi="Calibri"/>
          <w:sz w:val="17"/>
          <w:szCs w:val="17"/>
          <w:color w:val="auto"/>
        </w:rPr>
        <w:t>The table below reconciles the undiscounted cash fows to be received to the net investment in sales-type leases recorded in the Consolidated Statement of</w:t>
      </w:r>
    </w:p>
    <w:p>
      <w:pPr>
        <w:spacing w:after="0" w:line="4" w:lineRule="exact"/>
        <w:rPr>
          <w:sz w:val="20"/>
          <w:szCs w:val="20"/>
          <w:color w:val="auto"/>
        </w:rPr>
      </w:pPr>
    </w:p>
    <w:p>
      <w:pPr>
        <w:spacing w:after="0"/>
        <w:rPr>
          <w:sz w:val="20"/>
          <w:szCs w:val="20"/>
          <w:color w:val="auto"/>
        </w:rPr>
      </w:pPr>
      <w:r>
        <w:rPr>
          <w:rFonts w:ascii="Calibri" w:cs="Calibri" w:eastAsia="Calibri" w:hAnsi="Calibri"/>
          <w:sz w:val="18"/>
          <w:szCs w:val="18"/>
          <w:color w:val="auto"/>
        </w:rPr>
        <w:t>Financial Positon:</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60" w:type="dxa"/>
            <w:vAlign w:val="bottom"/>
          </w:tcPr>
          <w:p>
            <w:pPr>
              <w:ind w:left="20"/>
              <w:spacing w:after="0"/>
              <w:rPr>
                <w:sz w:val="20"/>
                <w:szCs w:val="20"/>
                <w:color w:val="auto"/>
              </w:rPr>
            </w:pPr>
            <w:r>
              <w:rPr>
                <w:rFonts w:ascii="Calibri" w:cs="Calibri" w:eastAsia="Calibri" w:hAnsi="Calibri"/>
                <w:sz w:val="14"/>
                <w:szCs w:val="14"/>
                <w:color w:val="auto"/>
              </w:rPr>
              <w:t>(in millions)</w:t>
            </w: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160" w:type="dxa"/>
            <w:vAlign w:val="bottom"/>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2025</w:t>
            </w: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30"/>
              <w:spacing w:after="0" w:line="215" w:lineRule="exact"/>
              <w:rPr>
                <w:sz w:val="20"/>
                <w:szCs w:val="20"/>
                <w:color w:val="auto"/>
              </w:rPr>
            </w:pPr>
            <w:r>
              <w:rPr>
                <w:rFonts w:ascii="Calibri" w:cs="Calibri" w:eastAsia="Calibri" w:hAnsi="Calibri"/>
                <w:sz w:val="18"/>
                <w:szCs w:val="18"/>
                <w:color w:val="auto"/>
              </w:rPr>
              <w:t>$</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
              <w:spacing w:after="0" w:line="215" w:lineRule="exact"/>
              <w:rPr>
                <w:sz w:val="20"/>
                <w:szCs w:val="20"/>
                <w:color w:val="auto"/>
              </w:rPr>
            </w:pPr>
            <w:r>
              <w:rPr>
                <w:rFonts w:ascii="Calibri" w:cs="Calibri" w:eastAsia="Calibri" w:hAnsi="Calibri"/>
                <w:sz w:val="18"/>
                <w:szCs w:val="18"/>
                <w:color w:val="auto"/>
              </w:rPr>
              <w:t>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160" w:type="dxa"/>
            <w:vAlign w:val="bottom"/>
          </w:tcPr>
          <w:p>
            <w:pPr>
              <w:ind w:left="20"/>
              <w:spacing w:after="0" w:line="215" w:lineRule="exact"/>
              <w:rPr>
                <w:sz w:val="20"/>
                <w:szCs w:val="20"/>
                <w:color w:val="auto"/>
              </w:rPr>
            </w:pPr>
            <w:r>
              <w:rPr>
                <w:rFonts w:ascii="Calibri" w:cs="Calibri" w:eastAsia="Calibri" w:hAnsi="Calibri"/>
                <w:sz w:val="18"/>
                <w:szCs w:val="18"/>
                <w:color w:val="auto"/>
              </w:rPr>
              <w:t>2026</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16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2027 and thereafer</w:t>
            </w: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gridSpan w:val="2"/>
            <w:shd w:val="clear" w:color="auto" w:fill="CFF0FC"/>
          </w:tcPr>
          <w:p>
            <w:pPr>
              <w:jc w:val="right"/>
              <w:ind w:right="20"/>
              <w:spacing w:after="0" w:line="216" w:lineRule="exact"/>
              <w:rPr>
                <w:sz w:val="20"/>
                <w:szCs w:val="20"/>
                <w:color w:val="auto"/>
              </w:rPr>
            </w:pPr>
            <w:r>
              <w:rPr>
                <w:rFonts w:ascii="Calibri" w:cs="Calibri" w:eastAsia="Calibri" w:hAnsi="Calibri"/>
                <w:sz w:val="18"/>
                <w:szCs w:val="18"/>
                <w:color w:val="auto"/>
              </w:rPr>
              <w:t>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60" w:type="dxa"/>
            <w:vAlign w:val="bottom"/>
          </w:tcPr>
          <w:p>
            <w:pPr>
              <w:ind w:left="200"/>
              <w:spacing w:after="0" w:line="195" w:lineRule="exact"/>
              <w:rPr>
                <w:sz w:val="20"/>
                <w:szCs w:val="20"/>
                <w:color w:val="auto"/>
              </w:rPr>
            </w:pPr>
            <w:r>
              <w:rPr>
                <w:rFonts w:ascii="Calibri" w:cs="Calibri" w:eastAsia="Calibri" w:hAnsi="Calibri"/>
                <w:sz w:val="18"/>
                <w:szCs w:val="18"/>
                <w:color w:val="auto"/>
              </w:rPr>
              <w:t>Total minimum lease payments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20"/>
              <w:spacing w:after="0" w:line="209" w:lineRule="exact"/>
              <w:rPr>
                <w:sz w:val="20"/>
                <w:szCs w:val="20"/>
                <w:color w:val="auto"/>
              </w:rPr>
            </w:pPr>
            <w:r>
              <w:rPr>
                <w:rFonts w:ascii="Calibri" w:cs="Calibri" w:eastAsia="Calibri" w:hAnsi="Calibri"/>
                <w:sz w:val="18"/>
                <w:szCs w:val="18"/>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Borders>
              <w:bottom w:val="single" w:sz="8" w:color="CFF0FC"/>
            </w:tcBorders>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Less: unearned interest</w:t>
            </w:r>
          </w:p>
        </w:tc>
        <w:tc>
          <w:tcPr>
            <w:tcW w:w="32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gridSpan w:val="2"/>
            <w:shd w:val="clear" w:color="auto" w:fill="CFF0FC"/>
          </w:tcPr>
          <w:p>
            <w:pPr>
              <w:jc w:val="right"/>
              <w:ind w:right="20"/>
              <w:spacing w:after="0" w:line="216" w:lineRule="exact"/>
              <w:rPr>
                <w:sz w:val="20"/>
                <w:szCs w:val="20"/>
                <w:color w:val="auto"/>
              </w:rPr>
            </w:pPr>
            <w:r>
              <w:rPr>
                <w:rFonts w:ascii="Calibri" w:cs="Calibri" w:eastAsia="Calibri" w:hAnsi="Calibri"/>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60" w:type="dxa"/>
            <w:vAlign w:val="bottom"/>
          </w:tcPr>
          <w:p>
            <w:pPr>
              <w:ind w:left="200"/>
              <w:spacing w:after="0" w:line="209" w:lineRule="exact"/>
              <w:rPr>
                <w:sz w:val="20"/>
                <w:szCs w:val="20"/>
                <w:color w:val="auto"/>
              </w:rPr>
            </w:pPr>
            <w:r>
              <w:rPr>
                <w:rFonts w:ascii="Calibri" w:cs="Calibri" w:eastAsia="Calibri" w:hAnsi="Calibri"/>
                <w:sz w:val="18"/>
                <w:szCs w:val="18"/>
                <w:color w:val="auto"/>
              </w:rPr>
              <w:t>Net investment in sales-type leases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gridSpan w:val="2"/>
          </w:tcPr>
          <w:p>
            <w:pPr>
              <w:jc w:val="right"/>
              <w:ind w:right="230"/>
              <w:spacing w:after="0" w:line="209"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20"/>
              <w:spacing w:after="0" w:line="209" w:lineRule="exact"/>
              <w:rPr>
                <w:sz w:val="20"/>
                <w:szCs w:val="20"/>
                <w:color w:val="auto"/>
              </w:rPr>
            </w:pPr>
            <w:r>
              <w:rPr>
                <w:rFonts w:ascii="Calibri" w:cs="Calibri" w:eastAsia="Calibri" w:hAnsi="Calibri"/>
                <w:sz w:val="18"/>
                <w:szCs w:val="18"/>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60" w:type="dxa"/>
            <w:vAlign w:val="bottom"/>
            <w:gridSpan w:val="5"/>
            <w:vMerge w:val="restart"/>
          </w:tcPr>
          <w:p>
            <w:pPr>
              <w:spacing w:after="0"/>
              <w:rPr>
                <w:sz w:val="20"/>
                <w:szCs w:val="20"/>
                <w:color w:val="auto"/>
              </w:rPr>
            </w:pPr>
            <w:r>
              <w:rPr>
                <w:rFonts w:ascii="Calibri" w:cs="Calibri" w:eastAsia="Calibri" w:hAnsi="Calibri"/>
                <w:sz w:val="18"/>
                <w:szCs w:val="18"/>
                <w:color w:val="auto"/>
                <w:w w:val="99"/>
              </w:rPr>
              <w:t>Undiscounted cash fows to be received for the next fve years and thereafer for operatng leases and subleases are:</w:t>
            </w:r>
          </w:p>
        </w:tc>
        <w:tc>
          <w:tcPr>
            <w:tcW w:w="5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8360" w:type="dxa"/>
            <w:vAlign w:val="bottom"/>
            <w:gridSpan w:val="5"/>
            <w:vMerge w:val="continue"/>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6160" w:type="dxa"/>
            <w:vAlign w:val="bottom"/>
          </w:tcPr>
          <w:p>
            <w:pPr>
              <w:ind w:left="20"/>
              <w:spacing w:after="0"/>
              <w:rPr>
                <w:sz w:val="20"/>
                <w:szCs w:val="20"/>
                <w:color w:val="auto"/>
              </w:rPr>
            </w:pPr>
            <w:r>
              <w:rPr>
                <w:rFonts w:ascii="Calibri" w:cs="Calibri" w:eastAsia="Calibri" w:hAnsi="Calibri"/>
                <w:sz w:val="14"/>
                <w:szCs w:val="14"/>
                <w:color w:val="auto"/>
              </w:rPr>
              <w:t>(in millions)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160" w:type="dxa"/>
            <w:vAlign w:val="bottom"/>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2025</w:t>
            </w: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30"/>
              <w:spacing w:after="0" w:line="215" w:lineRule="exact"/>
              <w:rPr>
                <w:sz w:val="20"/>
                <w:szCs w:val="20"/>
                <w:color w:val="auto"/>
              </w:rPr>
            </w:pPr>
            <w:r>
              <w:rPr>
                <w:rFonts w:ascii="Calibri" w:cs="Calibri" w:eastAsia="Calibri" w:hAnsi="Calibri"/>
                <w:sz w:val="18"/>
                <w:szCs w:val="18"/>
                <w:color w:val="auto"/>
              </w:rPr>
              <w:t>$</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
              <w:spacing w:after="0" w:line="215" w:lineRule="exact"/>
              <w:rPr>
                <w:sz w:val="20"/>
                <w:szCs w:val="20"/>
                <w:color w:val="auto"/>
              </w:rPr>
            </w:pPr>
            <w:r>
              <w:rPr>
                <w:rFonts w:ascii="Calibri" w:cs="Calibri" w:eastAsia="Calibri" w:hAnsi="Calibri"/>
                <w:sz w:val="18"/>
                <w:szCs w:val="18"/>
                <w:color w:val="auto"/>
              </w:rPr>
              <w:t>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160" w:type="dxa"/>
            <w:vAlign w:val="bottom"/>
          </w:tcPr>
          <w:p>
            <w:pPr>
              <w:ind w:left="20"/>
              <w:spacing w:after="0" w:line="215" w:lineRule="exact"/>
              <w:rPr>
                <w:sz w:val="20"/>
                <w:szCs w:val="20"/>
                <w:color w:val="auto"/>
              </w:rPr>
            </w:pPr>
            <w:r>
              <w:rPr>
                <w:rFonts w:ascii="Calibri" w:cs="Calibri" w:eastAsia="Calibri" w:hAnsi="Calibri"/>
                <w:sz w:val="18"/>
                <w:szCs w:val="18"/>
                <w:color w:val="auto"/>
              </w:rPr>
              <w:t>2026</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16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2027</w:t>
            </w: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
              <w:spacing w:after="0" w:line="216" w:lineRule="exact"/>
              <w:rPr>
                <w:sz w:val="20"/>
                <w:szCs w:val="20"/>
                <w:color w:val="auto"/>
              </w:rPr>
            </w:pPr>
            <w:r>
              <w:rPr>
                <w:rFonts w:ascii="Calibri" w:cs="Calibri" w:eastAsia="Calibri" w:hAnsi="Calibri"/>
                <w:sz w:val="18"/>
                <w:szCs w:val="18"/>
                <w:color w:val="auto"/>
              </w:rPr>
              <w:t>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160" w:type="dxa"/>
            <w:vAlign w:val="bottom"/>
          </w:tcPr>
          <w:p>
            <w:pPr>
              <w:ind w:left="20"/>
              <w:spacing w:after="0" w:line="215" w:lineRule="exact"/>
              <w:rPr>
                <w:sz w:val="20"/>
                <w:szCs w:val="20"/>
                <w:color w:val="auto"/>
              </w:rPr>
            </w:pPr>
            <w:r>
              <w:rPr>
                <w:rFonts w:ascii="Calibri" w:cs="Calibri" w:eastAsia="Calibri" w:hAnsi="Calibri"/>
                <w:sz w:val="18"/>
                <w:szCs w:val="18"/>
                <w:color w:val="auto"/>
              </w:rPr>
              <w:t>2028</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16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2029</w:t>
            </w: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
              <w:spacing w:after="0" w:line="216" w:lineRule="exact"/>
              <w:rPr>
                <w:sz w:val="20"/>
                <w:szCs w:val="20"/>
                <w:color w:val="auto"/>
              </w:rPr>
            </w:pPr>
            <w:r>
              <w:rPr>
                <w:rFonts w:ascii="Calibri" w:cs="Calibri" w:eastAsia="Calibri" w:hAnsi="Calibri"/>
                <w:sz w:val="18"/>
                <w:szCs w:val="18"/>
                <w:color w:val="auto"/>
              </w:rPr>
              <w:t>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160" w:type="dxa"/>
            <w:vAlign w:val="bottom"/>
          </w:tcPr>
          <w:p>
            <w:pPr>
              <w:ind w:left="20"/>
              <w:spacing w:after="0" w:line="215" w:lineRule="exact"/>
              <w:rPr>
                <w:sz w:val="20"/>
                <w:szCs w:val="20"/>
                <w:color w:val="auto"/>
              </w:rPr>
            </w:pPr>
            <w:r>
              <w:rPr>
                <w:rFonts w:ascii="Calibri" w:cs="Calibri" w:eastAsia="Calibri" w:hAnsi="Calibri"/>
                <w:sz w:val="18"/>
                <w:szCs w:val="18"/>
                <w:color w:val="auto"/>
              </w:rPr>
              <w:t>Thereafer</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20"/>
              <w:spacing w:after="0" w:line="215" w:lineRule="exact"/>
              <w:rPr>
                <w:sz w:val="20"/>
                <w:szCs w:val="20"/>
                <w:color w:val="auto"/>
              </w:rPr>
            </w:pPr>
            <w:r>
              <w:rPr>
                <w:rFonts w:ascii="Calibri" w:cs="Calibri" w:eastAsia="Calibri" w:hAnsi="Calibri"/>
                <w:sz w:val="18"/>
                <w:szCs w:val="18"/>
                <w:color w:val="auto"/>
              </w:rPr>
              <w:t>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160" w:type="dxa"/>
            <w:vAlign w:val="bottom"/>
            <w:tcBorders>
              <w:bottom w:val="single" w:sz="8" w:color="CFF0FC"/>
            </w:tcBorders>
            <w:shd w:val="clear" w:color="auto" w:fill="CFF0FC"/>
          </w:tcPr>
          <w:p>
            <w:pPr>
              <w:ind w:left="200"/>
              <w:spacing w:after="0" w:line="209" w:lineRule="exact"/>
              <w:rPr>
                <w:sz w:val="20"/>
                <w:szCs w:val="20"/>
                <w:color w:val="auto"/>
              </w:rPr>
            </w:pPr>
            <w:r>
              <w:rPr>
                <w:rFonts w:ascii="Calibri" w:cs="Calibri" w:eastAsia="Calibri" w:hAnsi="Calibri"/>
                <w:sz w:val="18"/>
                <w:szCs w:val="18"/>
                <w:color w:val="auto"/>
              </w:rPr>
              <w:t>Total minimum lease payments</w:t>
            </w:r>
          </w:p>
        </w:tc>
        <w:tc>
          <w:tcPr>
            <w:tcW w:w="32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ind w:right="230"/>
              <w:spacing w:after="0" w:line="209" w:lineRule="exact"/>
              <w:rPr>
                <w:sz w:val="20"/>
                <w:szCs w:val="20"/>
                <w:color w:val="auto"/>
              </w:rPr>
            </w:pPr>
            <w:r>
              <w:rPr>
                <w:rFonts w:ascii="Calibri" w:cs="Calibri" w:eastAsia="Calibri" w:hAnsi="Calibri"/>
                <w:sz w:val="18"/>
                <w:szCs w:val="18"/>
                <w:color w:val="auto"/>
                <w:w w:val="87"/>
              </w:rPr>
              <w:t>$</w:t>
            </w:r>
          </w:p>
        </w:tc>
        <w:tc>
          <w:tcPr>
            <w:tcW w:w="240" w:type="dxa"/>
            <w:vAlign w:val="bottom"/>
            <w:tcBorders>
              <w:bottom w:val="single" w:sz="8" w:color="auto"/>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gridSpan w:val="2"/>
            <w:shd w:val="clear" w:color="auto" w:fill="CFF0FC"/>
          </w:tcPr>
          <w:p>
            <w:pPr>
              <w:jc w:val="right"/>
              <w:ind w:right="20"/>
              <w:spacing w:after="0" w:line="209" w:lineRule="exact"/>
              <w:rPr>
                <w:sz w:val="20"/>
                <w:szCs w:val="20"/>
                <w:color w:val="auto"/>
              </w:rPr>
            </w:pPr>
            <w:r>
              <w:rPr>
                <w:rFonts w:ascii="Calibri" w:cs="Calibri" w:eastAsia="Calibri" w:hAnsi="Calibri"/>
                <w:sz w:val="18"/>
                <w:szCs w:val="18"/>
                <w:color w:val="auto"/>
              </w:rPr>
              <w:t>39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390"/>
        </w:trPr>
        <w:tc>
          <w:tcPr>
            <w:tcW w:w="9540" w:type="dxa"/>
            <w:vAlign w:val="bottom"/>
            <w:gridSpan w:val="8"/>
          </w:tcPr>
          <w:p>
            <w:pPr>
              <w:spacing w:after="0"/>
              <w:rPr>
                <w:sz w:val="20"/>
                <w:szCs w:val="20"/>
                <w:color w:val="auto"/>
              </w:rPr>
            </w:pPr>
            <w:r>
              <w:rPr>
                <w:rFonts w:ascii="Calibri" w:cs="Calibri" w:eastAsia="Calibri" w:hAnsi="Calibri"/>
                <w:sz w:val="18"/>
                <w:szCs w:val="18"/>
                <w:color w:val="auto"/>
              </w:rPr>
              <w:t>Income recognized on lease arrangements for the years ended December 31, 2024, 2023 and 2022 is presented below:</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940" w:type="dxa"/>
            <w:vAlign w:val="bottom"/>
            <w:gridSpan w:val="5"/>
          </w:tcPr>
          <w:p>
            <w:pPr>
              <w:jc w:val="center"/>
              <w:spacing w:after="0"/>
              <w:rPr>
                <w:sz w:val="20"/>
                <w:szCs w:val="20"/>
                <w:color w:val="auto"/>
              </w:rPr>
            </w:pPr>
            <w:r>
              <w:rPr>
                <w:rFonts w:ascii="Calibri" w:cs="Calibri" w:eastAsia="Calibri" w:hAnsi="Calibri"/>
                <w:sz w:val="18"/>
                <w:szCs w:val="18"/>
                <w:b w:val="1"/>
                <w:bCs w:val="1"/>
                <w:color w:val="auto"/>
                <w:w w:val="97"/>
              </w:rPr>
              <w:t>Year Ended December 31,</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160" w:type="dxa"/>
            <w:vAlign w:val="bottom"/>
          </w:tcPr>
          <w:p>
            <w:pPr>
              <w:ind w:left="20"/>
              <w:spacing w:after="0"/>
              <w:rPr>
                <w:sz w:val="20"/>
                <w:szCs w:val="20"/>
                <w:color w:val="auto"/>
              </w:rPr>
            </w:pPr>
            <w:r>
              <w:rPr>
                <w:rFonts w:ascii="Calibri" w:cs="Calibri" w:eastAsia="Calibri" w:hAnsi="Calibri"/>
                <w:sz w:val="14"/>
                <w:szCs w:val="14"/>
                <w:color w:val="auto"/>
              </w:rPr>
              <w:t>(in millions)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2"/>
              <w:spacing w:after="0" w:line="209" w:lineRule="exact"/>
              <w:rPr>
                <w:sz w:val="20"/>
                <w:szCs w:val="20"/>
                <w:color w:val="auto"/>
              </w:rPr>
            </w:pPr>
            <w:r>
              <w:rPr>
                <w:rFonts w:ascii="Calibri" w:cs="Calibri" w:eastAsia="Calibri" w:hAnsi="Calibri"/>
                <w:sz w:val="18"/>
                <w:szCs w:val="18"/>
                <w:b w:val="1"/>
                <w:bCs w:val="1"/>
                <w:color w:val="auto"/>
              </w:rPr>
              <w:t>2024</w:t>
            </w:r>
          </w:p>
        </w:tc>
        <w:tc>
          <w:tcPr>
            <w:tcW w:w="2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31"/>
              <w:spacing w:after="0" w:line="209" w:lineRule="exact"/>
              <w:rPr>
                <w:sz w:val="20"/>
                <w:szCs w:val="20"/>
                <w:color w:val="auto"/>
              </w:rPr>
            </w:pPr>
            <w:r>
              <w:rPr>
                <w:rFonts w:ascii="Calibri" w:cs="Calibri" w:eastAsia="Calibri" w:hAnsi="Calibri"/>
                <w:sz w:val="18"/>
                <w:szCs w:val="18"/>
                <w:b w:val="1"/>
                <w:bCs w:val="1"/>
                <w:color w:val="auto"/>
              </w:rPr>
              <w:t>2023</w:t>
            </w:r>
          </w:p>
        </w:tc>
        <w:tc>
          <w:tcPr>
            <w:tcW w:w="4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1"/>
              <w:spacing w:after="0" w:line="209" w:lineRule="exact"/>
              <w:rPr>
                <w:sz w:val="20"/>
                <w:szCs w:val="20"/>
                <w:color w:val="auto"/>
              </w:rPr>
            </w:pPr>
            <w:r>
              <w:rPr>
                <w:rFonts w:ascii="Calibri" w:cs="Calibri" w:eastAsia="Calibri" w:hAnsi="Calibri"/>
                <w:sz w:val="18"/>
                <w:szCs w:val="18"/>
                <w:b w:val="1"/>
                <w:bCs w:val="1"/>
                <w:color w:val="auto"/>
              </w:rPr>
              <w:t>2022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6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color w:val="auto"/>
              </w:rPr>
              <w:t>Lease income - sales-type leases</w:t>
            </w:r>
          </w:p>
        </w:tc>
        <w:tc>
          <w:tcPr>
            <w:tcW w:w="320" w:type="dxa"/>
            <w:vAlign w:val="bottom"/>
            <w:shd w:val="clear" w:color="auto" w:fill="CFF0FC"/>
          </w:tcPr>
          <w:p>
            <w:pPr>
              <w:jc w:val="right"/>
              <w:ind w:right="130"/>
              <w:spacing w:after="0" w:line="210" w:lineRule="exact"/>
              <w:rPr>
                <w:sz w:val="20"/>
                <w:szCs w:val="20"/>
                <w:color w:val="auto"/>
              </w:rPr>
            </w:pPr>
            <w:r>
              <w:rPr>
                <w:rFonts w:ascii="Calibri" w:cs="Calibri" w:eastAsia="Calibri" w:hAnsi="Calibri"/>
                <w:sz w:val="18"/>
                <w:szCs w:val="18"/>
                <w:color w:val="auto"/>
                <w:w w:val="87"/>
              </w:rPr>
              <w:t>$</w:t>
            </w:r>
          </w:p>
        </w:tc>
        <w:tc>
          <w:tcPr>
            <w:tcW w:w="112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2</w:t>
            </w:r>
          </w:p>
        </w:tc>
        <w:tc>
          <w:tcPr>
            <w:tcW w:w="760" w:type="dxa"/>
            <w:vAlign w:val="bottom"/>
            <w:gridSpan w:val="2"/>
            <w:shd w:val="clear" w:color="auto" w:fill="CFF0FC"/>
          </w:tcPr>
          <w:p>
            <w:pPr>
              <w:jc w:val="right"/>
              <w:ind w:right="400"/>
              <w:spacing w:after="0" w:line="210" w:lineRule="exact"/>
              <w:rPr>
                <w:sz w:val="20"/>
                <w:szCs w:val="20"/>
                <w:color w:val="auto"/>
              </w:rPr>
            </w:pPr>
            <w:r>
              <w:rPr>
                <w:rFonts w:ascii="Calibri" w:cs="Calibri" w:eastAsia="Calibri" w:hAnsi="Calibri"/>
                <w:sz w:val="18"/>
                <w:szCs w:val="18"/>
                <w:color w:val="auto"/>
              </w:rPr>
              <w:t>$</w:t>
            </w:r>
          </w:p>
        </w:tc>
        <w:tc>
          <w:tcPr>
            <w:tcW w:w="940" w:type="dxa"/>
            <w:vAlign w:val="bottom"/>
            <w:gridSpan w:val="2"/>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1</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line="210" w:lineRule="exact"/>
              <w:rPr>
                <w:sz w:val="20"/>
                <w:szCs w:val="20"/>
                <w:color w:val="auto"/>
              </w:rPr>
            </w:pPr>
            <w:r>
              <w:rPr>
                <w:rFonts w:ascii="Calibri" w:cs="Calibri" w:eastAsia="Calibri" w:hAnsi="Calibri"/>
                <w:sz w:val="18"/>
                <w:szCs w:val="18"/>
                <w:color w:val="auto"/>
                <w:w w:val="87"/>
              </w:rPr>
              <w:t>$</w:t>
            </w:r>
          </w:p>
        </w:tc>
        <w:tc>
          <w:tcPr>
            <w:tcW w:w="114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1</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6160" w:type="dxa"/>
            <w:vAlign w:val="bottom"/>
          </w:tcPr>
          <w:p>
            <w:pPr>
              <w:ind w:left="20"/>
              <w:spacing w:after="0" w:line="156" w:lineRule="exact"/>
              <w:rPr>
                <w:sz w:val="20"/>
                <w:szCs w:val="20"/>
                <w:color w:val="auto"/>
              </w:rPr>
            </w:pPr>
            <w:r>
              <w:rPr>
                <w:rFonts w:ascii="Calibri" w:cs="Calibri" w:eastAsia="Calibri" w:hAnsi="Calibri"/>
                <w:sz w:val="16"/>
                <w:szCs w:val="16"/>
                <w:color w:val="auto"/>
              </w:rPr>
              <w:t>Lease income - operatng leases</w:t>
            </w:r>
          </w:p>
        </w:tc>
        <w:tc>
          <w:tcPr>
            <w:tcW w:w="320" w:type="dxa"/>
            <w:vAlign w:val="bottom"/>
          </w:tcPr>
          <w:p>
            <w:pPr>
              <w:spacing w:after="0"/>
              <w:rPr>
                <w:sz w:val="13"/>
                <w:szCs w:val="13"/>
                <w:color w:val="auto"/>
              </w:rPr>
            </w:pPr>
          </w:p>
        </w:tc>
        <w:tc>
          <w:tcPr>
            <w:tcW w:w="1120" w:type="dxa"/>
            <w:vAlign w:val="bottom"/>
          </w:tcPr>
          <w:p>
            <w:pPr>
              <w:jc w:val="right"/>
              <w:spacing w:after="0" w:line="156" w:lineRule="exact"/>
              <w:rPr>
                <w:sz w:val="20"/>
                <w:szCs w:val="20"/>
                <w:color w:val="auto"/>
              </w:rPr>
            </w:pPr>
            <w:r>
              <w:rPr>
                <w:rFonts w:ascii="Calibri" w:cs="Calibri" w:eastAsia="Calibri" w:hAnsi="Calibri"/>
                <w:sz w:val="16"/>
                <w:szCs w:val="16"/>
                <w:color w:val="auto"/>
              </w:rPr>
              <w:t>9</w:t>
            </w: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gridSpan w:val="2"/>
          </w:tcPr>
          <w:p>
            <w:pPr>
              <w:jc w:val="right"/>
              <w:spacing w:after="0" w:line="156" w:lineRule="exact"/>
              <w:rPr>
                <w:sz w:val="20"/>
                <w:szCs w:val="20"/>
                <w:color w:val="auto"/>
              </w:rPr>
            </w:pPr>
            <w:r>
              <w:rPr>
                <w:rFonts w:ascii="Calibri" w:cs="Calibri" w:eastAsia="Calibri" w:hAnsi="Calibri"/>
                <w:sz w:val="16"/>
                <w:szCs w:val="16"/>
                <w:color w:val="auto"/>
              </w:rPr>
              <w:t>9</w:t>
            </w: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jc w:val="right"/>
              <w:spacing w:after="0" w:line="156" w:lineRule="exact"/>
              <w:rPr>
                <w:sz w:val="20"/>
                <w:szCs w:val="20"/>
                <w:color w:val="auto"/>
              </w:rPr>
            </w:pPr>
            <w:r>
              <w:rPr>
                <w:rFonts w:ascii="Calibri" w:cs="Calibri" w:eastAsia="Calibri" w:hAnsi="Calibri"/>
                <w:sz w:val="16"/>
                <w:szCs w:val="16"/>
                <w:color w:val="auto"/>
              </w:rPr>
              <w:t>8</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6"/>
        </w:trPr>
        <w:tc>
          <w:tcPr>
            <w:tcW w:w="6160" w:type="dxa"/>
            <w:vAlign w:val="bottom"/>
          </w:tcPr>
          <w:p>
            <w:pPr>
              <w:ind w:left="20"/>
              <w:spacing w:after="0" w:line="276" w:lineRule="exact"/>
              <w:rPr>
                <w:sz w:val="20"/>
                <w:szCs w:val="20"/>
                <w:color w:val="auto"/>
              </w:rPr>
            </w:pPr>
            <w:r>
              <w:rPr>
                <w:rFonts w:ascii="Calibri" w:cs="Calibri" w:eastAsia="Calibri" w:hAnsi="Calibri"/>
                <w:sz w:val="18"/>
                <w:szCs w:val="18"/>
                <w:color w:val="auto"/>
              </w:rPr>
              <w:t xml:space="preserve">Variable lease income </w:t>
            </w:r>
            <w:r>
              <w:rPr>
                <w:rFonts w:ascii="Calibri" w:cs="Calibri" w:eastAsia="Calibri" w:hAnsi="Calibri"/>
                <w:sz w:val="24"/>
                <w:szCs w:val="24"/>
                <w:color w:val="auto"/>
                <w:vertAlign w:val="superscript"/>
              </w:rPr>
              <w:t>(1)</w:t>
            </w: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color w:val="auto"/>
              </w:rPr>
              <w:t>6</w:t>
            </w:r>
          </w:p>
        </w:tc>
        <w:tc>
          <w:tcPr>
            <w:tcW w:w="26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2"/>
          </w:tcPr>
          <w:p>
            <w:pPr>
              <w:jc w:val="right"/>
              <w:spacing w:after="0"/>
              <w:rPr>
                <w:sz w:val="20"/>
                <w:szCs w:val="20"/>
                <w:color w:val="auto"/>
              </w:rPr>
            </w:pPr>
            <w:r>
              <w:rPr>
                <w:rFonts w:ascii="Calibri" w:cs="Calibri" w:eastAsia="Calibri" w:hAnsi="Calibri"/>
                <w:sz w:val="18"/>
                <w:szCs w:val="18"/>
                <w:color w:val="auto"/>
              </w:rPr>
              <w:t>5</w:t>
            </w:r>
          </w:p>
        </w:tc>
        <w:tc>
          <w:tcPr>
            <w:tcW w:w="2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color w:val="auto"/>
              </w:rPr>
              <w:t>5</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160" w:type="dxa"/>
            <w:vAlign w:val="bottom"/>
          </w:tcPr>
          <w:p>
            <w:pPr>
              <w:ind w:left="120"/>
              <w:spacing w:after="0" w:line="195" w:lineRule="exact"/>
              <w:rPr>
                <w:sz w:val="20"/>
                <w:szCs w:val="20"/>
                <w:color w:val="auto"/>
              </w:rPr>
            </w:pPr>
            <w:r>
              <w:rPr>
                <w:rFonts w:ascii="Calibri" w:cs="Calibri" w:eastAsia="Calibri" w:hAnsi="Calibri"/>
                <w:sz w:val="18"/>
                <w:szCs w:val="18"/>
                <w:color w:val="auto"/>
              </w:rPr>
              <w:t>Total lease income</w:t>
            </w:r>
          </w:p>
        </w:tc>
        <w:tc>
          <w:tcPr>
            <w:tcW w:w="320" w:type="dxa"/>
            <w:vAlign w:val="bottom"/>
          </w:tcPr>
          <w:p>
            <w:pPr>
              <w:jc w:val="right"/>
              <w:ind w:right="130"/>
              <w:spacing w:after="0" w:line="209" w:lineRule="exact"/>
              <w:rPr>
                <w:sz w:val="20"/>
                <w:szCs w:val="20"/>
                <w:color w:val="auto"/>
              </w:rPr>
            </w:pPr>
            <w:r>
              <w:rPr>
                <w:rFonts w:ascii="Calibri" w:cs="Calibri" w:eastAsia="Calibri" w:hAnsi="Calibri"/>
                <w:sz w:val="18"/>
                <w:szCs w:val="18"/>
                <w:color w:val="auto"/>
                <w:w w:val="87"/>
              </w:rPr>
              <w:t>$</w:t>
            </w:r>
          </w:p>
        </w:tc>
        <w:tc>
          <w:tcPr>
            <w:tcW w:w="1120" w:type="dxa"/>
            <w:vAlign w:val="bottom"/>
          </w:tcPr>
          <w:p>
            <w:pPr>
              <w:jc w:val="right"/>
              <w:spacing w:after="0" w:line="209" w:lineRule="exact"/>
              <w:rPr>
                <w:sz w:val="20"/>
                <w:szCs w:val="20"/>
                <w:color w:val="auto"/>
              </w:rPr>
            </w:pPr>
            <w:r>
              <w:rPr>
                <w:rFonts w:ascii="Calibri" w:cs="Calibri" w:eastAsia="Calibri" w:hAnsi="Calibri"/>
                <w:sz w:val="18"/>
                <w:szCs w:val="18"/>
                <w:color w:val="auto"/>
              </w:rPr>
              <w:t>17</w:t>
            </w:r>
          </w:p>
        </w:tc>
        <w:tc>
          <w:tcPr>
            <w:tcW w:w="760" w:type="dxa"/>
            <w:vAlign w:val="bottom"/>
            <w:gridSpan w:val="2"/>
          </w:tcPr>
          <w:p>
            <w:pPr>
              <w:jc w:val="right"/>
              <w:ind w:right="400"/>
              <w:spacing w:after="0" w:line="209" w:lineRule="exact"/>
              <w:rPr>
                <w:sz w:val="20"/>
                <w:szCs w:val="20"/>
                <w:color w:val="auto"/>
              </w:rPr>
            </w:pPr>
            <w:r>
              <w:rPr>
                <w:rFonts w:ascii="Calibri" w:cs="Calibri" w:eastAsia="Calibri" w:hAnsi="Calibri"/>
                <w:sz w:val="18"/>
                <w:szCs w:val="18"/>
                <w:color w:val="auto"/>
              </w:rPr>
              <w:t>$</w:t>
            </w:r>
          </w:p>
        </w:tc>
        <w:tc>
          <w:tcPr>
            <w:tcW w:w="940" w:type="dxa"/>
            <w:vAlign w:val="bottom"/>
            <w:gridSpan w:val="2"/>
          </w:tcPr>
          <w:p>
            <w:pPr>
              <w:jc w:val="right"/>
              <w:spacing w:after="0" w:line="209" w:lineRule="exact"/>
              <w:rPr>
                <w:sz w:val="20"/>
                <w:szCs w:val="20"/>
                <w:color w:val="auto"/>
              </w:rPr>
            </w:pPr>
            <w:r>
              <w:rPr>
                <w:rFonts w:ascii="Calibri" w:cs="Calibri" w:eastAsia="Calibri" w:hAnsi="Calibri"/>
                <w:sz w:val="18"/>
                <w:szCs w:val="18"/>
                <w:color w:val="auto"/>
              </w:rPr>
              <w:t>15</w:t>
            </w:r>
          </w:p>
        </w:tc>
        <w:tc>
          <w:tcPr>
            <w:tcW w:w="240" w:type="dxa"/>
            <w:vAlign w:val="bottom"/>
          </w:tcPr>
          <w:p>
            <w:pPr>
              <w:spacing w:after="0"/>
              <w:rPr>
                <w:sz w:val="18"/>
                <w:szCs w:val="18"/>
                <w:color w:val="auto"/>
              </w:rPr>
            </w:pPr>
          </w:p>
        </w:tc>
        <w:tc>
          <w:tcPr>
            <w:tcW w:w="320" w:type="dxa"/>
            <w:vAlign w:val="bottom"/>
          </w:tcPr>
          <w:p>
            <w:pPr>
              <w:jc w:val="right"/>
              <w:ind w:right="130"/>
              <w:spacing w:after="0" w:line="209" w:lineRule="exact"/>
              <w:rPr>
                <w:sz w:val="20"/>
                <w:szCs w:val="20"/>
                <w:color w:val="auto"/>
              </w:rPr>
            </w:pPr>
            <w:r>
              <w:rPr>
                <w:rFonts w:ascii="Calibri" w:cs="Calibri" w:eastAsia="Calibri" w:hAnsi="Calibri"/>
                <w:sz w:val="18"/>
                <w:szCs w:val="18"/>
                <w:color w:val="auto"/>
                <w:w w:val="87"/>
              </w:rPr>
              <w:t>$</w:t>
            </w:r>
          </w:p>
        </w:tc>
        <w:tc>
          <w:tcPr>
            <w:tcW w:w="1140" w:type="dxa"/>
            <w:vAlign w:val="bottom"/>
          </w:tcPr>
          <w:p>
            <w:pPr>
              <w:jc w:val="right"/>
              <w:spacing w:after="0" w:line="209" w:lineRule="exact"/>
              <w:rPr>
                <w:sz w:val="20"/>
                <w:szCs w:val="20"/>
                <w:color w:val="auto"/>
              </w:rPr>
            </w:pPr>
            <w:r>
              <w:rPr>
                <w:rFonts w:ascii="Calibri" w:cs="Calibri" w:eastAsia="Calibri" w:hAnsi="Calibri"/>
                <w:sz w:val="18"/>
                <w:szCs w:val="18"/>
                <w:color w:val="auto"/>
              </w:rPr>
              <w:t>14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6991350</wp:posOffset>
            </wp:positionH>
            <wp:positionV relativeFrom="paragraph">
              <wp:posOffset>-2999740</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-1310640</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-1294130</wp:posOffset>
            </wp:positionV>
            <wp:extent cx="6858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-307975</wp:posOffset>
            </wp:positionV>
            <wp:extent cx="7054850" cy="14605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054850" cy="146050"/>
                    </a:xfrm>
                    <a:prstGeom prst="rect">
                      <a:avLst/>
                    </a:prstGeom>
                    <a:noFill/>
                  </pic:spPr>
                </pic:pic>
              </a:graphicData>
            </a:graphic>
          </wp:anchor>
        </w:drawing>
      </w:r>
    </w:p>
    <w:p>
      <w:pPr>
        <w:spacing w:after="0" w:line="160" w:lineRule="exact"/>
        <w:rPr>
          <w:sz w:val="20"/>
          <w:szCs w:val="20"/>
          <w:color w:val="auto"/>
        </w:rPr>
      </w:pPr>
    </w:p>
    <w:p>
      <w:pPr>
        <w:ind w:left="280" w:right="280" w:hanging="272"/>
        <w:spacing w:after="0" w:line="211" w:lineRule="auto"/>
        <w:tabs>
          <w:tab w:leader="none" w:pos="184" w:val="left"/>
        </w:tabs>
        <w:numPr>
          <w:ilvl w:val="0"/>
          <w:numId w:val="37"/>
        </w:numPr>
        <w:rPr>
          <w:rFonts w:ascii="Calibri" w:cs="Calibri" w:eastAsia="Calibri" w:hAnsi="Calibri"/>
          <w:sz w:val="23"/>
          <w:szCs w:val="23"/>
          <w:color w:val="auto"/>
          <w:vertAlign w:val="superscript"/>
        </w:rPr>
      </w:pPr>
      <w:r>
        <w:rPr>
          <w:rFonts w:ascii="Calibri" w:cs="Calibri" w:eastAsia="Calibri" w:hAnsi="Calibri"/>
          <w:sz w:val="17"/>
          <w:szCs w:val="17"/>
          <w:color w:val="auto"/>
        </w:rPr>
        <w:t>Variable lease income primarily represents operatng costs under real estate leases and incremental variable income based on usage under equipment leases.</w:t>
      </w:r>
    </w:p>
    <w:p>
      <w:pPr>
        <w:spacing w:after="0" w:line="173" w:lineRule="exact"/>
        <w:rPr>
          <w:sz w:val="20"/>
          <w:szCs w:val="20"/>
          <w:color w:val="auto"/>
        </w:rPr>
      </w:pPr>
    </w:p>
    <w:p>
      <w:pPr>
        <w:spacing w:after="0"/>
        <w:rPr>
          <w:sz w:val="20"/>
          <w:szCs w:val="20"/>
          <w:color w:val="auto"/>
        </w:rPr>
      </w:pPr>
      <w:r>
        <w:rPr>
          <w:rFonts w:ascii="Calibri" w:cs="Calibri" w:eastAsia="Calibri" w:hAnsi="Calibri"/>
          <w:sz w:val="18"/>
          <w:szCs w:val="18"/>
          <w:color w:val="auto"/>
        </w:rPr>
        <w:t>Equipment subject to operatng leases and the related accumulated depreciaton were as follows:</w:t>
      </w:r>
    </w:p>
    <w:p>
      <w:pPr>
        <w:spacing w:after="0" w:line="212" w:lineRule="exact"/>
        <w:rPr>
          <w:sz w:val="20"/>
          <w:szCs w:val="20"/>
          <w:color w:val="auto"/>
        </w:rPr>
      </w:pPr>
    </w:p>
    <w:p>
      <w:pPr>
        <w:ind w:left="8600"/>
        <w:spacing w:after="0"/>
        <w:rPr>
          <w:sz w:val="20"/>
          <w:szCs w:val="20"/>
          <w:color w:val="auto"/>
        </w:rPr>
      </w:pPr>
      <w:r>
        <w:rPr>
          <w:rFonts w:ascii="Calibri" w:cs="Calibri" w:eastAsia="Calibri" w:hAnsi="Calibri"/>
          <w:sz w:val="18"/>
          <w:szCs w:val="18"/>
          <w:b w:val="1"/>
          <w:bCs w:val="1"/>
          <w:color w:val="auto"/>
        </w:rPr>
        <w:t>As of December 31,</w:t>
      </w:r>
    </w:p>
    <w:tbl>
      <w:tblPr>
        <w:tblLayout w:type="fixed"/>
        <w:tblInd w:w="0" w:type="dxa"/>
        <w:tblCellMar>
          <w:top w:w="0" w:type="dxa"/>
          <w:left w:w="0" w:type="dxa"/>
          <w:bottom w:w="0" w:type="dxa"/>
          <w:right w:w="0" w:type="dxa"/>
        </w:tblCellMar>
      </w:tblPr>
      <w:tr>
        <w:trPr>
          <w:trHeight w:val="216"/>
        </w:trPr>
        <w:tc>
          <w:tcPr>
            <w:tcW w:w="7620" w:type="dxa"/>
            <w:vAlign w:val="bottom"/>
          </w:tcPr>
          <w:p>
            <w:pPr>
              <w:ind w:left="20"/>
              <w:spacing w:after="0"/>
              <w:rPr>
                <w:sz w:val="20"/>
                <w:szCs w:val="20"/>
                <w:color w:val="auto"/>
              </w:rPr>
            </w:pPr>
            <w:r>
              <w:rPr>
                <w:rFonts w:ascii="Calibri" w:cs="Calibri" w:eastAsia="Calibri" w:hAnsi="Calibri"/>
                <w:sz w:val="14"/>
                <w:szCs w:val="14"/>
                <w:color w:val="auto"/>
              </w:rPr>
              <w:t>(in millions)</w:t>
            </w:r>
          </w:p>
        </w:tc>
        <w:tc>
          <w:tcPr>
            <w:tcW w:w="360" w:type="dxa"/>
            <w:vAlign w:val="bottom"/>
          </w:tcPr>
          <w:p>
            <w:pPr>
              <w:spacing w:after="0"/>
              <w:rPr>
                <w:sz w:val="18"/>
                <w:szCs w:val="18"/>
                <w:color w:val="auto"/>
              </w:rPr>
            </w:pPr>
          </w:p>
        </w:tc>
        <w:tc>
          <w:tcPr>
            <w:tcW w:w="1200" w:type="dxa"/>
            <w:vAlign w:val="bottom"/>
          </w:tcPr>
          <w:p>
            <w:pPr>
              <w:jc w:val="right"/>
              <w:ind w:right="510"/>
              <w:spacing w:after="0" w:line="216" w:lineRule="exact"/>
              <w:rPr>
                <w:sz w:val="20"/>
                <w:szCs w:val="20"/>
                <w:color w:val="auto"/>
              </w:rPr>
            </w:pPr>
            <w:r>
              <w:rPr>
                <w:rFonts w:ascii="Calibri" w:cs="Calibri" w:eastAsia="Calibri" w:hAnsi="Calibri"/>
                <w:sz w:val="18"/>
                <w:szCs w:val="18"/>
                <w:b w:val="1"/>
                <w:bCs w:val="1"/>
                <w:color w:val="auto"/>
              </w:rPr>
              <w:t>2024</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ind w:right="510"/>
              <w:spacing w:after="0" w:line="216" w:lineRule="exact"/>
              <w:rPr>
                <w:sz w:val="20"/>
                <w:szCs w:val="20"/>
                <w:color w:val="auto"/>
              </w:rPr>
            </w:pPr>
            <w:r>
              <w:rPr>
                <w:rFonts w:ascii="Calibri" w:cs="Calibri" w:eastAsia="Calibri" w:hAnsi="Calibri"/>
                <w:sz w:val="18"/>
                <w:szCs w:val="18"/>
                <w:b w:val="1"/>
                <w:bCs w:val="1"/>
                <w:color w:val="auto"/>
              </w:rPr>
              <w:t>2023</w:t>
            </w:r>
          </w:p>
        </w:tc>
        <w:tc>
          <w:tcPr>
            <w:tcW w:w="100" w:type="dxa"/>
            <w:vAlign w:val="bottom"/>
          </w:tcPr>
          <w:p>
            <w:pPr>
              <w:spacing w:after="0"/>
              <w:rPr>
                <w:sz w:val="18"/>
                <w:szCs w:val="18"/>
                <w:color w:val="auto"/>
              </w:rPr>
            </w:pPr>
          </w:p>
        </w:tc>
      </w:tr>
      <w:tr>
        <w:trPr>
          <w:trHeight w:val="23"/>
        </w:trPr>
        <w:tc>
          <w:tcPr>
            <w:tcW w:w="76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0"/>
        </w:trPr>
        <w:tc>
          <w:tcPr>
            <w:tcW w:w="7620" w:type="dxa"/>
            <w:vAlign w:val="bottom"/>
            <w:shd w:val="clear" w:color="auto" w:fill="CFF0FC"/>
          </w:tcPr>
          <w:p>
            <w:pPr>
              <w:ind w:left="20"/>
              <w:spacing w:after="0" w:line="209" w:lineRule="exact"/>
              <w:rPr>
                <w:sz w:val="20"/>
                <w:szCs w:val="20"/>
                <w:color w:val="auto"/>
              </w:rPr>
            </w:pPr>
            <w:r>
              <w:rPr>
                <w:rFonts w:ascii="Calibri" w:cs="Calibri" w:eastAsia="Calibri" w:hAnsi="Calibri"/>
                <w:sz w:val="18"/>
                <w:szCs w:val="18"/>
                <w:color w:val="auto"/>
              </w:rPr>
              <w:t>Equipment subject to operatng leases</w:t>
            </w:r>
          </w:p>
        </w:tc>
        <w:tc>
          <w:tcPr>
            <w:tcW w:w="360" w:type="dxa"/>
            <w:vAlign w:val="bottom"/>
            <w:shd w:val="clear" w:color="auto" w:fill="CFF0FC"/>
          </w:tcPr>
          <w:p>
            <w:pPr>
              <w:jc w:val="right"/>
              <w:ind w:right="170"/>
              <w:spacing w:after="0" w:line="209" w:lineRule="exact"/>
              <w:rPr>
                <w:sz w:val="20"/>
                <w:szCs w:val="20"/>
                <w:color w:val="auto"/>
              </w:rPr>
            </w:pPr>
            <w:r>
              <w:rPr>
                <w:rFonts w:ascii="Calibri" w:cs="Calibri" w:eastAsia="Calibri" w:hAnsi="Calibri"/>
                <w:sz w:val="18"/>
                <w:szCs w:val="18"/>
                <w:color w:val="auto"/>
                <w:w w:val="87"/>
              </w:rPr>
              <w:t>$</w:t>
            </w:r>
          </w:p>
        </w:tc>
        <w:tc>
          <w:tcPr>
            <w:tcW w:w="120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24</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line="209" w:lineRule="exact"/>
              <w:rPr>
                <w:sz w:val="20"/>
                <w:szCs w:val="20"/>
                <w:color w:val="auto"/>
              </w:rPr>
            </w:pPr>
            <w:r>
              <w:rPr>
                <w:rFonts w:ascii="Calibri" w:cs="Calibri" w:eastAsia="Calibri" w:hAnsi="Calibri"/>
                <w:sz w:val="18"/>
                <w:szCs w:val="18"/>
                <w:color w:val="auto"/>
                <w:w w:val="87"/>
              </w:rPr>
              <w:t>$</w:t>
            </w:r>
          </w:p>
        </w:tc>
        <w:tc>
          <w:tcPr>
            <w:tcW w:w="122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26</w:t>
            </w:r>
          </w:p>
        </w:tc>
        <w:tc>
          <w:tcPr>
            <w:tcW w:w="100" w:type="dxa"/>
            <w:vAlign w:val="bottom"/>
            <w:shd w:val="clear" w:color="auto" w:fill="CFF0FC"/>
          </w:tcPr>
          <w:p>
            <w:pPr>
              <w:spacing w:after="0"/>
              <w:rPr>
                <w:sz w:val="18"/>
                <w:szCs w:val="18"/>
                <w:color w:val="auto"/>
              </w:rPr>
            </w:pPr>
          </w:p>
        </w:tc>
      </w:tr>
      <w:tr>
        <w:trPr>
          <w:trHeight w:val="215"/>
        </w:trPr>
        <w:tc>
          <w:tcPr>
            <w:tcW w:w="7620" w:type="dxa"/>
            <w:vAlign w:val="bottom"/>
          </w:tcPr>
          <w:p>
            <w:pPr>
              <w:ind w:left="20"/>
              <w:spacing w:after="0" w:line="215" w:lineRule="exact"/>
              <w:rPr>
                <w:sz w:val="20"/>
                <w:szCs w:val="20"/>
                <w:color w:val="auto"/>
              </w:rPr>
            </w:pPr>
            <w:r>
              <w:rPr>
                <w:rFonts w:ascii="Calibri" w:cs="Calibri" w:eastAsia="Calibri" w:hAnsi="Calibri"/>
                <w:sz w:val="18"/>
                <w:szCs w:val="18"/>
                <w:color w:val="auto"/>
              </w:rPr>
              <w:t>Accumulated depreciaton</w:t>
            </w:r>
          </w:p>
        </w:tc>
        <w:tc>
          <w:tcPr>
            <w:tcW w:w="360" w:type="dxa"/>
            <w:vAlign w:val="bottom"/>
          </w:tcPr>
          <w:p>
            <w:pPr>
              <w:spacing w:after="0"/>
              <w:rPr>
                <w:sz w:val="18"/>
                <w:szCs w:val="18"/>
                <w:color w:val="auto"/>
              </w:rPr>
            </w:pPr>
          </w:p>
        </w:tc>
        <w:tc>
          <w:tcPr>
            <w:tcW w:w="1480" w:type="dxa"/>
            <w:vAlign w:val="bottom"/>
            <w:gridSpan w:val="2"/>
          </w:tcPr>
          <w:p>
            <w:pPr>
              <w:jc w:val="right"/>
              <w:ind w:right="220"/>
              <w:spacing w:after="0" w:line="215" w:lineRule="exact"/>
              <w:rPr>
                <w:sz w:val="20"/>
                <w:szCs w:val="20"/>
                <w:color w:val="auto"/>
              </w:rPr>
            </w:pPr>
            <w:r>
              <w:rPr>
                <w:rFonts w:ascii="Calibri" w:cs="Calibri" w:eastAsia="Calibri" w:hAnsi="Calibri"/>
                <w:sz w:val="18"/>
                <w:szCs w:val="18"/>
                <w:color w:val="auto"/>
              </w:rPr>
              <w:t>(17 )</w:t>
            </w:r>
          </w:p>
        </w:tc>
        <w:tc>
          <w:tcPr>
            <w:tcW w:w="340" w:type="dxa"/>
            <w:vAlign w:val="bottom"/>
          </w:tcPr>
          <w:p>
            <w:pPr>
              <w:spacing w:after="0"/>
              <w:rPr>
                <w:sz w:val="18"/>
                <w:szCs w:val="18"/>
                <w:color w:val="auto"/>
              </w:rPr>
            </w:pPr>
          </w:p>
        </w:tc>
        <w:tc>
          <w:tcPr>
            <w:tcW w:w="132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(18 )</w:t>
            </w:r>
          </w:p>
        </w:tc>
      </w:tr>
      <w:tr>
        <w:trPr>
          <w:trHeight w:val="250"/>
        </w:trPr>
        <w:tc>
          <w:tcPr>
            <w:tcW w:w="7620" w:type="dxa"/>
            <w:vAlign w:val="bottom"/>
            <w:tcBorders>
              <w:bottom w:val="single" w:sz="8" w:color="CFF0FC"/>
            </w:tcBorders>
            <w:shd w:val="clear" w:color="auto" w:fill="CFF0FC"/>
          </w:tcPr>
          <w:p>
            <w:pPr>
              <w:ind w:left="200"/>
              <w:spacing w:after="0" w:line="209" w:lineRule="exact"/>
              <w:rPr>
                <w:sz w:val="20"/>
                <w:szCs w:val="20"/>
                <w:color w:val="auto"/>
              </w:rPr>
            </w:pPr>
            <w:r>
              <w:rPr>
                <w:rFonts w:ascii="Calibri" w:cs="Calibri" w:eastAsia="Calibri" w:hAnsi="Calibri"/>
                <w:sz w:val="18"/>
                <w:szCs w:val="18"/>
                <w:color w:val="auto"/>
              </w:rPr>
              <w:t>Equipment subject to operatng leases, net</w:t>
            </w:r>
          </w:p>
        </w:tc>
        <w:tc>
          <w:tcPr>
            <w:tcW w:w="360" w:type="dxa"/>
            <w:vAlign w:val="bottom"/>
            <w:tcBorders>
              <w:top w:val="single" w:sz="8" w:color="auto"/>
              <w:bottom w:val="single" w:sz="8" w:color="auto"/>
            </w:tcBorders>
            <w:shd w:val="clear" w:color="auto" w:fill="CFF0FC"/>
          </w:tcPr>
          <w:p>
            <w:pPr>
              <w:jc w:val="right"/>
              <w:ind w:right="170"/>
              <w:spacing w:after="0" w:line="209" w:lineRule="exact"/>
              <w:rPr>
                <w:sz w:val="20"/>
                <w:szCs w:val="20"/>
                <w:color w:val="auto"/>
              </w:rPr>
            </w:pPr>
            <w:r>
              <w:rPr>
                <w:rFonts w:ascii="Calibri" w:cs="Calibri" w:eastAsia="Calibri" w:hAnsi="Calibri"/>
                <w:sz w:val="18"/>
                <w:szCs w:val="18"/>
                <w:color w:val="auto"/>
                <w:w w:val="87"/>
              </w:rPr>
              <w:t>$</w:t>
            </w:r>
          </w:p>
        </w:tc>
        <w:tc>
          <w:tcPr>
            <w:tcW w:w="1200" w:type="dxa"/>
            <w:vAlign w:val="bottom"/>
            <w:tcBorders>
              <w:top w:val="single" w:sz="8" w:color="auto"/>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7</w:t>
            </w:r>
          </w:p>
        </w:tc>
        <w:tc>
          <w:tcPr>
            <w:tcW w:w="2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top w:val="single" w:sz="8" w:color="auto"/>
              <w:bottom w:val="single" w:sz="8" w:color="auto"/>
            </w:tcBorders>
            <w:shd w:val="clear" w:color="auto" w:fill="CFF0FC"/>
          </w:tcPr>
          <w:p>
            <w:pPr>
              <w:jc w:val="right"/>
              <w:ind w:right="150"/>
              <w:spacing w:after="0" w:line="209" w:lineRule="exact"/>
              <w:rPr>
                <w:sz w:val="20"/>
                <w:szCs w:val="20"/>
                <w:color w:val="auto"/>
              </w:rPr>
            </w:pPr>
            <w:r>
              <w:rPr>
                <w:rFonts w:ascii="Calibri" w:cs="Calibri" w:eastAsia="Calibri" w:hAnsi="Calibri"/>
                <w:sz w:val="18"/>
                <w:szCs w:val="18"/>
                <w:color w:val="auto"/>
                <w:w w:val="87"/>
              </w:rPr>
              <w:t>$</w:t>
            </w:r>
          </w:p>
        </w:tc>
        <w:tc>
          <w:tcPr>
            <w:tcW w:w="1220" w:type="dxa"/>
            <w:vAlign w:val="bottom"/>
            <w:tcBorders>
              <w:top w:val="single" w:sz="8" w:color="auto"/>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8</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-24765</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-7620</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-24765</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-7620</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Calibri" w:cs="Calibri" w:eastAsia="Calibri" w:hAnsi="Calibri"/>
          <w:sz w:val="18"/>
          <w:szCs w:val="18"/>
          <w:color w:val="auto"/>
        </w:rPr>
        <w:t>Equipment subject to operatng leases, net is included in Property, plant and equipment, net in the Consolidated Statement of Financial Positon.</w:t>
      </w:r>
    </w:p>
    <w:p>
      <w:pPr>
        <w:spacing w:after="0" w:line="18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11: COMMITMENTS AND CONTINGENCIES</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Asset Retrement Obligatons</w:t>
      </w:r>
    </w:p>
    <w:p>
      <w:pPr>
        <w:spacing w:after="0" w:line="177"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Kodak’s asset retrement obligatons primarily relate to asbestos contained in buildings that Kodak owns. In many of the countries in which Kodak operates, environmental regulatons exist that require Kodak to handle and dispose of asbestos in a special manner if a building undergoes major renovatons or is demolished. Otherwise, Kodak is not required to remove the asbestos from its buildings. Kodak records a liability equal to the estmated fair value of its obligaton to perform asset retrement actvites related to the asbestos, computed using an expected present value technique, when sufcient informaton exists to calculate the fair value. Kodak does not have a liability recorded related to every building that contains asbestos because Kodak cannot estmate the fair value of its obligaton for certain buildings due to a lack of sufcient informaton about the range of tme over which the obligaton may be setled through demoliton, renovaton or sale of the building.</w:t>
      </w:r>
    </w:p>
    <w:p>
      <w:pPr>
        <w:spacing w:after="0" w:line="190" w:lineRule="exact"/>
        <w:rPr>
          <w:sz w:val="20"/>
          <w:szCs w:val="20"/>
          <w:color w:val="auto"/>
        </w:rPr>
      </w:pPr>
    </w:p>
    <w:p>
      <w:pPr>
        <w:jc w:val="center"/>
        <w:ind w:right="-59"/>
        <w:spacing w:after="0"/>
        <w:rPr>
          <w:sz w:val="20"/>
          <w:szCs w:val="20"/>
          <w:color w:val="auto"/>
        </w:rPr>
      </w:pPr>
      <w:r>
        <w:rPr>
          <w:rFonts w:ascii="Calibri" w:cs="Calibri" w:eastAsia="Calibri" w:hAnsi="Calibri"/>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311150</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sectPr>
      </w:pPr>
    </w:p>
    <w:bookmarkStart w:id="80" w:name="page81"/>
    <w:bookmarkEnd w:id="80"/>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alibri" w:cs="Calibri" w:eastAsia="Calibri" w:hAnsi="Calibri"/>
          <w:sz w:val="18"/>
          <w:szCs w:val="18"/>
          <w:color w:val="auto"/>
        </w:rPr>
        <w:t>The balance of asset retrement obligatons was $43 million and there was no signifcant actvity for either of the years ended December 31, 2024 and 2023.</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Other Commitments and Contngencies</w:t>
      </w:r>
    </w:p>
    <w:p>
      <w:pPr>
        <w:spacing w:after="0" w:line="177" w:lineRule="exact"/>
        <w:rPr>
          <w:sz w:val="20"/>
          <w:szCs w:val="20"/>
          <w:color w:val="auto"/>
        </w:rPr>
      </w:pPr>
    </w:p>
    <w:p>
      <w:pPr>
        <w:ind w:right="20"/>
        <w:spacing w:after="0" w:line="251" w:lineRule="auto"/>
        <w:rPr>
          <w:sz w:val="20"/>
          <w:szCs w:val="20"/>
          <w:color w:val="auto"/>
        </w:rPr>
      </w:pPr>
      <w:r>
        <w:rPr>
          <w:rFonts w:ascii="Calibri" w:cs="Calibri" w:eastAsia="Calibri" w:hAnsi="Calibri"/>
          <w:sz w:val="17"/>
          <w:szCs w:val="17"/>
          <w:color w:val="auto"/>
        </w:rPr>
        <w:t>As of December 31, 2024 the Company had outstanding leters of credit of $27 million issued under the Amended and Restated L/C Facility Agreement, as well as bank guarantees and leters of credit of $2 million, surety bonds in the amount of $47 million, and restricted cash of $100 million, primarily related to cash collateral supportng the Company’s undiscounted actuarial workers’ compensaton obligatons with the NYS WCB, cash collateral to ensure payment of possible casualty and workers’ compensaton claims, cash collateral supportng the outstanding leters of credit under the Amended and Restated L/C Facility Agreement, to ensure payment of possible legal contngencies, hedging actvites, environmental liabilites, rental payments and to support various customs, tax and trade actvites. The restricted cash is recorded in Current assets and Restricted cash in the Consolidated Statement of Financial Positon.</w:t>
      </w:r>
    </w:p>
    <w:p>
      <w:pPr>
        <w:spacing w:after="0" w:line="169"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Kodak’s Brazilian operatons are involved in various litgaton maters in Brazil and have received or been the subject of numerous governmental assessments related to indirect and other taxes in various stages of litgaton, as well as civil litgaton and disputes associated with former employees and contract labor. The tax maters, which comprise the majority of the litgaton maters, are primarily related to federal and state value-added taxes and income taxes. Kodak’s Brazilian operatons are disputng these maters and intend to vigorously defend its positon. Kodak routnely assesses all these maters as to the probability of ultmately incurring a liability in its Brazilian operatons and records its best estmate of the ultmate loss in situatons where it assesses the likelihood of loss as probable. As of December 31, 2024, Kodak’s Brazilian Operatons maintained accruals of approximately $4 million for claims aggregatng approximately $79 million inclusive of interest and penaltes where appropriate. The unreserved porton of the indirect taxes, civil litgaton and disputes involving former employees and contract labor claims, inclusive of any related interest and penaltes, for which there was at least a reasonable possibility that a loss may be incurred, amounted to approximately $4 million.</w:t>
      </w:r>
    </w:p>
    <w:p>
      <w:pPr>
        <w:spacing w:after="0" w:line="224"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In connecton with assessments in Brazil, local regulatons require Kodak's Brazilian operatons to post security for a porton of the amounts in dispute. As of December 31, 2024, Kodak's Brazilian operatons have posted security composed of $6 million of pledged cash reported within Restricted cash in the Consolidated Statement of Financial Positon and liens on certain Brazilian assets with a net book value of approximately $35 million. Generally, any encumbrances on the Brazilian assets would be removed to the extent the mater is resolved in favor of Kodak's Brazilian operatons. The mater securing the lien on the non-cash assets was resolved in favor of Kodak's Brazilian operatons on March 12, 2024 and those operatons are in the process of having the lien on those assets removed.</w:t>
      </w:r>
    </w:p>
    <w:p>
      <w:pPr>
        <w:spacing w:after="0" w:line="221"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The Company has received fve requests under New Jersey law demanding, among other things, that the Company take certain actons in response to alleged breaches of fduciary duty relatng to opton grants and securites transactons and alleged proxy statement disclosure defciencies (each a “Derivatve Demand,” and collectvely the “Derivatve Demands”) in the context of an announcement on July 28, 2020 (the “DFC Announcement”) by the U.S. Internatonal Development Finance Corporaton (the “DFC”) regarding the signing of a non-binding leter of interest to provide a subsidiary of the Company with a potental $765 million loan (the “DFC Loan”) to support the launch of Kodak Pharmaceutcals, an initatve that would manufacture pharmaceutcal ingredients for essental generic drugs (the “DFC Pharmaceutcal Project”).</w:t>
      </w:r>
    </w:p>
    <w:p>
      <w:pPr>
        <w:spacing w:after="0" w:line="221" w:lineRule="exact"/>
        <w:rPr>
          <w:sz w:val="20"/>
          <w:szCs w:val="20"/>
          <w:color w:val="auto"/>
        </w:rPr>
      </w:pPr>
    </w:p>
    <w:p>
      <w:pPr>
        <w:ind w:right="20"/>
        <w:spacing w:after="0" w:line="250" w:lineRule="auto"/>
        <w:rPr>
          <w:sz w:val="20"/>
          <w:szCs w:val="20"/>
          <w:color w:val="auto"/>
        </w:rPr>
      </w:pPr>
      <w:r>
        <w:rPr>
          <w:rFonts w:ascii="Calibri" w:cs="Calibri" w:eastAsia="Calibri" w:hAnsi="Calibri"/>
          <w:sz w:val="17"/>
          <w:szCs w:val="17"/>
          <w:color w:val="auto"/>
        </w:rPr>
        <w:t>On May 19, 2021 Louis Peters, one of the persons making a Derivatve Demand (“Peters”), commenced a derivatve lawsuit on behalf of the Company against certain ofcers and current and former directors of the Company and the Company as a nominal defendant in the Supreme Court of the State of New York in Monroe County seeking damages and equitable relief based on alleged breaches of fduciary duty and unjust enrichment resultng from stock trades, opton grants and a charitable contributon in the context of the DFC Announcement of the potental DFC Loan and DFC Pharmaceutcal Project (the “State Derivatve Lawsuit”). The plaintf fled an amended complaint in the State Derivatve Lawsuit on August 23, 2021, and the Company and individual defendants fled motons to dismiss (or alternatvely, in the case of the Company, a moton for summary judgment) in the State Derivatve Lawsuit on October 22, 2021. On March 17, 2022, the court issued an order staying the State Derivatve Lawsuit pending the resoluton of the Federal Derivatve Lawsuit described below. On January 24, 2025, the partes stpulated to the dismissal of the State Derivatve Lawsuit with prejudice based on the dismissal of the Federal Derivatve Lawsuit as described below. Following this dismissal, there are no remaining ongoing proceedings stemming from the DFC Announcement.</w:t>
      </w:r>
    </w:p>
    <w:p>
      <w:pPr>
        <w:spacing w:after="0" w:line="215"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On September 2, 2021 Herbert Silverberg, another person making a Derivatve Demand (“Silverberg”), commenced a derivatve lawsuit on behalf of the Company against one current and one former director of the Company and the Company as a nominal defendant in the Federal District Court for the Western District of New York seeking damages and equitable relief on a basis overlapping with the State Derivatve Lawsuit and alleged proxy statement misrepresentatons and omissions. On October 4, 2021, Peters commenced a derivatve lawsuit on behalf of the Company against the same partes named in the State Derivatve Lawsuit in the Federal District Court for the Western District of New York seeking damages and equitable relief on a basis overlapping with the</w:t>
      </w:r>
    </w:p>
    <w:p>
      <w:pPr>
        <w:spacing w:after="0" w:line="189"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81" w:name="page82"/>
    <w:bookmarkEnd w:id="81"/>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State Derivatve Lawsuit and alleged violatons of Secton 10(b) of the Exchange Act. The Federal derivatve lawsuits fled by Silverberg and Peters were consolidated into a single proceeding (the “Federal Derivatve Lawsuit”) on January 18, 2022, and Peters was appointed as lead plaintf in the Federal Derivatve Lawsuit. An amended consolidated complaint combining the allegatons contained in the Federal derivatve lawsuits fled by Silverberg and Peters was fled in the Federal Derivatve Lawsuit on February 16, 2022, and the Company and individual defendants served motons to dismiss or, in the alternatve in the case of the Company, for summary judgment on April 15, 2022. Threshold discovery in the case was completed, and the Company and individual defendants formally fled their motons to dismiss/for summary judgment on September 30, 2022. The plaintfs fled an oppositon to the motons to dismiss/for summary judgment on November 14, 2022, and the Company and the individual defendants fled responses to the plaintfs’ oppositon on December 27, 2022 and December 23, 2022, respectvely. A hearing with respect to the motons to dismiss/for summary judgment was held on August 9, 2023, and the lawsuit was dismissed in its entrety with prejudice on September 26, 2023. The plaintfs/appellants fled a notce of appeal of the dismissal on October 25, 2023 and fled their brief on appeal on March 21, 2024. The Company fled its response brief on June 20, 2024, and the plaintfs/appellants fled their reply brief on July 11, 2024. The Second Circuit Court of Appeals heard oral argument with respect to the appeal on December 12, 2024 and afrmed the dismissal on December 18, 2024.</w:t>
      </w:r>
    </w:p>
    <w:p>
      <w:pPr>
        <w:spacing w:after="0" w:line="226" w:lineRule="exact"/>
        <w:rPr>
          <w:sz w:val="20"/>
          <w:szCs w:val="20"/>
          <w:color w:val="auto"/>
        </w:rPr>
      </w:pPr>
    </w:p>
    <w:p>
      <w:pPr>
        <w:ind w:right="180"/>
        <w:spacing w:after="0" w:line="235" w:lineRule="auto"/>
        <w:rPr>
          <w:sz w:val="20"/>
          <w:szCs w:val="20"/>
          <w:color w:val="auto"/>
        </w:rPr>
      </w:pPr>
      <w:r>
        <w:rPr>
          <w:rFonts w:ascii="Calibri" w:cs="Calibri" w:eastAsia="Calibri" w:hAnsi="Calibri"/>
          <w:sz w:val="18"/>
          <w:szCs w:val="18"/>
          <w:color w:val="auto"/>
        </w:rPr>
        <w:t>In additon, Kodak is involved in various lawsuits, claims, investgatons, remediatons and proceedings, including, from tme to tme, commercial, customs, employment, environmental, tort and health and safety maters, which are being handled and defended in the ordinary course of business. Kodak is also subject, from tme to tme, to various assertons, claims, proceedings and requests for indemnifcaton concerning intellectual property, including patent infringement suits involving technologies that are incorporated in a broad spectrum of Kodak’s products such as the on-going patent infringement claims brought by FUJIFILM Corporaton against Eastman Kodak Company (in the US) and its German subsidiaries (in Germany) alleging that certain of Kodak’s SONORA process free plates infringe four of its patents in each jurisdicton. These maters are in various stages of investgaton and litgaton and are being vigorously defended. Based on informaton currently available, Kodak does not believe that it is probable that the outcomes in these various maters, individually or collectvely, will have a material adverse efect on its fnancial conditon or results of operatons. Litgaton is inherently unpredictable, and judgments could be rendered or setlements entered that could adversely afect Kodak’s operatng results or cash fows in a partcular period. Kodak routnely assesses all of its litgaton and threatened litgaton as to the probability of ultmately incurring a liability and records its best estmate of the ultmate loss in situatons where it assesses the likelihood of loss as probable.</w:t>
      </w:r>
    </w:p>
    <w:p>
      <w:pPr>
        <w:spacing w:after="0" w:line="19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12: GUARANTEES</w:t>
      </w:r>
    </w:p>
    <w:p>
      <w:pPr>
        <w:spacing w:after="0" w:line="177"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color w:val="auto"/>
        </w:rPr>
        <w:t>In accordance with the terms of a setlement agreement concerning certain of the Company’s historical environmental liabilites at Eastman Business Park ("EBP"), in the event the historical liabilites exceed $99 million, the Company will become liable for 50% of the porton above $99 million with no limitaton to the maximum potental future payments. There is no liability recorded related to this guarantee.</w:t>
      </w:r>
    </w:p>
    <w:p>
      <w:pPr>
        <w:spacing w:after="0" w:line="173"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Indemnifcatons</w:t>
      </w:r>
    </w:p>
    <w:p>
      <w:pPr>
        <w:spacing w:after="0" w:line="190"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Kodak may, in certain instances, indemnify third partes when it sells businesses and real estate, and in the ordinary course of business with its customers, suppliers, service providers and business partners. Additonally, Kodak indemnifes ofcers and directors who are, or were, serving at Kodak’s request in such capacites. Historically, costs incurred to setle claims related to these indemnifcatons have not been material to Kodak’s fnancial positon, results of operatons or cash fows. Further, the fair value of any right to indemnifcaton granted during the year ended December 31, 2024 was not material to Kodak’s fnancial positon, results of operatons or cash fows.</w:t>
      </w:r>
    </w:p>
    <w:p>
      <w:pPr>
        <w:spacing w:after="0" w:line="175"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sectPr>
      </w:pPr>
    </w:p>
    <w:bookmarkStart w:id="82" w:name="page83"/>
    <w:bookmarkEnd w:id="82"/>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Extended Warranty Arrangements</w:t>
      </w:r>
    </w:p>
    <w:p>
      <w:pPr>
        <w:spacing w:after="0" w:line="177"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color w:val="auto"/>
        </w:rPr>
        <w:t>Kodak ofers its customers extended warranty arrangements that are generally one year, but may range from three months to six years afer the original warranty period. Kodak provides repair services and routne maintenance under these arrangements. Kodak has not separated the extended warranty costs from the routne maintenance service costs, as it is not practcable to do so. Therefore, these costs have been aggregated in the discussion that follows. The change in Kodak's deferred revenue balance in relaton to these extended warranty and maintenance arrangements, which is refected in Other current liabilites in the accompanying Consolidated Statement of Financial Positon, was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140" w:type="dxa"/>
            <w:vAlign w:val="bottom"/>
          </w:tcPr>
          <w:p>
            <w:pPr>
              <w:ind w:left="20"/>
              <w:spacing w:after="0"/>
              <w:rPr>
                <w:sz w:val="20"/>
                <w:szCs w:val="20"/>
                <w:color w:val="auto"/>
              </w:rPr>
            </w:pPr>
            <w:r>
              <w:rPr>
                <w:rFonts w:ascii="Calibri" w:cs="Calibri" w:eastAsia="Calibri" w:hAnsi="Calibri"/>
                <w:sz w:val="14"/>
                <w:szCs w:val="14"/>
                <w:color w:val="auto"/>
              </w:rPr>
              <w:t>(in millions)</w:t>
            </w: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60"/>
        </w:trPr>
        <w:tc>
          <w:tcPr>
            <w:tcW w:w="9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16"/>
        </w:trPr>
        <w:tc>
          <w:tcPr>
            <w:tcW w:w="9140" w:type="dxa"/>
            <w:vAlign w:val="bottom"/>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Deferred revenue on extended warrantes as of December 31, 2022</w:t>
            </w:r>
          </w:p>
        </w:tc>
        <w:tc>
          <w:tcPr>
            <w:tcW w:w="860" w:type="dxa"/>
            <w:vAlign w:val="bottom"/>
            <w:shd w:val="clear" w:color="auto" w:fill="CFF0FC"/>
          </w:tcPr>
          <w:p>
            <w:pPr>
              <w:jc w:val="right"/>
              <w:ind w:right="670"/>
              <w:spacing w:after="0" w:line="215" w:lineRule="exact"/>
              <w:rPr>
                <w:sz w:val="20"/>
                <w:szCs w:val="20"/>
                <w:color w:val="auto"/>
              </w:rPr>
            </w:pPr>
            <w:r>
              <w:rPr>
                <w:rFonts w:ascii="Calibri" w:cs="Calibri" w:eastAsia="Calibri" w:hAnsi="Calibri"/>
                <w:sz w:val="18"/>
                <w:szCs w:val="18"/>
                <w:color w:val="auto"/>
                <w:w w:val="87"/>
              </w:rPr>
              <w:t>$</w:t>
            </w:r>
          </w:p>
        </w:tc>
        <w:tc>
          <w:tcPr>
            <w:tcW w:w="102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19</w:t>
            </w:r>
          </w:p>
        </w:tc>
        <w:tc>
          <w:tcPr>
            <w:tcW w:w="100" w:type="dxa"/>
            <w:vAlign w:val="bottom"/>
            <w:shd w:val="clear" w:color="auto" w:fill="CFF0FC"/>
          </w:tcPr>
          <w:p>
            <w:pPr>
              <w:spacing w:after="0"/>
              <w:rPr>
                <w:sz w:val="18"/>
                <w:szCs w:val="18"/>
                <w:color w:val="auto"/>
              </w:rPr>
            </w:pPr>
          </w:p>
        </w:tc>
      </w:tr>
      <w:tr>
        <w:trPr>
          <w:trHeight w:val="215"/>
        </w:trPr>
        <w:tc>
          <w:tcPr>
            <w:tcW w:w="9140" w:type="dxa"/>
            <w:vAlign w:val="bottom"/>
          </w:tcPr>
          <w:p>
            <w:pPr>
              <w:ind w:left="20"/>
              <w:spacing w:after="0" w:line="215" w:lineRule="exact"/>
              <w:rPr>
                <w:sz w:val="20"/>
                <w:szCs w:val="20"/>
                <w:color w:val="auto"/>
              </w:rPr>
            </w:pPr>
            <w:r>
              <w:rPr>
                <w:rFonts w:ascii="Calibri" w:cs="Calibri" w:eastAsia="Calibri" w:hAnsi="Calibri"/>
                <w:sz w:val="18"/>
                <w:szCs w:val="18"/>
                <w:color w:val="auto"/>
              </w:rPr>
              <w:t>New extended warranty and maintenance arrangements</w:t>
            </w:r>
          </w:p>
        </w:tc>
        <w:tc>
          <w:tcPr>
            <w:tcW w:w="860" w:type="dxa"/>
            <w:vAlign w:val="bottom"/>
          </w:tcPr>
          <w:p>
            <w:pPr>
              <w:spacing w:after="0"/>
              <w:rPr>
                <w:sz w:val="18"/>
                <w:szCs w:val="18"/>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87</w:t>
            </w:r>
          </w:p>
        </w:tc>
        <w:tc>
          <w:tcPr>
            <w:tcW w:w="100" w:type="dxa"/>
            <w:vAlign w:val="bottom"/>
          </w:tcPr>
          <w:p>
            <w:pPr>
              <w:spacing w:after="0"/>
              <w:rPr>
                <w:sz w:val="18"/>
                <w:szCs w:val="18"/>
                <w:color w:val="auto"/>
              </w:rPr>
            </w:pPr>
          </w:p>
        </w:tc>
      </w:tr>
      <w:tr>
        <w:trPr>
          <w:trHeight w:val="216"/>
        </w:trPr>
        <w:tc>
          <w:tcPr>
            <w:tcW w:w="914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Recogniton of extended warranty and maintenance arrangement revenue</w:t>
            </w:r>
          </w:p>
        </w:tc>
        <w:tc>
          <w:tcPr>
            <w:tcW w:w="8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line="216" w:lineRule="exact"/>
              <w:rPr>
                <w:sz w:val="20"/>
                <w:szCs w:val="20"/>
                <w:color w:val="auto"/>
              </w:rPr>
            </w:pPr>
            <w:r>
              <w:rPr>
                <w:rFonts w:ascii="Calibri" w:cs="Calibri" w:eastAsia="Calibri" w:hAnsi="Calibri"/>
                <w:sz w:val="18"/>
                <w:szCs w:val="18"/>
                <w:color w:val="auto"/>
              </w:rPr>
              <w:t>(89 )</w:t>
            </w:r>
          </w:p>
        </w:tc>
      </w:tr>
      <w:tr>
        <w:trPr>
          <w:trHeight w:val="209"/>
        </w:trPr>
        <w:tc>
          <w:tcPr>
            <w:tcW w:w="9140" w:type="dxa"/>
            <w:vAlign w:val="bottom"/>
            <w:tcBorders>
              <w:top w:val="single" w:sz="8" w:color="CFF0FC"/>
            </w:tcBorders>
          </w:tcPr>
          <w:p>
            <w:pPr>
              <w:ind w:left="20"/>
              <w:spacing w:after="0" w:line="209" w:lineRule="exact"/>
              <w:rPr>
                <w:sz w:val="20"/>
                <w:szCs w:val="20"/>
                <w:color w:val="auto"/>
              </w:rPr>
            </w:pPr>
            <w:r>
              <w:rPr>
                <w:rFonts w:ascii="Calibri" w:cs="Calibri" w:eastAsia="Calibri" w:hAnsi="Calibri"/>
                <w:sz w:val="18"/>
                <w:szCs w:val="18"/>
                <w:color w:val="auto"/>
              </w:rPr>
              <w:t>Deferred revenue on extended warrantes as of December 31, 2023</w:t>
            </w:r>
          </w:p>
        </w:tc>
        <w:tc>
          <w:tcPr>
            <w:tcW w:w="8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17</w:t>
            </w:r>
          </w:p>
        </w:tc>
        <w:tc>
          <w:tcPr>
            <w:tcW w:w="100" w:type="dxa"/>
            <w:vAlign w:val="bottom"/>
            <w:tcBorders>
              <w:top w:val="single" w:sz="8" w:color="CFF0FC"/>
            </w:tcBorders>
          </w:tcPr>
          <w:p>
            <w:pPr>
              <w:spacing w:after="0"/>
              <w:rPr>
                <w:sz w:val="18"/>
                <w:szCs w:val="18"/>
                <w:color w:val="auto"/>
              </w:rPr>
            </w:pPr>
          </w:p>
        </w:tc>
      </w:tr>
      <w:tr>
        <w:trPr>
          <w:trHeight w:val="217"/>
        </w:trPr>
        <w:tc>
          <w:tcPr>
            <w:tcW w:w="914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New extended warranty and maintenance arrangements</w:t>
            </w:r>
          </w:p>
        </w:tc>
        <w:tc>
          <w:tcPr>
            <w:tcW w:w="8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69</w:t>
            </w:r>
          </w:p>
        </w:tc>
        <w:tc>
          <w:tcPr>
            <w:tcW w:w="100" w:type="dxa"/>
            <w:vAlign w:val="bottom"/>
            <w:shd w:val="clear" w:color="auto" w:fill="CFF0FC"/>
          </w:tcPr>
          <w:p>
            <w:pPr>
              <w:spacing w:after="0"/>
              <w:rPr>
                <w:sz w:val="18"/>
                <w:szCs w:val="18"/>
                <w:color w:val="auto"/>
              </w:rPr>
            </w:pPr>
          </w:p>
        </w:tc>
      </w:tr>
      <w:tr>
        <w:trPr>
          <w:trHeight w:val="215"/>
        </w:trPr>
        <w:tc>
          <w:tcPr>
            <w:tcW w:w="9140" w:type="dxa"/>
            <w:vAlign w:val="bottom"/>
          </w:tcPr>
          <w:p>
            <w:pPr>
              <w:ind w:left="20"/>
              <w:spacing w:after="0" w:line="215" w:lineRule="exact"/>
              <w:rPr>
                <w:sz w:val="20"/>
                <w:szCs w:val="20"/>
                <w:color w:val="auto"/>
              </w:rPr>
            </w:pPr>
            <w:r>
              <w:rPr>
                <w:rFonts w:ascii="Calibri" w:cs="Calibri" w:eastAsia="Calibri" w:hAnsi="Calibri"/>
                <w:sz w:val="18"/>
                <w:szCs w:val="18"/>
                <w:color w:val="auto"/>
              </w:rPr>
              <w:t>Recogniton of extended warranty and maintenance arrangement revenue</w:t>
            </w:r>
          </w:p>
        </w:tc>
        <w:tc>
          <w:tcPr>
            <w:tcW w:w="860" w:type="dxa"/>
            <w:vAlign w:val="bottom"/>
          </w:tcPr>
          <w:p>
            <w:pPr>
              <w:spacing w:after="0"/>
              <w:rPr>
                <w:sz w:val="18"/>
                <w:szCs w:val="18"/>
                <w:color w:val="auto"/>
              </w:rPr>
            </w:pPr>
          </w:p>
        </w:tc>
        <w:tc>
          <w:tcPr>
            <w:tcW w:w="112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(74 )</w:t>
            </w:r>
          </w:p>
        </w:tc>
      </w:tr>
      <w:tr>
        <w:trPr>
          <w:trHeight w:val="250"/>
        </w:trPr>
        <w:tc>
          <w:tcPr>
            <w:tcW w:w="9140" w:type="dxa"/>
            <w:vAlign w:val="bottom"/>
            <w:tcBorders>
              <w:bottom w:val="single" w:sz="8" w:color="CFF0FC"/>
            </w:tcBorders>
            <w:shd w:val="clear" w:color="auto" w:fill="CFF0FC"/>
          </w:tcPr>
          <w:p>
            <w:pPr>
              <w:ind w:left="20"/>
              <w:spacing w:after="0" w:line="209" w:lineRule="exact"/>
              <w:rPr>
                <w:sz w:val="20"/>
                <w:szCs w:val="20"/>
                <w:color w:val="auto"/>
              </w:rPr>
            </w:pPr>
            <w:r>
              <w:rPr>
                <w:rFonts w:ascii="Calibri" w:cs="Calibri" w:eastAsia="Calibri" w:hAnsi="Calibri"/>
                <w:sz w:val="18"/>
                <w:szCs w:val="18"/>
                <w:color w:val="auto"/>
              </w:rPr>
              <w:t>Deferred revenue on extended warrantes as of December 31, 2024</w:t>
            </w:r>
          </w:p>
        </w:tc>
        <w:tc>
          <w:tcPr>
            <w:tcW w:w="860" w:type="dxa"/>
            <w:vAlign w:val="bottom"/>
            <w:tcBorders>
              <w:top w:val="single" w:sz="8" w:color="auto"/>
              <w:bottom w:val="single" w:sz="8" w:color="auto"/>
            </w:tcBorders>
            <w:shd w:val="clear" w:color="auto" w:fill="CFF0FC"/>
          </w:tcPr>
          <w:p>
            <w:pPr>
              <w:jc w:val="right"/>
              <w:ind w:right="670"/>
              <w:spacing w:after="0" w:line="209" w:lineRule="exact"/>
              <w:rPr>
                <w:sz w:val="20"/>
                <w:szCs w:val="20"/>
                <w:color w:val="auto"/>
              </w:rPr>
            </w:pPr>
            <w:r>
              <w:rPr>
                <w:rFonts w:ascii="Calibri" w:cs="Calibri" w:eastAsia="Calibri" w:hAnsi="Calibri"/>
                <w:sz w:val="18"/>
                <w:szCs w:val="18"/>
                <w:color w:val="auto"/>
                <w:w w:val="87"/>
              </w:rPr>
              <w:t>$</w:t>
            </w:r>
          </w:p>
        </w:tc>
        <w:tc>
          <w:tcPr>
            <w:tcW w:w="1020" w:type="dxa"/>
            <w:vAlign w:val="bottom"/>
            <w:tcBorders>
              <w:top w:val="single" w:sz="8" w:color="auto"/>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12</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6991350</wp:posOffset>
            </wp:positionH>
            <wp:positionV relativeFrom="paragraph">
              <wp:posOffset>-590550</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-24765</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-7620</wp:posOffset>
            </wp:positionV>
            <wp:extent cx="68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right="300"/>
        <w:spacing w:after="0" w:line="223" w:lineRule="auto"/>
        <w:rPr>
          <w:sz w:val="20"/>
          <w:szCs w:val="20"/>
          <w:color w:val="auto"/>
        </w:rPr>
      </w:pPr>
      <w:r>
        <w:rPr>
          <w:rFonts w:ascii="Calibri" w:cs="Calibri" w:eastAsia="Calibri" w:hAnsi="Calibri"/>
          <w:sz w:val="18"/>
          <w:szCs w:val="18"/>
          <w:color w:val="auto"/>
        </w:rPr>
        <w:t>Costs incurred under these extended warranty and maintenance arrangements for the years ended December 31, 2024, 2023 and 2022 amounted to $59 million, $77 million and $78 million, respectvely.</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13: FINANCIAL INSTRUMENTS</w:t>
      </w:r>
    </w:p>
    <w:p>
      <w:pPr>
        <w:spacing w:after="0" w:line="190" w:lineRule="exact"/>
        <w:rPr>
          <w:sz w:val="20"/>
          <w:szCs w:val="20"/>
          <w:color w:val="auto"/>
        </w:rPr>
      </w:pPr>
    </w:p>
    <w:p>
      <w:pPr>
        <w:ind w:right="360"/>
        <w:spacing w:after="0" w:line="235" w:lineRule="auto"/>
        <w:rPr>
          <w:sz w:val="20"/>
          <w:szCs w:val="20"/>
          <w:color w:val="auto"/>
        </w:rPr>
      </w:pPr>
      <w:r>
        <w:rPr>
          <w:rFonts w:ascii="Calibri" w:cs="Calibri" w:eastAsia="Calibri" w:hAnsi="Calibri"/>
          <w:sz w:val="18"/>
          <w:szCs w:val="18"/>
          <w:color w:val="auto"/>
        </w:rPr>
        <w:t>Kodak, as a result of its global operatng and fnancing actvites, is exposed to changes in foreign currency exchange rates and interest rates, which may adversely afect its results of operatons and fnancial positon. Kodak manages such exposures, in part, with derivatve fnancial instruments. Foreign currency forward contracts are used to mitgate currency risk related to foreign currency denominated assets and liabilites, as well as forecasted foreign currency denominated intercompany assets.</w:t>
      </w:r>
    </w:p>
    <w:p>
      <w:pPr>
        <w:spacing w:after="0" w:line="179" w:lineRule="exact"/>
        <w:rPr>
          <w:sz w:val="20"/>
          <w:szCs w:val="20"/>
          <w:color w:val="auto"/>
        </w:rPr>
      </w:pPr>
    </w:p>
    <w:p>
      <w:pPr>
        <w:ind w:right="520"/>
        <w:spacing w:after="0" w:line="235" w:lineRule="auto"/>
        <w:rPr>
          <w:sz w:val="20"/>
          <w:szCs w:val="20"/>
          <w:color w:val="auto"/>
        </w:rPr>
      </w:pPr>
      <w:r>
        <w:rPr>
          <w:rFonts w:ascii="Calibri" w:cs="Calibri" w:eastAsia="Calibri" w:hAnsi="Calibri"/>
          <w:sz w:val="18"/>
          <w:szCs w:val="18"/>
          <w:color w:val="auto"/>
        </w:rPr>
        <w:t>Kodak’s exposure to changes in interest rates results from its investng and borrowing actvites used to meet its liquidity needs. Kodak does not utlize fnancial instruments for trading or other speculatve purposes.</w:t>
      </w:r>
    </w:p>
    <w:p>
      <w:pPr>
        <w:spacing w:after="0" w:line="177"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Kodak’s foreign currency forward contracts are not designated as hedges and are marked to market through net income at the same tme that the exposed assets and liabilites are re-measured through net income (both in Other (income) charges, net in the Consolidated Statement of Operatons). The notonal amount of such contracts open at December 31, 2024 and 2023 was approximately $251 million and $279 million, respectvely. The majority of the contracts of this type held by Kodak at December 31, 2024 and 2023 were denominated in euros, Chinese renminbi and Japanese yen.</w:t>
      </w:r>
    </w:p>
    <w:p>
      <w:pPr>
        <w:spacing w:after="0" w:line="188" w:lineRule="exact"/>
        <w:rPr>
          <w:sz w:val="20"/>
          <w:szCs w:val="20"/>
          <w:color w:val="auto"/>
        </w:rPr>
      </w:pPr>
    </w:p>
    <w:p>
      <w:pPr>
        <w:spacing w:after="0"/>
        <w:rPr>
          <w:sz w:val="20"/>
          <w:szCs w:val="20"/>
          <w:color w:val="auto"/>
        </w:rPr>
      </w:pPr>
      <w:r>
        <w:rPr>
          <w:rFonts w:ascii="Calibri" w:cs="Calibri" w:eastAsia="Calibri" w:hAnsi="Calibri"/>
          <w:sz w:val="18"/>
          <w:szCs w:val="18"/>
          <w:color w:val="auto"/>
        </w:rPr>
        <w:t>The net efect of foreign currency forward contracts in the results of operatons is shown in the following table: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380" w:type="dxa"/>
            <w:vAlign w:val="bottom"/>
            <w:gridSpan w:val="6"/>
          </w:tcPr>
          <w:p>
            <w:pPr>
              <w:jc w:val="center"/>
              <w:spacing w:after="0"/>
              <w:rPr>
                <w:sz w:val="20"/>
                <w:szCs w:val="20"/>
                <w:color w:val="auto"/>
              </w:rPr>
            </w:pPr>
            <w:r>
              <w:rPr>
                <w:rFonts w:ascii="Calibri" w:cs="Calibri" w:eastAsia="Calibri" w:hAnsi="Calibri"/>
                <w:sz w:val="18"/>
                <w:szCs w:val="18"/>
                <w:b w:val="1"/>
                <w:bCs w:val="1"/>
                <w:color w:val="auto"/>
                <w:w w:val="96"/>
              </w:rPr>
              <w:t>Year Ended December 31,</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6"/>
        </w:trPr>
        <w:tc>
          <w:tcPr>
            <w:tcW w:w="6700" w:type="dxa"/>
            <w:vAlign w:val="bottom"/>
          </w:tcPr>
          <w:p>
            <w:pPr>
              <w:ind w:left="20"/>
              <w:spacing w:after="0"/>
              <w:rPr>
                <w:sz w:val="20"/>
                <w:szCs w:val="20"/>
                <w:color w:val="auto"/>
              </w:rPr>
            </w:pPr>
            <w:r>
              <w:rPr>
                <w:rFonts w:ascii="Calibri" w:cs="Calibri" w:eastAsia="Calibri" w:hAnsi="Calibri"/>
                <w:sz w:val="14"/>
                <w:szCs w:val="14"/>
                <w:color w:val="auto"/>
              </w:rPr>
              <w:t>(in millions)</w:t>
            </w:r>
          </w:p>
        </w:tc>
        <w:tc>
          <w:tcPr>
            <w:tcW w:w="940" w:type="dxa"/>
            <w:vAlign w:val="bottom"/>
            <w:tcBorders>
              <w:bottom w:val="single" w:sz="8" w:color="auto"/>
            </w:tcBorders>
          </w:tcPr>
          <w:p>
            <w:pPr>
              <w:jc w:val="right"/>
              <w:ind w:right="50"/>
              <w:spacing w:after="0" w:line="216" w:lineRule="exact"/>
              <w:rPr>
                <w:sz w:val="20"/>
                <w:szCs w:val="20"/>
                <w:color w:val="auto"/>
              </w:rPr>
            </w:pPr>
            <w:r>
              <w:rPr>
                <w:rFonts w:ascii="Calibri" w:cs="Calibri" w:eastAsia="Calibri" w:hAnsi="Calibri"/>
                <w:sz w:val="18"/>
                <w:szCs w:val="18"/>
                <w:b w:val="1"/>
                <w:bCs w:val="1"/>
                <w:color w:val="auto"/>
              </w:rPr>
              <w:t>2024</w:t>
            </w:r>
          </w:p>
        </w:tc>
        <w:tc>
          <w:tcPr>
            <w:tcW w:w="3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line="216" w:lineRule="exact"/>
              <w:rPr>
                <w:sz w:val="20"/>
                <w:szCs w:val="20"/>
                <w:color w:val="auto"/>
              </w:rPr>
            </w:pPr>
            <w:r>
              <w:rPr>
                <w:rFonts w:ascii="Calibri" w:cs="Calibri" w:eastAsia="Calibri" w:hAnsi="Calibri"/>
                <w:sz w:val="18"/>
                <w:szCs w:val="18"/>
                <w:b w:val="1"/>
                <w:bCs w:val="1"/>
                <w:color w:val="auto"/>
              </w:rPr>
              <w:t>2023</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line="216" w:lineRule="exact"/>
              <w:rPr>
                <w:sz w:val="20"/>
                <w:szCs w:val="20"/>
                <w:color w:val="auto"/>
              </w:rPr>
            </w:pPr>
            <w:r>
              <w:rPr>
                <w:rFonts w:ascii="Calibri" w:cs="Calibri" w:eastAsia="Calibri" w:hAnsi="Calibri"/>
                <w:sz w:val="18"/>
                <w:szCs w:val="18"/>
                <w:b w:val="1"/>
                <w:bCs w:val="1"/>
                <w:color w:val="auto"/>
              </w:rPr>
              <w:t>2022</w:t>
            </w:r>
          </w:p>
        </w:tc>
        <w:tc>
          <w:tcPr>
            <w:tcW w:w="100" w:type="dxa"/>
            <w:vAlign w:val="bottom"/>
          </w:tcPr>
          <w:p>
            <w:pPr>
              <w:spacing w:after="0"/>
              <w:rPr>
                <w:sz w:val="20"/>
                <w:szCs w:val="20"/>
                <w:color w:val="auto"/>
              </w:rPr>
            </w:pPr>
          </w:p>
        </w:tc>
      </w:tr>
      <w:tr>
        <w:trPr>
          <w:trHeight w:val="213"/>
        </w:trPr>
        <w:tc>
          <w:tcPr>
            <w:tcW w:w="6700" w:type="dxa"/>
            <w:vAlign w:val="bottom"/>
            <w:shd w:val="clear" w:color="auto" w:fill="CFF0FC"/>
          </w:tcPr>
          <w:p>
            <w:pPr>
              <w:ind w:left="20"/>
              <w:spacing w:after="0" w:line="213" w:lineRule="exact"/>
              <w:rPr>
                <w:sz w:val="20"/>
                <w:szCs w:val="20"/>
                <w:color w:val="auto"/>
              </w:rPr>
            </w:pPr>
            <w:r>
              <w:rPr>
                <w:rFonts w:ascii="Calibri" w:cs="Calibri" w:eastAsia="Calibri" w:hAnsi="Calibri"/>
                <w:sz w:val="18"/>
                <w:szCs w:val="18"/>
                <w:color w:val="auto"/>
              </w:rPr>
              <w:t>Net loss from derivatves not designated as hedging instruments</w:t>
            </w:r>
          </w:p>
        </w:tc>
        <w:tc>
          <w:tcPr>
            <w:tcW w:w="940" w:type="dxa"/>
            <w:vAlign w:val="bottom"/>
            <w:shd w:val="clear" w:color="auto" w:fill="CFF0FC"/>
          </w:tcPr>
          <w:p>
            <w:pPr>
              <w:jc w:val="right"/>
              <w:ind w:right="750"/>
              <w:spacing w:after="0" w:line="213" w:lineRule="exact"/>
              <w:rPr>
                <w:sz w:val="20"/>
                <w:szCs w:val="20"/>
                <w:color w:val="auto"/>
              </w:rPr>
            </w:pPr>
            <w:r>
              <w:rPr>
                <w:rFonts w:ascii="Calibri" w:cs="Calibri" w:eastAsia="Calibri" w:hAnsi="Calibri"/>
                <w:sz w:val="18"/>
                <w:szCs w:val="18"/>
                <w:color w:val="auto"/>
                <w:w w:val="87"/>
              </w:rPr>
              <w:t>$</w:t>
            </w:r>
          </w:p>
        </w:tc>
        <w:tc>
          <w:tcPr>
            <w:tcW w:w="320" w:type="dxa"/>
            <w:vAlign w:val="bottom"/>
            <w:shd w:val="clear" w:color="auto" w:fill="CFF0FC"/>
          </w:tcPr>
          <w:p>
            <w:pPr>
              <w:jc w:val="right"/>
              <w:spacing w:after="0" w:line="213" w:lineRule="exact"/>
              <w:rPr>
                <w:sz w:val="20"/>
                <w:szCs w:val="20"/>
                <w:color w:val="auto"/>
              </w:rPr>
            </w:pPr>
            <w:r>
              <w:rPr>
                <w:rFonts w:ascii="Calibri" w:cs="Calibri" w:eastAsia="Calibri" w:hAnsi="Calibri"/>
                <w:sz w:val="18"/>
                <w:szCs w:val="18"/>
                <w:color w:val="auto"/>
              </w:rPr>
              <w:t>13</w:t>
            </w:r>
          </w:p>
        </w:tc>
        <w:tc>
          <w:tcPr>
            <w:tcW w:w="540" w:type="dxa"/>
            <w:vAlign w:val="bottom"/>
            <w:gridSpan w:val="2"/>
            <w:shd w:val="clear" w:color="auto" w:fill="CFF0FC"/>
          </w:tcPr>
          <w:p>
            <w:pPr>
              <w:jc w:val="right"/>
              <w:ind w:right="180"/>
              <w:spacing w:after="0" w:line="213" w:lineRule="exact"/>
              <w:rPr>
                <w:sz w:val="20"/>
                <w:szCs w:val="20"/>
                <w:color w:val="auto"/>
              </w:rPr>
            </w:pPr>
            <w:r>
              <w:rPr>
                <w:rFonts w:ascii="Calibri" w:cs="Calibri" w:eastAsia="Calibri" w:hAnsi="Calibri"/>
                <w:sz w:val="18"/>
                <w:szCs w:val="18"/>
                <w:color w:val="auto"/>
              </w:rPr>
              <w:t>$</w:t>
            </w:r>
          </w:p>
        </w:tc>
        <w:tc>
          <w:tcPr>
            <w:tcW w:w="980" w:type="dxa"/>
            <w:vAlign w:val="bottom"/>
            <w:shd w:val="clear" w:color="auto" w:fill="CFF0FC"/>
          </w:tcPr>
          <w:p>
            <w:pPr>
              <w:jc w:val="right"/>
              <w:spacing w:after="0" w:line="213" w:lineRule="exact"/>
              <w:rPr>
                <w:sz w:val="20"/>
                <w:szCs w:val="20"/>
                <w:color w:val="auto"/>
              </w:rPr>
            </w:pPr>
            <w:r>
              <w:rPr>
                <w:rFonts w:ascii="Calibri" w:cs="Calibri" w:eastAsia="Calibri" w:hAnsi="Calibri"/>
                <w:sz w:val="18"/>
                <w:szCs w:val="18"/>
                <w:color w:val="auto"/>
              </w:rPr>
              <w:t>12</w:t>
            </w:r>
          </w:p>
        </w:tc>
        <w:tc>
          <w:tcPr>
            <w:tcW w:w="540" w:type="dxa"/>
            <w:vAlign w:val="bottom"/>
            <w:gridSpan w:val="2"/>
            <w:shd w:val="clear" w:color="auto" w:fill="CFF0FC"/>
          </w:tcPr>
          <w:p>
            <w:pPr>
              <w:jc w:val="right"/>
              <w:ind w:right="180"/>
              <w:spacing w:after="0" w:line="213" w:lineRule="exact"/>
              <w:rPr>
                <w:sz w:val="20"/>
                <w:szCs w:val="20"/>
                <w:color w:val="auto"/>
              </w:rPr>
            </w:pPr>
            <w:r>
              <w:rPr>
                <w:rFonts w:ascii="Calibri" w:cs="Calibri" w:eastAsia="Calibri" w:hAnsi="Calibri"/>
                <w:sz w:val="18"/>
                <w:szCs w:val="18"/>
                <w:color w:val="auto"/>
              </w:rPr>
              <w:t>$</w:t>
            </w:r>
          </w:p>
        </w:tc>
        <w:tc>
          <w:tcPr>
            <w:tcW w:w="1000" w:type="dxa"/>
            <w:vAlign w:val="bottom"/>
            <w:shd w:val="clear" w:color="auto" w:fill="CFF0FC"/>
          </w:tcPr>
          <w:p>
            <w:pPr>
              <w:jc w:val="right"/>
              <w:spacing w:after="0" w:line="213" w:lineRule="exact"/>
              <w:rPr>
                <w:sz w:val="20"/>
                <w:szCs w:val="20"/>
                <w:color w:val="auto"/>
              </w:rPr>
            </w:pPr>
            <w:r>
              <w:rPr>
                <w:rFonts w:ascii="Calibri" w:cs="Calibri" w:eastAsia="Calibri" w:hAnsi="Calibri"/>
                <w:sz w:val="18"/>
                <w:szCs w:val="18"/>
                <w:color w:val="auto"/>
              </w:rPr>
              <w:t>16</w:t>
            </w:r>
          </w:p>
        </w:tc>
        <w:tc>
          <w:tcPr>
            <w:tcW w:w="100" w:type="dxa"/>
            <w:vAlign w:val="bottom"/>
            <w:shd w:val="clear" w:color="auto" w:fill="CFF0FC"/>
          </w:tcPr>
          <w:p>
            <w:pPr>
              <w:spacing w:after="0"/>
              <w:rPr>
                <w:sz w:val="18"/>
                <w:szCs w:val="18"/>
                <w:color w:val="auto"/>
              </w:rPr>
            </w:pPr>
          </w:p>
        </w:tc>
      </w:tr>
    </w:tbl>
    <w:p>
      <w:pPr>
        <w:spacing w:after="0" w:line="194"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Kodak had no derivatves designated as hedging instruments for the years ended December 31, 2024 and 2023. Kodak’s derivatve counterpartes are high-quality investment or commercial banks with signifcant experience with such instruments. Kodak manages exposure to counterparty credit risk by requiring specifc minimum credit standards and diversifcaton of counterpartes. Kodak has procedures to monitor the credit exposure amounts. The maximum credit exposure at December 31, 2024 was not signifcant to Kodak.</w:t>
      </w:r>
    </w:p>
    <w:p>
      <w:pPr>
        <w:spacing w:after="0" w:line="179" w:lineRule="exact"/>
        <w:rPr>
          <w:sz w:val="20"/>
          <w:szCs w:val="20"/>
          <w:color w:val="auto"/>
        </w:rPr>
      </w:pPr>
    </w:p>
    <w:p>
      <w:pPr>
        <w:ind w:right="100"/>
        <w:spacing w:after="0" w:line="235" w:lineRule="auto"/>
        <w:rPr>
          <w:sz w:val="20"/>
          <w:szCs w:val="20"/>
          <w:color w:val="auto"/>
        </w:rPr>
      </w:pPr>
      <w:r>
        <w:rPr>
          <w:rFonts w:ascii="Calibri" w:cs="Calibri" w:eastAsia="Calibri" w:hAnsi="Calibri"/>
          <w:sz w:val="18"/>
          <w:szCs w:val="18"/>
          <w:color w:val="auto"/>
        </w:rPr>
        <w:t>In the event of a default under the Company’s credit agreements, or a default under any derivatve contract or similar obligaton of Kodak, subject to certain minimum thresholds, the derivatve counterpartes would have the right, although not the obligaton, to require immediate setlement of some or all open derivatve contracts at their then-current fair value, but with liability positons neted against asset positons with the same counterparty.</w:t>
      </w:r>
    </w:p>
    <w:p>
      <w:pPr>
        <w:spacing w:after="0" w:line="21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Fair Value</w:t>
      </w:r>
    </w:p>
    <w:p>
      <w:pPr>
        <w:spacing w:after="0" w:line="177"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Fair values of Kodak’s foreign currency forward contracts are determined using observable inputs (Level 2 fair value measurements) and are based on the present value of expected future cash fows (an income approach valuaton technique) considering the risks involved and using discount rates appropriate for the duraton of the contracts. The gross fair value of foreign currency forward contracts in an asset positon are reported in Other current assets and the gross fair value of foreign currency forward contracts in a</w:t>
      </w:r>
    </w:p>
    <w:p>
      <w:pPr>
        <w:spacing w:after="0" w:line="188"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311150</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83" w:name="page84"/>
    <w:bookmarkEnd w:id="83"/>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color w:val="auto"/>
        </w:rPr>
        <w:t>liability positon are reported in Other current liabilites in the Consolidated Statement of Financial Positon. The gross fair value of foreign currency forward contracts in an asset positon as of December 31, 2024 and 2023 was $0 million and $3 million, respectvely. The gross fair value of the foreign currency forward contracts in a liability positon as of December 31, 2024 was $3 million. There were no foreign currency forward contracts in a liability positon as of December 31, 2023.</w:t>
      </w:r>
    </w:p>
    <w:p>
      <w:pPr>
        <w:spacing w:after="0" w:line="179" w:lineRule="exact"/>
        <w:rPr>
          <w:sz w:val="20"/>
          <w:szCs w:val="20"/>
          <w:color w:val="auto"/>
        </w:rPr>
      </w:pPr>
    </w:p>
    <w:p>
      <w:pPr>
        <w:ind w:right="160"/>
        <w:spacing w:after="0" w:line="235" w:lineRule="auto"/>
        <w:rPr>
          <w:sz w:val="20"/>
          <w:szCs w:val="20"/>
          <w:color w:val="auto"/>
        </w:rPr>
      </w:pPr>
      <w:r>
        <w:rPr>
          <w:rFonts w:ascii="Calibri" w:cs="Calibri" w:eastAsia="Calibri" w:hAnsi="Calibri"/>
          <w:sz w:val="18"/>
          <w:szCs w:val="18"/>
          <w:color w:val="auto"/>
        </w:rPr>
        <w:t>The fair values of long-term borrowings were $436 million and $396 million at December 31, 2024 and 2023, respectvely. Fair values of long-term borrowings (Level 2 fair value measurements) are determined by reference to quoted market prices, if available, or by pricing models based on the value of related cash fows discounted at current market interest rates.</w:t>
      </w:r>
    </w:p>
    <w:p>
      <w:pPr>
        <w:spacing w:after="0" w:line="178" w:lineRule="exact"/>
        <w:rPr>
          <w:sz w:val="20"/>
          <w:szCs w:val="20"/>
          <w:color w:val="auto"/>
        </w:rPr>
      </w:pPr>
    </w:p>
    <w:p>
      <w:pPr>
        <w:spacing w:after="0"/>
        <w:rPr>
          <w:sz w:val="20"/>
          <w:szCs w:val="20"/>
          <w:color w:val="auto"/>
        </w:rPr>
      </w:pPr>
      <w:r>
        <w:rPr>
          <w:rFonts w:ascii="Calibri" w:cs="Calibri" w:eastAsia="Calibri" w:hAnsi="Calibri"/>
          <w:sz w:val="17"/>
          <w:szCs w:val="17"/>
          <w:color w:val="auto"/>
        </w:rPr>
        <w:t>Transfers between levels of the fair value hierarchy are recognized based on the actual date of the event or change in circumstances that caused the transfer.</w:t>
      </w:r>
    </w:p>
    <w:p>
      <w:pPr>
        <w:spacing w:after="0" w:line="4" w:lineRule="exact"/>
        <w:rPr>
          <w:sz w:val="20"/>
          <w:szCs w:val="20"/>
          <w:color w:val="auto"/>
        </w:rPr>
      </w:pPr>
    </w:p>
    <w:p>
      <w:pPr>
        <w:spacing w:after="0"/>
        <w:rPr>
          <w:sz w:val="20"/>
          <w:szCs w:val="20"/>
          <w:color w:val="auto"/>
        </w:rPr>
      </w:pPr>
      <w:r>
        <w:rPr>
          <w:rFonts w:ascii="Calibri" w:cs="Calibri" w:eastAsia="Calibri" w:hAnsi="Calibri"/>
          <w:sz w:val="18"/>
          <w:szCs w:val="18"/>
          <w:color w:val="auto"/>
        </w:rPr>
        <w:t>There were no transfers between levels of the fair value hierarchy during the year ended December 31, 2024.</w:t>
      </w:r>
    </w:p>
    <w:p>
      <w:pPr>
        <w:spacing w:after="0" w:line="185" w:lineRule="exact"/>
        <w:rPr>
          <w:sz w:val="20"/>
          <w:szCs w:val="20"/>
          <w:color w:val="auto"/>
        </w:rPr>
      </w:pPr>
    </w:p>
    <w:p>
      <w:pPr>
        <w:spacing w:after="0"/>
        <w:rPr>
          <w:sz w:val="20"/>
          <w:szCs w:val="20"/>
          <w:color w:val="auto"/>
        </w:rPr>
      </w:pPr>
      <w:r>
        <w:rPr>
          <w:rFonts w:ascii="Calibri" w:cs="Calibri" w:eastAsia="Calibri" w:hAnsi="Calibri"/>
          <w:sz w:val="18"/>
          <w:szCs w:val="18"/>
          <w:color w:val="auto"/>
        </w:rPr>
        <w:t>The carrying values of cash and cash equivalents, restricted cash and the current porton of long-term borrowings approximate their fair values.</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14: REVENUE</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Disaggregaton of Revenue</w:t>
      </w:r>
    </w:p>
    <w:p>
      <w:pPr>
        <w:spacing w:after="0" w:line="185"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tables present revenue disaggregated by major product, portolio summary and geography:</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160" w:type="dxa"/>
            <w:vAlign w:val="bottom"/>
          </w:tcPr>
          <w:p>
            <w:pPr>
              <w:spacing w:after="0"/>
              <w:rPr>
                <w:sz w:val="20"/>
                <w:szCs w:val="20"/>
                <w:color w:val="auto"/>
              </w:rPr>
            </w:pPr>
            <w:r>
              <w:rPr>
                <w:rFonts w:ascii="Calibri" w:cs="Calibri" w:eastAsia="Calibri" w:hAnsi="Calibri"/>
                <w:sz w:val="18"/>
                <w:szCs w:val="18"/>
                <w:b w:val="1"/>
                <w:bCs w:val="1"/>
                <w:color w:val="auto"/>
              </w:rPr>
              <w:t>Major product:</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4"/>
          </w:tcPr>
          <w:p>
            <w:pPr>
              <w:jc w:val="center"/>
              <w:ind w:right="260"/>
              <w:spacing w:after="0"/>
              <w:rPr>
                <w:sz w:val="20"/>
                <w:szCs w:val="20"/>
                <w:color w:val="auto"/>
              </w:rPr>
            </w:pPr>
            <w:r>
              <w:rPr>
                <w:rFonts w:ascii="Calibri" w:cs="Calibri" w:eastAsia="Calibri" w:hAnsi="Calibri"/>
                <w:sz w:val="18"/>
                <w:szCs w:val="18"/>
                <w:b w:val="1"/>
                <w:bCs w:val="1"/>
                <w:color w:val="auto"/>
                <w:w w:val="96"/>
              </w:rPr>
              <w:t>Year Ended</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60" w:type="dxa"/>
            <w:vAlign w:val="bottom"/>
            <w:gridSpan w:val="6"/>
          </w:tcPr>
          <w:p>
            <w:pPr>
              <w:jc w:val="center"/>
              <w:ind w:right="40"/>
              <w:spacing w:after="0" w:line="216" w:lineRule="exact"/>
              <w:rPr>
                <w:sz w:val="20"/>
                <w:szCs w:val="20"/>
                <w:color w:val="auto"/>
              </w:rPr>
            </w:pPr>
            <w:r>
              <w:rPr>
                <w:rFonts w:ascii="Calibri" w:cs="Calibri" w:eastAsia="Calibri" w:hAnsi="Calibri"/>
                <w:sz w:val="18"/>
                <w:szCs w:val="18"/>
                <w:b w:val="1"/>
                <w:bCs w:val="1"/>
                <w:color w:val="auto"/>
                <w:w w:val="98"/>
              </w:rPr>
              <w:t>December 31, 2024</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ind w:right="30"/>
              <w:spacing w:after="0" w:line="216" w:lineRule="exact"/>
              <w:rPr>
                <w:sz w:val="20"/>
                <w:szCs w:val="20"/>
                <w:color w:val="auto"/>
              </w:rPr>
            </w:pPr>
            <w:r>
              <w:rPr>
                <w:rFonts w:ascii="Calibri" w:cs="Calibri" w:eastAsia="Calibri" w:hAnsi="Calibri"/>
                <w:sz w:val="18"/>
                <w:szCs w:val="18"/>
                <w:b w:val="1"/>
                <w:bCs w:val="1"/>
                <w:color w:val="auto"/>
                <w:w w:val="97"/>
              </w:rPr>
              <w:t>Advanced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ind w:right="30"/>
              <w:spacing w:after="0" w:line="216" w:lineRule="exact"/>
              <w:rPr>
                <w:sz w:val="20"/>
                <w:szCs w:val="20"/>
                <w:color w:val="auto"/>
              </w:rPr>
            </w:pPr>
            <w:r>
              <w:rPr>
                <w:rFonts w:ascii="Calibri" w:cs="Calibri" w:eastAsia="Calibri" w:hAnsi="Calibri"/>
                <w:sz w:val="18"/>
                <w:szCs w:val="18"/>
                <w:b w:val="1"/>
                <w:bCs w:val="1"/>
                <w:color w:val="auto"/>
                <w:w w:val="95"/>
              </w:rPr>
              <w:t>Materials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ind w:right="30"/>
              <w:spacing w:after="0" w:line="216" w:lineRule="exact"/>
              <w:rPr>
                <w:sz w:val="20"/>
                <w:szCs w:val="20"/>
                <w:color w:val="auto"/>
              </w:rPr>
            </w:pPr>
            <w:r>
              <w:rPr>
                <w:rFonts w:ascii="Calibri" w:cs="Calibri" w:eastAsia="Calibri" w:hAnsi="Calibri"/>
                <w:sz w:val="18"/>
                <w:szCs w:val="18"/>
                <w:b w:val="1"/>
                <w:bCs w:val="1"/>
                <w:color w:val="auto"/>
                <w:w w:val="99"/>
              </w:rPr>
              <w:t>and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160" w:type="dxa"/>
            <w:vAlign w:val="bottom"/>
          </w:tcPr>
          <w:p>
            <w:pPr>
              <w:ind w:left="20"/>
              <w:spacing w:after="0"/>
              <w:rPr>
                <w:sz w:val="20"/>
                <w:szCs w:val="20"/>
                <w:color w:val="auto"/>
              </w:rPr>
            </w:pPr>
            <w:r>
              <w:rPr>
                <w:rFonts w:ascii="Calibri" w:cs="Calibri" w:eastAsia="Calibri" w:hAnsi="Calibri"/>
                <w:sz w:val="14"/>
                <w:szCs w:val="14"/>
                <w:color w:val="auto"/>
              </w:rPr>
              <w:t>(in millions)</w:t>
            </w:r>
          </w:p>
        </w:tc>
        <w:tc>
          <w:tcPr>
            <w:tcW w:w="220" w:type="dxa"/>
            <w:vAlign w:val="bottom"/>
          </w:tcPr>
          <w:p>
            <w:pPr>
              <w:spacing w:after="0"/>
              <w:rPr>
                <w:sz w:val="17"/>
                <w:szCs w:val="17"/>
                <w:color w:val="auto"/>
              </w:rPr>
            </w:pPr>
          </w:p>
        </w:tc>
        <w:tc>
          <w:tcPr>
            <w:tcW w:w="820" w:type="dxa"/>
            <w:vAlign w:val="bottom"/>
          </w:tcPr>
          <w:p>
            <w:pPr>
              <w:jc w:val="right"/>
              <w:ind w:right="251"/>
              <w:spacing w:after="0" w:line="206" w:lineRule="exact"/>
              <w:rPr>
                <w:sz w:val="20"/>
                <w:szCs w:val="20"/>
                <w:color w:val="auto"/>
              </w:rPr>
            </w:pPr>
            <w:r>
              <w:rPr>
                <w:rFonts w:ascii="Calibri" w:cs="Calibri" w:eastAsia="Calibri" w:hAnsi="Calibri"/>
                <w:sz w:val="18"/>
                <w:szCs w:val="18"/>
                <w:b w:val="1"/>
                <w:bCs w:val="1"/>
                <w:color w:val="auto"/>
              </w:rPr>
              <w:t>Print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center"/>
              <w:ind w:right="30"/>
              <w:spacing w:after="0" w:line="206" w:lineRule="exact"/>
              <w:rPr>
                <w:sz w:val="20"/>
                <w:szCs w:val="20"/>
                <w:color w:val="auto"/>
              </w:rPr>
            </w:pPr>
            <w:r>
              <w:rPr>
                <w:rFonts w:ascii="Calibri" w:cs="Calibri" w:eastAsia="Calibri" w:hAnsi="Calibri"/>
                <w:sz w:val="18"/>
                <w:szCs w:val="18"/>
                <w:b w:val="1"/>
                <w:bCs w:val="1"/>
                <w:color w:val="auto"/>
                <w:w w:val="95"/>
              </w:rPr>
              <w:t>Chemicals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3"/>
          </w:tcPr>
          <w:p>
            <w:pPr>
              <w:jc w:val="center"/>
              <w:ind w:right="420"/>
              <w:spacing w:after="0" w:line="206" w:lineRule="exact"/>
              <w:rPr>
                <w:sz w:val="20"/>
                <w:szCs w:val="20"/>
                <w:color w:val="auto"/>
              </w:rPr>
            </w:pPr>
            <w:r>
              <w:rPr>
                <w:rFonts w:ascii="Calibri" w:cs="Calibri" w:eastAsia="Calibri" w:hAnsi="Calibri"/>
                <w:sz w:val="18"/>
                <w:szCs w:val="18"/>
                <w:b w:val="1"/>
                <w:bCs w:val="1"/>
                <w:color w:val="auto"/>
                <w:w w:val="93"/>
              </w:rPr>
              <w:t>Brand</w:t>
            </w:r>
          </w:p>
        </w:tc>
        <w:tc>
          <w:tcPr>
            <w:tcW w:w="200" w:type="dxa"/>
            <w:vAlign w:val="bottom"/>
          </w:tcPr>
          <w:p>
            <w:pPr>
              <w:spacing w:after="0"/>
              <w:rPr>
                <w:sz w:val="17"/>
                <w:szCs w:val="17"/>
                <w:color w:val="auto"/>
              </w:rPr>
            </w:pPr>
          </w:p>
        </w:tc>
        <w:tc>
          <w:tcPr>
            <w:tcW w:w="800" w:type="dxa"/>
            <w:vAlign w:val="bottom"/>
          </w:tcPr>
          <w:p>
            <w:pPr>
              <w:jc w:val="right"/>
              <w:ind w:right="191"/>
              <w:spacing w:after="0" w:line="206" w:lineRule="exact"/>
              <w:rPr>
                <w:sz w:val="20"/>
                <w:szCs w:val="20"/>
                <w:color w:val="auto"/>
              </w:rPr>
            </w:pPr>
            <w:r>
              <w:rPr>
                <w:rFonts w:ascii="Calibri" w:cs="Calibri" w:eastAsia="Calibri" w:hAnsi="Calibri"/>
                <w:sz w:val="18"/>
                <w:szCs w:val="18"/>
                <w:b w:val="1"/>
                <w:bCs w:val="1"/>
                <w:color w:val="auto"/>
              </w:rPr>
              <w:t>Other</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ind w:left="100"/>
              <w:spacing w:after="0" w:line="206" w:lineRule="exact"/>
              <w:rPr>
                <w:sz w:val="20"/>
                <w:szCs w:val="20"/>
                <w:color w:val="auto"/>
              </w:rPr>
            </w:pPr>
            <w:r>
              <w:rPr>
                <w:rFonts w:ascii="Calibri" w:cs="Calibri" w:eastAsia="Calibri" w:hAnsi="Calibri"/>
                <w:sz w:val="18"/>
                <w:szCs w:val="18"/>
                <w:b w:val="1"/>
                <w:bCs w:val="1"/>
                <w:color w:val="auto"/>
              </w:rPr>
              <w:t>Total</w:t>
            </w:r>
          </w:p>
        </w:tc>
        <w:tc>
          <w:tcPr>
            <w:tcW w:w="0" w:type="dxa"/>
            <w:vAlign w:val="bottom"/>
          </w:tcPr>
          <w:p>
            <w:pPr>
              <w:spacing w:after="0"/>
              <w:rPr>
                <w:sz w:val="1"/>
                <w:szCs w:val="1"/>
                <w:color w:val="auto"/>
              </w:rPr>
            </w:pPr>
          </w:p>
        </w:tc>
      </w:tr>
      <w:tr>
        <w:trPr>
          <w:trHeight w:val="33"/>
        </w:trPr>
        <w:tc>
          <w:tcPr>
            <w:tcW w:w="5160" w:type="dxa"/>
            <w:vAlign w:val="bottom"/>
            <w:vMerge w:val="restart"/>
          </w:tcPr>
          <w:p>
            <w:pPr>
              <w:ind w:left="20"/>
              <w:spacing w:after="0" w:line="263" w:lineRule="exact"/>
              <w:rPr>
                <w:sz w:val="20"/>
                <w:szCs w:val="20"/>
                <w:color w:val="auto"/>
              </w:rPr>
            </w:pPr>
            <w:r>
              <w:rPr>
                <w:rFonts w:ascii="Calibri" w:cs="Calibri" w:eastAsia="Calibri" w:hAnsi="Calibri"/>
                <w:sz w:val="18"/>
                <w:szCs w:val="18"/>
                <w:color w:val="auto"/>
              </w:rPr>
              <w:t xml:space="preserve">Core products and services </w:t>
            </w:r>
            <w:r>
              <w:rPr>
                <w:rFonts w:ascii="Calibri" w:cs="Calibri" w:eastAsia="Calibri" w:hAnsi="Calibri"/>
                <w:sz w:val="24"/>
                <w:szCs w:val="24"/>
                <w:color w:val="auto"/>
                <w:vertAlign w:val="superscript"/>
              </w:rPr>
              <w:t>(1)</w:t>
            </w: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1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60" w:type="dxa"/>
            <w:vAlign w:val="bottom"/>
          </w:tcPr>
          <w:p>
            <w:pPr>
              <w:ind w:left="200"/>
              <w:spacing w:after="0" w:line="215" w:lineRule="exact"/>
              <w:rPr>
                <w:sz w:val="20"/>
                <w:szCs w:val="20"/>
                <w:color w:val="auto"/>
              </w:rPr>
            </w:pPr>
            <w:r>
              <w:rPr>
                <w:rFonts w:ascii="Calibri" w:cs="Calibri" w:eastAsia="Calibri" w:hAnsi="Calibri"/>
                <w:sz w:val="18"/>
                <w:szCs w:val="18"/>
                <w:color w:val="auto"/>
              </w:rPr>
              <w:t>Plates, inks and other consumables</w:t>
            </w:r>
          </w:p>
        </w:tc>
        <w:tc>
          <w:tcPr>
            <w:tcW w:w="22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w w:val="87"/>
              </w:rPr>
              <w:t>$</w:t>
            </w:r>
          </w:p>
        </w:tc>
        <w:tc>
          <w:tcPr>
            <w:tcW w:w="820" w:type="dxa"/>
            <w:vAlign w:val="bottom"/>
          </w:tcPr>
          <w:p>
            <w:pPr>
              <w:jc w:val="right"/>
              <w:spacing w:after="0" w:line="215" w:lineRule="exact"/>
              <w:rPr>
                <w:sz w:val="20"/>
                <w:szCs w:val="20"/>
                <w:color w:val="auto"/>
              </w:rPr>
            </w:pPr>
            <w:r>
              <w:rPr>
                <w:rFonts w:ascii="Calibri" w:cs="Calibri" w:eastAsia="Calibri" w:hAnsi="Calibri"/>
                <w:sz w:val="18"/>
                <w:szCs w:val="18"/>
                <w:color w:val="auto"/>
              </w:rPr>
              <w:t>520</w:t>
            </w:r>
          </w:p>
        </w:tc>
        <w:tc>
          <w:tcPr>
            <w:tcW w:w="360" w:type="dxa"/>
            <w:vAlign w:val="bottom"/>
            <w:gridSpan w:val="3"/>
          </w:tcPr>
          <w:p>
            <w:pPr>
              <w:jc w:val="right"/>
              <w:ind w:right="20"/>
              <w:spacing w:after="0" w:line="215" w:lineRule="exact"/>
              <w:rPr>
                <w:sz w:val="20"/>
                <w:szCs w:val="20"/>
                <w:color w:val="auto"/>
              </w:rPr>
            </w:pPr>
            <w:r>
              <w:rPr>
                <w:rFonts w:ascii="Calibri" w:cs="Calibri" w:eastAsia="Calibri" w:hAnsi="Calibri"/>
                <w:sz w:val="18"/>
                <w:szCs w:val="18"/>
                <w:color w:val="auto"/>
              </w:rPr>
              <w:t>$</w:t>
            </w:r>
          </w:p>
        </w:tc>
        <w:tc>
          <w:tcPr>
            <w:tcW w:w="880" w:type="dxa"/>
            <w:vAlign w:val="bottom"/>
          </w:tcPr>
          <w:p>
            <w:pPr>
              <w:jc w:val="right"/>
              <w:spacing w:after="0" w:line="215" w:lineRule="exact"/>
              <w:rPr>
                <w:sz w:val="20"/>
                <w:szCs w:val="20"/>
                <w:color w:val="auto"/>
              </w:rPr>
            </w:pPr>
            <w:r>
              <w:rPr>
                <w:rFonts w:ascii="Calibri" w:cs="Calibri" w:eastAsia="Calibri" w:hAnsi="Calibri"/>
                <w:sz w:val="18"/>
                <w:szCs w:val="18"/>
                <w:color w:val="auto"/>
              </w:rPr>
              <w:t>27</w:t>
            </w:r>
          </w:p>
        </w:tc>
        <w:tc>
          <w:tcPr>
            <w:tcW w:w="420" w:type="dxa"/>
            <w:vAlign w:val="bottom"/>
            <w:gridSpan w:val="3"/>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1040" w:type="dxa"/>
            <w:vAlign w:val="bottom"/>
            <w:gridSpan w:val="3"/>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20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w w:val="87"/>
              </w:rPr>
              <w:t>$</w:t>
            </w:r>
          </w:p>
        </w:tc>
        <w:tc>
          <w:tcPr>
            <w:tcW w:w="80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440" w:type="dxa"/>
            <w:vAlign w:val="bottom"/>
            <w:gridSpan w:val="3"/>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800" w:type="dxa"/>
            <w:vAlign w:val="bottom"/>
          </w:tcPr>
          <w:p>
            <w:pPr>
              <w:jc w:val="right"/>
              <w:spacing w:after="0" w:line="215" w:lineRule="exact"/>
              <w:rPr>
                <w:sz w:val="20"/>
                <w:szCs w:val="20"/>
                <w:color w:val="auto"/>
              </w:rPr>
            </w:pPr>
            <w:r>
              <w:rPr>
                <w:rFonts w:ascii="Calibri" w:cs="Calibri" w:eastAsia="Calibri" w:hAnsi="Calibri"/>
                <w:sz w:val="18"/>
                <w:szCs w:val="18"/>
                <w:color w:val="auto"/>
              </w:rPr>
              <w:t>547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Borders>
              <w:bottom w:val="single" w:sz="8" w:color="CFF0FC"/>
            </w:tcBorders>
            <w:shd w:val="clear" w:color="auto" w:fill="CFF0FC"/>
          </w:tcPr>
          <w:p>
            <w:pPr>
              <w:ind w:left="200"/>
              <w:spacing w:after="0" w:line="216" w:lineRule="exact"/>
              <w:rPr>
                <w:sz w:val="20"/>
                <w:szCs w:val="20"/>
                <w:color w:val="auto"/>
              </w:rPr>
            </w:pPr>
            <w:r>
              <w:rPr>
                <w:rFonts w:ascii="Calibri" w:cs="Calibri" w:eastAsia="Calibri" w:hAnsi="Calibri"/>
                <w:sz w:val="18"/>
                <w:szCs w:val="18"/>
                <w:color w:val="auto"/>
              </w:rPr>
              <w:t>Ongoing service arrangements</w:t>
            </w: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155</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155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tcPr>
          <w:p>
            <w:pPr>
              <w:ind w:left="380"/>
              <w:spacing w:after="0" w:line="209" w:lineRule="exact"/>
              <w:rPr>
                <w:sz w:val="20"/>
                <w:szCs w:val="20"/>
                <w:color w:val="auto"/>
              </w:rPr>
            </w:pPr>
            <w:r>
              <w:rPr>
                <w:rFonts w:ascii="Calibri" w:cs="Calibri" w:eastAsia="Calibri" w:hAnsi="Calibri"/>
                <w:sz w:val="18"/>
                <w:szCs w:val="18"/>
                <w:color w:val="auto"/>
              </w:rPr>
              <w:t>Total annuites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675</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27</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702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shd w:val="clear" w:color="auto" w:fill="CFF0FC"/>
          </w:tcPr>
          <w:p>
            <w:pPr>
              <w:ind w:left="200"/>
              <w:spacing w:after="0" w:line="210" w:lineRule="exact"/>
              <w:rPr>
                <w:sz w:val="20"/>
                <w:szCs w:val="20"/>
                <w:color w:val="auto"/>
              </w:rPr>
            </w:pPr>
            <w:r>
              <w:rPr>
                <w:rFonts w:ascii="Calibri" w:cs="Calibri" w:eastAsia="Calibri" w:hAnsi="Calibri"/>
                <w:sz w:val="18"/>
                <w:szCs w:val="18"/>
                <w:color w:val="auto"/>
              </w:rPr>
              <w:t>Equipment &amp; Sofware</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62</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1</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gridSpan w:val="3"/>
            <w:shd w:val="clear" w:color="auto" w:fill="CFF0FC"/>
          </w:tcPr>
          <w:p>
            <w:pPr>
              <w:jc w:val="right"/>
              <w:ind w:right="240"/>
              <w:spacing w:after="0" w:line="210" w:lineRule="exact"/>
              <w:rPr>
                <w:sz w:val="20"/>
                <w:szCs w:val="20"/>
                <w:color w:val="auto"/>
              </w:rPr>
            </w:pPr>
            <w:r>
              <w:rPr>
                <w:rFonts w:ascii="Calibri" w:cs="Calibri" w:eastAsia="Calibri" w:hAnsi="Calibri"/>
                <w:sz w:val="18"/>
                <w:szCs w:val="18"/>
                <w:color w:val="auto"/>
              </w:rPr>
              <w:t>—</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63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60" w:type="dxa"/>
            <w:vAlign w:val="bottom"/>
          </w:tcPr>
          <w:p>
            <w:pPr>
              <w:ind w:left="200"/>
              <w:spacing w:after="0" w:line="215" w:lineRule="exact"/>
              <w:rPr>
                <w:sz w:val="20"/>
                <w:szCs w:val="20"/>
                <w:color w:val="auto"/>
              </w:rPr>
            </w:pPr>
            <w:r>
              <w:rPr>
                <w:rFonts w:ascii="Calibri" w:cs="Calibri" w:eastAsia="Calibri" w:hAnsi="Calibri"/>
                <w:sz w:val="18"/>
                <w:szCs w:val="18"/>
                <w:color w:val="auto"/>
              </w:rPr>
              <w:t>Film and chemicals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239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220" w:type="dxa"/>
            <w:vAlign w:val="bottom"/>
            <w:gridSpan w:val="2"/>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5160" w:type="dxa"/>
            <w:vAlign w:val="bottom"/>
          </w:tcPr>
          <w:p>
            <w:pPr>
              <w:ind w:left="380"/>
              <w:spacing w:after="0" w:line="177" w:lineRule="exact"/>
              <w:rPr>
                <w:sz w:val="20"/>
                <w:szCs w:val="20"/>
                <w:color w:val="auto"/>
              </w:rPr>
            </w:pPr>
            <w:r>
              <w:rPr>
                <w:rFonts w:ascii="Calibri" w:cs="Calibri" w:eastAsia="Calibri" w:hAnsi="Calibri"/>
                <w:sz w:val="18"/>
                <w:szCs w:val="18"/>
                <w:color w:val="auto"/>
              </w:rPr>
              <w:t>Total core products and services</w:t>
            </w:r>
          </w:p>
        </w:tc>
        <w:tc>
          <w:tcPr>
            <w:tcW w:w="220" w:type="dxa"/>
            <w:vAlign w:val="bottom"/>
          </w:tcPr>
          <w:p>
            <w:pPr>
              <w:spacing w:after="0"/>
              <w:rPr>
                <w:sz w:val="15"/>
                <w:szCs w:val="15"/>
                <w:color w:val="auto"/>
              </w:rPr>
            </w:pPr>
          </w:p>
        </w:tc>
        <w:tc>
          <w:tcPr>
            <w:tcW w:w="820" w:type="dxa"/>
            <w:vAlign w:val="bottom"/>
          </w:tcPr>
          <w:p>
            <w:pPr>
              <w:jc w:val="right"/>
              <w:spacing w:after="0" w:line="177" w:lineRule="exact"/>
              <w:rPr>
                <w:sz w:val="20"/>
                <w:szCs w:val="20"/>
                <w:color w:val="auto"/>
              </w:rPr>
            </w:pPr>
            <w:r>
              <w:rPr>
                <w:rFonts w:ascii="Calibri" w:cs="Calibri" w:eastAsia="Calibri" w:hAnsi="Calibri"/>
                <w:sz w:val="18"/>
                <w:szCs w:val="18"/>
                <w:color w:val="auto"/>
              </w:rPr>
              <w:t>737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line="177" w:lineRule="exact"/>
              <w:rPr>
                <w:sz w:val="20"/>
                <w:szCs w:val="20"/>
                <w:color w:val="auto"/>
              </w:rPr>
            </w:pPr>
            <w:r>
              <w:rPr>
                <w:rFonts w:ascii="Calibri" w:cs="Calibri" w:eastAsia="Calibri" w:hAnsi="Calibri"/>
                <w:sz w:val="18"/>
                <w:szCs w:val="18"/>
                <w:color w:val="auto"/>
              </w:rPr>
              <w:t>267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3"/>
          </w:tcPr>
          <w:p>
            <w:pPr>
              <w:jc w:val="right"/>
              <w:ind w:right="240"/>
              <w:spacing w:after="0" w:line="177" w:lineRule="exact"/>
              <w:rPr>
                <w:sz w:val="20"/>
                <w:szCs w:val="20"/>
                <w:color w:val="auto"/>
              </w:rPr>
            </w:pPr>
            <w:r>
              <w:rPr>
                <w:rFonts w:ascii="Calibri" w:cs="Calibri" w:eastAsia="Calibri" w:hAnsi="Calibri"/>
                <w:sz w:val="18"/>
                <w:szCs w:val="18"/>
                <w:color w:val="auto"/>
              </w:rPr>
              <w:t>—</w:t>
            </w:r>
          </w:p>
        </w:tc>
        <w:tc>
          <w:tcPr>
            <w:tcW w:w="200" w:type="dxa"/>
            <w:vAlign w:val="bottom"/>
          </w:tcPr>
          <w:p>
            <w:pPr>
              <w:spacing w:after="0"/>
              <w:rPr>
                <w:sz w:val="15"/>
                <w:szCs w:val="15"/>
                <w:color w:val="auto"/>
              </w:rPr>
            </w:pPr>
          </w:p>
        </w:tc>
        <w:tc>
          <w:tcPr>
            <w:tcW w:w="800" w:type="dxa"/>
            <w:vAlign w:val="bottom"/>
          </w:tcPr>
          <w:p>
            <w:pPr>
              <w:jc w:val="right"/>
              <w:spacing w:after="0" w:line="177"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line="177" w:lineRule="exact"/>
              <w:rPr>
                <w:sz w:val="20"/>
                <w:szCs w:val="20"/>
                <w:color w:val="auto"/>
              </w:rPr>
            </w:pPr>
            <w:r>
              <w:rPr>
                <w:rFonts w:ascii="Calibri" w:cs="Calibri" w:eastAsia="Calibri" w:hAnsi="Calibri"/>
                <w:sz w:val="18"/>
                <w:szCs w:val="18"/>
                <w:color w:val="auto"/>
              </w:rPr>
              <w:t>1,004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5160" w:type="dxa"/>
            <w:vAlign w:val="bottom"/>
            <w:vMerge w:val="restart"/>
          </w:tcPr>
          <w:p>
            <w:pPr>
              <w:ind w:left="20"/>
              <w:spacing w:after="0" w:line="216" w:lineRule="exact"/>
              <w:rPr>
                <w:sz w:val="20"/>
                <w:szCs w:val="20"/>
                <w:color w:val="auto"/>
              </w:rPr>
            </w:pPr>
            <w:r>
              <w:rPr>
                <w:rFonts w:ascii="Calibri" w:cs="Calibri" w:eastAsia="Calibri" w:hAnsi="Calibri"/>
                <w:sz w:val="17"/>
                <w:szCs w:val="17"/>
                <w:color w:val="auto"/>
              </w:rPr>
              <w:t xml:space="preserve">Growth products </w:t>
            </w:r>
            <w:r>
              <w:rPr>
                <w:rFonts w:ascii="Calibri" w:cs="Calibri" w:eastAsia="Calibri" w:hAnsi="Calibri"/>
                <w:sz w:val="23"/>
                <w:szCs w:val="23"/>
                <w:color w:val="auto"/>
                <w:vertAlign w:val="superscript"/>
              </w:rPr>
              <w:t>(2)</w:t>
            </w: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gridSpan w:val="2"/>
            <w:vMerge w:val="restart"/>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51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line="163" w:lineRule="exact"/>
              <w:rPr>
                <w:sz w:val="20"/>
                <w:szCs w:val="20"/>
                <w:color w:val="auto"/>
              </w:rPr>
            </w:pPr>
            <w:r>
              <w:rPr>
                <w:rFonts w:ascii="Calibri" w:cs="Calibri" w:eastAsia="Calibri" w:hAnsi="Calibri"/>
                <w:sz w:val="17"/>
                <w:szCs w:val="17"/>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line="163" w:lineRule="exact"/>
              <w:rPr>
                <w:sz w:val="20"/>
                <w:szCs w:val="20"/>
                <w:color w:val="auto"/>
              </w:rPr>
            </w:pPr>
            <w:r>
              <w:rPr>
                <w:rFonts w:ascii="Calibri" w:cs="Calibri" w:eastAsia="Calibri" w:hAnsi="Calibri"/>
                <w:sz w:val="17"/>
                <w:szCs w:val="17"/>
                <w:color w:val="auto"/>
              </w:rPr>
              <w:t>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spacing w:after="0" w:line="163" w:lineRule="exact"/>
              <w:rPr>
                <w:sz w:val="20"/>
                <w:szCs w:val="20"/>
                <w:color w:val="auto"/>
              </w:rPr>
            </w:pPr>
            <w:r>
              <w:rPr>
                <w:rFonts w:ascii="Calibri" w:cs="Calibri" w:eastAsia="Calibri" w:hAnsi="Calibri"/>
                <w:sz w:val="17"/>
                <w:szCs w:val="17"/>
                <w:color w:val="auto"/>
              </w:rPr>
              <w:t>—</w:t>
            </w:r>
          </w:p>
        </w:tc>
        <w:tc>
          <w:tcPr>
            <w:tcW w:w="2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line="163" w:lineRule="exact"/>
              <w:rPr>
                <w:sz w:val="20"/>
                <w:szCs w:val="20"/>
                <w:color w:val="auto"/>
              </w:rPr>
            </w:pPr>
            <w:r>
              <w:rPr>
                <w:rFonts w:ascii="Calibri" w:cs="Calibri" w:eastAsia="Calibri" w:hAnsi="Calibri"/>
                <w:sz w:val="17"/>
                <w:szCs w:val="17"/>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line="163" w:lineRule="exact"/>
              <w:rPr>
                <w:sz w:val="20"/>
                <w:szCs w:val="20"/>
                <w:color w:val="auto"/>
              </w:rPr>
            </w:pPr>
            <w:r>
              <w:rPr>
                <w:rFonts w:ascii="Calibri" w:cs="Calibri" w:eastAsia="Calibri" w:hAnsi="Calibri"/>
                <w:sz w:val="17"/>
                <w:szCs w:val="17"/>
                <w:color w:val="auto"/>
              </w:rPr>
              <w:t>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5160" w:type="dxa"/>
            <w:vAlign w:val="bottom"/>
          </w:tcPr>
          <w:p>
            <w:pPr>
              <w:ind w:left="20"/>
              <w:spacing w:after="0" w:line="263" w:lineRule="exact"/>
              <w:rPr>
                <w:sz w:val="20"/>
                <w:szCs w:val="20"/>
                <w:color w:val="auto"/>
              </w:rPr>
            </w:pPr>
            <w:r>
              <w:rPr>
                <w:rFonts w:ascii="Calibri" w:cs="Calibri" w:eastAsia="Calibri" w:hAnsi="Calibri"/>
                <w:sz w:val="18"/>
                <w:szCs w:val="18"/>
                <w:color w:val="auto"/>
              </w:rPr>
              <w:t xml:space="preserve">Other </w:t>
            </w:r>
            <w:r>
              <w:rPr>
                <w:rFonts w:ascii="Calibri" w:cs="Calibri" w:eastAsia="Calibri" w:hAnsi="Calibri"/>
                <w:sz w:val="24"/>
                <w:szCs w:val="24"/>
                <w:color w:val="auto"/>
                <w:vertAlign w:val="superscript"/>
              </w:rPr>
              <w:t>(3)</w:t>
            </w: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color w:val="auto"/>
              </w:rPr>
              <w:t>20</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color w:val="auto"/>
              </w:rPr>
              <w:t>15</w:t>
            </w: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color w:val="auto"/>
              </w:rPr>
              <w:t>35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5160" w:type="dxa"/>
            <w:vAlign w:val="bottom"/>
          </w:tcPr>
          <w:p>
            <w:pPr>
              <w:ind w:left="20"/>
              <w:spacing w:after="0" w:line="195" w:lineRule="exact"/>
              <w:rPr>
                <w:sz w:val="20"/>
                <w:szCs w:val="20"/>
                <w:color w:val="auto"/>
              </w:rPr>
            </w:pPr>
            <w:r>
              <w:rPr>
                <w:rFonts w:ascii="Calibri" w:cs="Calibri" w:eastAsia="Calibri" w:hAnsi="Calibri"/>
                <w:sz w:val="18"/>
                <w:szCs w:val="18"/>
                <w:color w:val="auto"/>
              </w:rPr>
              <w:t>Total</w:t>
            </w:r>
          </w:p>
        </w:tc>
        <w:tc>
          <w:tcPr>
            <w:tcW w:w="220" w:type="dxa"/>
            <w:vAlign w:val="bottom"/>
          </w:tcPr>
          <w:p>
            <w:pPr>
              <w:jc w:val="right"/>
              <w:ind w:right="30"/>
              <w:spacing w:after="0" w:line="209" w:lineRule="exact"/>
              <w:rPr>
                <w:sz w:val="20"/>
                <w:szCs w:val="20"/>
                <w:color w:val="auto"/>
              </w:rPr>
            </w:pPr>
            <w:r>
              <w:rPr>
                <w:rFonts w:ascii="Calibri" w:cs="Calibri" w:eastAsia="Calibri" w:hAnsi="Calibri"/>
                <w:sz w:val="18"/>
                <w:szCs w:val="18"/>
                <w:color w:val="auto"/>
                <w:w w:val="87"/>
              </w:rPr>
              <w:t>$</w:t>
            </w:r>
          </w:p>
        </w:tc>
        <w:tc>
          <w:tcPr>
            <w:tcW w:w="820" w:type="dxa"/>
            <w:vAlign w:val="bottom"/>
          </w:tcPr>
          <w:p>
            <w:pPr>
              <w:jc w:val="right"/>
              <w:spacing w:after="0" w:line="209" w:lineRule="exact"/>
              <w:rPr>
                <w:sz w:val="20"/>
                <w:szCs w:val="20"/>
                <w:color w:val="auto"/>
              </w:rPr>
            </w:pPr>
            <w:r>
              <w:rPr>
                <w:rFonts w:ascii="Calibri" w:cs="Calibri" w:eastAsia="Calibri" w:hAnsi="Calibri"/>
                <w:sz w:val="18"/>
                <w:szCs w:val="18"/>
                <w:color w:val="auto"/>
              </w:rPr>
              <w:t>737</w:t>
            </w:r>
          </w:p>
        </w:tc>
        <w:tc>
          <w:tcPr>
            <w:tcW w:w="360" w:type="dxa"/>
            <w:vAlign w:val="bottom"/>
            <w:gridSpan w:val="3"/>
          </w:tcPr>
          <w:p>
            <w:pPr>
              <w:jc w:val="right"/>
              <w:ind w:right="20"/>
              <w:spacing w:after="0" w:line="209" w:lineRule="exact"/>
              <w:rPr>
                <w:sz w:val="20"/>
                <w:szCs w:val="20"/>
                <w:color w:val="auto"/>
              </w:rPr>
            </w:pPr>
            <w:r>
              <w:rPr>
                <w:rFonts w:ascii="Calibri" w:cs="Calibri" w:eastAsia="Calibri" w:hAnsi="Calibri"/>
                <w:sz w:val="18"/>
                <w:szCs w:val="18"/>
                <w:color w:val="auto"/>
              </w:rPr>
              <w:t>$</w:t>
            </w:r>
          </w:p>
        </w:tc>
        <w:tc>
          <w:tcPr>
            <w:tcW w:w="880" w:type="dxa"/>
            <w:vAlign w:val="bottom"/>
          </w:tcPr>
          <w:p>
            <w:pPr>
              <w:jc w:val="right"/>
              <w:spacing w:after="0" w:line="209" w:lineRule="exact"/>
              <w:rPr>
                <w:sz w:val="20"/>
                <w:szCs w:val="20"/>
                <w:color w:val="auto"/>
              </w:rPr>
            </w:pPr>
            <w:r>
              <w:rPr>
                <w:rFonts w:ascii="Calibri" w:cs="Calibri" w:eastAsia="Calibri" w:hAnsi="Calibri"/>
                <w:sz w:val="18"/>
                <w:szCs w:val="18"/>
                <w:color w:val="auto"/>
              </w:rPr>
              <w:t>271</w:t>
            </w:r>
          </w:p>
        </w:tc>
        <w:tc>
          <w:tcPr>
            <w:tcW w:w="420" w:type="dxa"/>
            <w:vAlign w:val="bottom"/>
            <w:gridSpan w:val="3"/>
          </w:tcPr>
          <w:p>
            <w:pPr>
              <w:jc w:val="right"/>
              <w:ind w:right="10"/>
              <w:spacing w:after="0" w:line="209" w:lineRule="exact"/>
              <w:rPr>
                <w:sz w:val="20"/>
                <w:szCs w:val="20"/>
                <w:color w:val="auto"/>
              </w:rPr>
            </w:pPr>
            <w:r>
              <w:rPr>
                <w:rFonts w:ascii="Calibri" w:cs="Calibri" w:eastAsia="Calibri" w:hAnsi="Calibri"/>
                <w:sz w:val="18"/>
                <w:szCs w:val="18"/>
                <w:color w:val="auto"/>
              </w:rPr>
              <w:t>$</w:t>
            </w:r>
          </w:p>
        </w:tc>
        <w:tc>
          <w:tcPr>
            <w:tcW w:w="820" w:type="dxa"/>
            <w:vAlign w:val="bottom"/>
          </w:tcPr>
          <w:p>
            <w:pPr>
              <w:jc w:val="right"/>
              <w:spacing w:after="0" w:line="209" w:lineRule="exact"/>
              <w:rPr>
                <w:sz w:val="20"/>
                <w:szCs w:val="20"/>
                <w:color w:val="auto"/>
              </w:rPr>
            </w:pPr>
            <w:r>
              <w:rPr>
                <w:rFonts w:ascii="Calibri" w:cs="Calibri" w:eastAsia="Calibri" w:hAnsi="Calibri"/>
                <w:sz w:val="18"/>
                <w:szCs w:val="18"/>
                <w:color w:val="auto"/>
              </w:rPr>
              <w:t>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jc w:val="right"/>
              <w:ind w:right="10"/>
              <w:spacing w:after="0" w:line="209" w:lineRule="exact"/>
              <w:rPr>
                <w:sz w:val="20"/>
                <w:szCs w:val="20"/>
                <w:color w:val="auto"/>
              </w:rPr>
            </w:pPr>
            <w:r>
              <w:rPr>
                <w:rFonts w:ascii="Calibri" w:cs="Calibri" w:eastAsia="Calibri" w:hAnsi="Calibri"/>
                <w:sz w:val="18"/>
                <w:szCs w:val="18"/>
                <w:color w:val="auto"/>
                <w:w w:val="87"/>
              </w:rPr>
              <w:t>$</w:t>
            </w:r>
          </w:p>
        </w:tc>
        <w:tc>
          <w:tcPr>
            <w:tcW w:w="800" w:type="dxa"/>
            <w:vAlign w:val="bottom"/>
          </w:tcPr>
          <w:p>
            <w:pPr>
              <w:jc w:val="right"/>
              <w:spacing w:after="0" w:line="209" w:lineRule="exact"/>
              <w:rPr>
                <w:sz w:val="20"/>
                <w:szCs w:val="20"/>
                <w:color w:val="auto"/>
              </w:rPr>
            </w:pPr>
            <w:r>
              <w:rPr>
                <w:rFonts w:ascii="Calibri" w:cs="Calibri" w:eastAsia="Calibri" w:hAnsi="Calibri"/>
                <w:sz w:val="18"/>
                <w:szCs w:val="18"/>
                <w:color w:val="auto"/>
              </w:rPr>
              <w:t>15</w:t>
            </w:r>
          </w:p>
        </w:tc>
        <w:tc>
          <w:tcPr>
            <w:tcW w:w="440" w:type="dxa"/>
            <w:vAlign w:val="bottom"/>
            <w:gridSpan w:val="3"/>
          </w:tcPr>
          <w:p>
            <w:pPr>
              <w:jc w:val="right"/>
              <w:ind w:right="120"/>
              <w:spacing w:after="0" w:line="209" w:lineRule="exact"/>
              <w:rPr>
                <w:sz w:val="20"/>
                <w:szCs w:val="20"/>
                <w:color w:val="auto"/>
              </w:rPr>
            </w:pPr>
            <w:r>
              <w:rPr>
                <w:rFonts w:ascii="Calibri" w:cs="Calibri" w:eastAsia="Calibri" w:hAnsi="Calibri"/>
                <w:sz w:val="18"/>
                <w:szCs w:val="18"/>
                <w:color w:val="auto"/>
              </w:rPr>
              <w:t>$</w:t>
            </w:r>
          </w:p>
        </w:tc>
        <w:tc>
          <w:tcPr>
            <w:tcW w:w="800" w:type="dxa"/>
            <w:vAlign w:val="bottom"/>
          </w:tcPr>
          <w:p>
            <w:pPr>
              <w:jc w:val="right"/>
              <w:spacing w:after="0" w:line="209" w:lineRule="exact"/>
              <w:rPr>
                <w:sz w:val="20"/>
                <w:szCs w:val="20"/>
                <w:color w:val="auto"/>
              </w:rPr>
            </w:pPr>
            <w:r>
              <w:rPr>
                <w:rFonts w:ascii="Calibri" w:cs="Calibri" w:eastAsia="Calibri" w:hAnsi="Calibri"/>
                <w:sz w:val="18"/>
                <w:szCs w:val="18"/>
                <w:color w:val="auto"/>
              </w:rPr>
              <w:t>1,043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-1439545</wp:posOffset>
            </wp:positionV>
            <wp:extent cx="7132320" cy="13716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-1028065</wp:posOffset>
            </wp:positionV>
            <wp:extent cx="7683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-1028065</wp:posOffset>
            </wp:positionV>
            <wp:extent cx="6858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-1028065</wp:posOffset>
            </wp:positionV>
            <wp:extent cx="6858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-1028065</wp:posOffset>
            </wp:positionV>
            <wp:extent cx="6858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-1028065</wp:posOffset>
            </wp:positionV>
            <wp:extent cx="6858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-590550</wp:posOffset>
            </wp:positionV>
            <wp:extent cx="7132320" cy="14541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-307975</wp:posOffset>
            </wp:positionV>
            <wp:extent cx="7132320" cy="14541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0"/>
        <w:spacing w:after="0"/>
        <w:rPr>
          <w:sz w:val="20"/>
          <w:szCs w:val="20"/>
          <w:color w:val="auto"/>
        </w:rPr>
      </w:pPr>
      <w:r>
        <w:rPr>
          <w:rFonts w:ascii="Calibri" w:cs="Calibri" w:eastAsia="Calibri" w:hAnsi="Calibri"/>
          <w:sz w:val="14"/>
          <w:szCs w:val="14"/>
          <w:color w:val="auto"/>
        </w:rPr>
        <w:t>(in millions)</w:t>
      </w:r>
    </w:p>
    <w:p>
      <w:pPr>
        <w:ind w:left="20"/>
        <w:spacing w:after="0" w:line="206" w:lineRule="auto"/>
        <w:rPr>
          <w:sz w:val="20"/>
          <w:szCs w:val="20"/>
          <w:color w:val="auto"/>
        </w:rPr>
      </w:pPr>
      <w:r>
        <w:rPr>
          <w:rFonts w:ascii="Calibri" w:cs="Calibri" w:eastAsia="Calibri" w:hAnsi="Calibri"/>
          <w:sz w:val="18"/>
          <w:szCs w:val="18"/>
          <w:color w:val="auto"/>
        </w:rPr>
        <w:t xml:space="preserve">Core products and services </w:t>
      </w:r>
      <w:r>
        <w:rPr>
          <w:rFonts w:ascii="Calibri" w:cs="Calibri" w:eastAsia="Calibri" w:hAnsi="Calibri"/>
          <w:sz w:val="24"/>
          <w:szCs w:val="24"/>
          <w:color w:val="auto"/>
          <w:vertAlign w:val="superscript"/>
        </w:rPr>
        <w:t>(1)</w:t>
      </w:r>
    </w:p>
    <w:p>
      <w:pPr>
        <w:ind w:left="200"/>
        <w:spacing w:after="0" w:line="208" w:lineRule="auto"/>
        <w:rPr>
          <w:sz w:val="20"/>
          <w:szCs w:val="20"/>
          <w:color w:val="auto"/>
        </w:rPr>
      </w:pPr>
      <w:r>
        <w:rPr>
          <w:rFonts w:ascii="Calibri" w:cs="Calibri" w:eastAsia="Calibri" w:hAnsi="Calibri"/>
          <w:sz w:val="17"/>
          <w:szCs w:val="17"/>
          <w:color w:val="auto"/>
        </w:rPr>
        <w:t>Plates, inks and other consumables</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4"/>
          </w:tcPr>
          <w:p>
            <w:pPr>
              <w:jc w:val="center"/>
              <w:ind w:right="360"/>
              <w:spacing w:after="0"/>
              <w:rPr>
                <w:sz w:val="20"/>
                <w:szCs w:val="20"/>
                <w:color w:val="auto"/>
              </w:rPr>
            </w:pPr>
            <w:r>
              <w:rPr>
                <w:rFonts w:ascii="Calibri" w:cs="Calibri" w:eastAsia="Calibri" w:hAnsi="Calibri"/>
                <w:sz w:val="18"/>
                <w:szCs w:val="18"/>
                <w:b w:val="1"/>
                <w:bCs w:val="1"/>
                <w:color w:val="auto"/>
                <w:w w:val="96"/>
              </w:rPr>
              <w:t>Year Ended</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16"/>
        </w:trPr>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60" w:type="dxa"/>
            <w:vAlign w:val="bottom"/>
            <w:gridSpan w:val="5"/>
          </w:tcPr>
          <w:p>
            <w:pPr>
              <w:jc w:val="center"/>
              <w:ind w:right="240"/>
              <w:spacing w:after="0" w:line="216" w:lineRule="exact"/>
              <w:rPr>
                <w:sz w:val="20"/>
                <w:szCs w:val="20"/>
                <w:color w:val="auto"/>
              </w:rPr>
            </w:pPr>
            <w:r>
              <w:rPr>
                <w:rFonts w:ascii="Calibri" w:cs="Calibri" w:eastAsia="Calibri" w:hAnsi="Calibri"/>
                <w:sz w:val="18"/>
                <w:szCs w:val="18"/>
                <w:b w:val="1"/>
                <w:bCs w:val="1"/>
                <w:color w:val="auto"/>
                <w:w w:val="98"/>
              </w:rPr>
              <w:t>December 31, 2023</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center"/>
              <w:ind w:right="30"/>
              <w:spacing w:after="0" w:line="216" w:lineRule="exact"/>
              <w:rPr>
                <w:sz w:val="20"/>
                <w:szCs w:val="20"/>
                <w:color w:val="auto"/>
              </w:rPr>
            </w:pPr>
            <w:r>
              <w:rPr>
                <w:rFonts w:ascii="Calibri" w:cs="Calibri" w:eastAsia="Calibri" w:hAnsi="Calibri"/>
                <w:sz w:val="18"/>
                <w:szCs w:val="18"/>
                <w:b w:val="1"/>
                <w:bCs w:val="1"/>
                <w:color w:val="auto"/>
                <w:w w:val="97"/>
              </w:rPr>
              <w:t>Advanced</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center"/>
              <w:ind w:right="30"/>
              <w:spacing w:after="0" w:line="216" w:lineRule="exact"/>
              <w:rPr>
                <w:sz w:val="20"/>
                <w:szCs w:val="20"/>
                <w:color w:val="auto"/>
              </w:rPr>
            </w:pPr>
            <w:r>
              <w:rPr>
                <w:rFonts w:ascii="Calibri" w:cs="Calibri" w:eastAsia="Calibri" w:hAnsi="Calibri"/>
                <w:sz w:val="18"/>
                <w:szCs w:val="18"/>
                <w:b w:val="1"/>
                <w:bCs w:val="1"/>
                <w:color w:val="auto"/>
                <w:w w:val="95"/>
              </w:rPr>
              <w:t>Materials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center"/>
              <w:ind w:right="30"/>
              <w:spacing w:after="0" w:line="216" w:lineRule="exact"/>
              <w:rPr>
                <w:sz w:val="20"/>
                <w:szCs w:val="20"/>
                <w:color w:val="auto"/>
              </w:rPr>
            </w:pPr>
            <w:r>
              <w:rPr>
                <w:rFonts w:ascii="Calibri" w:cs="Calibri" w:eastAsia="Calibri" w:hAnsi="Calibri"/>
                <w:sz w:val="18"/>
                <w:szCs w:val="18"/>
                <w:b w:val="1"/>
                <w:bCs w:val="1"/>
                <w:color w:val="auto"/>
                <w:w w:val="99"/>
              </w:rPr>
              <w:t>and</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820" w:type="dxa"/>
            <w:vAlign w:val="bottom"/>
          </w:tcPr>
          <w:p>
            <w:pPr>
              <w:jc w:val="right"/>
              <w:ind w:right="250"/>
              <w:spacing w:after="0" w:line="216" w:lineRule="exact"/>
              <w:rPr>
                <w:sz w:val="20"/>
                <w:szCs w:val="20"/>
                <w:color w:val="auto"/>
              </w:rPr>
            </w:pPr>
            <w:r>
              <w:rPr>
                <w:rFonts w:ascii="Calibri" w:cs="Calibri" w:eastAsia="Calibri" w:hAnsi="Calibri"/>
                <w:sz w:val="18"/>
                <w:szCs w:val="18"/>
                <w:b w:val="1"/>
                <w:bCs w:val="1"/>
                <w:color w:val="auto"/>
              </w:rPr>
              <w:t>Print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center"/>
              <w:ind w:right="30"/>
              <w:spacing w:after="0" w:line="216" w:lineRule="exact"/>
              <w:rPr>
                <w:sz w:val="20"/>
                <w:szCs w:val="20"/>
                <w:color w:val="auto"/>
              </w:rPr>
            </w:pPr>
            <w:r>
              <w:rPr>
                <w:rFonts w:ascii="Calibri" w:cs="Calibri" w:eastAsia="Calibri" w:hAnsi="Calibri"/>
                <w:sz w:val="18"/>
                <w:szCs w:val="18"/>
                <w:b w:val="1"/>
                <w:bCs w:val="1"/>
                <w:color w:val="auto"/>
                <w:w w:val="95"/>
              </w:rPr>
              <w:t>Chemicals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jc w:val="center"/>
              <w:ind w:right="620"/>
              <w:spacing w:after="0" w:line="216" w:lineRule="exact"/>
              <w:rPr>
                <w:sz w:val="20"/>
                <w:szCs w:val="20"/>
                <w:color w:val="auto"/>
              </w:rPr>
            </w:pPr>
            <w:r>
              <w:rPr>
                <w:rFonts w:ascii="Calibri" w:cs="Calibri" w:eastAsia="Calibri" w:hAnsi="Calibri"/>
                <w:sz w:val="18"/>
                <w:szCs w:val="18"/>
                <w:b w:val="1"/>
                <w:bCs w:val="1"/>
                <w:color w:val="auto"/>
                <w:w w:val="93"/>
              </w:rPr>
              <w:t>Brand</w:t>
            </w:r>
          </w:p>
        </w:tc>
        <w:tc>
          <w:tcPr>
            <w:tcW w:w="1240" w:type="dxa"/>
            <w:vAlign w:val="bottom"/>
            <w:gridSpan w:val="3"/>
          </w:tcPr>
          <w:p>
            <w:pPr>
              <w:ind w:left="80"/>
              <w:spacing w:after="0" w:line="216" w:lineRule="exact"/>
              <w:rPr>
                <w:sz w:val="20"/>
                <w:szCs w:val="20"/>
                <w:color w:val="auto"/>
              </w:rPr>
            </w:pPr>
            <w:r>
              <w:rPr>
                <w:rFonts w:ascii="Calibri" w:cs="Calibri" w:eastAsia="Calibri" w:hAnsi="Calibri"/>
                <w:sz w:val="18"/>
                <w:szCs w:val="18"/>
                <w:b w:val="1"/>
                <w:bCs w:val="1"/>
                <w:color w:val="auto"/>
              </w:rPr>
              <w:t>Other</w:t>
            </w:r>
          </w:p>
        </w:tc>
        <w:tc>
          <w:tcPr>
            <w:tcW w:w="800" w:type="dxa"/>
            <w:vAlign w:val="bottom"/>
          </w:tcPr>
          <w:p>
            <w:pPr>
              <w:jc w:val="right"/>
              <w:ind w:right="230"/>
              <w:spacing w:after="0" w:line="216" w:lineRule="exact"/>
              <w:rPr>
                <w:sz w:val="20"/>
                <w:szCs w:val="20"/>
                <w:color w:val="auto"/>
              </w:rPr>
            </w:pPr>
            <w:r>
              <w:rPr>
                <w:rFonts w:ascii="Calibri" w:cs="Calibri" w:eastAsia="Calibri" w:hAnsi="Calibri"/>
                <w:sz w:val="18"/>
                <w:szCs w:val="18"/>
                <w:b w:val="1"/>
                <w:bCs w:val="1"/>
                <w:color w:val="auto"/>
              </w:rPr>
              <w:t>Total</w:t>
            </w:r>
          </w:p>
        </w:tc>
      </w:tr>
      <w:tr>
        <w:trPr>
          <w:trHeight w:val="23"/>
        </w:trPr>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402"/>
        </w:trPr>
        <w:tc>
          <w:tcPr>
            <w:tcW w:w="220" w:type="dxa"/>
            <w:vAlign w:val="bottom"/>
          </w:tcPr>
          <w:p>
            <w:pPr>
              <w:jc w:val="right"/>
              <w:ind w:right="30"/>
              <w:spacing w:after="0"/>
              <w:rPr>
                <w:sz w:val="20"/>
                <w:szCs w:val="20"/>
                <w:color w:val="auto"/>
              </w:rPr>
            </w:pPr>
            <w:r>
              <w:rPr>
                <w:rFonts w:ascii="Calibri" w:cs="Calibri" w:eastAsia="Calibri" w:hAnsi="Calibri"/>
                <w:sz w:val="18"/>
                <w:szCs w:val="18"/>
                <w:color w:val="auto"/>
                <w:w w:val="87"/>
              </w:rPr>
              <w:t>$</w:t>
            </w:r>
          </w:p>
        </w:tc>
        <w:tc>
          <w:tcPr>
            <w:tcW w:w="820" w:type="dxa"/>
            <w:vAlign w:val="bottom"/>
          </w:tcPr>
          <w:p>
            <w:pPr>
              <w:jc w:val="right"/>
              <w:spacing w:after="0"/>
              <w:rPr>
                <w:sz w:val="20"/>
                <w:szCs w:val="20"/>
                <w:color w:val="auto"/>
              </w:rPr>
            </w:pPr>
            <w:r>
              <w:rPr>
                <w:rFonts w:ascii="Calibri" w:cs="Calibri" w:eastAsia="Calibri" w:hAnsi="Calibri"/>
                <w:sz w:val="18"/>
                <w:szCs w:val="18"/>
                <w:color w:val="auto"/>
              </w:rPr>
              <w:t>571</w:t>
            </w:r>
          </w:p>
        </w:tc>
        <w:tc>
          <w:tcPr>
            <w:tcW w:w="360" w:type="dxa"/>
            <w:vAlign w:val="bottom"/>
            <w:gridSpan w:val="2"/>
          </w:tcPr>
          <w:p>
            <w:pPr>
              <w:jc w:val="right"/>
              <w:ind w:right="20"/>
              <w:spacing w:after="0"/>
              <w:rPr>
                <w:sz w:val="20"/>
                <w:szCs w:val="20"/>
                <w:color w:val="auto"/>
              </w:rPr>
            </w:pPr>
            <w:r>
              <w:rPr>
                <w:rFonts w:ascii="Calibri" w:cs="Calibri" w:eastAsia="Calibri" w:hAnsi="Calibri"/>
                <w:sz w:val="18"/>
                <w:szCs w:val="18"/>
                <w:color w:val="auto"/>
              </w:rPr>
              <w:t>$</w:t>
            </w:r>
          </w:p>
        </w:tc>
        <w:tc>
          <w:tcPr>
            <w:tcW w:w="880" w:type="dxa"/>
            <w:vAlign w:val="bottom"/>
          </w:tcPr>
          <w:p>
            <w:pPr>
              <w:jc w:val="right"/>
              <w:spacing w:after="0"/>
              <w:rPr>
                <w:sz w:val="20"/>
                <w:szCs w:val="20"/>
                <w:color w:val="auto"/>
              </w:rPr>
            </w:pPr>
            <w:r>
              <w:rPr>
                <w:rFonts w:ascii="Calibri" w:cs="Calibri" w:eastAsia="Calibri" w:hAnsi="Calibri"/>
                <w:sz w:val="18"/>
                <w:szCs w:val="18"/>
                <w:color w:val="auto"/>
              </w:rPr>
              <w:t>26</w:t>
            </w:r>
          </w:p>
        </w:tc>
        <w:tc>
          <w:tcPr>
            <w:tcW w:w="420" w:type="dxa"/>
            <w:vAlign w:val="bottom"/>
            <w:gridSpan w:val="2"/>
          </w:tcPr>
          <w:p>
            <w:pPr>
              <w:jc w:val="right"/>
              <w:ind w:right="10"/>
              <w:spacing w:after="0"/>
              <w:rPr>
                <w:sz w:val="20"/>
                <w:szCs w:val="20"/>
                <w:color w:val="auto"/>
              </w:rPr>
            </w:pPr>
            <w:r>
              <w:rPr>
                <w:rFonts w:ascii="Calibri" w:cs="Calibri" w:eastAsia="Calibri" w:hAnsi="Calibri"/>
                <w:sz w:val="18"/>
                <w:szCs w:val="18"/>
                <w:color w:val="auto"/>
              </w:rPr>
              <w:t>$</w:t>
            </w:r>
          </w:p>
        </w:tc>
        <w:tc>
          <w:tcPr>
            <w:tcW w:w="1240" w:type="dxa"/>
            <w:vAlign w:val="bottom"/>
            <w:gridSpan w:val="3"/>
          </w:tcPr>
          <w:p>
            <w:pPr>
              <w:ind w:left="640"/>
              <w:spacing w:after="0"/>
              <w:rPr>
                <w:sz w:val="20"/>
                <w:szCs w:val="20"/>
                <w:color w:val="auto"/>
              </w:rPr>
            </w:pPr>
            <w:r>
              <w:rPr>
                <w:rFonts w:ascii="Calibri" w:cs="Calibri" w:eastAsia="Calibri" w:hAnsi="Calibri"/>
                <w:sz w:val="18"/>
                <w:szCs w:val="18"/>
                <w:color w:val="auto"/>
              </w:rPr>
              <w:t>—   $</w:t>
            </w:r>
          </w:p>
        </w:tc>
        <w:tc>
          <w:tcPr>
            <w:tcW w:w="1240" w:type="dxa"/>
            <w:vAlign w:val="bottom"/>
            <w:gridSpan w:val="3"/>
          </w:tcPr>
          <w:p>
            <w:pPr>
              <w:ind w:left="640"/>
              <w:spacing w:after="0"/>
              <w:rPr>
                <w:sz w:val="20"/>
                <w:szCs w:val="20"/>
                <w:color w:val="auto"/>
              </w:rPr>
            </w:pPr>
            <w:r>
              <w:rPr>
                <w:rFonts w:ascii="Calibri" w:cs="Calibri" w:eastAsia="Calibri" w:hAnsi="Calibri"/>
                <w:sz w:val="18"/>
                <w:szCs w:val="18"/>
                <w:color w:val="auto"/>
              </w:rPr>
              <w:t>—   $</w:t>
            </w:r>
          </w:p>
        </w:tc>
        <w:tc>
          <w:tcPr>
            <w:tcW w:w="800" w:type="dxa"/>
            <w:vAlign w:val="bottom"/>
          </w:tcPr>
          <w:p>
            <w:pPr>
              <w:jc w:val="right"/>
              <w:spacing w:after="0"/>
              <w:rPr>
                <w:sz w:val="20"/>
                <w:szCs w:val="20"/>
                <w:color w:val="auto"/>
              </w:rPr>
            </w:pPr>
            <w:r>
              <w:rPr>
                <w:rFonts w:ascii="Calibri" w:cs="Calibri" w:eastAsia="Calibri" w:hAnsi="Calibri"/>
                <w:sz w:val="18"/>
                <w:szCs w:val="18"/>
                <w:color w:val="auto"/>
              </w:rPr>
              <w:t>597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-259080</wp:posOffset>
            </wp:positionV>
            <wp:extent cx="7132320" cy="13716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4440" w:space="720"/>
            <w:col w:w="6080"/>
          </w:cols>
          <w:pgMar w:left="320" w:top="112" w:right="339" w:bottom="1440" w:gutter="0" w:footer="0" w:header="0"/>
          <w:type w:val="continuous"/>
        </w:sectPr>
      </w:pPr>
    </w:p>
    <w:tbl>
      <w:tblPr>
        <w:tblLayout w:type="fixed"/>
        <w:tblInd w:w="0" w:type="dxa"/>
        <w:tblCellMar>
          <w:top w:w="0" w:type="dxa"/>
          <w:left w:w="0" w:type="dxa"/>
          <w:bottom w:w="0" w:type="dxa"/>
          <w:right w:w="0" w:type="dxa"/>
        </w:tblCellMar>
      </w:tblPr>
      <w:tr>
        <w:trPr>
          <w:trHeight w:val="220"/>
        </w:trPr>
        <w:tc>
          <w:tcPr>
            <w:tcW w:w="5160" w:type="dxa"/>
            <w:vAlign w:val="bottom"/>
            <w:tcBorders>
              <w:bottom w:val="single" w:sz="8" w:color="CFF0FC"/>
            </w:tcBorders>
            <w:shd w:val="clear" w:color="auto" w:fill="CFF0FC"/>
          </w:tcPr>
          <w:p>
            <w:pPr>
              <w:ind w:left="200"/>
              <w:spacing w:after="0"/>
              <w:rPr>
                <w:sz w:val="20"/>
                <w:szCs w:val="20"/>
                <w:color w:val="auto"/>
              </w:rPr>
            </w:pPr>
            <w:r>
              <w:rPr>
                <w:rFonts w:ascii="Calibri" w:cs="Calibri" w:eastAsia="Calibri" w:hAnsi="Calibri"/>
                <w:sz w:val="18"/>
                <w:szCs w:val="18"/>
                <w:color w:val="auto"/>
              </w:rPr>
              <w:t>Ongoing service arrangements</w:t>
            </w:r>
          </w:p>
        </w:tc>
        <w:tc>
          <w:tcPr>
            <w:tcW w:w="4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8"/>
                <w:szCs w:val="18"/>
                <w:color w:val="auto"/>
              </w:rPr>
              <w:t>185</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8"/>
                <w:szCs w:val="18"/>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8"/>
                <w:szCs w:val="18"/>
                <w:color w:val="auto"/>
              </w:rPr>
              <w:t>185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160" w:type="dxa"/>
            <w:vAlign w:val="bottom"/>
          </w:tcPr>
          <w:p>
            <w:pPr>
              <w:ind w:left="380"/>
              <w:spacing w:after="0" w:line="209" w:lineRule="exact"/>
              <w:rPr>
                <w:sz w:val="20"/>
                <w:szCs w:val="20"/>
                <w:color w:val="auto"/>
              </w:rPr>
            </w:pPr>
            <w:r>
              <w:rPr>
                <w:rFonts w:ascii="Calibri" w:cs="Calibri" w:eastAsia="Calibri" w:hAnsi="Calibri"/>
                <w:sz w:val="18"/>
                <w:szCs w:val="18"/>
                <w:color w:val="auto"/>
              </w:rPr>
              <w:t>Total annuites</w:t>
            </w:r>
          </w:p>
        </w:tc>
        <w:tc>
          <w:tcPr>
            <w:tcW w:w="4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756</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26</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782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shd w:val="clear" w:color="auto" w:fill="CFF0FC"/>
          </w:tcPr>
          <w:p>
            <w:pPr>
              <w:ind w:left="200"/>
              <w:spacing w:after="0" w:line="210" w:lineRule="exact"/>
              <w:rPr>
                <w:sz w:val="20"/>
                <w:szCs w:val="20"/>
                <w:color w:val="auto"/>
              </w:rPr>
            </w:pPr>
            <w:r>
              <w:rPr>
                <w:rFonts w:ascii="Calibri" w:cs="Calibri" w:eastAsia="Calibri" w:hAnsi="Calibri"/>
                <w:sz w:val="18"/>
                <w:szCs w:val="18"/>
                <w:color w:val="auto"/>
              </w:rPr>
              <w:t>Equipment &amp; Sofware</w:t>
            </w:r>
          </w:p>
        </w:tc>
        <w:tc>
          <w:tcPr>
            <w:tcW w:w="4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72</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72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60" w:type="dxa"/>
            <w:vAlign w:val="bottom"/>
          </w:tcPr>
          <w:p>
            <w:pPr>
              <w:ind w:left="200"/>
              <w:spacing w:after="0" w:line="215" w:lineRule="exact"/>
              <w:rPr>
                <w:sz w:val="20"/>
                <w:szCs w:val="20"/>
                <w:color w:val="auto"/>
              </w:rPr>
            </w:pPr>
            <w:r>
              <w:rPr>
                <w:rFonts w:ascii="Calibri" w:cs="Calibri" w:eastAsia="Calibri" w:hAnsi="Calibri"/>
                <w:sz w:val="18"/>
                <w:szCs w:val="18"/>
                <w:color w:val="auto"/>
              </w:rPr>
              <w:t>Film and chemicals</w:t>
            </w:r>
          </w:p>
        </w:tc>
        <w:tc>
          <w:tcPr>
            <w:tcW w:w="4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5160" w:type="dxa"/>
            <w:vAlign w:val="bottom"/>
          </w:tcPr>
          <w:p>
            <w:pPr>
              <w:ind w:left="380"/>
              <w:spacing w:after="0" w:line="177" w:lineRule="exact"/>
              <w:rPr>
                <w:sz w:val="20"/>
                <w:szCs w:val="20"/>
                <w:color w:val="auto"/>
              </w:rPr>
            </w:pPr>
            <w:r>
              <w:rPr>
                <w:rFonts w:ascii="Calibri" w:cs="Calibri" w:eastAsia="Calibri" w:hAnsi="Calibri"/>
                <w:sz w:val="18"/>
                <w:szCs w:val="18"/>
                <w:color w:val="auto"/>
              </w:rPr>
              <w:t>Total core products and services</w:t>
            </w:r>
          </w:p>
        </w:tc>
        <w:tc>
          <w:tcPr>
            <w:tcW w:w="440" w:type="dxa"/>
            <w:vAlign w:val="bottom"/>
          </w:tcPr>
          <w:p>
            <w:pPr>
              <w:spacing w:after="0"/>
              <w:rPr>
                <w:sz w:val="15"/>
                <w:szCs w:val="15"/>
                <w:color w:val="auto"/>
              </w:rPr>
            </w:pPr>
          </w:p>
        </w:tc>
        <w:tc>
          <w:tcPr>
            <w:tcW w:w="600" w:type="dxa"/>
            <w:vAlign w:val="bottom"/>
          </w:tcPr>
          <w:p>
            <w:pPr>
              <w:jc w:val="right"/>
              <w:spacing w:after="0" w:line="177" w:lineRule="exact"/>
              <w:rPr>
                <w:sz w:val="20"/>
                <w:szCs w:val="20"/>
                <w:color w:val="auto"/>
              </w:rPr>
            </w:pPr>
            <w:r>
              <w:rPr>
                <w:rFonts w:ascii="Calibri" w:cs="Calibri" w:eastAsia="Calibri" w:hAnsi="Calibri"/>
                <w:sz w:val="18"/>
                <w:szCs w:val="18"/>
                <w:color w:val="auto"/>
              </w:rPr>
              <w:t>828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jc w:val="right"/>
              <w:spacing w:after="0" w:line="177" w:lineRule="exact"/>
              <w:rPr>
                <w:sz w:val="20"/>
                <w:szCs w:val="20"/>
                <w:color w:val="auto"/>
              </w:rPr>
            </w:pPr>
            <w:r>
              <w:rPr>
                <w:rFonts w:ascii="Calibri" w:cs="Calibri" w:eastAsia="Calibri" w:hAnsi="Calibri"/>
                <w:sz w:val="18"/>
                <w:szCs w:val="18"/>
                <w:color w:val="auto"/>
              </w:rPr>
              <w:t>241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60" w:type="dxa"/>
            <w:vAlign w:val="bottom"/>
          </w:tcPr>
          <w:p>
            <w:pPr>
              <w:jc w:val="right"/>
              <w:spacing w:after="0" w:line="177" w:lineRule="exact"/>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jc w:val="right"/>
              <w:spacing w:after="0" w:line="177"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jc w:val="right"/>
              <w:spacing w:after="0" w:line="177" w:lineRule="exact"/>
              <w:rPr>
                <w:sz w:val="20"/>
                <w:szCs w:val="20"/>
                <w:color w:val="auto"/>
              </w:rPr>
            </w:pPr>
            <w:r>
              <w:rPr>
                <w:rFonts w:ascii="Calibri" w:cs="Calibri" w:eastAsia="Calibri" w:hAnsi="Calibri"/>
                <w:sz w:val="18"/>
                <w:szCs w:val="18"/>
                <w:color w:val="auto"/>
              </w:rPr>
              <w:t>1,069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5160" w:type="dxa"/>
            <w:vAlign w:val="bottom"/>
            <w:vMerge w:val="restart"/>
          </w:tcPr>
          <w:p>
            <w:pPr>
              <w:ind w:left="20"/>
              <w:spacing w:after="0" w:line="263" w:lineRule="exact"/>
              <w:rPr>
                <w:sz w:val="20"/>
                <w:szCs w:val="20"/>
                <w:color w:val="auto"/>
              </w:rPr>
            </w:pPr>
            <w:r>
              <w:rPr>
                <w:rFonts w:ascii="Calibri" w:cs="Calibri" w:eastAsia="Calibri" w:hAnsi="Calibri"/>
                <w:sz w:val="18"/>
                <w:szCs w:val="18"/>
                <w:color w:val="auto"/>
              </w:rPr>
              <w:t xml:space="preserve">Growth products </w:t>
            </w:r>
            <w:r>
              <w:rPr>
                <w:rFonts w:ascii="Calibri" w:cs="Calibri" w:eastAsia="Calibri" w:hAnsi="Calibri"/>
                <w:sz w:val="24"/>
                <w:szCs w:val="24"/>
                <w:color w:val="auto"/>
                <w:vertAlign w:val="superscript"/>
              </w:rPr>
              <w:t>(2)</w:t>
            </w:r>
          </w:p>
        </w:tc>
        <w:tc>
          <w:tcPr>
            <w:tcW w:w="4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16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jc w:val="right"/>
              <w:spacing w:after="0" w:line="209"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jc w:val="right"/>
              <w:spacing w:after="0" w:line="209" w:lineRule="exact"/>
              <w:rPr>
                <w:sz w:val="20"/>
                <w:szCs w:val="20"/>
                <w:color w:val="auto"/>
              </w:rPr>
            </w:pPr>
            <w:r>
              <w:rPr>
                <w:rFonts w:ascii="Calibri" w:cs="Calibri" w:eastAsia="Calibri" w:hAnsi="Calibri"/>
                <w:sz w:val="18"/>
                <w:szCs w:val="18"/>
                <w:color w:val="auto"/>
              </w:rPr>
              <w:t>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jc w:val="right"/>
              <w:spacing w:after="0" w:line="209" w:lineRule="exact"/>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jc w:val="right"/>
              <w:spacing w:after="0" w:line="209"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jc w:val="right"/>
              <w:spacing w:after="0" w:line="209" w:lineRule="exact"/>
              <w:rPr>
                <w:sz w:val="20"/>
                <w:szCs w:val="20"/>
                <w:color w:val="auto"/>
              </w:rPr>
            </w:pPr>
            <w:r>
              <w:rPr>
                <w:rFonts w:ascii="Calibri" w:cs="Calibri" w:eastAsia="Calibri" w:hAnsi="Calibri"/>
                <w:sz w:val="18"/>
                <w:szCs w:val="18"/>
                <w:color w:val="auto"/>
              </w:rPr>
              <w:t>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Borders>
              <w:bottom w:val="single" w:sz="8" w:color="CFF0FC"/>
            </w:tcBorders>
            <w:shd w:val="clear" w:color="auto" w:fill="CFF0FC"/>
          </w:tcPr>
          <w:p>
            <w:pPr>
              <w:ind w:left="20"/>
              <w:spacing w:after="0" w:line="216" w:lineRule="exact"/>
              <w:rPr>
                <w:sz w:val="20"/>
                <w:szCs w:val="20"/>
                <w:color w:val="auto"/>
              </w:rPr>
            </w:pPr>
            <w:r>
              <w:rPr>
                <w:rFonts w:ascii="Calibri" w:cs="Calibri" w:eastAsia="Calibri" w:hAnsi="Calibri"/>
                <w:sz w:val="17"/>
                <w:szCs w:val="17"/>
                <w:color w:val="auto"/>
              </w:rPr>
              <w:t xml:space="preserve">Other </w:t>
            </w:r>
            <w:r>
              <w:rPr>
                <w:rFonts w:ascii="Calibri" w:cs="Calibri" w:eastAsia="Calibri" w:hAnsi="Calibri"/>
                <w:sz w:val="23"/>
                <w:szCs w:val="23"/>
                <w:color w:val="auto"/>
                <w:vertAlign w:val="superscript"/>
              </w:rPr>
              <w:t>(3)</w:t>
            </w:r>
          </w:p>
        </w:tc>
        <w:tc>
          <w:tcPr>
            <w:tcW w:w="44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17</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17</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tcPr>
          <w:p>
            <w:pPr>
              <w:ind w:left="20"/>
              <w:spacing w:after="0" w:line="209" w:lineRule="exact"/>
              <w:rPr>
                <w:sz w:val="20"/>
                <w:szCs w:val="20"/>
                <w:color w:val="auto"/>
              </w:rPr>
            </w:pPr>
            <w:r>
              <w:rPr>
                <w:rFonts w:ascii="Calibri" w:cs="Calibri" w:eastAsia="Calibri" w:hAnsi="Calibri"/>
                <w:sz w:val="18"/>
                <w:szCs w:val="18"/>
                <w:color w:val="auto"/>
              </w:rPr>
              <w:t>Total</w:t>
            </w:r>
          </w:p>
        </w:tc>
        <w:tc>
          <w:tcPr>
            <w:tcW w:w="440" w:type="dxa"/>
            <w:vAlign w:val="bottom"/>
          </w:tcPr>
          <w:p>
            <w:pPr>
              <w:jc w:val="right"/>
              <w:ind w:right="250"/>
              <w:spacing w:after="0" w:line="209" w:lineRule="exact"/>
              <w:rPr>
                <w:sz w:val="20"/>
                <w:szCs w:val="20"/>
                <w:color w:val="auto"/>
              </w:rPr>
            </w:pPr>
            <w:r>
              <w:rPr>
                <w:rFonts w:ascii="Calibri" w:cs="Calibri" w:eastAsia="Calibri" w:hAnsi="Calibri"/>
                <w:sz w:val="18"/>
                <w:szCs w:val="18"/>
                <w:color w:val="auto"/>
                <w:w w:val="87"/>
              </w:rPr>
              <w:t>$</w:t>
            </w:r>
          </w:p>
        </w:tc>
        <w:tc>
          <w:tcPr>
            <w:tcW w:w="600" w:type="dxa"/>
            <w:vAlign w:val="bottom"/>
          </w:tcPr>
          <w:p>
            <w:pPr>
              <w:jc w:val="right"/>
              <w:spacing w:after="0" w:line="209" w:lineRule="exact"/>
              <w:rPr>
                <w:sz w:val="20"/>
                <w:szCs w:val="20"/>
                <w:color w:val="auto"/>
              </w:rPr>
            </w:pPr>
            <w:r>
              <w:rPr>
                <w:rFonts w:ascii="Calibri" w:cs="Calibri" w:eastAsia="Calibri" w:hAnsi="Calibri"/>
                <w:sz w:val="18"/>
                <w:szCs w:val="18"/>
                <w:color w:val="auto"/>
              </w:rPr>
              <w:t>828</w:t>
            </w:r>
          </w:p>
        </w:tc>
        <w:tc>
          <w:tcPr>
            <w:tcW w:w="660" w:type="dxa"/>
            <w:vAlign w:val="bottom"/>
            <w:gridSpan w:val="3"/>
          </w:tcPr>
          <w:p>
            <w:pPr>
              <w:jc w:val="right"/>
              <w:ind w:right="320"/>
              <w:spacing w:after="0" w:line="209" w:lineRule="exact"/>
              <w:rPr>
                <w:sz w:val="20"/>
                <w:szCs w:val="20"/>
                <w:color w:val="auto"/>
              </w:rPr>
            </w:pPr>
            <w:r>
              <w:rPr>
                <w:rFonts w:ascii="Calibri" w:cs="Calibri" w:eastAsia="Calibri" w:hAnsi="Calibri"/>
                <w:sz w:val="18"/>
                <w:szCs w:val="18"/>
                <w:color w:val="auto"/>
              </w:rPr>
              <w:t>$</w:t>
            </w:r>
          </w:p>
        </w:tc>
        <w:tc>
          <w:tcPr>
            <w:tcW w:w="580" w:type="dxa"/>
            <w:vAlign w:val="bottom"/>
          </w:tcPr>
          <w:p>
            <w:pPr>
              <w:jc w:val="right"/>
              <w:spacing w:after="0" w:line="209" w:lineRule="exact"/>
              <w:rPr>
                <w:sz w:val="20"/>
                <w:szCs w:val="20"/>
                <w:color w:val="auto"/>
              </w:rPr>
            </w:pPr>
            <w:r>
              <w:rPr>
                <w:rFonts w:ascii="Calibri" w:cs="Calibri" w:eastAsia="Calibri" w:hAnsi="Calibri"/>
                <w:sz w:val="18"/>
                <w:szCs w:val="18"/>
                <w:color w:val="auto"/>
              </w:rPr>
              <w:t>255</w:t>
            </w:r>
          </w:p>
        </w:tc>
        <w:tc>
          <w:tcPr>
            <w:tcW w:w="680" w:type="dxa"/>
            <w:vAlign w:val="bottom"/>
            <w:gridSpan w:val="3"/>
          </w:tcPr>
          <w:p>
            <w:pPr>
              <w:jc w:val="right"/>
              <w:ind w:right="360"/>
              <w:spacing w:after="0" w:line="209" w:lineRule="exact"/>
              <w:rPr>
                <w:sz w:val="20"/>
                <w:szCs w:val="20"/>
                <w:color w:val="auto"/>
              </w:rPr>
            </w:pPr>
            <w:r>
              <w:rPr>
                <w:rFonts w:ascii="Calibri" w:cs="Calibri" w:eastAsia="Calibri" w:hAnsi="Calibri"/>
                <w:sz w:val="18"/>
                <w:szCs w:val="18"/>
                <w:color w:val="auto"/>
              </w:rPr>
              <w:t>$</w:t>
            </w:r>
          </w:p>
        </w:tc>
        <w:tc>
          <w:tcPr>
            <w:tcW w:w="560" w:type="dxa"/>
            <w:vAlign w:val="bottom"/>
          </w:tcPr>
          <w:p>
            <w:pPr>
              <w:jc w:val="right"/>
              <w:spacing w:after="0" w:line="209" w:lineRule="exact"/>
              <w:rPr>
                <w:sz w:val="20"/>
                <w:szCs w:val="20"/>
                <w:color w:val="auto"/>
              </w:rPr>
            </w:pPr>
            <w:r>
              <w:rPr>
                <w:rFonts w:ascii="Calibri" w:cs="Calibri" w:eastAsia="Calibri" w:hAnsi="Calibri"/>
                <w:sz w:val="18"/>
                <w:szCs w:val="18"/>
                <w:color w:val="auto"/>
              </w:rPr>
              <w:t>17</w:t>
            </w:r>
          </w:p>
        </w:tc>
        <w:tc>
          <w:tcPr>
            <w:tcW w:w="680" w:type="dxa"/>
            <w:vAlign w:val="bottom"/>
            <w:gridSpan w:val="3"/>
          </w:tcPr>
          <w:p>
            <w:pPr>
              <w:jc w:val="right"/>
              <w:ind w:right="360"/>
              <w:spacing w:after="0" w:line="209" w:lineRule="exact"/>
              <w:rPr>
                <w:sz w:val="20"/>
                <w:szCs w:val="20"/>
                <w:color w:val="auto"/>
              </w:rPr>
            </w:pPr>
            <w:r>
              <w:rPr>
                <w:rFonts w:ascii="Calibri" w:cs="Calibri" w:eastAsia="Calibri" w:hAnsi="Calibri"/>
                <w:sz w:val="18"/>
                <w:szCs w:val="18"/>
                <w:color w:val="auto"/>
              </w:rPr>
              <w:t>$</w:t>
            </w:r>
          </w:p>
        </w:tc>
        <w:tc>
          <w:tcPr>
            <w:tcW w:w="540" w:type="dxa"/>
            <w:vAlign w:val="bottom"/>
          </w:tcPr>
          <w:p>
            <w:pPr>
              <w:jc w:val="right"/>
              <w:spacing w:after="0" w:line="209" w:lineRule="exact"/>
              <w:rPr>
                <w:sz w:val="20"/>
                <w:szCs w:val="20"/>
                <w:color w:val="auto"/>
              </w:rPr>
            </w:pPr>
            <w:r>
              <w:rPr>
                <w:rFonts w:ascii="Calibri" w:cs="Calibri" w:eastAsia="Calibri" w:hAnsi="Calibri"/>
                <w:sz w:val="18"/>
                <w:szCs w:val="18"/>
                <w:color w:val="auto"/>
              </w:rPr>
              <w:t>17</w:t>
            </w:r>
          </w:p>
        </w:tc>
        <w:tc>
          <w:tcPr>
            <w:tcW w:w="580" w:type="dxa"/>
            <w:vAlign w:val="bottom"/>
            <w:gridSpan w:val="3"/>
          </w:tcPr>
          <w:p>
            <w:pPr>
              <w:jc w:val="right"/>
              <w:ind w:right="260"/>
              <w:spacing w:after="0" w:line="209" w:lineRule="exact"/>
              <w:rPr>
                <w:sz w:val="20"/>
                <w:szCs w:val="20"/>
                <w:color w:val="auto"/>
              </w:rPr>
            </w:pPr>
            <w:r>
              <w:rPr>
                <w:rFonts w:ascii="Calibri" w:cs="Calibri" w:eastAsia="Calibri" w:hAnsi="Calibri"/>
                <w:sz w:val="18"/>
                <w:szCs w:val="18"/>
                <w:color w:val="auto"/>
              </w:rPr>
              <w:t>$</w:t>
            </w:r>
          </w:p>
        </w:tc>
        <w:tc>
          <w:tcPr>
            <w:tcW w:w="660" w:type="dxa"/>
            <w:vAlign w:val="bottom"/>
          </w:tcPr>
          <w:p>
            <w:pPr>
              <w:jc w:val="right"/>
              <w:spacing w:after="0" w:line="209" w:lineRule="exact"/>
              <w:rPr>
                <w:sz w:val="20"/>
                <w:szCs w:val="20"/>
                <w:color w:val="auto"/>
              </w:rPr>
            </w:pPr>
            <w:r>
              <w:rPr>
                <w:rFonts w:ascii="Calibri" w:cs="Calibri" w:eastAsia="Calibri" w:hAnsi="Calibri"/>
                <w:sz w:val="18"/>
                <w:szCs w:val="18"/>
                <w:color w:val="auto"/>
              </w:rPr>
              <w:t>1,117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-1028065</wp:posOffset>
            </wp:positionV>
            <wp:extent cx="76835"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-1028065</wp:posOffset>
            </wp:positionV>
            <wp:extent cx="6858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-1028065</wp:posOffset>
            </wp:positionV>
            <wp:extent cx="6858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-1028065</wp:posOffset>
            </wp:positionV>
            <wp:extent cx="6858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-1028065</wp:posOffset>
            </wp:positionV>
            <wp:extent cx="6858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-590550</wp:posOffset>
            </wp:positionV>
            <wp:extent cx="7132320" cy="14605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-170815</wp:posOffset>
            </wp:positionV>
            <wp:extent cx="76835"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-170815</wp:posOffset>
            </wp:positionV>
            <wp:extent cx="6858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-170815</wp:posOffset>
            </wp:positionV>
            <wp:extent cx="6858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-170815</wp:posOffset>
            </wp:positionV>
            <wp:extent cx="6858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p>
      <w:pPr>
        <w:spacing w:after="0" w:line="369" w:lineRule="exact"/>
        <w:rPr>
          <w:sz w:val="20"/>
          <w:szCs w:val="20"/>
          <w:color w:val="auto"/>
        </w:rPr>
      </w:pPr>
    </w:p>
    <w:p>
      <w:pPr>
        <w:jc w:val="center"/>
        <w:ind w:right="-19"/>
        <w:spacing w:after="0"/>
        <w:rPr>
          <w:sz w:val="20"/>
          <w:szCs w:val="20"/>
          <w:color w:val="auto"/>
        </w:rPr>
      </w:pPr>
      <w:r>
        <w:rPr>
          <w:rFonts w:ascii="Calibri" w:cs="Calibri" w:eastAsia="Calibri" w:hAnsi="Calibri"/>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323850</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84" w:name="page85"/>
    <w:bookmarkEnd w:id="84"/>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0"/>
        <w:spacing w:after="0"/>
        <w:rPr>
          <w:sz w:val="20"/>
          <w:szCs w:val="20"/>
          <w:color w:val="auto"/>
        </w:rPr>
      </w:pPr>
      <w:r>
        <w:rPr>
          <w:rFonts w:ascii="Calibri" w:cs="Calibri" w:eastAsia="Calibri" w:hAnsi="Calibri"/>
          <w:sz w:val="14"/>
          <w:szCs w:val="14"/>
          <w:color w:val="auto"/>
        </w:rPr>
        <w:t>(in millions)</w:t>
      </w:r>
    </w:p>
    <w:p>
      <w:pPr>
        <w:ind w:left="20"/>
        <w:spacing w:after="0" w:line="206" w:lineRule="auto"/>
        <w:rPr>
          <w:sz w:val="20"/>
          <w:szCs w:val="20"/>
          <w:color w:val="auto"/>
        </w:rPr>
      </w:pPr>
      <w:r>
        <w:rPr>
          <w:rFonts w:ascii="Calibri" w:cs="Calibri" w:eastAsia="Calibri" w:hAnsi="Calibri"/>
          <w:sz w:val="18"/>
          <w:szCs w:val="18"/>
          <w:color w:val="auto"/>
        </w:rPr>
        <w:t xml:space="preserve">Core products and services </w:t>
      </w:r>
      <w:r>
        <w:rPr>
          <w:rFonts w:ascii="Calibri" w:cs="Calibri" w:eastAsia="Calibri" w:hAnsi="Calibri"/>
          <w:sz w:val="24"/>
          <w:szCs w:val="24"/>
          <w:color w:val="auto"/>
          <w:vertAlign w:val="superscript"/>
        </w:rPr>
        <w:t>(1)</w:t>
      </w:r>
    </w:p>
    <w:p>
      <w:pPr>
        <w:ind w:left="200"/>
        <w:spacing w:after="0" w:line="208" w:lineRule="auto"/>
        <w:rPr>
          <w:sz w:val="20"/>
          <w:szCs w:val="20"/>
          <w:color w:val="auto"/>
        </w:rPr>
      </w:pPr>
      <w:r>
        <w:rPr>
          <w:rFonts w:ascii="Calibri" w:cs="Calibri" w:eastAsia="Calibri" w:hAnsi="Calibri"/>
          <w:sz w:val="17"/>
          <w:szCs w:val="17"/>
          <w:color w:val="auto"/>
        </w:rPr>
        <w:t>Plates, inks and other consumables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4"/>
          </w:tcPr>
          <w:p>
            <w:pPr>
              <w:jc w:val="center"/>
              <w:ind w:right="360"/>
              <w:spacing w:after="0"/>
              <w:rPr>
                <w:sz w:val="20"/>
                <w:szCs w:val="20"/>
                <w:color w:val="auto"/>
              </w:rPr>
            </w:pPr>
            <w:r>
              <w:rPr>
                <w:rFonts w:ascii="Calibri" w:cs="Calibri" w:eastAsia="Calibri" w:hAnsi="Calibri"/>
                <w:sz w:val="18"/>
                <w:szCs w:val="18"/>
                <w:b w:val="1"/>
                <w:bCs w:val="1"/>
                <w:color w:val="auto"/>
                <w:w w:val="96"/>
              </w:rPr>
              <w:t>Year Ended</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16"/>
        </w:trPr>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60" w:type="dxa"/>
            <w:vAlign w:val="bottom"/>
            <w:gridSpan w:val="5"/>
          </w:tcPr>
          <w:p>
            <w:pPr>
              <w:jc w:val="center"/>
              <w:ind w:right="240"/>
              <w:spacing w:after="0" w:line="216" w:lineRule="exact"/>
              <w:rPr>
                <w:sz w:val="20"/>
                <w:szCs w:val="20"/>
                <w:color w:val="auto"/>
              </w:rPr>
            </w:pPr>
            <w:r>
              <w:rPr>
                <w:rFonts w:ascii="Calibri" w:cs="Calibri" w:eastAsia="Calibri" w:hAnsi="Calibri"/>
                <w:sz w:val="18"/>
                <w:szCs w:val="18"/>
                <w:b w:val="1"/>
                <w:bCs w:val="1"/>
                <w:color w:val="auto"/>
                <w:w w:val="98"/>
              </w:rPr>
              <w:t>December 31, 2022</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center"/>
              <w:ind w:right="30"/>
              <w:spacing w:after="0" w:line="216" w:lineRule="exact"/>
              <w:rPr>
                <w:sz w:val="20"/>
                <w:szCs w:val="20"/>
                <w:color w:val="auto"/>
              </w:rPr>
            </w:pPr>
            <w:r>
              <w:rPr>
                <w:rFonts w:ascii="Calibri" w:cs="Calibri" w:eastAsia="Calibri" w:hAnsi="Calibri"/>
                <w:sz w:val="18"/>
                <w:szCs w:val="18"/>
                <w:b w:val="1"/>
                <w:bCs w:val="1"/>
                <w:color w:val="auto"/>
                <w:w w:val="97"/>
              </w:rPr>
              <w:t>Advanced</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center"/>
              <w:ind w:right="30"/>
              <w:spacing w:after="0" w:line="216" w:lineRule="exact"/>
              <w:rPr>
                <w:sz w:val="20"/>
                <w:szCs w:val="20"/>
                <w:color w:val="auto"/>
              </w:rPr>
            </w:pPr>
            <w:r>
              <w:rPr>
                <w:rFonts w:ascii="Calibri" w:cs="Calibri" w:eastAsia="Calibri" w:hAnsi="Calibri"/>
                <w:sz w:val="18"/>
                <w:szCs w:val="18"/>
                <w:b w:val="1"/>
                <w:bCs w:val="1"/>
                <w:color w:val="auto"/>
                <w:w w:val="95"/>
              </w:rPr>
              <w:t>Materials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center"/>
              <w:ind w:right="30"/>
              <w:spacing w:after="0" w:line="216" w:lineRule="exact"/>
              <w:rPr>
                <w:sz w:val="20"/>
                <w:szCs w:val="20"/>
                <w:color w:val="auto"/>
              </w:rPr>
            </w:pPr>
            <w:r>
              <w:rPr>
                <w:rFonts w:ascii="Calibri" w:cs="Calibri" w:eastAsia="Calibri" w:hAnsi="Calibri"/>
                <w:sz w:val="18"/>
                <w:szCs w:val="18"/>
                <w:b w:val="1"/>
                <w:bCs w:val="1"/>
                <w:color w:val="auto"/>
                <w:w w:val="99"/>
              </w:rPr>
              <w:t>and</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820" w:type="dxa"/>
            <w:vAlign w:val="bottom"/>
          </w:tcPr>
          <w:p>
            <w:pPr>
              <w:jc w:val="right"/>
              <w:ind w:right="250"/>
              <w:spacing w:after="0" w:line="216" w:lineRule="exact"/>
              <w:rPr>
                <w:sz w:val="20"/>
                <w:szCs w:val="20"/>
                <w:color w:val="auto"/>
              </w:rPr>
            </w:pPr>
            <w:r>
              <w:rPr>
                <w:rFonts w:ascii="Calibri" w:cs="Calibri" w:eastAsia="Calibri" w:hAnsi="Calibri"/>
                <w:sz w:val="18"/>
                <w:szCs w:val="18"/>
                <w:b w:val="1"/>
                <w:bCs w:val="1"/>
                <w:color w:val="auto"/>
              </w:rPr>
              <w:t>Print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center"/>
              <w:ind w:right="30"/>
              <w:spacing w:after="0" w:line="216" w:lineRule="exact"/>
              <w:rPr>
                <w:sz w:val="20"/>
                <w:szCs w:val="20"/>
                <w:color w:val="auto"/>
              </w:rPr>
            </w:pPr>
            <w:r>
              <w:rPr>
                <w:rFonts w:ascii="Calibri" w:cs="Calibri" w:eastAsia="Calibri" w:hAnsi="Calibri"/>
                <w:sz w:val="18"/>
                <w:szCs w:val="18"/>
                <w:b w:val="1"/>
                <w:bCs w:val="1"/>
                <w:color w:val="auto"/>
                <w:w w:val="95"/>
              </w:rPr>
              <w:t>Chemicals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jc w:val="center"/>
              <w:ind w:right="620"/>
              <w:spacing w:after="0" w:line="216" w:lineRule="exact"/>
              <w:rPr>
                <w:sz w:val="20"/>
                <w:szCs w:val="20"/>
                <w:color w:val="auto"/>
              </w:rPr>
            </w:pPr>
            <w:r>
              <w:rPr>
                <w:rFonts w:ascii="Calibri" w:cs="Calibri" w:eastAsia="Calibri" w:hAnsi="Calibri"/>
                <w:sz w:val="18"/>
                <w:szCs w:val="18"/>
                <w:b w:val="1"/>
                <w:bCs w:val="1"/>
                <w:color w:val="auto"/>
                <w:w w:val="93"/>
              </w:rPr>
              <w:t>Brand</w:t>
            </w:r>
          </w:p>
        </w:tc>
        <w:tc>
          <w:tcPr>
            <w:tcW w:w="1240" w:type="dxa"/>
            <w:vAlign w:val="bottom"/>
            <w:gridSpan w:val="3"/>
          </w:tcPr>
          <w:p>
            <w:pPr>
              <w:ind w:left="80"/>
              <w:spacing w:after="0" w:line="216" w:lineRule="exact"/>
              <w:rPr>
                <w:sz w:val="20"/>
                <w:szCs w:val="20"/>
                <w:color w:val="auto"/>
              </w:rPr>
            </w:pPr>
            <w:r>
              <w:rPr>
                <w:rFonts w:ascii="Calibri" w:cs="Calibri" w:eastAsia="Calibri" w:hAnsi="Calibri"/>
                <w:sz w:val="18"/>
                <w:szCs w:val="18"/>
                <w:b w:val="1"/>
                <w:bCs w:val="1"/>
                <w:color w:val="auto"/>
              </w:rPr>
              <w:t>Other</w:t>
            </w:r>
          </w:p>
        </w:tc>
        <w:tc>
          <w:tcPr>
            <w:tcW w:w="800" w:type="dxa"/>
            <w:vAlign w:val="bottom"/>
          </w:tcPr>
          <w:p>
            <w:pPr>
              <w:jc w:val="right"/>
              <w:ind w:right="230"/>
              <w:spacing w:after="0" w:line="216" w:lineRule="exact"/>
              <w:rPr>
                <w:sz w:val="20"/>
                <w:szCs w:val="20"/>
                <w:color w:val="auto"/>
              </w:rPr>
            </w:pPr>
            <w:r>
              <w:rPr>
                <w:rFonts w:ascii="Calibri" w:cs="Calibri" w:eastAsia="Calibri" w:hAnsi="Calibri"/>
                <w:sz w:val="18"/>
                <w:szCs w:val="18"/>
                <w:b w:val="1"/>
                <w:bCs w:val="1"/>
                <w:color w:val="auto"/>
              </w:rPr>
              <w:t>Total</w:t>
            </w:r>
          </w:p>
        </w:tc>
      </w:tr>
      <w:tr>
        <w:trPr>
          <w:trHeight w:val="23"/>
        </w:trPr>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402"/>
        </w:trPr>
        <w:tc>
          <w:tcPr>
            <w:tcW w:w="220" w:type="dxa"/>
            <w:vAlign w:val="bottom"/>
          </w:tcPr>
          <w:p>
            <w:pPr>
              <w:jc w:val="right"/>
              <w:ind w:right="30"/>
              <w:spacing w:after="0"/>
              <w:rPr>
                <w:sz w:val="20"/>
                <w:szCs w:val="20"/>
                <w:color w:val="auto"/>
              </w:rPr>
            </w:pPr>
            <w:r>
              <w:rPr>
                <w:rFonts w:ascii="Calibri" w:cs="Calibri" w:eastAsia="Calibri" w:hAnsi="Calibri"/>
                <w:sz w:val="18"/>
                <w:szCs w:val="18"/>
                <w:color w:val="auto"/>
                <w:w w:val="87"/>
              </w:rPr>
              <w:t>$</w:t>
            </w:r>
          </w:p>
        </w:tc>
        <w:tc>
          <w:tcPr>
            <w:tcW w:w="820" w:type="dxa"/>
            <w:vAlign w:val="bottom"/>
          </w:tcPr>
          <w:p>
            <w:pPr>
              <w:jc w:val="right"/>
              <w:spacing w:after="0"/>
              <w:rPr>
                <w:sz w:val="20"/>
                <w:szCs w:val="20"/>
                <w:color w:val="auto"/>
              </w:rPr>
            </w:pPr>
            <w:r>
              <w:rPr>
                <w:rFonts w:ascii="Calibri" w:cs="Calibri" w:eastAsia="Calibri" w:hAnsi="Calibri"/>
                <w:sz w:val="18"/>
                <w:szCs w:val="18"/>
                <w:color w:val="auto"/>
              </w:rPr>
              <w:t>652</w:t>
            </w:r>
          </w:p>
        </w:tc>
        <w:tc>
          <w:tcPr>
            <w:tcW w:w="360" w:type="dxa"/>
            <w:vAlign w:val="bottom"/>
            <w:gridSpan w:val="2"/>
          </w:tcPr>
          <w:p>
            <w:pPr>
              <w:jc w:val="right"/>
              <w:ind w:right="20"/>
              <w:spacing w:after="0"/>
              <w:rPr>
                <w:sz w:val="20"/>
                <w:szCs w:val="20"/>
                <w:color w:val="auto"/>
              </w:rPr>
            </w:pPr>
            <w:r>
              <w:rPr>
                <w:rFonts w:ascii="Calibri" w:cs="Calibri" w:eastAsia="Calibri" w:hAnsi="Calibri"/>
                <w:sz w:val="18"/>
                <w:szCs w:val="18"/>
                <w:color w:val="auto"/>
              </w:rPr>
              <w:t>$</w:t>
            </w:r>
          </w:p>
        </w:tc>
        <w:tc>
          <w:tcPr>
            <w:tcW w:w="880" w:type="dxa"/>
            <w:vAlign w:val="bottom"/>
          </w:tcPr>
          <w:p>
            <w:pPr>
              <w:jc w:val="right"/>
              <w:spacing w:after="0"/>
              <w:rPr>
                <w:sz w:val="20"/>
                <w:szCs w:val="20"/>
                <w:color w:val="auto"/>
              </w:rPr>
            </w:pPr>
            <w:r>
              <w:rPr>
                <w:rFonts w:ascii="Calibri" w:cs="Calibri" w:eastAsia="Calibri" w:hAnsi="Calibri"/>
                <w:sz w:val="18"/>
                <w:szCs w:val="18"/>
                <w:color w:val="auto"/>
              </w:rPr>
              <w:t>26</w:t>
            </w:r>
          </w:p>
        </w:tc>
        <w:tc>
          <w:tcPr>
            <w:tcW w:w="420" w:type="dxa"/>
            <w:vAlign w:val="bottom"/>
            <w:gridSpan w:val="2"/>
          </w:tcPr>
          <w:p>
            <w:pPr>
              <w:jc w:val="right"/>
              <w:ind w:right="10"/>
              <w:spacing w:after="0"/>
              <w:rPr>
                <w:sz w:val="20"/>
                <w:szCs w:val="20"/>
                <w:color w:val="auto"/>
              </w:rPr>
            </w:pPr>
            <w:r>
              <w:rPr>
                <w:rFonts w:ascii="Calibri" w:cs="Calibri" w:eastAsia="Calibri" w:hAnsi="Calibri"/>
                <w:sz w:val="18"/>
                <w:szCs w:val="18"/>
                <w:color w:val="auto"/>
              </w:rPr>
              <w:t>$</w:t>
            </w:r>
          </w:p>
        </w:tc>
        <w:tc>
          <w:tcPr>
            <w:tcW w:w="1240" w:type="dxa"/>
            <w:vAlign w:val="bottom"/>
            <w:gridSpan w:val="3"/>
          </w:tcPr>
          <w:p>
            <w:pPr>
              <w:ind w:left="640"/>
              <w:spacing w:after="0"/>
              <w:rPr>
                <w:sz w:val="20"/>
                <w:szCs w:val="20"/>
                <w:color w:val="auto"/>
              </w:rPr>
            </w:pPr>
            <w:r>
              <w:rPr>
                <w:rFonts w:ascii="Calibri" w:cs="Calibri" w:eastAsia="Calibri" w:hAnsi="Calibri"/>
                <w:sz w:val="18"/>
                <w:szCs w:val="18"/>
                <w:color w:val="auto"/>
              </w:rPr>
              <w:t>—   $</w:t>
            </w:r>
          </w:p>
        </w:tc>
        <w:tc>
          <w:tcPr>
            <w:tcW w:w="1240" w:type="dxa"/>
            <w:vAlign w:val="bottom"/>
            <w:gridSpan w:val="3"/>
          </w:tcPr>
          <w:p>
            <w:pPr>
              <w:ind w:left="640"/>
              <w:spacing w:after="0"/>
              <w:rPr>
                <w:sz w:val="20"/>
                <w:szCs w:val="20"/>
                <w:color w:val="auto"/>
              </w:rPr>
            </w:pPr>
            <w:r>
              <w:rPr>
                <w:rFonts w:ascii="Calibri" w:cs="Calibri" w:eastAsia="Calibri" w:hAnsi="Calibri"/>
                <w:sz w:val="18"/>
                <w:szCs w:val="18"/>
                <w:color w:val="auto"/>
              </w:rPr>
              <w:t>—   $</w:t>
            </w:r>
          </w:p>
        </w:tc>
        <w:tc>
          <w:tcPr>
            <w:tcW w:w="800" w:type="dxa"/>
            <w:vAlign w:val="bottom"/>
          </w:tcPr>
          <w:p>
            <w:pPr>
              <w:jc w:val="right"/>
              <w:spacing w:after="0"/>
              <w:rPr>
                <w:sz w:val="20"/>
                <w:szCs w:val="20"/>
                <w:color w:val="auto"/>
              </w:rPr>
            </w:pPr>
            <w:r>
              <w:rPr>
                <w:rFonts w:ascii="Calibri" w:cs="Calibri" w:eastAsia="Calibri" w:hAnsi="Calibri"/>
                <w:sz w:val="18"/>
                <w:szCs w:val="18"/>
                <w:color w:val="auto"/>
              </w:rPr>
              <w:t>678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-258445</wp:posOffset>
            </wp:positionV>
            <wp:extent cx="7132320" cy="13716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4440" w:space="720"/>
            <w:col w:w="6080"/>
          </w:cols>
          <w:pgMar w:left="320" w:top="112" w:right="339" w:bottom="1440" w:gutter="0" w:footer="0" w:header="0"/>
        </w:sectPr>
      </w:pPr>
    </w:p>
    <w:tbl>
      <w:tblPr>
        <w:tblLayout w:type="fixed"/>
        <w:tblInd w:w="0" w:type="dxa"/>
        <w:tblCellMar>
          <w:top w:w="0" w:type="dxa"/>
          <w:left w:w="0" w:type="dxa"/>
          <w:bottom w:w="0" w:type="dxa"/>
          <w:right w:w="0" w:type="dxa"/>
        </w:tblCellMar>
      </w:tblPr>
      <w:tr>
        <w:trPr>
          <w:trHeight w:val="220"/>
        </w:trPr>
        <w:tc>
          <w:tcPr>
            <w:tcW w:w="5160" w:type="dxa"/>
            <w:vAlign w:val="bottom"/>
            <w:tcBorders>
              <w:bottom w:val="single" w:sz="8" w:color="CFF0FC"/>
            </w:tcBorders>
            <w:shd w:val="clear" w:color="auto" w:fill="CFF0FC"/>
          </w:tcPr>
          <w:p>
            <w:pPr>
              <w:ind w:left="200"/>
              <w:spacing w:after="0"/>
              <w:rPr>
                <w:sz w:val="20"/>
                <w:szCs w:val="20"/>
                <w:color w:val="auto"/>
              </w:rPr>
            </w:pPr>
            <w:r>
              <w:rPr>
                <w:rFonts w:ascii="Calibri" w:cs="Calibri" w:eastAsia="Calibri" w:hAnsi="Calibri"/>
                <w:sz w:val="18"/>
                <w:szCs w:val="18"/>
                <w:color w:val="auto"/>
              </w:rPr>
              <w:t>Ongoing service arrangements</w:t>
            </w:r>
          </w:p>
        </w:tc>
        <w:tc>
          <w:tcPr>
            <w:tcW w:w="4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8"/>
                <w:szCs w:val="18"/>
                <w:color w:val="auto"/>
              </w:rPr>
              <w:t>205</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8"/>
                <w:szCs w:val="18"/>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8"/>
                <w:szCs w:val="18"/>
                <w:color w:val="auto"/>
              </w:rPr>
              <w:t>205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160" w:type="dxa"/>
            <w:vAlign w:val="bottom"/>
          </w:tcPr>
          <w:p>
            <w:pPr>
              <w:ind w:left="380"/>
              <w:spacing w:after="0" w:line="209" w:lineRule="exact"/>
              <w:rPr>
                <w:sz w:val="20"/>
                <w:szCs w:val="20"/>
                <w:color w:val="auto"/>
              </w:rPr>
            </w:pPr>
            <w:r>
              <w:rPr>
                <w:rFonts w:ascii="Calibri" w:cs="Calibri" w:eastAsia="Calibri" w:hAnsi="Calibri"/>
                <w:sz w:val="18"/>
                <w:szCs w:val="18"/>
                <w:color w:val="auto"/>
              </w:rPr>
              <w:t>Total annuites</w:t>
            </w:r>
          </w:p>
        </w:tc>
        <w:tc>
          <w:tcPr>
            <w:tcW w:w="4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857</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26</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883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shd w:val="clear" w:color="auto" w:fill="CFF0FC"/>
          </w:tcPr>
          <w:p>
            <w:pPr>
              <w:ind w:left="200"/>
              <w:spacing w:after="0" w:line="210" w:lineRule="exact"/>
              <w:rPr>
                <w:sz w:val="20"/>
                <w:szCs w:val="20"/>
                <w:color w:val="auto"/>
              </w:rPr>
            </w:pPr>
            <w:r>
              <w:rPr>
                <w:rFonts w:ascii="Calibri" w:cs="Calibri" w:eastAsia="Calibri" w:hAnsi="Calibri"/>
                <w:sz w:val="18"/>
                <w:szCs w:val="18"/>
                <w:color w:val="auto"/>
              </w:rPr>
              <w:t>Equipment &amp; Sofware</w:t>
            </w:r>
          </w:p>
        </w:tc>
        <w:tc>
          <w:tcPr>
            <w:tcW w:w="4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81</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81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60" w:type="dxa"/>
            <w:vAlign w:val="bottom"/>
          </w:tcPr>
          <w:p>
            <w:pPr>
              <w:ind w:left="200"/>
              <w:spacing w:after="0" w:line="215" w:lineRule="exact"/>
              <w:rPr>
                <w:sz w:val="20"/>
                <w:szCs w:val="20"/>
                <w:color w:val="auto"/>
              </w:rPr>
            </w:pPr>
            <w:r>
              <w:rPr>
                <w:rFonts w:ascii="Calibri" w:cs="Calibri" w:eastAsia="Calibri" w:hAnsi="Calibri"/>
                <w:sz w:val="18"/>
                <w:szCs w:val="18"/>
                <w:color w:val="auto"/>
              </w:rPr>
              <w:t>Film and chemicals</w:t>
            </w:r>
          </w:p>
        </w:tc>
        <w:tc>
          <w:tcPr>
            <w:tcW w:w="4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192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5160" w:type="dxa"/>
            <w:vAlign w:val="bottom"/>
          </w:tcPr>
          <w:p>
            <w:pPr>
              <w:ind w:left="380"/>
              <w:spacing w:after="0" w:line="177" w:lineRule="exact"/>
              <w:rPr>
                <w:sz w:val="20"/>
                <w:szCs w:val="20"/>
                <w:color w:val="auto"/>
              </w:rPr>
            </w:pPr>
            <w:r>
              <w:rPr>
                <w:rFonts w:ascii="Calibri" w:cs="Calibri" w:eastAsia="Calibri" w:hAnsi="Calibri"/>
                <w:sz w:val="18"/>
                <w:szCs w:val="18"/>
                <w:color w:val="auto"/>
              </w:rPr>
              <w:t>Total core products and services</w:t>
            </w:r>
          </w:p>
        </w:tc>
        <w:tc>
          <w:tcPr>
            <w:tcW w:w="440" w:type="dxa"/>
            <w:vAlign w:val="bottom"/>
          </w:tcPr>
          <w:p>
            <w:pPr>
              <w:spacing w:after="0"/>
              <w:rPr>
                <w:sz w:val="15"/>
                <w:szCs w:val="15"/>
                <w:color w:val="auto"/>
              </w:rPr>
            </w:pPr>
          </w:p>
        </w:tc>
        <w:tc>
          <w:tcPr>
            <w:tcW w:w="600" w:type="dxa"/>
            <w:vAlign w:val="bottom"/>
          </w:tcPr>
          <w:p>
            <w:pPr>
              <w:jc w:val="right"/>
              <w:spacing w:after="0" w:line="177" w:lineRule="exact"/>
              <w:rPr>
                <w:sz w:val="20"/>
                <w:szCs w:val="20"/>
                <w:color w:val="auto"/>
              </w:rPr>
            </w:pPr>
            <w:r>
              <w:rPr>
                <w:rFonts w:ascii="Calibri" w:cs="Calibri" w:eastAsia="Calibri" w:hAnsi="Calibri"/>
                <w:sz w:val="18"/>
                <w:szCs w:val="18"/>
                <w:color w:val="auto"/>
              </w:rPr>
              <w:t>938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jc w:val="right"/>
              <w:spacing w:after="0" w:line="177" w:lineRule="exact"/>
              <w:rPr>
                <w:sz w:val="20"/>
                <w:szCs w:val="20"/>
                <w:color w:val="auto"/>
              </w:rPr>
            </w:pPr>
            <w:r>
              <w:rPr>
                <w:rFonts w:ascii="Calibri" w:cs="Calibri" w:eastAsia="Calibri" w:hAnsi="Calibri"/>
                <w:sz w:val="18"/>
                <w:szCs w:val="18"/>
                <w:color w:val="auto"/>
              </w:rPr>
              <w:t>218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60" w:type="dxa"/>
            <w:vAlign w:val="bottom"/>
          </w:tcPr>
          <w:p>
            <w:pPr>
              <w:jc w:val="right"/>
              <w:spacing w:after="0" w:line="177" w:lineRule="exact"/>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jc w:val="right"/>
              <w:spacing w:after="0" w:line="177"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jc w:val="right"/>
              <w:spacing w:after="0" w:line="177" w:lineRule="exact"/>
              <w:rPr>
                <w:sz w:val="20"/>
                <w:szCs w:val="20"/>
                <w:color w:val="auto"/>
              </w:rPr>
            </w:pPr>
            <w:r>
              <w:rPr>
                <w:rFonts w:ascii="Calibri" w:cs="Calibri" w:eastAsia="Calibri" w:hAnsi="Calibri"/>
                <w:sz w:val="18"/>
                <w:szCs w:val="18"/>
                <w:color w:val="auto"/>
              </w:rPr>
              <w:t>1,156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5160" w:type="dxa"/>
            <w:vAlign w:val="bottom"/>
            <w:vMerge w:val="restart"/>
          </w:tcPr>
          <w:p>
            <w:pPr>
              <w:ind w:left="20"/>
              <w:spacing w:after="0" w:line="263" w:lineRule="exact"/>
              <w:rPr>
                <w:sz w:val="20"/>
                <w:szCs w:val="20"/>
                <w:color w:val="auto"/>
              </w:rPr>
            </w:pPr>
            <w:r>
              <w:rPr>
                <w:rFonts w:ascii="Calibri" w:cs="Calibri" w:eastAsia="Calibri" w:hAnsi="Calibri"/>
                <w:sz w:val="18"/>
                <w:szCs w:val="18"/>
                <w:color w:val="auto"/>
              </w:rPr>
              <w:t xml:space="preserve">Growth products </w:t>
            </w:r>
            <w:r>
              <w:rPr>
                <w:rFonts w:ascii="Calibri" w:cs="Calibri" w:eastAsia="Calibri" w:hAnsi="Calibri"/>
                <w:sz w:val="24"/>
                <w:szCs w:val="24"/>
                <w:color w:val="auto"/>
                <w:vertAlign w:val="superscript"/>
              </w:rPr>
              <w:t>(2)</w:t>
            </w:r>
          </w:p>
        </w:tc>
        <w:tc>
          <w:tcPr>
            <w:tcW w:w="4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16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jc w:val="right"/>
              <w:spacing w:after="0" w:line="209"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jc w:val="right"/>
              <w:spacing w:after="0" w:line="209" w:lineRule="exact"/>
              <w:rPr>
                <w:sz w:val="20"/>
                <w:szCs w:val="20"/>
                <w:color w:val="auto"/>
              </w:rPr>
            </w:pPr>
            <w:r>
              <w:rPr>
                <w:rFonts w:ascii="Calibri" w:cs="Calibri" w:eastAsia="Calibri" w:hAnsi="Calibri"/>
                <w:sz w:val="18"/>
                <w:szCs w:val="18"/>
                <w:color w:val="auto"/>
              </w:rPr>
              <w:t>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jc w:val="right"/>
              <w:spacing w:after="0" w:line="209" w:lineRule="exact"/>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jc w:val="right"/>
              <w:spacing w:after="0" w:line="209"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jc w:val="right"/>
              <w:spacing w:after="0" w:line="209" w:lineRule="exact"/>
              <w:rPr>
                <w:sz w:val="20"/>
                <w:szCs w:val="20"/>
                <w:color w:val="auto"/>
              </w:rPr>
            </w:pPr>
            <w:r>
              <w:rPr>
                <w:rFonts w:ascii="Calibri" w:cs="Calibri" w:eastAsia="Calibri" w:hAnsi="Calibri"/>
                <w:sz w:val="18"/>
                <w:szCs w:val="18"/>
                <w:color w:val="auto"/>
              </w:rPr>
              <w:t>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Borders>
              <w:bottom w:val="single" w:sz="8" w:color="CFF0FC"/>
            </w:tcBorders>
            <w:shd w:val="clear" w:color="auto" w:fill="CFF0FC"/>
          </w:tcPr>
          <w:p>
            <w:pPr>
              <w:ind w:left="20"/>
              <w:spacing w:after="0" w:line="216" w:lineRule="exact"/>
              <w:rPr>
                <w:sz w:val="20"/>
                <w:szCs w:val="20"/>
                <w:color w:val="auto"/>
              </w:rPr>
            </w:pPr>
            <w:r>
              <w:rPr>
                <w:rFonts w:ascii="Calibri" w:cs="Calibri" w:eastAsia="Calibri" w:hAnsi="Calibri"/>
                <w:sz w:val="17"/>
                <w:szCs w:val="17"/>
                <w:color w:val="auto"/>
              </w:rPr>
              <w:t xml:space="preserve">Other </w:t>
            </w:r>
            <w:r>
              <w:rPr>
                <w:rFonts w:ascii="Calibri" w:cs="Calibri" w:eastAsia="Calibri" w:hAnsi="Calibri"/>
                <w:sz w:val="23"/>
                <w:szCs w:val="23"/>
                <w:color w:val="auto"/>
                <w:vertAlign w:val="superscript"/>
              </w:rPr>
              <w:t>(3)</w:t>
            </w:r>
          </w:p>
        </w:tc>
        <w:tc>
          <w:tcPr>
            <w:tcW w:w="44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17</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16</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tcPr>
          <w:p>
            <w:pPr>
              <w:ind w:left="20"/>
              <w:spacing w:after="0" w:line="209" w:lineRule="exact"/>
              <w:rPr>
                <w:sz w:val="20"/>
                <w:szCs w:val="20"/>
                <w:color w:val="auto"/>
              </w:rPr>
            </w:pPr>
            <w:r>
              <w:rPr>
                <w:rFonts w:ascii="Calibri" w:cs="Calibri" w:eastAsia="Calibri" w:hAnsi="Calibri"/>
                <w:sz w:val="18"/>
                <w:szCs w:val="18"/>
                <w:color w:val="auto"/>
              </w:rPr>
              <w:t>Total</w:t>
            </w:r>
          </w:p>
        </w:tc>
        <w:tc>
          <w:tcPr>
            <w:tcW w:w="440" w:type="dxa"/>
            <w:vAlign w:val="bottom"/>
          </w:tcPr>
          <w:p>
            <w:pPr>
              <w:jc w:val="right"/>
              <w:ind w:right="250"/>
              <w:spacing w:after="0" w:line="209" w:lineRule="exact"/>
              <w:rPr>
                <w:sz w:val="20"/>
                <w:szCs w:val="20"/>
                <w:color w:val="auto"/>
              </w:rPr>
            </w:pPr>
            <w:r>
              <w:rPr>
                <w:rFonts w:ascii="Calibri" w:cs="Calibri" w:eastAsia="Calibri" w:hAnsi="Calibri"/>
                <w:sz w:val="18"/>
                <w:szCs w:val="18"/>
                <w:color w:val="auto"/>
                <w:w w:val="87"/>
              </w:rPr>
              <w:t>$</w:t>
            </w:r>
          </w:p>
        </w:tc>
        <w:tc>
          <w:tcPr>
            <w:tcW w:w="600" w:type="dxa"/>
            <w:vAlign w:val="bottom"/>
          </w:tcPr>
          <w:p>
            <w:pPr>
              <w:jc w:val="right"/>
              <w:spacing w:after="0" w:line="209" w:lineRule="exact"/>
              <w:rPr>
                <w:sz w:val="20"/>
                <w:szCs w:val="20"/>
                <w:color w:val="auto"/>
              </w:rPr>
            </w:pPr>
            <w:r>
              <w:rPr>
                <w:rFonts w:ascii="Calibri" w:cs="Calibri" w:eastAsia="Calibri" w:hAnsi="Calibri"/>
                <w:sz w:val="18"/>
                <w:szCs w:val="18"/>
                <w:color w:val="auto"/>
              </w:rPr>
              <w:t>938</w:t>
            </w:r>
          </w:p>
        </w:tc>
        <w:tc>
          <w:tcPr>
            <w:tcW w:w="660" w:type="dxa"/>
            <w:vAlign w:val="bottom"/>
            <w:gridSpan w:val="3"/>
          </w:tcPr>
          <w:p>
            <w:pPr>
              <w:jc w:val="right"/>
              <w:ind w:right="320"/>
              <w:spacing w:after="0" w:line="209" w:lineRule="exact"/>
              <w:rPr>
                <w:sz w:val="20"/>
                <w:szCs w:val="20"/>
                <w:color w:val="auto"/>
              </w:rPr>
            </w:pPr>
            <w:r>
              <w:rPr>
                <w:rFonts w:ascii="Calibri" w:cs="Calibri" w:eastAsia="Calibri" w:hAnsi="Calibri"/>
                <w:sz w:val="18"/>
                <w:szCs w:val="18"/>
                <w:color w:val="auto"/>
              </w:rPr>
              <w:t>$</w:t>
            </w:r>
          </w:p>
        </w:tc>
        <w:tc>
          <w:tcPr>
            <w:tcW w:w="580" w:type="dxa"/>
            <w:vAlign w:val="bottom"/>
          </w:tcPr>
          <w:p>
            <w:pPr>
              <w:jc w:val="right"/>
              <w:spacing w:after="0" w:line="209" w:lineRule="exact"/>
              <w:rPr>
                <w:sz w:val="20"/>
                <w:szCs w:val="20"/>
                <w:color w:val="auto"/>
              </w:rPr>
            </w:pPr>
            <w:r>
              <w:rPr>
                <w:rFonts w:ascii="Calibri" w:cs="Calibri" w:eastAsia="Calibri" w:hAnsi="Calibri"/>
                <w:sz w:val="18"/>
                <w:szCs w:val="18"/>
                <w:color w:val="auto"/>
              </w:rPr>
              <w:t>234</w:t>
            </w:r>
          </w:p>
        </w:tc>
        <w:tc>
          <w:tcPr>
            <w:tcW w:w="680" w:type="dxa"/>
            <w:vAlign w:val="bottom"/>
            <w:gridSpan w:val="3"/>
          </w:tcPr>
          <w:p>
            <w:pPr>
              <w:jc w:val="right"/>
              <w:ind w:right="360"/>
              <w:spacing w:after="0" w:line="209" w:lineRule="exact"/>
              <w:rPr>
                <w:sz w:val="20"/>
                <w:szCs w:val="20"/>
                <w:color w:val="auto"/>
              </w:rPr>
            </w:pPr>
            <w:r>
              <w:rPr>
                <w:rFonts w:ascii="Calibri" w:cs="Calibri" w:eastAsia="Calibri" w:hAnsi="Calibri"/>
                <w:sz w:val="18"/>
                <w:szCs w:val="18"/>
                <w:color w:val="auto"/>
              </w:rPr>
              <w:t>$</w:t>
            </w:r>
          </w:p>
        </w:tc>
        <w:tc>
          <w:tcPr>
            <w:tcW w:w="560" w:type="dxa"/>
            <w:vAlign w:val="bottom"/>
          </w:tcPr>
          <w:p>
            <w:pPr>
              <w:jc w:val="right"/>
              <w:spacing w:after="0" w:line="209" w:lineRule="exact"/>
              <w:rPr>
                <w:sz w:val="20"/>
                <w:szCs w:val="20"/>
                <w:color w:val="auto"/>
              </w:rPr>
            </w:pPr>
            <w:r>
              <w:rPr>
                <w:rFonts w:ascii="Calibri" w:cs="Calibri" w:eastAsia="Calibri" w:hAnsi="Calibri"/>
                <w:sz w:val="18"/>
                <w:szCs w:val="18"/>
                <w:color w:val="auto"/>
              </w:rPr>
              <w:t>17</w:t>
            </w:r>
          </w:p>
        </w:tc>
        <w:tc>
          <w:tcPr>
            <w:tcW w:w="680" w:type="dxa"/>
            <w:vAlign w:val="bottom"/>
            <w:gridSpan w:val="3"/>
          </w:tcPr>
          <w:p>
            <w:pPr>
              <w:jc w:val="right"/>
              <w:ind w:right="360"/>
              <w:spacing w:after="0" w:line="209" w:lineRule="exact"/>
              <w:rPr>
                <w:sz w:val="20"/>
                <w:szCs w:val="20"/>
                <w:color w:val="auto"/>
              </w:rPr>
            </w:pPr>
            <w:r>
              <w:rPr>
                <w:rFonts w:ascii="Calibri" w:cs="Calibri" w:eastAsia="Calibri" w:hAnsi="Calibri"/>
                <w:sz w:val="18"/>
                <w:szCs w:val="18"/>
                <w:color w:val="auto"/>
              </w:rPr>
              <w:t>$</w:t>
            </w:r>
          </w:p>
        </w:tc>
        <w:tc>
          <w:tcPr>
            <w:tcW w:w="540" w:type="dxa"/>
            <w:vAlign w:val="bottom"/>
          </w:tcPr>
          <w:p>
            <w:pPr>
              <w:jc w:val="right"/>
              <w:spacing w:after="0" w:line="209" w:lineRule="exact"/>
              <w:rPr>
                <w:sz w:val="20"/>
                <w:szCs w:val="20"/>
                <w:color w:val="auto"/>
              </w:rPr>
            </w:pPr>
            <w:r>
              <w:rPr>
                <w:rFonts w:ascii="Calibri" w:cs="Calibri" w:eastAsia="Calibri" w:hAnsi="Calibri"/>
                <w:sz w:val="18"/>
                <w:szCs w:val="18"/>
                <w:color w:val="auto"/>
              </w:rPr>
              <w:t>16</w:t>
            </w:r>
          </w:p>
        </w:tc>
        <w:tc>
          <w:tcPr>
            <w:tcW w:w="580" w:type="dxa"/>
            <w:vAlign w:val="bottom"/>
            <w:gridSpan w:val="3"/>
          </w:tcPr>
          <w:p>
            <w:pPr>
              <w:jc w:val="right"/>
              <w:ind w:right="260"/>
              <w:spacing w:after="0" w:line="209" w:lineRule="exact"/>
              <w:rPr>
                <w:sz w:val="20"/>
                <w:szCs w:val="20"/>
                <w:color w:val="auto"/>
              </w:rPr>
            </w:pPr>
            <w:r>
              <w:rPr>
                <w:rFonts w:ascii="Calibri" w:cs="Calibri" w:eastAsia="Calibri" w:hAnsi="Calibri"/>
                <w:sz w:val="18"/>
                <w:szCs w:val="18"/>
                <w:color w:val="auto"/>
              </w:rPr>
              <w:t>$</w:t>
            </w:r>
          </w:p>
        </w:tc>
        <w:tc>
          <w:tcPr>
            <w:tcW w:w="660" w:type="dxa"/>
            <w:vAlign w:val="bottom"/>
          </w:tcPr>
          <w:p>
            <w:pPr>
              <w:jc w:val="right"/>
              <w:spacing w:after="0" w:line="209" w:lineRule="exact"/>
              <w:rPr>
                <w:sz w:val="20"/>
                <w:szCs w:val="20"/>
                <w:color w:val="auto"/>
              </w:rPr>
            </w:pPr>
            <w:r>
              <w:rPr>
                <w:rFonts w:ascii="Calibri" w:cs="Calibri" w:eastAsia="Calibri" w:hAnsi="Calibri"/>
                <w:sz w:val="18"/>
                <w:szCs w:val="18"/>
                <w:color w:val="auto"/>
              </w:rPr>
              <w:t>1,205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-1028065</wp:posOffset>
            </wp:positionV>
            <wp:extent cx="7683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-1028065</wp:posOffset>
            </wp:positionV>
            <wp:extent cx="6858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-1028065</wp:posOffset>
            </wp:positionV>
            <wp:extent cx="6858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-1028065</wp:posOffset>
            </wp:positionV>
            <wp:extent cx="6858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-1028065</wp:posOffset>
            </wp:positionV>
            <wp:extent cx="6858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-590550</wp:posOffset>
            </wp:positionV>
            <wp:extent cx="7132320" cy="14541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-170815</wp:posOffset>
            </wp:positionV>
            <wp:extent cx="7683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-170815</wp:posOffset>
            </wp:positionV>
            <wp:extent cx="685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-170815</wp:posOffset>
            </wp:positionV>
            <wp:extent cx="685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-170815</wp:posOffset>
            </wp:positionV>
            <wp:extent cx="6858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ind w:left="280" w:right="660" w:hanging="272"/>
        <w:spacing w:after="0" w:line="201" w:lineRule="auto"/>
        <w:tabs>
          <w:tab w:leader="none" w:pos="280" w:val="left"/>
        </w:tabs>
        <w:numPr>
          <w:ilvl w:val="0"/>
          <w:numId w:val="38"/>
        </w:numPr>
        <w:rPr>
          <w:rFonts w:ascii="Calibri" w:cs="Calibri" w:eastAsia="Calibri" w:hAnsi="Calibri"/>
          <w:sz w:val="24"/>
          <w:szCs w:val="24"/>
          <w:color w:val="auto"/>
          <w:vertAlign w:val="superscript"/>
        </w:rPr>
      </w:pPr>
      <w:r>
        <w:rPr>
          <w:rFonts w:ascii="Calibri" w:cs="Calibri" w:eastAsia="Calibri" w:hAnsi="Calibri"/>
          <w:sz w:val="18"/>
          <w:szCs w:val="18"/>
          <w:color w:val="auto"/>
        </w:rPr>
        <w:t>Core products and services includes the Print segment and the Moton Picture and Industrial Film and Chemicals businesses within the Advanced Materials and Chemicals segment, excluding coatng and product commercializaton services (“Coatng Services”).</w:t>
      </w:r>
    </w:p>
    <w:p>
      <w:pPr>
        <w:spacing w:after="0" w:line="2" w:lineRule="exact"/>
        <w:rPr>
          <w:rFonts w:ascii="Calibri" w:cs="Calibri" w:eastAsia="Calibri" w:hAnsi="Calibri"/>
          <w:sz w:val="24"/>
          <w:szCs w:val="24"/>
          <w:color w:val="auto"/>
          <w:vertAlign w:val="superscript"/>
        </w:rPr>
      </w:pPr>
    </w:p>
    <w:p>
      <w:pPr>
        <w:ind w:left="280" w:right="440" w:hanging="272"/>
        <w:spacing w:after="0" w:line="201" w:lineRule="auto"/>
        <w:tabs>
          <w:tab w:leader="none" w:pos="280" w:val="left"/>
        </w:tabs>
        <w:numPr>
          <w:ilvl w:val="0"/>
          <w:numId w:val="38"/>
        </w:numPr>
        <w:rPr>
          <w:rFonts w:ascii="Calibri" w:cs="Calibri" w:eastAsia="Calibri" w:hAnsi="Calibri"/>
          <w:sz w:val="24"/>
          <w:szCs w:val="24"/>
          <w:color w:val="auto"/>
          <w:vertAlign w:val="superscript"/>
        </w:rPr>
      </w:pPr>
      <w:r>
        <w:rPr>
          <w:rFonts w:ascii="Calibri" w:cs="Calibri" w:eastAsia="Calibri" w:hAnsi="Calibri"/>
          <w:sz w:val="18"/>
          <w:szCs w:val="18"/>
          <w:color w:val="auto"/>
        </w:rPr>
        <w:t>Growth products consist of Coatng Services, Analytcal Services and Advanced Materials and Functonal Printng within the Advanced Materials and Chemicals segment.</w:t>
      </w:r>
    </w:p>
    <w:p>
      <w:pPr>
        <w:spacing w:after="0" w:line="1" w:lineRule="exact"/>
        <w:rPr>
          <w:rFonts w:ascii="Calibri" w:cs="Calibri" w:eastAsia="Calibri" w:hAnsi="Calibri"/>
          <w:sz w:val="24"/>
          <w:szCs w:val="24"/>
          <w:color w:val="auto"/>
          <w:vertAlign w:val="superscript"/>
        </w:rPr>
      </w:pPr>
    </w:p>
    <w:p>
      <w:pPr>
        <w:ind w:left="280" w:hanging="272"/>
        <w:spacing w:after="0" w:line="184" w:lineRule="auto"/>
        <w:tabs>
          <w:tab w:leader="none" w:pos="280" w:val="left"/>
        </w:tabs>
        <w:numPr>
          <w:ilvl w:val="0"/>
          <w:numId w:val="38"/>
        </w:numPr>
        <w:rPr>
          <w:rFonts w:ascii="Calibri" w:cs="Calibri" w:eastAsia="Calibri" w:hAnsi="Calibri"/>
          <w:sz w:val="23"/>
          <w:szCs w:val="23"/>
          <w:color w:val="auto"/>
          <w:vertAlign w:val="superscript"/>
        </w:rPr>
      </w:pPr>
      <w:r>
        <w:rPr>
          <w:rFonts w:ascii="Calibri" w:cs="Calibri" w:eastAsia="Calibri" w:hAnsi="Calibri"/>
          <w:sz w:val="17"/>
          <w:szCs w:val="17"/>
          <w:color w:val="auto"/>
        </w:rPr>
        <w:t>Other consists of Intellectual Property Licensing ("IP Licensing"), Brand Licensing and Eastman Business Park.</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160" w:type="dxa"/>
            <w:vAlign w:val="bottom"/>
          </w:tcPr>
          <w:p>
            <w:pPr>
              <w:spacing w:after="0"/>
              <w:rPr>
                <w:sz w:val="20"/>
                <w:szCs w:val="20"/>
                <w:color w:val="auto"/>
              </w:rPr>
            </w:pPr>
            <w:r>
              <w:rPr>
                <w:rFonts w:ascii="Calibri" w:cs="Calibri" w:eastAsia="Calibri" w:hAnsi="Calibri"/>
                <w:sz w:val="18"/>
                <w:szCs w:val="18"/>
                <w:b w:val="1"/>
                <w:bCs w:val="1"/>
                <w:color w:val="auto"/>
              </w:rPr>
              <w:t xml:space="preserve">Geography </w:t>
            </w:r>
            <w:r>
              <w:rPr>
                <w:rFonts w:ascii="Calibri" w:cs="Calibri" w:eastAsia="Calibri" w:hAnsi="Calibri"/>
                <w:sz w:val="20"/>
                <w:szCs w:val="20"/>
                <w:b w:val="1"/>
                <w:bCs w:val="1"/>
                <w:color w:val="auto"/>
                <w:vertAlign w:val="superscript"/>
              </w:rPr>
              <w:t>(1)</w:t>
            </w:r>
            <w:r>
              <w:rPr>
                <w:rFonts w:ascii="Calibri" w:cs="Calibri" w:eastAsia="Calibri" w:hAnsi="Calibri"/>
                <w:sz w:val="18"/>
                <w:szCs w:val="18"/>
                <w:b w:val="1"/>
                <w:bCs w:val="1"/>
                <w:color w:val="auto"/>
              </w:rPr>
              <w:t>:</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404"/>
        </w:trPr>
        <w:tc>
          <w:tcPr>
            <w:tcW w:w="5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4"/>
          </w:tcPr>
          <w:p>
            <w:pPr>
              <w:jc w:val="center"/>
              <w:ind w:right="260"/>
              <w:spacing w:after="0"/>
              <w:rPr>
                <w:sz w:val="20"/>
                <w:szCs w:val="20"/>
                <w:color w:val="auto"/>
              </w:rPr>
            </w:pPr>
            <w:r>
              <w:rPr>
                <w:rFonts w:ascii="Calibri" w:cs="Calibri" w:eastAsia="Calibri" w:hAnsi="Calibri"/>
                <w:sz w:val="18"/>
                <w:szCs w:val="18"/>
                <w:b w:val="1"/>
                <w:bCs w:val="1"/>
                <w:color w:val="auto"/>
                <w:w w:val="96"/>
              </w:rPr>
              <w:t>Year Ended</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60" w:type="dxa"/>
            <w:vAlign w:val="bottom"/>
            <w:gridSpan w:val="6"/>
          </w:tcPr>
          <w:p>
            <w:pPr>
              <w:jc w:val="center"/>
              <w:ind w:right="40"/>
              <w:spacing w:after="0" w:line="216" w:lineRule="exact"/>
              <w:rPr>
                <w:sz w:val="20"/>
                <w:szCs w:val="20"/>
                <w:color w:val="auto"/>
              </w:rPr>
            </w:pPr>
            <w:r>
              <w:rPr>
                <w:rFonts w:ascii="Calibri" w:cs="Calibri" w:eastAsia="Calibri" w:hAnsi="Calibri"/>
                <w:sz w:val="18"/>
                <w:szCs w:val="18"/>
                <w:b w:val="1"/>
                <w:bCs w:val="1"/>
                <w:color w:val="auto"/>
                <w:w w:val="98"/>
              </w:rPr>
              <w:t>December 31, 2024</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ind w:right="30"/>
              <w:spacing w:after="0" w:line="216" w:lineRule="exact"/>
              <w:rPr>
                <w:sz w:val="20"/>
                <w:szCs w:val="20"/>
                <w:color w:val="auto"/>
              </w:rPr>
            </w:pPr>
            <w:r>
              <w:rPr>
                <w:rFonts w:ascii="Calibri" w:cs="Calibri" w:eastAsia="Calibri" w:hAnsi="Calibri"/>
                <w:sz w:val="18"/>
                <w:szCs w:val="18"/>
                <w:b w:val="1"/>
                <w:bCs w:val="1"/>
                <w:color w:val="auto"/>
                <w:w w:val="97"/>
              </w:rPr>
              <w:t>Advanced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ind w:right="30"/>
              <w:spacing w:after="0" w:line="216" w:lineRule="exact"/>
              <w:rPr>
                <w:sz w:val="20"/>
                <w:szCs w:val="20"/>
                <w:color w:val="auto"/>
              </w:rPr>
            </w:pPr>
            <w:r>
              <w:rPr>
                <w:rFonts w:ascii="Calibri" w:cs="Calibri" w:eastAsia="Calibri" w:hAnsi="Calibri"/>
                <w:sz w:val="18"/>
                <w:szCs w:val="18"/>
                <w:b w:val="1"/>
                <w:bCs w:val="1"/>
                <w:color w:val="auto"/>
                <w:w w:val="95"/>
              </w:rPr>
              <w:t>Materials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ind w:right="30"/>
              <w:spacing w:after="0" w:line="216" w:lineRule="exact"/>
              <w:rPr>
                <w:sz w:val="20"/>
                <w:szCs w:val="20"/>
                <w:color w:val="auto"/>
              </w:rPr>
            </w:pPr>
            <w:r>
              <w:rPr>
                <w:rFonts w:ascii="Calibri" w:cs="Calibri" w:eastAsia="Calibri" w:hAnsi="Calibri"/>
                <w:sz w:val="18"/>
                <w:szCs w:val="18"/>
                <w:b w:val="1"/>
                <w:bCs w:val="1"/>
                <w:color w:val="auto"/>
                <w:w w:val="99"/>
              </w:rPr>
              <w:t>and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60" w:type="dxa"/>
            <w:vAlign w:val="bottom"/>
          </w:tcPr>
          <w:p>
            <w:pPr>
              <w:ind w:left="20"/>
              <w:spacing w:after="0"/>
              <w:rPr>
                <w:sz w:val="20"/>
                <w:szCs w:val="20"/>
                <w:color w:val="auto"/>
              </w:rPr>
            </w:pPr>
            <w:r>
              <w:rPr>
                <w:rFonts w:ascii="Calibri" w:cs="Calibri" w:eastAsia="Calibri" w:hAnsi="Calibri"/>
                <w:sz w:val="14"/>
                <w:szCs w:val="14"/>
                <w:color w:val="auto"/>
              </w:rPr>
              <w:t>(in millions)</w:t>
            </w:r>
          </w:p>
        </w:tc>
        <w:tc>
          <w:tcPr>
            <w:tcW w:w="220" w:type="dxa"/>
            <w:vAlign w:val="bottom"/>
          </w:tcPr>
          <w:p>
            <w:pPr>
              <w:spacing w:after="0"/>
              <w:rPr>
                <w:sz w:val="18"/>
                <w:szCs w:val="18"/>
                <w:color w:val="auto"/>
              </w:rPr>
            </w:pPr>
          </w:p>
        </w:tc>
        <w:tc>
          <w:tcPr>
            <w:tcW w:w="820" w:type="dxa"/>
            <w:vAlign w:val="bottom"/>
          </w:tcPr>
          <w:p>
            <w:pPr>
              <w:jc w:val="right"/>
              <w:ind w:right="250"/>
              <w:spacing w:after="0" w:line="216" w:lineRule="exact"/>
              <w:rPr>
                <w:sz w:val="20"/>
                <w:szCs w:val="20"/>
                <w:color w:val="auto"/>
              </w:rPr>
            </w:pPr>
            <w:r>
              <w:rPr>
                <w:rFonts w:ascii="Calibri" w:cs="Calibri" w:eastAsia="Calibri" w:hAnsi="Calibri"/>
                <w:sz w:val="18"/>
                <w:szCs w:val="18"/>
                <w:b w:val="1"/>
                <w:bCs w:val="1"/>
                <w:color w:val="auto"/>
              </w:rPr>
              <w:t>Print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ind w:right="30"/>
              <w:spacing w:after="0" w:line="216" w:lineRule="exact"/>
              <w:rPr>
                <w:sz w:val="20"/>
                <w:szCs w:val="20"/>
                <w:color w:val="auto"/>
              </w:rPr>
            </w:pPr>
            <w:r>
              <w:rPr>
                <w:rFonts w:ascii="Calibri" w:cs="Calibri" w:eastAsia="Calibri" w:hAnsi="Calibri"/>
                <w:sz w:val="18"/>
                <w:szCs w:val="18"/>
                <w:b w:val="1"/>
                <w:bCs w:val="1"/>
                <w:color w:val="auto"/>
                <w:w w:val="95"/>
              </w:rPr>
              <w:t>Chemicals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3"/>
          </w:tcPr>
          <w:p>
            <w:pPr>
              <w:jc w:val="center"/>
              <w:ind w:right="420"/>
              <w:spacing w:after="0" w:line="216" w:lineRule="exact"/>
              <w:rPr>
                <w:sz w:val="20"/>
                <w:szCs w:val="20"/>
                <w:color w:val="auto"/>
              </w:rPr>
            </w:pPr>
            <w:r>
              <w:rPr>
                <w:rFonts w:ascii="Calibri" w:cs="Calibri" w:eastAsia="Calibri" w:hAnsi="Calibri"/>
                <w:sz w:val="18"/>
                <w:szCs w:val="18"/>
                <w:b w:val="1"/>
                <w:bCs w:val="1"/>
                <w:color w:val="auto"/>
                <w:w w:val="93"/>
              </w:rPr>
              <w:t>Brand</w:t>
            </w:r>
          </w:p>
        </w:tc>
        <w:tc>
          <w:tcPr>
            <w:tcW w:w="200" w:type="dxa"/>
            <w:vAlign w:val="bottom"/>
          </w:tcPr>
          <w:p>
            <w:pPr>
              <w:spacing w:after="0"/>
              <w:rPr>
                <w:sz w:val="18"/>
                <w:szCs w:val="18"/>
                <w:color w:val="auto"/>
              </w:rPr>
            </w:pPr>
          </w:p>
        </w:tc>
        <w:tc>
          <w:tcPr>
            <w:tcW w:w="800" w:type="dxa"/>
            <w:vAlign w:val="bottom"/>
          </w:tcPr>
          <w:p>
            <w:pPr>
              <w:jc w:val="right"/>
              <w:ind w:right="190"/>
              <w:spacing w:after="0" w:line="216" w:lineRule="exact"/>
              <w:rPr>
                <w:sz w:val="20"/>
                <w:szCs w:val="20"/>
                <w:color w:val="auto"/>
              </w:rPr>
            </w:pPr>
            <w:r>
              <w:rPr>
                <w:rFonts w:ascii="Calibri" w:cs="Calibri" w:eastAsia="Calibri" w:hAnsi="Calibri"/>
                <w:sz w:val="18"/>
                <w:szCs w:val="18"/>
                <w:b w:val="1"/>
                <w:bCs w:val="1"/>
                <w:color w:val="auto"/>
              </w:rPr>
              <w:t>Other</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ind w:left="100"/>
              <w:spacing w:after="0" w:line="216" w:lineRule="exact"/>
              <w:rPr>
                <w:sz w:val="20"/>
                <w:szCs w:val="20"/>
                <w:color w:val="auto"/>
              </w:rPr>
            </w:pPr>
            <w:r>
              <w:rPr>
                <w:rFonts w:ascii="Calibri" w:cs="Calibri" w:eastAsia="Calibri" w:hAnsi="Calibri"/>
                <w:sz w:val="18"/>
                <w:szCs w:val="18"/>
                <w:b w:val="1"/>
                <w:bCs w:val="1"/>
                <w:color w:val="auto"/>
              </w:rPr>
              <w:t>Total</w:t>
            </w:r>
          </w:p>
        </w:tc>
      </w:tr>
      <w:tr>
        <w:trPr>
          <w:trHeight w:val="23"/>
        </w:trPr>
        <w:tc>
          <w:tcPr>
            <w:tcW w:w="5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9"/>
        </w:trPr>
        <w:tc>
          <w:tcPr>
            <w:tcW w:w="5160" w:type="dxa"/>
            <w:vAlign w:val="bottom"/>
            <w:shd w:val="clear" w:color="auto" w:fill="CFF0FC"/>
          </w:tcPr>
          <w:p>
            <w:pPr>
              <w:ind w:left="20"/>
              <w:spacing w:after="0" w:line="209" w:lineRule="exact"/>
              <w:rPr>
                <w:sz w:val="20"/>
                <w:szCs w:val="20"/>
                <w:color w:val="auto"/>
              </w:rPr>
            </w:pPr>
            <w:r>
              <w:rPr>
                <w:rFonts w:ascii="Calibri" w:cs="Calibri" w:eastAsia="Calibri" w:hAnsi="Calibri"/>
                <w:sz w:val="18"/>
                <w:szCs w:val="18"/>
                <w:color w:val="auto"/>
              </w:rPr>
              <w:t>United States</w:t>
            </w:r>
          </w:p>
        </w:tc>
        <w:tc>
          <w:tcPr>
            <w:tcW w:w="220" w:type="dxa"/>
            <w:vAlign w:val="bottom"/>
            <w:shd w:val="clear" w:color="auto" w:fill="CFF0FC"/>
          </w:tcPr>
          <w:p>
            <w:pPr>
              <w:jc w:val="right"/>
              <w:ind w:right="30"/>
              <w:spacing w:after="0" w:line="209" w:lineRule="exact"/>
              <w:rPr>
                <w:sz w:val="20"/>
                <w:szCs w:val="20"/>
                <w:color w:val="auto"/>
              </w:rPr>
            </w:pPr>
            <w:r>
              <w:rPr>
                <w:rFonts w:ascii="Calibri" w:cs="Calibri" w:eastAsia="Calibri" w:hAnsi="Calibri"/>
                <w:sz w:val="18"/>
                <w:szCs w:val="18"/>
                <w:color w:val="auto"/>
                <w:w w:val="87"/>
              </w:rPr>
              <w:t>$</w:t>
            </w:r>
          </w:p>
        </w:tc>
        <w:tc>
          <w:tcPr>
            <w:tcW w:w="82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231</w:t>
            </w:r>
          </w:p>
        </w:tc>
        <w:tc>
          <w:tcPr>
            <w:tcW w:w="360" w:type="dxa"/>
            <w:vAlign w:val="bottom"/>
            <w:gridSpan w:val="3"/>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w:t>
            </w:r>
          </w:p>
        </w:tc>
        <w:tc>
          <w:tcPr>
            <w:tcW w:w="88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214</w:t>
            </w:r>
          </w:p>
        </w:tc>
        <w:tc>
          <w:tcPr>
            <w:tcW w:w="420" w:type="dxa"/>
            <w:vAlign w:val="bottom"/>
            <w:gridSpan w:val="3"/>
            <w:shd w:val="clear" w:color="auto" w:fill="CFF0FC"/>
          </w:tcPr>
          <w:p>
            <w:pPr>
              <w:jc w:val="right"/>
              <w:ind w:right="10"/>
              <w:spacing w:after="0" w:line="209" w:lineRule="exact"/>
              <w:rPr>
                <w:sz w:val="20"/>
                <w:szCs w:val="20"/>
                <w:color w:val="auto"/>
              </w:rPr>
            </w:pPr>
            <w:r>
              <w:rPr>
                <w:rFonts w:ascii="Calibri" w:cs="Calibri" w:eastAsia="Calibri" w:hAnsi="Calibri"/>
                <w:sz w:val="18"/>
                <w:szCs w:val="18"/>
                <w:color w:val="auto"/>
              </w:rPr>
              <w:t>$</w:t>
            </w:r>
          </w:p>
        </w:tc>
        <w:tc>
          <w:tcPr>
            <w:tcW w:w="82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20</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line="209" w:lineRule="exact"/>
              <w:rPr>
                <w:sz w:val="20"/>
                <w:szCs w:val="20"/>
                <w:color w:val="auto"/>
              </w:rPr>
            </w:pPr>
            <w:r>
              <w:rPr>
                <w:rFonts w:ascii="Calibri" w:cs="Calibri" w:eastAsia="Calibri" w:hAnsi="Calibri"/>
                <w:sz w:val="18"/>
                <w:szCs w:val="18"/>
                <w:color w:val="auto"/>
                <w:w w:val="87"/>
              </w:rPr>
              <w:t>$</w:t>
            </w:r>
          </w:p>
        </w:tc>
        <w:tc>
          <w:tcPr>
            <w:tcW w:w="80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15</w:t>
            </w:r>
          </w:p>
        </w:tc>
        <w:tc>
          <w:tcPr>
            <w:tcW w:w="440" w:type="dxa"/>
            <w:vAlign w:val="bottom"/>
            <w:gridSpan w:val="2"/>
            <w:shd w:val="clear" w:color="auto" w:fill="CFF0FC"/>
          </w:tcPr>
          <w:p>
            <w:pPr>
              <w:jc w:val="right"/>
              <w:ind w:right="30"/>
              <w:spacing w:after="0" w:line="209" w:lineRule="exact"/>
              <w:rPr>
                <w:sz w:val="20"/>
                <w:szCs w:val="20"/>
                <w:color w:val="auto"/>
              </w:rPr>
            </w:pPr>
            <w:r>
              <w:rPr>
                <w:rFonts w:ascii="Calibri" w:cs="Calibri" w:eastAsia="Calibri" w:hAnsi="Calibri"/>
                <w:sz w:val="18"/>
                <w:szCs w:val="18"/>
                <w:color w:val="auto"/>
              </w:rPr>
              <w:t>$</w:t>
            </w:r>
          </w:p>
        </w:tc>
        <w:tc>
          <w:tcPr>
            <w:tcW w:w="80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480</w:t>
            </w:r>
          </w:p>
        </w:tc>
        <w:tc>
          <w:tcPr>
            <w:tcW w:w="100" w:type="dxa"/>
            <w:vAlign w:val="bottom"/>
            <w:shd w:val="clear" w:color="auto" w:fill="CFF0FC"/>
          </w:tcPr>
          <w:p>
            <w:pPr>
              <w:spacing w:after="0"/>
              <w:rPr>
                <w:sz w:val="18"/>
                <w:szCs w:val="18"/>
                <w:color w:val="auto"/>
              </w:rPr>
            </w:pPr>
          </w:p>
        </w:tc>
      </w:tr>
      <w:tr>
        <w:trPr>
          <w:trHeight w:val="215"/>
        </w:trPr>
        <w:tc>
          <w:tcPr>
            <w:tcW w:w="5160" w:type="dxa"/>
            <w:vAlign w:val="bottom"/>
          </w:tcPr>
          <w:p>
            <w:pPr>
              <w:ind w:left="20"/>
              <w:spacing w:after="0" w:line="215" w:lineRule="exact"/>
              <w:rPr>
                <w:sz w:val="20"/>
                <w:szCs w:val="20"/>
                <w:color w:val="auto"/>
              </w:rPr>
            </w:pPr>
            <w:r>
              <w:rPr>
                <w:rFonts w:ascii="Calibri" w:cs="Calibri" w:eastAsia="Calibri" w:hAnsi="Calibri"/>
                <w:sz w:val="18"/>
                <w:szCs w:val="18"/>
                <w:color w:val="auto"/>
              </w:rPr>
              <w:t>Canada</w:t>
            </w:r>
          </w:p>
        </w:tc>
        <w:tc>
          <w:tcPr>
            <w:tcW w:w="220" w:type="dxa"/>
            <w:vAlign w:val="bottom"/>
          </w:tcPr>
          <w:p>
            <w:pPr>
              <w:spacing w:after="0"/>
              <w:rPr>
                <w:sz w:val="18"/>
                <w:szCs w:val="18"/>
                <w:color w:val="auto"/>
              </w:rPr>
            </w:pPr>
          </w:p>
        </w:tc>
        <w:tc>
          <w:tcPr>
            <w:tcW w:w="820" w:type="dxa"/>
            <w:vAlign w:val="bottom"/>
          </w:tcPr>
          <w:p>
            <w:pPr>
              <w:jc w:val="right"/>
              <w:spacing w:after="0" w:line="215" w:lineRule="exact"/>
              <w:rPr>
                <w:sz w:val="20"/>
                <w:szCs w:val="20"/>
                <w:color w:val="auto"/>
              </w:rPr>
            </w:pPr>
            <w:r>
              <w:rPr>
                <w:rFonts w:ascii="Calibri" w:cs="Calibri" w:eastAsia="Calibri" w:hAnsi="Calibri"/>
                <w:sz w:val="18"/>
                <w:szCs w:val="18"/>
                <w:color w:val="auto"/>
              </w:rPr>
              <w:t>15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line="215" w:lineRule="exact"/>
              <w:rPr>
                <w:sz w:val="20"/>
                <w:szCs w:val="20"/>
                <w:color w:val="auto"/>
              </w:rPr>
            </w:pPr>
            <w:r>
              <w:rPr>
                <w:rFonts w:ascii="Calibri" w:cs="Calibri" w:eastAsia="Calibri" w:hAnsi="Calibri"/>
                <w:sz w:val="18"/>
                <w:szCs w:val="18"/>
                <w:color w:val="auto"/>
              </w:rPr>
              <w:t>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3"/>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200" w:type="dxa"/>
            <w:vAlign w:val="bottom"/>
          </w:tcPr>
          <w:p>
            <w:pPr>
              <w:spacing w:after="0"/>
              <w:rPr>
                <w:sz w:val="18"/>
                <w:szCs w:val="18"/>
                <w:color w:val="auto"/>
              </w:rPr>
            </w:pPr>
          </w:p>
        </w:tc>
        <w:tc>
          <w:tcPr>
            <w:tcW w:w="80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line="215" w:lineRule="exact"/>
              <w:rPr>
                <w:sz w:val="20"/>
                <w:szCs w:val="20"/>
                <w:color w:val="auto"/>
              </w:rPr>
            </w:pPr>
            <w:r>
              <w:rPr>
                <w:rFonts w:ascii="Calibri" w:cs="Calibri" w:eastAsia="Calibri" w:hAnsi="Calibri"/>
                <w:sz w:val="18"/>
                <w:szCs w:val="18"/>
                <w:color w:val="auto"/>
              </w:rPr>
              <w:t>17</w:t>
            </w:r>
          </w:p>
        </w:tc>
        <w:tc>
          <w:tcPr>
            <w:tcW w:w="100" w:type="dxa"/>
            <w:vAlign w:val="bottom"/>
          </w:tcPr>
          <w:p>
            <w:pPr>
              <w:spacing w:after="0"/>
              <w:rPr>
                <w:sz w:val="18"/>
                <w:szCs w:val="18"/>
                <w:color w:val="auto"/>
              </w:rPr>
            </w:pPr>
          </w:p>
        </w:tc>
      </w:tr>
      <w:tr>
        <w:trPr>
          <w:trHeight w:val="209"/>
        </w:trPr>
        <w:tc>
          <w:tcPr>
            <w:tcW w:w="5160" w:type="dxa"/>
            <w:vAlign w:val="bottom"/>
            <w:tcBorders>
              <w:bottom w:val="single" w:sz="8" w:color="CFF0FC"/>
            </w:tcBorders>
            <w:shd w:val="clear" w:color="auto" w:fill="CFF0FC"/>
          </w:tcPr>
          <w:p>
            <w:pPr>
              <w:ind w:left="200"/>
              <w:spacing w:after="0" w:line="209" w:lineRule="exact"/>
              <w:rPr>
                <w:sz w:val="20"/>
                <w:szCs w:val="20"/>
                <w:color w:val="auto"/>
              </w:rPr>
            </w:pPr>
            <w:r>
              <w:rPr>
                <w:rFonts w:ascii="Calibri" w:cs="Calibri" w:eastAsia="Calibri" w:hAnsi="Calibri"/>
                <w:sz w:val="18"/>
                <w:szCs w:val="18"/>
                <w:color w:val="auto"/>
              </w:rPr>
              <w:t>North America</w:t>
            </w: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246</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216</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20</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800" w:type="dxa"/>
            <w:vAlign w:val="bottom"/>
            <w:tcBorders>
              <w:top w:val="single" w:sz="8" w:color="auto"/>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15</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800" w:type="dxa"/>
            <w:vAlign w:val="bottom"/>
            <w:tcBorders>
              <w:top w:val="single" w:sz="8" w:color="auto"/>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497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160" w:type="dxa"/>
            <w:vAlign w:val="bottom"/>
          </w:tcPr>
          <w:p>
            <w:pPr>
              <w:ind w:left="20"/>
              <w:spacing w:after="0" w:line="209" w:lineRule="exact"/>
              <w:rPr>
                <w:sz w:val="20"/>
                <w:szCs w:val="20"/>
                <w:color w:val="auto"/>
              </w:rPr>
            </w:pPr>
            <w:r>
              <w:rPr>
                <w:rFonts w:ascii="Calibri" w:cs="Calibri" w:eastAsia="Calibri" w:hAnsi="Calibri"/>
                <w:sz w:val="18"/>
                <w:szCs w:val="18"/>
                <w:color w:val="auto"/>
              </w:rPr>
              <w:t>Europe, Middle East and Africa</w:t>
            </w:r>
          </w:p>
        </w:tc>
        <w:tc>
          <w:tcPr>
            <w:tcW w:w="220" w:type="dxa"/>
            <w:vAlign w:val="bottom"/>
          </w:tcPr>
          <w:p>
            <w:pPr>
              <w:spacing w:after="0"/>
              <w:rPr>
                <w:sz w:val="18"/>
                <w:szCs w:val="18"/>
                <w:color w:val="auto"/>
              </w:rPr>
            </w:pPr>
          </w:p>
        </w:tc>
        <w:tc>
          <w:tcPr>
            <w:tcW w:w="820" w:type="dxa"/>
            <w:vAlign w:val="bottom"/>
          </w:tcPr>
          <w:p>
            <w:pPr>
              <w:jc w:val="right"/>
              <w:spacing w:after="0" w:line="209" w:lineRule="exact"/>
              <w:rPr>
                <w:sz w:val="20"/>
                <w:szCs w:val="20"/>
                <w:color w:val="auto"/>
              </w:rPr>
            </w:pPr>
            <w:r>
              <w:rPr>
                <w:rFonts w:ascii="Calibri" w:cs="Calibri" w:eastAsia="Calibri" w:hAnsi="Calibri"/>
                <w:sz w:val="18"/>
                <w:szCs w:val="18"/>
                <w:color w:val="auto"/>
              </w:rPr>
              <w:t>312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line="209" w:lineRule="exact"/>
              <w:rPr>
                <w:sz w:val="20"/>
                <w:szCs w:val="20"/>
                <w:color w:val="auto"/>
              </w:rPr>
            </w:pPr>
            <w:r>
              <w:rPr>
                <w:rFonts w:ascii="Calibri" w:cs="Calibri" w:eastAsia="Calibri" w:hAnsi="Calibri"/>
                <w:sz w:val="18"/>
                <w:szCs w:val="18"/>
                <w:color w:val="auto"/>
              </w:rPr>
              <w:t>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3"/>
          </w:tcPr>
          <w:p>
            <w:pPr>
              <w:jc w:val="right"/>
              <w:ind w:right="240"/>
              <w:spacing w:after="0" w:line="209" w:lineRule="exact"/>
              <w:rPr>
                <w:sz w:val="20"/>
                <w:szCs w:val="20"/>
                <w:color w:val="auto"/>
              </w:rPr>
            </w:pPr>
            <w:r>
              <w:rPr>
                <w:rFonts w:ascii="Calibri" w:cs="Calibri" w:eastAsia="Calibri" w:hAnsi="Calibri"/>
                <w:sz w:val="18"/>
                <w:szCs w:val="18"/>
                <w:color w:val="auto"/>
              </w:rPr>
              <w:t>—</w:t>
            </w:r>
          </w:p>
        </w:tc>
        <w:tc>
          <w:tcPr>
            <w:tcW w:w="200" w:type="dxa"/>
            <w:vAlign w:val="bottom"/>
          </w:tcPr>
          <w:p>
            <w:pPr>
              <w:spacing w:after="0"/>
              <w:rPr>
                <w:sz w:val="18"/>
                <w:szCs w:val="18"/>
                <w:color w:val="auto"/>
              </w:rPr>
            </w:pPr>
          </w:p>
        </w:tc>
        <w:tc>
          <w:tcPr>
            <w:tcW w:w="800" w:type="dxa"/>
            <w:vAlign w:val="bottom"/>
          </w:tcPr>
          <w:p>
            <w:pPr>
              <w:jc w:val="right"/>
              <w:spacing w:after="0" w:line="209" w:lineRule="exact"/>
              <w:rPr>
                <w:sz w:val="20"/>
                <w:szCs w:val="20"/>
                <w:color w:val="auto"/>
              </w:rPr>
            </w:pPr>
            <w:r>
              <w:rPr>
                <w:rFonts w:ascii="Calibri" w:cs="Calibri" w:eastAsia="Calibri" w:hAnsi="Calibri"/>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line="209" w:lineRule="exact"/>
              <w:rPr>
                <w:sz w:val="20"/>
                <w:szCs w:val="20"/>
                <w:color w:val="auto"/>
              </w:rPr>
            </w:pPr>
            <w:r>
              <w:rPr>
                <w:rFonts w:ascii="Calibri" w:cs="Calibri" w:eastAsia="Calibri" w:hAnsi="Calibri"/>
                <w:sz w:val="18"/>
                <w:szCs w:val="18"/>
                <w:color w:val="auto"/>
              </w:rPr>
              <w:t>334</w:t>
            </w:r>
          </w:p>
        </w:tc>
        <w:tc>
          <w:tcPr>
            <w:tcW w:w="100" w:type="dxa"/>
            <w:vAlign w:val="bottom"/>
          </w:tcPr>
          <w:p>
            <w:pPr>
              <w:spacing w:after="0"/>
              <w:rPr>
                <w:sz w:val="18"/>
                <w:szCs w:val="18"/>
                <w:color w:val="auto"/>
              </w:rPr>
            </w:pPr>
          </w:p>
        </w:tc>
      </w:tr>
      <w:tr>
        <w:trPr>
          <w:trHeight w:val="217"/>
        </w:trPr>
        <w:tc>
          <w:tcPr>
            <w:tcW w:w="516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Asia Pacifc</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161</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32</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gridSpan w:val="3"/>
            <w:shd w:val="clear" w:color="auto" w:fill="CFF0FC"/>
          </w:tcPr>
          <w:p>
            <w:pPr>
              <w:jc w:val="right"/>
              <w:ind w:right="240"/>
              <w:spacing w:after="0" w:line="216" w:lineRule="exact"/>
              <w:rPr>
                <w:sz w:val="20"/>
                <w:szCs w:val="20"/>
                <w:color w:val="auto"/>
              </w:rPr>
            </w:pPr>
            <w:r>
              <w:rPr>
                <w:rFonts w:ascii="Calibri" w:cs="Calibri" w:eastAsia="Calibri" w:hAnsi="Calibri"/>
                <w:sz w:val="18"/>
                <w:szCs w:val="18"/>
                <w:color w:val="auto"/>
              </w:rPr>
              <w:t>—</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193</w:t>
            </w:r>
          </w:p>
        </w:tc>
        <w:tc>
          <w:tcPr>
            <w:tcW w:w="100" w:type="dxa"/>
            <w:vAlign w:val="bottom"/>
            <w:shd w:val="clear" w:color="auto" w:fill="CFF0FC"/>
          </w:tcPr>
          <w:p>
            <w:pPr>
              <w:spacing w:after="0"/>
              <w:rPr>
                <w:sz w:val="18"/>
                <w:szCs w:val="18"/>
                <w:color w:val="auto"/>
              </w:rPr>
            </w:pPr>
          </w:p>
        </w:tc>
      </w:tr>
      <w:tr>
        <w:trPr>
          <w:trHeight w:val="215"/>
        </w:trPr>
        <w:tc>
          <w:tcPr>
            <w:tcW w:w="5160" w:type="dxa"/>
            <w:vAlign w:val="bottom"/>
          </w:tcPr>
          <w:p>
            <w:pPr>
              <w:ind w:left="20"/>
              <w:spacing w:after="0" w:line="215" w:lineRule="exact"/>
              <w:rPr>
                <w:sz w:val="20"/>
                <w:szCs w:val="20"/>
                <w:color w:val="auto"/>
              </w:rPr>
            </w:pPr>
            <w:r>
              <w:rPr>
                <w:rFonts w:ascii="Calibri" w:cs="Calibri" w:eastAsia="Calibri" w:hAnsi="Calibri"/>
                <w:sz w:val="18"/>
                <w:szCs w:val="18"/>
                <w:color w:val="auto"/>
              </w:rPr>
              <w:t>Latn America</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220" w:type="dxa"/>
            <w:vAlign w:val="bottom"/>
            <w:gridSpan w:val="2"/>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19</w:t>
            </w:r>
          </w:p>
        </w:tc>
        <w:tc>
          <w:tcPr>
            <w:tcW w:w="100" w:type="dxa"/>
            <w:vAlign w:val="bottom"/>
          </w:tcPr>
          <w:p>
            <w:pPr>
              <w:spacing w:after="0"/>
              <w:rPr>
                <w:sz w:val="18"/>
                <w:szCs w:val="18"/>
                <w:color w:val="auto"/>
              </w:rPr>
            </w:pPr>
          </w:p>
        </w:tc>
      </w:tr>
      <w:tr>
        <w:trPr>
          <w:trHeight w:val="250"/>
        </w:trPr>
        <w:tc>
          <w:tcPr>
            <w:tcW w:w="5160" w:type="dxa"/>
            <w:vAlign w:val="bottom"/>
            <w:tcBorders>
              <w:bottom w:val="single" w:sz="8" w:color="CFF0FC"/>
            </w:tcBorders>
            <w:shd w:val="clear" w:color="auto" w:fill="CFF0FC"/>
          </w:tcPr>
          <w:p>
            <w:pPr>
              <w:ind w:left="200"/>
              <w:spacing w:after="0" w:line="209" w:lineRule="exact"/>
              <w:rPr>
                <w:sz w:val="20"/>
                <w:szCs w:val="20"/>
                <w:color w:val="auto"/>
              </w:rPr>
            </w:pPr>
            <w:r>
              <w:rPr>
                <w:rFonts w:ascii="Calibri" w:cs="Calibri" w:eastAsia="Calibri" w:hAnsi="Calibri"/>
                <w:sz w:val="18"/>
                <w:szCs w:val="18"/>
                <w:color w:val="auto"/>
              </w:rPr>
              <w:t>Total Sales</w:t>
            </w:r>
          </w:p>
        </w:tc>
        <w:tc>
          <w:tcPr>
            <w:tcW w:w="220" w:type="dxa"/>
            <w:vAlign w:val="bottom"/>
            <w:tcBorders>
              <w:bottom w:val="single" w:sz="8" w:color="auto"/>
            </w:tcBorders>
            <w:shd w:val="clear" w:color="auto" w:fill="CFF0FC"/>
          </w:tcPr>
          <w:p>
            <w:pPr>
              <w:jc w:val="right"/>
              <w:ind w:right="30"/>
              <w:spacing w:after="0" w:line="209" w:lineRule="exact"/>
              <w:rPr>
                <w:sz w:val="20"/>
                <w:szCs w:val="20"/>
                <w:color w:val="auto"/>
              </w:rPr>
            </w:pPr>
            <w:r>
              <w:rPr>
                <w:rFonts w:ascii="Calibri" w:cs="Calibri" w:eastAsia="Calibri" w:hAnsi="Calibri"/>
                <w:sz w:val="18"/>
                <w:szCs w:val="18"/>
                <w:color w:val="auto"/>
                <w:w w:val="87"/>
              </w:rPr>
              <w:t>$</w:t>
            </w:r>
          </w:p>
        </w:tc>
        <w:tc>
          <w:tcPr>
            <w:tcW w:w="82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737</w:t>
            </w:r>
          </w:p>
        </w:tc>
        <w:tc>
          <w:tcPr>
            <w:tcW w:w="240" w:type="dxa"/>
            <w:vAlign w:val="bottom"/>
            <w:tcBorders>
              <w:bottom w:val="single" w:sz="8" w:color="CFF0FC"/>
            </w:tcBorders>
            <w:gridSpan w:val="2"/>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w w:val="87"/>
              </w:rPr>
              <w:t>$</w:t>
            </w:r>
          </w:p>
        </w:tc>
        <w:tc>
          <w:tcPr>
            <w:tcW w:w="88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271</w:t>
            </w:r>
          </w:p>
        </w:tc>
        <w:tc>
          <w:tcPr>
            <w:tcW w:w="220" w:type="dxa"/>
            <w:vAlign w:val="bottom"/>
            <w:tcBorders>
              <w:bottom w:val="single" w:sz="8" w:color="CFF0FC"/>
            </w:tcBorders>
            <w:gridSpan w:val="2"/>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line="209" w:lineRule="exact"/>
              <w:rPr>
                <w:sz w:val="20"/>
                <w:szCs w:val="20"/>
                <w:color w:val="auto"/>
              </w:rPr>
            </w:pPr>
            <w:r>
              <w:rPr>
                <w:rFonts w:ascii="Calibri" w:cs="Calibri" w:eastAsia="Calibri" w:hAnsi="Calibri"/>
                <w:sz w:val="18"/>
                <w:szCs w:val="18"/>
                <w:color w:val="auto"/>
                <w:w w:val="87"/>
              </w:rPr>
              <w:t>$</w:t>
            </w:r>
          </w:p>
        </w:tc>
        <w:tc>
          <w:tcPr>
            <w:tcW w:w="82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20</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line="209" w:lineRule="exact"/>
              <w:rPr>
                <w:sz w:val="20"/>
                <w:szCs w:val="20"/>
                <w:color w:val="auto"/>
              </w:rPr>
            </w:pPr>
            <w:r>
              <w:rPr>
                <w:rFonts w:ascii="Calibri" w:cs="Calibri" w:eastAsia="Calibri" w:hAnsi="Calibri"/>
                <w:sz w:val="18"/>
                <w:szCs w:val="18"/>
                <w:color w:val="auto"/>
                <w:w w:val="87"/>
              </w:rPr>
              <w:t>$</w:t>
            </w:r>
          </w:p>
        </w:tc>
        <w:tc>
          <w:tcPr>
            <w:tcW w:w="80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15</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line="209" w:lineRule="exact"/>
              <w:rPr>
                <w:sz w:val="20"/>
                <w:szCs w:val="20"/>
                <w:color w:val="auto"/>
              </w:rPr>
            </w:pPr>
            <w:r>
              <w:rPr>
                <w:rFonts w:ascii="Calibri" w:cs="Calibri" w:eastAsia="Calibri" w:hAnsi="Calibri"/>
                <w:sz w:val="18"/>
                <w:szCs w:val="18"/>
                <w:color w:val="auto"/>
                <w:w w:val="87"/>
              </w:rPr>
              <w:t>$</w:t>
            </w:r>
          </w:p>
        </w:tc>
        <w:tc>
          <w:tcPr>
            <w:tcW w:w="80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1,043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390"/>
        </w:trPr>
        <w:tc>
          <w:tcPr>
            <w:tcW w:w="5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4"/>
          </w:tcPr>
          <w:p>
            <w:pPr>
              <w:jc w:val="center"/>
              <w:ind w:right="260"/>
              <w:spacing w:after="0"/>
              <w:rPr>
                <w:sz w:val="20"/>
                <w:szCs w:val="20"/>
                <w:color w:val="auto"/>
              </w:rPr>
            </w:pPr>
            <w:r>
              <w:rPr>
                <w:rFonts w:ascii="Calibri" w:cs="Calibri" w:eastAsia="Calibri" w:hAnsi="Calibri"/>
                <w:sz w:val="18"/>
                <w:szCs w:val="18"/>
                <w:b w:val="1"/>
                <w:bCs w:val="1"/>
                <w:color w:val="auto"/>
                <w:w w:val="96"/>
              </w:rPr>
              <w:t>Year Ended</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60" w:type="dxa"/>
            <w:vAlign w:val="bottom"/>
            <w:gridSpan w:val="6"/>
          </w:tcPr>
          <w:p>
            <w:pPr>
              <w:jc w:val="center"/>
              <w:ind w:right="40"/>
              <w:spacing w:after="0" w:line="216" w:lineRule="exact"/>
              <w:rPr>
                <w:sz w:val="20"/>
                <w:szCs w:val="20"/>
                <w:color w:val="auto"/>
              </w:rPr>
            </w:pPr>
            <w:r>
              <w:rPr>
                <w:rFonts w:ascii="Calibri" w:cs="Calibri" w:eastAsia="Calibri" w:hAnsi="Calibri"/>
                <w:sz w:val="18"/>
                <w:szCs w:val="18"/>
                <w:b w:val="1"/>
                <w:bCs w:val="1"/>
                <w:color w:val="auto"/>
                <w:w w:val="98"/>
              </w:rPr>
              <w:t>December 31, 2023</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ind w:right="30"/>
              <w:spacing w:after="0" w:line="216" w:lineRule="exact"/>
              <w:rPr>
                <w:sz w:val="20"/>
                <w:szCs w:val="20"/>
                <w:color w:val="auto"/>
              </w:rPr>
            </w:pPr>
            <w:r>
              <w:rPr>
                <w:rFonts w:ascii="Calibri" w:cs="Calibri" w:eastAsia="Calibri" w:hAnsi="Calibri"/>
                <w:sz w:val="18"/>
                <w:szCs w:val="18"/>
                <w:b w:val="1"/>
                <w:bCs w:val="1"/>
                <w:color w:val="auto"/>
                <w:w w:val="97"/>
              </w:rPr>
              <w:t>Advanced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ind w:right="30"/>
              <w:spacing w:after="0" w:line="216" w:lineRule="exact"/>
              <w:rPr>
                <w:sz w:val="20"/>
                <w:szCs w:val="20"/>
                <w:color w:val="auto"/>
              </w:rPr>
            </w:pPr>
            <w:r>
              <w:rPr>
                <w:rFonts w:ascii="Calibri" w:cs="Calibri" w:eastAsia="Calibri" w:hAnsi="Calibri"/>
                <w:sz w:val="18"/>
                <w:szCs w:val="18"/>
                <w:b w:val="1"/>
                <w:bCs w:val="1"/>
                <w:color w:val="auto"/>
                <w:w w:val="95"/>
              </w:rPr>
              <w:t>Materials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ind w:right="30"/>
              <w:spacing w:after="0" w:line="216" w:lineRule="exact"/>
              <w:rPr>
                <w:sz w:val="20"/>
                <w:szCs w:val="20"/>
                <w:color w:val="auto"/>
              </w:rPr>
            </w:pPr>
            <w:r>
              <w:rPr>
                <w:rFonts w:ascii="Calibri" w:cs="Calibri" w:eastAsia="Calibri" w:hAnsi="Calibri"/>
                <w:sz w:val="18"/>
                <w:szCs w:val="18"/>
                <w:b w:val="1"/>
                <w:bCs w:val="1"/>
                <w:color w:val="auto"/>
                <w:w w:val="99"/>
              </w:rPr>
              <w:t>and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60" w:type="dxa"/>
            <w:vAlign w:val="bottom"/>
          </w:tcPr>
          <w:p>
            <w:pPr>
              <w:ind w:left="20"/>
              <w:spacing w:after="0"/>
              <w:rPr>
                <w:sz w:val="20"/>
                <w:szCs w:val="20"/>
                <w:color w:val="auto"/>
              </w:rPr>
            </w:pPr>
            <w:r>
              <w:rPr>
                <w:rFonts w:ascii="Calibri" w:cs="Calibri" w:eastAsia="Calibri" w:hAnsi="Calibri"/>
                <w:sz w:val="14"/>
                <w:szCs w:val="14"/>
                <w:color w:val="auto"/>
              </w:rPr>
              <w:t>(in millions)</w:t>
            </w:r>
          </w:p>
        </w:tc>
        <w:tc>
          <w:tcPr>
            <w:tcW w:w="220" w:type="dxa"/>
            <w:vAlign w:val="bottom"/>
          </w:tcPr>
          <w:p>
            <w:pPr>
              <w:spacing w:after="0"/>
              <w:rPr>
                <w:sz w:val="18"/>
                <w:szCs w:val="18"/>
                <w:color w:val="auto"/>
              </w:rPr>
            </w:pPr>
          </w:p>
        </w:tc>
        <w:tc>
          <w:tcPr>
            <w:tcW w:w="820" w:type="dxa"/>
            <w:vAlign w:val="bottom"/>
          </w:tcPr>
          <w:p>
            <w:pPr>
              <w:jc w:val="right"/>
              <w:ind w:right="250"/>
              <w:spacing w:after="0" w:line="216" w:lineRule="exact"/>
              <w:rPr>
                <w:sz w:val="20"/>
                <w:szCs w:val="20"/>
                <w:color w:val="auto"/>
              </w:rPr>
            </w:pPr>
            <w:r>
              <w:rPr>
                <w:rFonts w:ascii="Calibri" w:cs="Calibri" w:eastAsia="Calibri" w:hAnsi="Calibri"/>
                <w:sz w:val="18"/>
                <w:szCs w:val="18"/>
                <w:b w:val="1"/>
                <w:bCs w:val="1"/>
                <w:color w:val="auto"/>
              </w:rPr>
              <w:t>Print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ind w:right="30"/>
              <w:spacing w:after="0" w:line="216" w:lineRule="exact"/>
              <w:rPr>
                <w:sz w:val="20"/>
                <w:szCs w:val="20"/>
                <w:color w:val="auto"/>
              </w:rPr>
            </w:pPr>
            <w:r>
              <w:rPr>
                <w:rFonts w:ascii="Calibri" w:cs="Calibri" w:eastAsia="Calibri" w:hAnsi="Calibri"/>
                <w:sz w:val="18"/>
                <w:szCs w:val="18"/>
                <w:b w:val="1"/>
                <w:bCs w:val="1"/>
                <w:color w:val="auto"/>
                <w:w w:val="95"/>
              </w:rPr>
              <w:t>Chemicals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3"/>
          </w:tcPr>
          <w:p>
            <w:pPr>
              <w:jc w:val="center"/>
              <w:ind w:right="420"/>
              <w:spacing w:after="0" w:line="216" w:lineRule="exact"/>
              <w:rPr>
                <w:sz w:val="20"/>
                <w:szCs w:val="20"/>
                <w:color w:val="auto"/>
              </w:rPr>
            </w:pPr>
            <w:r>
              <w:rPr>
                <w:rFonts w:ascii="Calibri" w:cs="Calibri" w:eastAsia="Calibri" w:hAnsi="Calibri"/>
                <w:sz w:val="18"/>
                <w:szCs w:val="18"/>
                <w:b w:val="1"/>
                <w:bCs w:val="1"/>
                <w:color w:val="auto"/>
                <w:w w:val="93"/>
              </w:rPr>
              <w:t>Brand</w:t>
            </w:r>
          </w:p>
        </w:tc>
        <w:tc>
          <w:tcPr>
            <w:tcW w:w="200" w:type="dxa"/>
            <w:vAlign w:val="bottom"/>
          </w:tcPr>
          <w:p>
            <w:pPr>
              <w:spacing w:after="0"/>
              <w:rPr>
                <w:sz w:val="18"/>
                <w:szCs w:val="18"/>
                <w:color w:val="auto"/>
              </w:rPr>
            </w:pPr>
          </w:p>
        </w:tc>
        <w:tc>
          <w:tcPr>
            <w:tcW w:w="800" w:type="dxa"/>
            <w:vAlign w:val="bottom"/>
          </w:tcPr>
          <w:p>
            <w:pPr>
              <w:jc w:val="right"/>
              <w:ind w:right="190"/>
              <w:spacing w:after="0" w:line="216" w:lineRule="exact"/>
              <w:rPr>
                <w:sz w:val="20"/>
                <w:szCs w:val="20"/>
                <w:color w:val="auto"/>
              </w:rPr>
            </w:pPr>
            <w:r>
              <w:rPr>
                <w:rFonts w:ascii="Calibri" w:cs="Calibri" w:eastAsia="Calibri" w:hAnsi="Calibri"/>
                <w:sz w:val="18"/>
                <w:szCs w:val="18"/>
                <w:b w:val="1"/>
                <w:bCs w:val="1"/>
                <w:color w:val="auto"/>
              </w:rPr>
              <w:t>Other</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ind w:left="100"/>
              <w:spacing w:after="0" w:line="216" w:lineRule="exact"/>
              <w:rPr>
                <w:sz w:val="20"/>
                <w:szCs w:val="20"/>
                <w:color w:val="auto"/>
              </w:rPr>
            </w:pPr>
            <w:r>
              <w:rPr>
                <w:rFonts w:ascii="Calibri" w:cs="Calibri" w:eastAsia="Calibri" w:hAnsi="Calibri"/>
                <w:sz w:val="18"/>
                <w:szCs w:val="18"/>
                <w:b w:val="1"/>
                <w:bCs w:val="1"/>
                <w:color w:val="auto"/>
              </w:rPr>
              <w:t>Total</w:t>
            </w:r>
          </w:p>
        </w:tc>
      </w:tr>
      <w:tr>
        <w:trPr>
          <w:trHeight w:val="23"/>
        </w:trPr>
        <w:tc>
          <w:tcPr>
            <w:tcW w:w="5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0"/>
        </w:trPr>
        <w:tc>
          <w:tcPr>
            <w:tcW w:w="5160" w:type="dxa"/>
            <w:vAlign w:val="bottom"/>
            <w:shd w:val="clear" w:color="auto" w:fill="CFF0FC"/>
          </w:tcPr>
          <w:p>
            <w:pPr>
              <w:ind w:left="20"/>
              <w:spacing w:after="0" w:line="209" w:lineRule="exact"/>
              <w:rPr>
                <w:sz w:val="20"/>
                <w:szCs w:val="20"/>
                <w:color w:val="auto"/>
              </w:rPr>
            </w:pPr>
            <w:r>
              <w:rPr>
                <w:rFonts w:ascii="Calibri" w:cs="Calibri" w:eastAsia="Calibri" w:hAnsi="Calibri"/>
                <w:sz w:val="18"/>
                <w:szCs w:val="18"/>
                <w:color w:val="auto"/>
              </w:rPr>
              <w:t>United States</w:t>
            </w:r>
          </w:p>
        </w:tc>
        <w:tc>
          <w:tcPr>
            <w:tcW w:w="220" w:type="dxa"/>
            <w:vAlign w:val="bottom"/>
            <w:shd w:val="clear" w:color="auto" w:fill="CFF0FC"/>
          </w:tcPr>
          <w:p>
            <w:pPr>
              <w:jc w:val="right"/>
              <w:ind w:right="30"/>
              <w:spacing w:after="0" w:line="209" w:lineRule="exact"/>
              <w:rPr>
                <w:sz w:val="20"/>
                <w:szCs w:val="20"/>
                <w:color w:val="auto"/>
              </w:rPr>
            </w:pPr>
            <w:r>
              <w:rPr>
                <w:rFonts w:ascii="Calibri" w:cs="Calibri" w:eastAsia="Calibri" w:hAnsi="Calibri"/>
                <w:sz w:val="18"/>
                <w:szCs w:val="18"/>
                <w:color w:val="auto"/>
                <w:w w:val="87"/>
              </w:rPr>
              <w:t>$</w:t>
            </w:r>
          </w:p>
        </w:tc>
        <w:tc>
          <w:tcPr>
            <w:tcW w:w="82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250</w:t>
            </w:r>
          </w:p>
        </w:tc>
        <w:tc>
          <w:tcPr>
            <w:tcW w:w="360" w:type="dxa"/>
            <w:vAlign w:val="bottom"/>
            <w:gridSpan w:val="3"/>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w:t>
            </w:r>
          </w:p>
        </w:tc>
        <w:tc>
          <w:tcPr>
            <w:tcW w:w="88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199</w:t>
            </w:r>
          </w:p>
        </w:tc>
        <w:tc>
          <w:tcPr>
            <w:tcW w:w="420" w:type="dxa"/>
            <w:vAlign w:val="bottom"/>
            <w:gridSpan w:val="3"/>
            <w:shd w:val="clear" w:color="auto" w:fill="CFF0FC"/>
          </w:tcPr>
          <w:p>
            <w:pPr>
              <w:jc w:val="right"/>
              <w:ind w:right="10"/>
              <w:spacing w:after="0" w:line="209" w:lineRule="exact"/>
              <w:rPr>
                <w:sz w:val="20"/>
                <w:szCs w:val="20"/>
                <w:color w:val="auto"/>
              </w:rPr>
            </w:pPr>
            <w:r>
              <w:rPr>
                <w:rFonts w:ascii="Calibri" w:cs="Calibri" w:eastAsia="Calibri" w:hAnsi="Calibri"/>
                <w:sz w:val="18"/>
                <w:szCs w:val="18"/>
                <w:color w:val="auto"/>
              </w:rPr>
              <w:t>$</w:t>
            </w:r>
          </w:p>
        </w:tc>
        <w:tc>
          <w:tcPr>
            <w:tcW w:w="82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17</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line="209" w:lineRule="exact"/>
              <w:rPr>
                <w:sz w:val="20"/>
                <w:szCs w:val="20"/>
                <w:color w:val="auto"/>
              </w:rPr>
            </w:pPr>
            <w:r>
              <w:rPr>
                <w:rFonts w:ascii="Calibri" w:cs="Calibri" w:eastAsia="Calibri" w:hAnsi="Calibri"/>
                <w:sz w:val="18"/>
                <w:szCs w:val="18"/>
                <w:color w:val="auto"/>
                <w:w w:val="87"/>
              </w:rPr>
              <w:t>$</w:t>
            </w:r>
          </w:p>
        </w:tc>
        <w:tc>
          <w:tcPr>
            <w:tcW w:w="80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17</w:t>
            </w:r>
          </w:p>
        </w:tc>
        <w:tc>
          <w:tcPr>
            <w:tcW w:w="440" w:type="dxa"/>
            <w:vAlign w:val="bottom"/>
            <w:gridSpan w:val="2"/>
            <w:shd w:val="clear" w:color="auto" w:fill="CFF0FC"/>
          </w:tcPr>
          <w:p>
            <w:pPr>
              <w:jc w:val="right"/>
              <w:ind w:right="30"/>
              <w:spacing w:after="0" w:line="209" w:lineRule="exact"/>
              <w:rPr>
                <w:sz w:val="20"/>
                <w:szCs w:val="20"/>
                <w:color w:val="auto"/>
              </w:rPr>
            </w:pPr>
            <w:r>
              <w:rPr>
                <w:rFonts w:ascii="Calibri" w:cs="Calibri" w:eastAsia="Calibri" w:hAnsi="Calibri"/>
                <w:sz w:val="18"/>
                <w:szCs w:val="18"/>
                <w:color w:val="auto"/>
              </w:rPr>
              <w:t>$</w:t>
            </w:r>
          </w:p>
        </w:tc>
        <w:tc>
          <w:tcPr>
            <w:tcW w:w="80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483</w:t>
            </w:r>
          </w:p>
        </w:tc>
        <w:tc>
          <w:tcPr>
            <w:tcW w:w="100" w:type="dxa"/>
            <w:vAlign w:val="bottom"/>
            <w:shd w:val="clear" w:color="auto" w:fill="CFF0FC"/>
          </w:tcPr>
          <w:p>
            <w:pPr>
              <w:spacing w:after="0"/>
              <w:rPr>
                <w:sz w:val="18"/>
                <w:szCs w:val="18"/>
                <w:color w:val="auto"/>
              </w:rPr>
            </w:pPr>
          </w:p>
        </w:tc>
      </w:tr>
      <w:tr>
        <w:trPr>
          <w:trHeight w:val="215"/>
        </w:trPr>
        <w:tc>
          <w:tcPr>
            <w:tcW w:w="5160" w:type="dxa"/>
            <w:vAlign w:val="bottom"/>
          </w:tcPr>
          <w:p>
            <w:pPr>
              <w:ind w:left="20"/>
              <w:spacing w:after="0" w:line="215" w:lineRule="exact"/>
              <w:rPr>
                <w:sz w:val="20"/>
                <w:szCs w:val="20"/>
                <w:color w:val="auto"/>
              </w:rPr>
            </w:pPr>
            <w:r>
              <w:rPr>
                <w:rFonts w:ascii="Calibri" w:cs="Calibri" w:eastAsia="Calibri" w:hAnsi="Calibri"/>
                <w:sz w:val="18"/>
                <w:szCs w:val="18"/>
                <w:color w:val="auto"/>
              </w:rPr>
              <w:t>Canada</w:t>
            </w:r>
          </w:p>
        </w:tc>
        <w:tc>
          <w:tcPr>
            <w:tcW w:w="220" w:type="dxa"/>
            <w:vAlign w:val="bottom"/>
          </w:tcPr>
          <w:p>
            <w:pPr>
              <w:spacing w:after="0"/>
              <w:rPr>
                <w:sz w:val="18"/>
                <w:szCs w:val="18"/>
                <w:color w:val="auto"/>
              </w:rPr>
            </w:pPr>
          </w:p>
        </w:tc>
        <w:tc>
          <w:tcPr>
            <w:tcW w:w="820" w:type="dxa"/>
            <w:vAlign w:val="bottom"/>
          </w:tcPr>
          <w:p>
            <w:pPr>
              <w:jc w:val="right"/>
              <w:spacing w:after="0" w:line="215" w:lineRule="exact"/>
              <w:rPr>
                <w:sz w:val="20"/>
                <w:szCs w:val="20"/>
                <w:color w:val="auto"/>
              </w:rPr>
            </w:pPr>
            <w:r>
              <w:rPr>
                <w:rFonts w:ascii="Calibri" w:cs="Calibri" w:eastAsia="Calibri" w:hAnsi="Calibri"/>
                <w:sz w:val="18"/>
                <w:szCs w:val="18"/>
                <w:color w:val="auto"/>
              </w:rPr>
              <w:t>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line="215" w:lineRule="exact"/>
              <w:rPr>
                <w:sz w:val="20"/>
                <w:szCs w:val="20"/>
                <w:color w:val="auto"/>
              </w:rPr>
            </w:pPr>
            <w:r>
              <w:rPr>
                <w:rFonts w:ascii="Calibri" w:cs="Calibri" w:eastAsia="Calibri" w:hAnsi="Calibri"/>
                <w:sz w:val="18"/>
                <w:szCs w:val="18"/>
                <w:color w:val="auto"/>
              </w:rPr>
              <w:t>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3"/>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200" w:type="dxa"/>
            <w:vAlign w:val="bottom"/>
          </w:tcPr>
          <w:p>
            <w:pPr>
              <w:spacing w:after="0"/>
              <w:rPr>
                <w:sz w:val="18"/>
                <w:szCs w:val="18"/>
                <w:color w:val="auto"/>
              </w:rPr>
            </w:pPr>
          </w:p>
        </w:tc>
        <w:tc>
          <w:tcPr>
            <w:tcW w:w="80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line="215" w:lineRule="exact"/>
              <w:rPr>
                <w:sz w:val="20"/>
                <w:szCs w:val="20"/>
                <w:color w:val="auto"/>
              </w:rPr>
            </w:pPr>
            <w:r>
              <w:rPr>
                <w:rFonts w:ascii="Calibri" w:cs="Calibri" w:eastAsia="Calibri" w:hAnsi="Calibri"/>
                <w:sz w:val="18"/>
                <w:szCs w:val="18"/>
                <w:color w:val="auto"/>
              </w:rPr>
              <w:t>19</w:t>
            </w:r>
          </w:p>
        </w:tc>
        <w:tc>
          <w:tcPr>
            <w:tcW w:w="100" w:type="dxa"/>
            <w:vAlign w:val="bottom"/>
          </w:tcPr>
          <w:p>
            <w:pPr>
              <w:spacing w:after="0"/>
              <w:rPr>
                <w:sz w:val="18"/>
                <w:szCs w:val="18"/>
                <w:color w:val="auto"/>
              </w:rPr>
            </w:pPr>
          </w:p>
        </w:tc>
      </w:tr>
      <w:tr>
        <w:trPr>
          <w:trHeight w:val="210"/>
        </w:trPr>
        <w:tc>
          <w:tcPr>
            <w:tcW w:w="5160" w:type="dxa"/>
            <w:vAlign w:val="bottom"/>
            <w:tcBorders>
              <w:bottom w:val="single" w:sz="8" w:color="CFF0FC"/>
            </w:tcBorders>
            <w:shd w:val="clear" w:color="auto" w:fill="CFF0FC"/>
          </w:tcPr>
          <w:p>
            <w:pPr>
              <w:ind w:left="200"/>
              <w:spacing w:after="0" w:line="209" w:lineRule="exact"/>
              <w:rPr>
                <w:sz w:val="20"/>
                <w:szCs w:val="20"/>
                <w:color w:val="auto"/>
              </w:rPr>
            </w:pPr>
            <w:r>
              <w:rPr>
                <w:rFonts w:ascii="Calibri" w:cs="Calibri" w:eastAsia="Calibri" w:hAnsi="Calibri"/>
                <w:sz w:val="18"/>
                <w:szCs w:val="18"/>
                <w:color w:val="auto"/>
              </w:rPr>
              <w:t>North America</w:t>
            </w: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267</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201</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17</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800" w:type="dxa"/>
            <w:vAlign w:val="bottom"/>
            <w:tcBorders>
              <w:top w:val="single" w:sz="8" w:color="auto"/>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17</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800" w:type="dxa"/>
            <w:vAlign w:val="bottom"/>
            <w:tcBorders>
              <w:top w:val="single" w:sz="8" w:color="auto"/>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502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160" w:type="dxa"/>
            <w:vAlign w:val="bottom"/>
          </w:tcPr>
          <w:p>
            <w:pPr>
              <w:ind w:left="20"/>
              <w:spacing w:after="0" w:line="209" w:lineRule="exact"/>
              <w:rPr>
                <w:sz w:val="20"/>
                <w:szCs w:val="20"/>
                <w:color w:val="auto"/>
              </w:rPr>
            </w:pPr>
            <w:r>
              <w:rPr>
                <w:rFonts w:ascii="Calibri" w:cs="Calibri" w:eastAsia="Calibri" w:hAnsi="Calibri"/>
                <w:sz w:val="18"/>
                <w:szCs w:val="18"/>
                <w:color w:val="auto"/>
              </w:rPr>
              <w:t>Europe, Middle East and Africa</w:t>
            </w:r>
          </w:p>
        </w:tc>
        <w:tc>
          <w:tcPr>
            <w:tcW w:w="220" w:type="dxa"/>
            <w:vAlign w:val="bottom"/>
          </w:tcPr>
          <w:p>
            <w:pPr>
              <w:spacing w:after="0"/>
              <w:rPr>
                <w:sz w:val="18"/>
                <w:szCs w:val="18"/>
                <w:color w:val="auto"/>
              </w:rPr>
            </w:pPr>
          </w:p>
        </w:tc>
        <w:tc>
          <w:tcPr>
            <w:tcW w:w="820" w:type="dxa"/>
            <w:vAlign w:val="bottom"/>
          </w:tcPr>
          <w:p>
            <w:pPr>
              <w:jc w:val="right"/>
              <w:spacing w:after="0" w:line="209" w:lineRule="exact"/>
              <w:rPr>
                <w:sz w:val="20"/>
                <w:szCs w:val="20"/>
                <w:color w:val="auto"/>
              </w:rPr>
            </w:pPr>
            <w:r>
              <w:rPr>
                <w:rFonts w:ascii="Calibri" w:cs="Calibri" w:eastAsia="Calibri" w:hAnsi="Calibri"/>
                <w:sz w:val="18"/>
                <w:szCs w:val="18"/>
                <w:color w:val="auto"/>
              </w:rPr>
              <w:t>360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line="209" w:lineRule="exact"/>
              <w:rPr>
                <w:sz w:val="20"/>
                <w:szCs w:val="20"/>
                <w:color w:val="auto"/>
              </w:rPr>
            </w:pPr>
            <w:r>
              <w:rPr>
                <w:rFonts w:ascii="Calibri" w:cs="Calibri" w:eastAsia="Calibri" w:hAnsi="Calibri"/>
                <w:sz w:val="18"/>
                <w:szCs w:val="18"/>
                <w:color w:val="auto"/>
              </w:rPr>
              <w:t>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3"/>
          </w:tcPr>
          <w:p>
            <w:pPr>
              <w:jc w:val="right"/>
              <w:ind w:right="240"/>
              <w:spacing w:after="0" w:line="209" w:lineRule="exact"/>
              <w:rPr>
                <w:sz w:val="20"/>
                <w:szCs w:val="20"/>
                <w:color w:val="auto"/>
              </w:rPr>
            </w:pPr>
            <w:r>
              <w:rPr>
                <w:rFonts w:ascii="Calibri" w:cs="Calibri" w:eastAsia="Calibri" w:hAnsi="Calibri"/>
                <w:sz w:val="18"/>
                <w:szCs w:val="18"/>
                <w:color w:val="auto"/>
              </w:rPr>
              <w:t>—</w:t>
            </w:r>
          </w:p>
        </w:tc>
        <w:tc>
          <w:tcPr>
            <w:tcW w:w="200" w:type="dxa"/>
            <w:vAlign w:val="bottom"/>
          </w:tcPr>
          <w:p>
            <w:pPr>
              <w:spacing w:after="0"/>
              <w:rPr>
                <w:sz w:val="18"/>
                <w:szCs w:val="18"/>
                <w:color w:val="auto"/>
              </w:rPr>
            </w:pPr>
          </w:p>
        </w:tc>
        <w:tc>
          <w:tcPr>
            <w:tcW w:w="800" w:type="dxa"/>
            <w:vAlign w:val="bottom"/>
          </w:tcPr>
          <w:p>
            <w:pPr>
              <w:jc w:val="right"/>
              <w:spacing w:after="0" w:line="209" w:lineRule="exact"/>
              <w:rPr>
                <w:sz w:val="20"/>
                <w:szCs w:val="20"/>
                <w:color w:val="auto"/>
              </w:rPr>
            </w:pPr>
            <w:r>
              <w:rPr>
                <w:rFonts w:ascii="Calibri" w:cs="Calibri" w:eastAsia="Calibri" w:hAnsi="Calibri"/>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line="209" w:lineRule="exact"/>
              <w:rPr>
                <w:sz w:val="20"/>
                <w:szCs w:val="20"/>
                <w:color w:val="auto"/>
              </w:rPr>
            </w:pPr>
            <w:r>
              <w:rPr>
                <w:rFonts w:ascii="Calibri" w:cs="Calibri" w:eastAsia="Calibri" w:hAnsi="Calibri"/>
                <w:sz w:val="18"/>
                <w:szCs w:val="18"/>
                <w:color w:val="auto"/>
              </w:rPr>
              <w:t>380</w:t>
            </w:r>
          </w:p>
        </w:tc>
        <w:tc>
          <w:tcPr>
            <w:tcW w:w="100" w:type="dxa"/>
            <w:vAlign w:val="bottom"/>
          </w:tcPr>
          <w:p>
            <w:pPr>
              <w:spacing w:after="0"/>
              <w:rPr>
                <w:sz w:val="18"/>
                <w:szCs w:val="18"/>
                <w:color w:val="auto"/>
              </w:rPr>
            </w:pPr>
          </w:p>
        </w:tc>
      </w:tr>
      <w:tr>
        <w:trPr>
          <w:trHeight w:val="217"/>
        </w:trPr>
        <w:tc>
          <w:tcPr>
            <w:tcW w:w="516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Asia Pacifc</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178</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33</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gridSpan w:val="3"/>
            <w:shd w:val="clear" w:color="auto" w:fill="CFF0FC"/>
          </w:tcPr>
          <w:p>
            <w:pPr>
              <w:jc w:val="right"/>
              <w:ind w:right="240"/>
              <w:spacing w:after="0" w:line="216" w:lineRule="exact"/>
              <w:rPr>
                <w:sz w:val="20"/>
                <w:szCs w:val="20"/>
                <w:color w:val="auto"/>
              </w:rPr>
            </w:pPr>
            <w:r>
              <w:rPr>
                <w:rFonts w:ascii="Calibri" w:cs="Calibri" w:eastAsia="Calibri" w:hAnsi="Calibri"/>
                <w:sz w:val="18"/>
                <w:szCs w:val="18"/>
                <w:color w:val="auto"/>
              </w:rPr>
              <w:t>—</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211</w:t>
            </w:r>
          </w:p>
        </w:tc>
        <w:tc>
          <w:tcPr>
            <w:tcW w:w="100" w:type="dxa"/>
            <w:vAlign w:val="bottom"/>
            <w:shd w:val="clear" w:color="auto" w:fill="CFF0FC"/>
          </w:tcPr>
          <w:p>
            <w:pPr>
              <w:spacing w:after="0"/>
              <w:rPr>
                <w:sz w:val="18"/>
                <w:szCs w:val="18"/>
                <w:color w:val="auto"/>
              </w:rPr>
            </w:pPr>
          </w:p>
        </w:tc>
      </w:tr>
      <w:tr>
        <w:trPr>
          <w:trHeight w:val="215"/>
        </w:trPr>
        <w:tc>
          <w:tcPr>
            <w:tcW w:w="5160" w:type="dxa"/>
            <w:vAlign w:val="bottom"/>
          </w:tcPr>
          <w:p>
            <w:pPr>
              <w:ind w:left="20"/>
              <w:spacing w:after="0" w:line="215" w:lineRule="exact"/>
              <w:rPr>
                <w:sz w:val="20"/>
                <w:szCs w:val="20"/>
                <w:color w:val="auto"/>
              </w:rPr>
            </w:pPr>
            <w:r>
              <w:rPr>
                <w:rFonts w:ascii="Calibri" w:cs="Calibri" w:eastAsia="Calibri" w:hAnsi="Calibri"/>
                <w:sz w:val="18"/>
                <w:szCs w:val="18"/>
                <w:color w:val="auto"/>
              </w:rPr>
              <w:t>Latn America</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220" w:type="dxa"/>
            <w:vAlign w:val="bottom"/>
            <w:gridSpan w:val="2"/>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24</w:t>
            </w:r>
          </w:p>
        </w:tc>
        <w:tc>
          <w:tcPr>
            <w:tcW w:w="100" w:type="dxa"/>
            <w:vAlign w:val="bottom"/>
          </w:tcPr>
          <w:p>
            <w:pPr>
              <w:spacing w:after="0"/>
              <w:rPr>
                <w:sz w:val="18"/>
                <w:szCs w:val="18"/>
                <w:color w:val="auto"/>
              </w:rPr>
            </w:pPr>
          </w:p>
        </w:tc>
      </w:tr>
      <w:tr>
        <w:trPr>
          <w:trHeight w:val="249"/>
        </w:trPr>
        <w:tc>
          <w:tcPr>
            <w:tcW w:w="5160" w:type="dxa"/>
            <w:vAlign w:val="bottom"/>
            <w:shd w:val="clear" w:color="auto" w:fill="CFF0FC"/>
          </w:tcPr>
          <w:p>
            <w:pPr>
              <w:ind w:left="200"/>
              <w:spacing w:after="0" w:line="209" w:lineRule="exact"/>
              <w:rPr>
                <w:sz w:val="20"/>
                <w:szCs w:val="20"/>
                <w:color w:val="auto"/>
              </w:rPr>
            </w:pPr>
            <w:r>
              <w:rPr>
                <w:rFonts w:ascii="Calibri" w:cs="Calibri" w:eastAsia="Calibri" w:hAnsi="Calibri"/>
                <w:sz w:val="18"/>
                <w:szCs w:val="18"/>
                <w:color w:val="auto"/>
              </w:rPr>
              <w:t>Total Sales</w:t>
            </w:r>
          </w:p>
        </w:tc>
        <w:tc>
          <w:tcPr>
            <w:tcW w:w="220" w:type="dxa"/>
            <w:vAlign w:val="bottom"/>
            <w:shd w:val="clear" w:color="auto" w:fill="CFF0FC"/>
          </w:tcPr>
          <w:p>
            <w:pPr>
              <w:jc w:val="right"/>
              <w:ind w:right="30"/>
              <w:spacing w:after="0" w:line="209" w:lineRule="exact"/>
              <w:rPr>
                <w:sz w:val="20"/>
                <w:szCs w:val="20"/>
                <w:color w:val="auto"/>
              </w:rPr>
            </w:pPr>
            <w:r>
              <w:rPr>
                <w:rFonts w:ascii="Calibri" w:cs="Calibri" w:eastAsia="Calibri" w:hAnsi="Calibri"/>
                <w:sz w:val="18"/>
                <w:szCs w:val="18"/>
                <w:color w:val="auto"/>
                <w:w w:val="87"/>
              </w:rPr>
              <w:t>$</w:t>
            </w:r>
          </w:p>
        </w:tc>
        <w:tc>
          <w:tcPr>
            <w:tcW w:w="82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828</w:t>
            </w:r>
          </w:p>
        </w:tc>
        <w:tc>
          <w:tcPr>
            <w:tcW w:w="360" w:type="dxa"/>
            <w:vAlign w:val="bottom"/>
            <w:gridSpan w:val="3"/>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w:t>
            </w:r>
          </w:p>
        </w:tc>
        <w:tc>
          <w:tcPr>
            <w:tcW w:w="88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255</w:t>
            </w:r>
          </w:p>
        </w:tc>
        <w:tc>
          <w:tcPr>
            <w:tcW w:w="420" w:type="dxa"/>
            <w:vAlign w:val="bottom"/>
            <w:gridSpan w:val="3"/>
            <w:shd w:val="clear" w:color="auto" w:fill="CFF0FC"/>
          </w:tcPr>
          <w:p>
            <w:pPr>
              <w:jc w:val="right"/>
              <w:ind w:right="10"/>
              <w:spacing w:after="0" w:line="209" w:lineRule="exact"/>
              <w:rPr>
                <w:sz w:val="20"/>
                <w:szCs w:val="20"/>
                <w:color w:val="auto"/>
              </w:rPr>
            </w:pPr>
            <w:r>
              <w:rPr>
                <w:rFonts w:ascii="Calibri" w:cs="Calibri" w:eastAsia="Calibri" w:hAnsi="Calibri"/>
                <w:sz w:val="18"/>
                <w:szCs w:val="18"/>
                <w:color w:val="auto"/>
              </w:rPr>
              <w:t>$</w:t>
            </w:r>
          </w:p>
        </w:tc>
        <w:tc>
          <w:tcPr>
            <w:tcW w:w="82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17</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line="209" w:lineRule="exact"/>
              <w:rPr>
                <w:sz w:val="20"/>
                <w:szCs w:val="20"/>
                <w:color w:val="auto"/>
              </w:rPr>
            </w:pPr>
            <w:r>
              <w:rPr>
                <w:rFonts w:ascii="Calibri" w:cs="Calibri" w:eastAsia="Calibri" w:hAnsi="Calibri"/>
                <w:sz w:val="18"/>
                <w:szCs w:val="18"/>
                <w:color w:val="auto"/>
                <w:w w:val="87"/>
              </w:rPr>
              <w:t>$</w:t>
            </w:r>
          </w:p>
        </w:tc>
        <w:tc>
          <w:tcPr>
            <w:tcW w:w="80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17</w:t>
            </w:r>
          </w:p>
        </w:tc>
        <w:tc>
          <w:tcPr>
            <w:tcW w:w="440" w:type="dxa"/>
            <w:vAlign w:val="bottom"/>
            <w:gridSpan w:val="2"/>
            <w:shd w:val="clear" w:color="auto" w:fill="CFF0FC"/>
          </w:tcPr>
          <w:p>
            <w:pPr>
              <w:jc w:val="right"/>
              <w:ind w:right="30"/>
              <w:spacing w:after="0" w:line="209" w:lineRule="exact"/>
              <w:rPr>
                <w:sz w:val="20"/>
                <w:szCs w:val="20"/>
                <w:color w:val="auto"/>
              </w:rPr>
            </w:pPr>
            <w:r>
              <w:rPr>
                <w:rFonts w:ascii="Calibri" w:cs="Calibri" w:eastAsia="Calibri" w:hAnsi="Calibri"/>
                <w:sz w:val="18"/>
                <w:szCs w:val="18"/>
                <w:color w:val="auto"/>
              </w:rPr>
              <w:t>$</w:t>
            </w:r>
          </w:p>
        </w:tc>
        <w:tc>
          <w:tcPr>
            <w:tcW w:w="80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1,117</w:t>
            </w:r>
          </w:p>
        </w:tc>
        <w:tc>
          <w:tcPr>
            <w:tcW w:w="100" w:type="dxa"/>
            <w:vAlign w:val="bottom"/>
            <w:shd w:val="clear" w:color="auto" w:fill="CFF0FC"/>
          </w:tcPr>
          <w:p>
            <w:pPr>
              <w:spacing w:after="0"/>
              <w:rPr>
                <w:sz w:val="21"/>
                <w:szCs w:val="21"/>
                <w:color w:val="auto"/>
              </w:rPr>
            </w:pPr>
          </w:p>
        </w:tc>
      </w:tr>
      <w:tr>
        <w:trPr>
          <w:trHeight w:val="565"/>
        </w:trPr>
        <w:tc>
          <w:tcPr>
            <w:tcW w:w="516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jc w:val="right"/>
              <w:ind w:right="390"/>
              <w:spacing w:after="0"/>
              <w:rPr>
                <w:sz w:val="20"/>
                <w:szCs w:val="20"/>
                <w:color w:val="auto"/>
              </w:rPr>
            </w:pPr>
            <w:r>
              <w:rPr>
                <w:rFonts w:ascii="Calibri" w:cs="Calibri" w:eastAsia="Calibri" w:hAnsi="Calibri"/>
                <w:sz w:val="18"/>
                <w:szCs w:val="18"/>
                <w:color w:val="auto"/>
              </w:rPr>
              <w:t>85</w:t>
            </w:r>
          </w:p>
        </w:tc>
        <w:tc>
          <w:tcPr>
            <w:tcW w:w="12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530"/>
        </w:trPr>
        <w:tc>
          <w:tcPr>
            <w:tcW w:w="5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-3291205</wp:posOffset>
            </wp:positionV>
            <wp:extent cx="7683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-3291205</wp:posOffset>
            </wp:positionV>
            <wp:extent cx="6858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-3291205</wp:posOffset>
            </wp:positionV>
            <wp:extent cx="6858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-3291205</wp:posOffset>
            </wp:positionV>
            <wp:extent cx="6858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-3291205</wp:posOffset>
            </wp:positionV>
            <wp:extent cx="6858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-2725420</wp:posOffset>
            </wp:positionV>
            <wp:extent cx="7683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-2708275</wp:posOffset>
            </wp:positionV>
            <wp:extent cx="76835"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-2725420</wp:posOffset>
            </wp:positionV>
            <wp:extent cx="685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-2708275</wp:posOffset>
            </wp:positionV>
            <wp:extent cx="6858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-2725420</wp:posOffset>
            </wp:positionV>
            <wp:extent cx="685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-2708275</wp:posOffset>
            </wp:positionV>
            <wp:extent cx="6858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-2725420</wp:posOffset>
            </wp:positionV>
            <wp:extent cx="6858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-2708275</wp:posOffset>
            </wp:positionV>
            <wp:extent cx="6858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-2725420</wp:posOffset>
            </wp:positionV>
            <wp:extent cx="6858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-2708275</wp:posOffset>
            </wp:positionV>
            <wp:extent cx="6858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-1310640</wp:posOffset>
            </wp:positionV>
            <wp:extent cx="76835"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-1310640</wp:posOffset>
            </wp:positionV>
            <wp:extent cx="6858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-1310640</wp:posOffset>
            </wp:positionV>
            <wp:extent cx="6858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-1310640</wp:posOffset>
            </wp:positionV>
            <wp:extent cx="6858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-1310640</wp:posOffset>
            </wp:positionV>
            <wp:extent cx="6858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-744855</wp:posOffset>
            </wp:positionV>
            <wp:extent cx="76835"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-728345</wp:posOffset>
            </wp:positionV>
            <wp:extent cx="76835"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-744855</wp:posOffset>
            </wp:positionV>
            <wp:extent cx="6858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-728345</wp:posOffset>
            </wp:positionV>
            <wp:extent cx="6858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-744855</wp:posOffset>
            </wp:positionV>
            <wp:extent cx="6858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-728345</wp:posOffset>
            </wp:positionV>
            <wp:extent cx="6858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-744855</wp:posOffset>
            </wp:positionV>
            <wp:extent cx="6858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-728345</wp:posOffset>
            </wp:positionV>
            <wp:extent cx="6858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-744855</wp:posOffset>
            </wp:positionV>
            <wp:extent cx="6858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-728345</wp:posOffset>
            </wp:positionV>
            <wp:extent cx="6858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85" w:name="page86"/>
    <w:bookmarkEnd w:id="85"/>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4"/>
          </w:tcPr>
          <w:p>
            <w:pPr>
              <w:jc w:val="center"/>
              <w:ind w:right="260"/>
              <w:spacing w:after="0"/>
              <w:rPr>
                <w:sz w:val="20"/>
                <w:szCs w:val="20"/>
                <w:color w:val="auto"/>
              </w:rPr>
            </w:pPr>
            <w:r>
              <w:rPr>
                <w:rFonts w:ascii="Calibri" w:cs="Calibri" w:eastAsia="Calibri" w:hAnsi="Calibri"/>
                <w:sz w:val="18"/>
                <w:szCs w:val="18"/>
                <w:b w:val="1"/>
                <w:bCs w:val="1"/>
                <w:color w:val="auto"/>
                <w:w w:val="96"/>
              </w:rPr>
              <w:t>Year Ended</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60" w:type="dxa"/>
            <w:vAlign w:val="bottom"/>
            <w:gridSpan w:val="6"/>
          </w:tcPr>
          <w:p>
            <w:pPr>
              <w:jc w:val="center"/>
              <w:ind w:right="40"/>
              <w:spacing w:after="0" w:line="216" w:lineRule="exact"/>
              <w:rPr>
                <w:sz w:val="20"/>
                <w:szCs w:val="20"/>
                <w:color w:val="auto"/>
              </w:rPr>
            </w:pPr>
            <w:r>
              <w:rPr>
                <w:rFonts w:ascii="Calibri" w:cs="Calibri" w:eastAsia="Calibri" w:hAnsi="Calibri"/>
                <w:sz w:val="18"/>
                <w:szCs w:val="18"/>
                <w:b w:val="1"/>
                <w:bCs w:val="1"/>
                <w:color w:val="auto"/>
                <w:w w:val="98"/>
              </w:rPr>
              <w:t>December 31, 2022</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ind w:right="30"/>
              <w:spacing w:after="0" w:line="216" w:lineRule="exact"/>
              <w:rPr>
                <w:sz w:val="20"/>
                <w:szCs w:val="20"/>
                <w:color w:val="auto"/>
              </w:rPr>
            </w:pPr>
            <w:r>
              <w:rPr>
                <w:rFonts w:ascii="Calibri" w:cs="Calibri" w:eastAsia="Calibri" w:hAnsi="Calibri"/>
                <w:sz w:val="18"/>
                <w:szCs w:val="18"/>
                <w:b w:val="1"/>
                <w:bCs w:val="1"/>
                <w:color w:val="auto"/>
                <w:w w:val="97"/>
              </w:rPr>
              <w:t>Advanced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ind w:right="30"/>
              <w:spacing w:after="0" w:line="216" w:lineRule="exact"/>
              <w:rPr>
                <w:sz w:val="20"/>
                <w:szCs w:val="20"/>
                <w:color w:val="auto"/>
              </w:rPr>
            </w:pPr>
            <w:r>
              <w:rPr>
                <w:rFonts w:ascii="Calibri" w:cs="Calibri" w:eastAsia="Calibri" w:hAnsi="Calibri"/>
                <w:sz w:val="18"/>
                <w:szCs w:val="18"/>
                <w:b w:val="1"/>
                <w:bCs w:val="1"/>
                <w:color w:val="auto"/>
                <w:w w:val="95"/>
              </w:rPr>
              <w:t>Materials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ind w:right="30"/>
              <w:spacing w:after="0" w:line="216" w:lineRule="exact"/>
              <w:rPr>
                <w:sz w:val="20"/>
                <w:szCs w:val="20"/>
                <w:color w:val="auto"/>
              </w:rPr>
            </w:pPr>
            <w:r>
              <w:rPr>
                <w:rFonts w:ascii="Calibri" w:cs="Calibri" w:eastAsia="Calibri" w:hAnsi="Calibri"/>
                <w:sz w:val="18"/>
                <w:szCs w:val="18"/>
                <w:b w:val="1"/>
                <w:bCs w:val="1"/>
                <w:color w:val="auto"/>
                <w:w w:val="99"/>
              </w:rPr>
              <w:t>and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60" w:type="dxa"/>
            <w:vAlign w:val="bottom"/>
          </w:tcPr>
          <w:p>
            <w:pPr>
              <w:ind w:left="20"/>
              <w:spacing w:after="0"/>
              <w:rPr>
                <w:sz w:val="20"/>
                <w:szCs w:val="20"/>
                <w:color w:val="auto"/>
              </w:rPr>
            </w:pPr>
            <w:r>
              <w:rPr>
                <w:rFonts w:ascii="Calibri" w:cs="Calibri" w:eastAsia="Calibri" w:hAnsi="Calibri"/>
                <w:sz w:val="14"/>
                <w:szCs w:val="14"/>
                <w:color w:val="auto"/>
              </w:rPr>
              <w:t>(in millions)</w:t>
            </w:r>
          </w:p>
        </w:tc>
        <w:tc>
          <w:tcPr>
            <w:tcW w:w="220" w:type="dxa"/>
            <w:vAlign w:val="bottom"/>
          </w:tcPr>
          <w:p>
            <w:pPr>
              <w:spacing w:after="0"/>
              <w:rPr>
                <w:sz w:val="18"/>
                <w:szCs w:val="18"/>
                <w:color w:val="auto"/>
              </w:rPr>
            </w:pPr>
          </w:p>
        </w:tc>
        <w:tc>
          <w:tcPr>
            <w:tcW w:w="820" w:type="dxa"/>
            <w:vAlign w:val="bottom"/>
          </w:tcPr>
          <w:p>
            <w:pPr>
              <w:jc w:val="right"/>
              <w:ind w:right="250"/>
              <w:spacing w:after="0" w:line="216" w:lineRule="exact"/>
              <w:rPr>
                <w:sz w:val="20"/>
                <w:szCs w:val="20"/>
                <w:color w:val="auto"/>
              </w:rPr>
            </w:pPr>
            <w:r>
              <w:rPr>
                <w:rFonts w:ascii="Calibri" w:cs="Calibri" w:eastAsia="Calibri" w:hAnsi="Calibri"/>
                <w:sz w:val="18"/>
                <w:szCs w:val="18"/>
                <w:b w:val="1"/>
                <w:bCs w:val="1"/>
                <w:color w:val="auto"/>
              </w:rPr>
              <w:t>Print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ind w:right="30"/>
              <w:spacing w:after="0" w:line="216" w:lineRule="exact"/>
              <w:rPr>
                <w:sz w:val="20"/>
                <w:szCs w:val="20"/>
                <w:color w:val="auto"/>
              </w:rPr>
            </w:pPr>
            <w:r>
              <w:rPr>
                <w:rFonts w:ascii="Calibri" w:cs="Calibri" w:eastAsia="Calibri" w:hAnsi="Calibri"/>
                <w:sz w:val="18"/>
                <w:szCs w:val="18"/>
                <w:b w:val="1"/>
                <w:bCs w:val="1"/>
                <w:color w:val="auto"/>
                <w:w w:val="95"/>
              </w:rPr>
              <w:t>Chemicals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3"/>
          </w:tcPr>
          <w:p>
            <w:pPr>
              <w:jc w:val="center"/>
              <w:ind w:right="420"/>
              <w:spacing w:after="0" w:line="216" w:lineRule="exact"/>
              <w:rPr>
                <w:sz w:val="20"/>
                <w:szCs w:val="20"/>
                <w:color w:val="auto"/>
              </w:rPr>
            </w:pPr>
            <w:r>
              <w:rPr>
                <w:rFonts w:ascii="Calibri" w:cs="Calibri" w:eastAsia="Calibri" w:hAnsi="Calibri"/>
                <w:sz w:val="18"/>
                <w:szCs w:val="18"/>
                <w:b w:val="1"/>
                <w:bCs w:val="1"/>
                <w:color w:val="auto"/>
                <w:w w:val="93"/>
              </w:rPr>
              <w:t>Brand</w:t>
            </w:r>
          </w:p>
        </w:tc>
        <w:tc>
          <w:tcPr>
            <w:tcW w:w="200" w:type="dxa"/>
            <w:vAlign w:val="bottom"/>
          </w:tcPr>
          <w:p>
            <w:pPr>
              <w:spacing w:after="0"/>
              <w:rPr>
                <w:sz w:val="18"/>
                <w:szCs w:val="18"/>
                <w:color w:val="auto"/>
              </w:rPr>
            </w:pPr>
          </w:p>
        </w:tc>
        <w:tc>
          <w:tcPr>
            <w:tcW w:w="800" w:type="dxa"/>
            <w:vAlign w:val="bottom"/>
          </w:tcPr>
          <w:p>
            <w:pPr>
              <w:jc w:val="right"/>
              <w:ind w:right="190"/>
              <w:spacing w:after="0" w:line="216" w:lineRule="exact"/>
              <w:rPr>
                <w:sz w:val="20"/>
                <w:szCs w:val="20"/>
                <w:color w:val="auto"/>
              </w:rPr>
            </w:pPr>
            <w:r>
              <w:rPr>
                <w:rFonts w:ascii="Calibri" w:cs="Calibri" w:eastAsia="Calibri" w:hAnsi="Calibri"/>
                <w:sz w:val="18"/>
                <w:szCs w:val="18"/>
                <w:b w:val="1"/>
                <w:bCs w:val="1"/>
                <w:color w:val="auto"/>
              </w:rPr>
              <w:t>Other</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ind w:left="100"/>
              <w:spacing w:after="0" w:line="216" w:lineRule="exact"/>
              <w:rPr>
                <w:sz w:val="20"/>
                <w:szCs w:val="20"/>
                <w:color w:val="auto"/>
              </w:rPr>
            </w:pPr>
            <w:r>
              <w:rPr>
                <w:rFonts w:ascii="Calibri" w:cs="Calibri" w:eastAsia="Calibri" w:hAnsi="Calibri"/>
                <w:sz w:val="18"/>
                <w:szCs w:val="18"/>
                <w:b w:val="1"/>
                <w:bCs w:val="1"/>
                <w:color w:val="auto"/>
              </w:rPr>
              <w:t>Total</w:t>
            </w:r>
          </w:p>
        </w:tc>
      </w:tr>
      <w:tr>
        <w:trPr>
          <w:trHeight w:val="23"/>
        </w:trPr>
        <w:tc>
          <w:tcPr>
            <w:tcW w:w="5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9"/>
        </w:trPr>
        <w:tc>
          <w:tcPr>
            <w:tcW w:w="5160" w:type="dxa"/>
            <w:vAlign w:val="bottom"/>
            <w:shd w:val="clear" w:color="auto" w:fill="CFF0FC"/>
          </w:tcPr>
          <w:p>
            <w:pPr>
              <w:ind w:left="20"/>
              <w:spacing w:after="0" w:line="209" w:lineRule="exact"/>
              <w:rPr>
                <w:sz w:val="20"/>
                <w:szCs w:val="20"/>
                <w:color w:val="auto"/>
              </w:rPr>
            </w:pPr>
            <w:r>
              <w:rPr>
                <w:rFonts w:ascii="Calibri" w:cs="Calibri" w:eastAsia="Calibri" w:hAnsi="Calibri"/>
                <w:sz w:val="18"/>
                <w:szCs w:val="18"/>
                <w:color w:val="auto"/>
              </w:rPr>
              <w:t>United States</w:t>
            </w:r>
          </w:p>
        </w:tc>
        <w:tc>
          <w:tcPr>
            <w:tcW w:w="220" w:type="dxa"/>
            <w:vAlign w:val="bottom"/>
            <w:shd w:val="clear" w:color="auto" w:fill="CFF0FC"/>
          </w:tcPr>
          <w:p>
            <w:pPr>
              <w:jc w:val="right"/>
              <w:ind w:right="30"/>
              <w:spacing w:after="0" w:line="209" w:lineRule="exact"/>
              <w:rPr>
                <w:sz w:val="20"/>
                <w:szCs w:val="20"/>
                <w:color w:val="auto"/>
              </w:rPr>
            </w:pPr>
            <w:r>
              <w:rPr>
                <w:rFonts w:ascii="Calibri" w:cs="Calibri" w:eastAsia="Calibri" w:hAnsi="Calibri"/>
                <w:sz w:val="18"/>
                <w:szCs w:val="18"/>
                <w:color w:val="auto"/>
                <w:w w:val="87"/>
              </w:rPr>
              <w:t>$</w:t>
            </w:r>
          </w:p>
        </w:tc>
        <w:tc>
          <w:tcPr>
            <w:tcW w:w="82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276</w:t>
            </w:r>
          </w:p>
        </w:tc>
        <w:tc>
          <w:tcPr>
            <w:tcW w:w="360" w:type="dxa"/>
            <w:vAlign w:val="bottom"/>
            <w:gridSpan w:val="3"/>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w:t>
            </w:r>
          </w:p>
        </w:tc>
        <w:tc>
          <w:tcPr>
            <w:tcW w:w="88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177</w:t>
            </w:r>
          </w:p>
        </w:tc>
        <w:tc>
          <w:tcPr>
            <w:tcW w:w="420" w:type="dxa"/>
            <w:vAlign w:val="bottom"/>
            <w:gridSpan w:val="3"/>
            <w:shd w:val="clear" w:color="auto" w:fill="CFF0FC"/>
          </w:tcPr>
          <w:p>
            <w:pPr>
              <w:jc w:val="right"/>
              <w:ind w:right="10"/>
              <w:spacing w:after="0" w:line="209" w:lineRule="exact"/>
              <w:rPr>
                <w:sz w:val="20"/>
                <w:szCs w:val="20"/>
                <w:color w:val="auto"/>
              </w:rPr>
            </w:pPr>
            <w:r>
              <w:rPr>
                <w:rFonts w:ascii="Calibri" w:cs="Calibri" w:eastAsia="Calibri" w:hAnsi="Calibri"/>
                <w:sz w:val="18"/>
                <w:szCs w:val="18"/>
                <w:color w:val="auto"/>
              </w:rPr>
              <w:t>$</w:t>
            </w:r>
          </w:p>
        </w:tc>
        <w:tc>
          <w:tcPr>
            <w:tcW w:w="82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17</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line="209" w:lineRule="exact"/>
              <w:rPr>
                <w:sz w:val="20"/>
                <w:szCs w:val="20"/>
                <w:color w:val="auto"/>
              </w:rPr>
            </w:pPr>
            <w:r>
              <w:rPr>
                <w:rFonts w:ascii="Calibri" w:cs="Calibri" w:eastAsia="Calibri" w:hAnsi="Calibri"/>
                <w:sz w:val="18"/>
                <w:szCs w:val="18"/>
                <w:color w:val="auto"/>
                <w:w w:val="87"/>
              </w:rPr>
              <w:t>$</w:t>
            </w:r>
          </w:p>
        </w:tc>
        <w:tc>
          <w:tcPr>
            <w:tcW w:w="80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16</w:t>
            </w:r>
          </w:p>
        </w:tc>
        <w:tc>
          <w:tcPr>
            <w:tcW w:w="440" w:type="dxa"/>
            <w:vAlign w:val="bottom"/>
            <w:gridSpan w:val="2"/>
            <w:shd w:val="clear" w:color="auto" w:fill="CFF0FC"/>
          </w:tcPr>
          <w:p>
            <w:pPr>
              <w:jc w:val="right"/>
              <w:ind w:right="30"/>
              <w:spacing w:after="0" w:line="209" w:lineRule="exact"/>
              <w:rPr>
                <w:sz w:val="20"/>
                <w:szCs w:val="20"/>
                <w:color w:val="auto"/>
              </w:rPr>
            </w:pPr>
            <w:r>
              <w:rPr>
                <w:rFonts w:ascii="Calibri" w:cs="Calibri" w:eastAsia="Calibri" w:hAnsi="Calibri"/>
                <w:sz w:val="18"/>
                <w:szCs w:val="18"/>
                <w:color w:val="auto"/>
              </w:rPr>
              <w:t>$</w:t>
            </w:r>
          </w:p>
        </w:tc>
        <w:tc>
          <w:tcPr>
            <w:tcW w:w="80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486</w:t>
            </w:r>
          </w:p>
        </w:tc>
        <w:tc>
          <w:tcPr>
            <w:tcW w:w="100" w:type="dxa"/>
            <w:vAlign w:val="bottom"/>
            <w:shd w:val="clear" w:color="auto" w:fill="CFF0FC"/>
          </w:tcPr>
          <w:p>
            <w:pPr>
              <w:spacing w:after="0"/>
              <w:rPr>
                <w:sz w:val="18"/>
                <w:szCs w:val="18"/>
                <w:color w:val="auto"/>
              </w:rPr>
            </w:pPr>
          </w:p>
        </w:tc>
      </w:tr>
      <w:tr>
        <w:trPr>
          <w:trHeight w:val="215"/>
        </w:trPr>
        <w:tc>
          <w:tcPr>
            <w:tcW w:w="5160" w:type="dxa"/>
            <w:vAlign w:val="bottom"/>
          </w:tcPr>
          <w:p>
            <w:pPr>
              <w:ind w:left="20"/>
              <w:spacing w:after="0" w:line="215" w:lineRule="exact"/>
              <w:rPr>
                <w:sz w:val="20"/>
                <w:szCs w:val="20"/>
                <w:color w:val="auto"/>
              </w:rPr>
            </w:pPr>
            <w:r>
              <w:rPr>
                <w:rFonts w:ascii="Calibri" w:cs="Calibri" w:eastAsia="Calibri" w:hAnsi="Calibri"/>
                <w:sz w:val="18"/>
                <w:szCs w:val="18"/>
                <w:color w:val="auto"/>
              </w:rPr>
              <w:t>Canada</w:t>
            </w:r>
          </w:p>
        </w:tc>
        <w:tc>
          <w:tcPr>
            <w:tcW w:w="220" w:type="dxa"/>
            <w:vAlign w:val="bottom"/>
          </w:tcPr>
          <w:p>
            <w:pPr>
              <w:spacing w:after="0"/>
              <w:rPr>
                <w:sz w:val="18"/>
                <w:szCs w:val="18"/>
                <w:color w:val="auto"/>
              </w:rPr>
            </w:pPr>
          </w:p>
        </w:tc>
        <w:tc>
          <w:tcPr>
            <w:tcW w:w="820" w:type="dxa"/>
            <w:vAlign w:val="bottom"/>
          </w:tcPr>
          <w:p>
            <w:pPr>
              <w:jc w:val="right"/>
              <w:spacing w:after="0" w:line="215" w:lineRule="exact"/>
              <w:rPr>
                <w:sz w:val="20"/>
                <w:szCs w:val="20"/>
                <w:color w:val="auto"/>
              </w:rPr>
            </w:pPr>
            <w:r>
              <w:rPr>
                <w:rFonts w:ascii="Calibri" w:cs="Calibri" w:eastAsia="Calibri" w:hAnsi="Calibri"/>
                <w:sz w:val="18"/>
                <w:szCs w:val="18"/>
                <w:color w:val="auto"/>
              </w:rPr>
              <w:t>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line="215" w:lineRule="exact"/>
              <w:rPr>
                <w:sz w:val="20"/>
                <w:szCs w:val="20"/>
                <w:color w:val="auto"/>
              </w:rPr>
            </w:pPr>
            <w:r>
              <w:rPr>
                <w:rFonts w:ascii="Calibri" w:cs="Calibri" w:eastAsia="Calibri" w:hAnsi="Calibri"/>
                <w:sz w:val="18"/>
                <w:szCs w:val="18"/>
                <w:color w:val="auto"/>
              </w:rPr>
              <w:t>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3"/>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200" w:type="dxa"/>
            <w:vAlign w:val="bottom"/>
          </w:tcPr>
          <w:p>
            <w:pPr>
              <w:spacing w:after="0"/>
              <w:rPr>
                <w:sz w:val="18"/>
                <w:szCs w:val="18"/>
                <w:color w:val="auto"/>
              </w:rPr>
            </w:pPr>
          </w:p>
        </w:tc>
        <w:tc>
          <w:tcPr>
            <w:tcW w:w="80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line="215" w:lineRule="exact"/>
              <w:rPr>
                <w:sz w:val="20"/>
                <w:szCs w:val="20"/>
                <w:color w:val="auto"/>
              </w:rPr>
            </w:pPr>
            <w:r>
              <w:rPr>
                <w:rFonts w:ascii="Calibri" w:cs="Calibri" w:eastAsia="Calibri" w:hAnsi="Calibri"/>
                <w:sz w:val="18"/>
                <w:szCs w:val="18"/>
                <w:color w:val="auto"/>
              </w:rPr>
              <w:t>22</w:t>
            </w:r>
          </w:p>
        </w:tc>
        <w:tc>
          <w:tcPr>
            <w:tcW w:w="100" w:type="dxa"/>
            <w:vAlign w:val="bottom"/>
          </w:tcPr>
          <w:p>
            <w:pPr>
              <w:spacing w:after="0"/>
              <w:rPr>
                <w:sz w:val="18"/>
                <w:szCs w:val="18"/>
                <w:color w:val="auto"/>
              </w:rPr>
            </w:pPr>
          </w:p>
        </w:tc>
      </w:tr>
      <w:tr>
        <w:trPr>
          <w:trHeight w:val="209"/>
        </w:trPr>
        <w:tc>
          <w:tcPr>
            <w:tcW w:w="5160" w:type="dxa"/>
            <w:vAlign w:val="bottom"/>
            <w:tcBorders>
              <w:bottom w:val="single" w:sz="8" w:color="CFF0FC"/>
            </w:tcBorders>
            <w:shd w:val="clear" w:color="auto" w:fill="CFF0FC"/>
          </w:tcPr>
          <w:p>
            <w:pPr>
              <w:ind w:left="200"/>
              <w:spacing w:after="0" w:line="209" w:lineRule="exact"/>
              <w:rPr>
                <w:sz w:val="20"/>
                <w:szCs w:val="20"/>
                <w:color w:val="auto"/>
              </w:rPr>
            </w:pPr>
            <w:r>
              <w:rPr>
                <w:rFonts w:ascii="Calibri" w:cs="Calibri" w:eastAsia="Calibri" w:hAnsi="Calibri"/>
                <w:sz w:val="18"/>
                <w:szCs w:val="18"/>
                <w:color w:val="auto"/>
              </w:rPr>
              <w:t>North America</w:t>
            </w: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296</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179</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17</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800" w:type="dxa"/>
            <w:vAlign w:val="bottom"/>
            <w:tcBorders>
              <w:top w:val="single" w:sz="8" w:color="auto"/>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16</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800" w:type="dxa"/>
            <w:vAlign w:val="bottom"/>
            <w:tcBorders>
              <w:top w:val="single" w:sz="8" w:color="auto"/>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508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160" w:type="dxa"/>
            <w:vAlign w:val="bottom"/>
          </w:tcPr>
          <w:p>
            <w:pPr>
              <w:ind w:left="20"/>
              <w:spacing w:after="0" w:line="209" w:lineRule="exact"/>
              <w:rPr>
                <w:sz w:val="20"/>
                <w:szCs w:val="20"/>
                <w:color w:val="auto"/>
              </w:rPr>
            </w:pPr>
            <w:r>
              <w:rPr>
                <w:rFonts w:ascii="Calibri" w:cs="Calibri" w:eastAsia="Calibri" w:hAnsi="Calibri"/>
                <w:sz w:val="18"/>
                <w:szCs w:val="18"/>
                <w:color w:val="auto"/>
              </w:rPr>
              <w:t>Europe, Middle East and Africa</w:t>
            </w:r>
          </w:p>
        </w:tc>
        <w:tc>
          <w:tcPr>
            <w:tcW w:w="220" w:type="dxa"/>
            <w:vAlign w:val="bottom"/>
          </w:tcPr>
          <w:p>
            <w:pPr>
              <w:spacing w:after="0"/>
              <w:rPr>
                <w:sz w:val="18"/>
                <w:szCs w:val="18"/>
                <w:color w:val="auto"/>
              </w:rPr>
            </w:pPr>
          </w:p>
        </w:tc>
        <w:tc>
          <w:tcPr>
            <w:tcW w:w="820" w:type="dxa"/>
            <w:vAlign w:val="bottom"/>
          </w:tcPr>
          <w:p>
            <w:pPr>
              <w:jc w:val="right"/>
              <w:spacing w:after="0" w:line="209" w:lineRule="exact"/>
              <w:rPr>
                <w:sz w:val="20"/>
                <w:szCs w:val="20"/>
                <w:color w:val="auto"/>
              </w:rPr>
            </w:pPr>
            <w:r>
              <w:rPr>
                <w:rFonts w:ascii="Calibri" w:cs="Calibri" w:eastAsia="Calibri" w:hAnsi="Calibri"/>
                <w:sz w:val="18"/>
                <w:szCs w:val="18"/>
                <w:color w:val="auto"/>
              </w:rPr>
              <w:t>410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line="209" w:lineRule="exact"/>
              <w:rPr>
                <w:sz w:val="20"/>
                <w:szCs w:val="20"/>
                <w:color w:val="auto"/>
              </w:rPr>
            </w:pPr>
            <w:r>
              <w:rPr>
                <w:rFonts w:ascii="Calibri" w:cs="Calibri" w:eastAsia="Calibri" w:hAnsi="Calibri"/>
                <w:sz w:val="18"/>
                <w:szCs w:val="18"/>
                <w:color w:val="auto"/>
              </w:rPr>
              <w:t>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3"/>
          </w:tcPr>
          <w:p>
            <w:pPr>
              <w:jc w:val="right"/>
              <w:ind w:right="240"/>
              <w:spacing w:after="0" w:line="209" w:lineRule="exact"/>
              <w:rPr>
                <w:sz w:val="20"/>
                <w:szCs w:val="20"/>
                <w:color w:val="auto"/>
              </w:rPr>
            </w:pPr>
            <w:r>
              <w:rPr>
                <w:rFonts w:ascii="Calibri" w:cs="Calibri" w:eastAsia="Calibri" w:hAnsi="Calibri"/>
                <w:sz w:val="18"/>
                <w:szCs w:val="18"/>
                <w:color w:val="auto"/>
              </w:rPr>
              <w:t>—</w:t>
            </w:r>
          </w:p>
        </w:tc>
        <w:tc>
          <w:tcPr>
            <w:tcW w:w="200" w:type="dxa"/>
            <w:vAlign w:val="bottom"/>
          </w:tcPr>
          <w:p>
            <w:pPr>
              <w:spacing w:after="0"/>
              <w:rPr>
                <w:sz w:val="18"/>
                <w:szCs w:val="18"/>
                <w:color w:val="auto"/>
              </w:rPr>
            </w:pPr>
          </w:p>
        </w:tc>
        <w:tc>
          <w:tcPr>
            <w:tcW w:w="800" w:type="dxa"/>
            <w:vAlign w:val="bottom"/>
          </w:tcPr>
          <w:p>
            <w:pPr>
              <w:jc w:val="right"/>
              <w:spacing w:after="0" w:line="209" w:lineRule="exact"/>
              <w:rPr>
                <w:sz w:val="20"/>
                <w:szCs w:val="20"/>
                <w:color w:val="auto"/>
              </w:rPr>
            </w:pPr>
            <w:r>
              <w:rPr>
                <w:rFonts w:ascii="Calibri" w:cs="Calibri" w:eastAsia="Calibri" w:hAnsi="Calibri"/>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line="209" w:lineRule="exact"/>
              <w:rPr>
                <w:sz w:val="20"/>
                <w:szCs w:val="20"/>
                <w:color w:val="auto"/>
              </w:rPr>
            </w:pPr>
            <w:r>
              <w:rPr>
                <w:rFonts w:ascii="Calibri" w:cs="Calibri" w:eastAsia="Calibri" w:hAnsi="Calibri"/>
                <w:sz w:val="18"/>
                <w:szCs w:val="18"/>
                <w:color w:val="auto"/>
              </w:rPr>
              <w:t>429</w:t>
            </w:r>
          </w:p>
        </w:tc>
        <w:tc>
          <w:tcPr>
            <w:tcW w:w="100" w:type="dxa"/>
            <w:vAlign w:val="bottom"/>
          </w:tcPr>
          <w:p>
            <w:pPr>
              <w:spacing w:after="0"/>
              <w:rPr>
                <w:sz w:val="18"/>
                <w:szCs w:val="18"/>
                <w:color w:val="auto"/>
              </w:rPr>
            </w:pPr>
          </w:p>
        </w:tc>
      </w:tr>
      <w:tr>
        <w:trPr>
          <w:trHeight w:val="217"/>
        </w:trPr>
        <w:tc>
          <w:tcPr>
            <w:tcW w:w="516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Asia Pacifc</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199</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35</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gridSpan w:val="3"/>
            <w:shd w:val="clear" w:color="auto" w:fill="CFF0FC"/>
          </w:tcPr>
          <w:p>
            <w:pPr>
              <w:jc w:val="right"/>
              <w:ind w:right="240"/>
              <w:spacing w:after="0" w:line="216" w:lineRule="exact"/>
              <w:rPr>
                <w:sz w:val="20"/>
                <w:szCs w:val="20"/>
                <w:color w:val="auto"/>
              </w:rPr>
            </w:pPr>
            <w:r>
              <w:rPr>
                <w:rFonts w:ascii="Calibri" w:cs="Calibri" w:eastAsia="Calibri" w:hAnsi="Calibri"/>
                <w:sz w:val="18"/>
                <w:szCs w:val="18"/>
                <w:color w:val="auto"/>
              </w:rPr>
              <w:t>—</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234</w:t>
            </w:r>
          </w:p>
        </w:tc>
        <w:tc>
          <w:tcPr>
            <w:tcW w:w="100" w:type="dxa"/>
            <w:vAlign w:val="bottom"/>
            <w:shd w:val="clear" w:color="auto" w:fill="CFF0FC"/>
          </w:tcPr>
          <w:p>
            <w:pPr>
              <w:spacing w:after="0"/>
              <w:rPr>
                <w:sz w:val="18"/>
                <w:szCs w:val="18"/>
                <w:color w:val="auto"/>
              </w:rPr>
            </w:pPr>
          </w:p>
        </w:tc>
      </w:tr>
      <w:tr>
        <w:trPr>
          <w:trHeight w:val="215"/>
        </w:trPr>
        <w:tc>
          <w:tcPr>
            <w:tcW w:w="5160" w:type="dxa"/>
            <w:vAlign w:val="bottom"/>
          </w:tcPr>
          <w:p>
            <w:pPr>
              <w:ind w:left="20"/>
              <w:spacing w:after="0" w:line="215" w:lineRule="exact"/>
              <w:rPr>
                <w:sz w:val="20"/>
                <w:szCs w:val="20"/>
                <w:color w:val="auto"/>
              </w:rPr>
            </w:pPr>
            <w:r>
              <w:rPr>
                <w:rFonts w:ascii="Calibri" w:cs="Calibri" w:eastAsia="Calibri" w:hAnsi="Calibri"/>
                <w:sz w:val="18"/>
                <w:szCs w:val="18"/>
                <w:color w:val="auto"/>
              </w:rPr>
              <w:t>Latn America</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220" w:type="dxa"/>
            <w:vAlign w:val="bottom"/>
            <w:gridSpan w:val="2"/>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34</w:t>
            </w:r>
          </w:p>
        </w:tc>
        <w:tc>
          <w:tcPr>
            <w:tcW w:w="100" w:type="dxa"/>
            <w:vAlign w:val="bottom"/>
          </w:tcPr>
          <w:p>
            <w:pPr>
              <w:spacing w:after="0"/>
              <w:rPr>
                <w:sz w:val="18"/>
                <w:szCs w:val="18"/>
                <w:color w:val="auto"/>
              </w:rPr>
            </w:pPr>
          </w:p>
        </w:tc>
      </w:tr>
      <w:tr>
        <w:trPr>
          <w:trHeight w:val="250"/>
        </w:trPr>
        <w:tc>
          <w:tcPr>
            <w:tcW w:w="5160" w:type="dxa"/>
            <w:vAlign w:val="bottom"/>
            <w:tcBorders>
              <w:bottom w:val="single" w:sz="8" w:color="CFF0FC"/>
            </w:tcBorders>
            <w:shd w:val="clear" w:color="auto" w:fill="CFF0FC"/>
          </w:tcPr>
          <w:p>
            <w:pPr>
              <w:ind w:left="200"/>
              <w:spacing w:after="0" w:line="209" w:lineRule="exact"/>
              <w:rPr>
                <w:sz w:val="20"/>
                <w:szCs w:val="20"/>
                <w:color w:val="auto"/>
              </w:rPr>
            </w:pPr>
            <w:r>
              <w:rPr>
                <w:rFonts w:ascii="Calibri" w:cs="Calibri" w:eastAsia="Calibri" w:hAnsi="Calibri"/>
                <w:sz w:val="18"/>
                <w:szCs w:val="18"/>
                <w:color w:val="auto"/>
              </w:rPr>
              <w:t>Total Sales</w:t>
            </w:r>
          </w:p>
        </w:tc>
        <w:tc>
          <w:tcPr>
            <w:tcW w:w="220" w:type="dxa"/>
            <w:vAlign w:val="bottom"/>
            <w:tcBorders>
              <w:bottom w:val="single" w:sz="8" w:color="auto"/>
            </w:tcBorders>
            <w:shd w:val="clear" w:color="auto" w:fill="CFF0FC"/>
          </w:tcPr>
          <w:p>
            <w:pPr>
              <w:jc w:val="right"/>
              <w:ind w:right="30"/>
              <w:spacing w:after="0" w:line="209" w:lineRule="exact"/>
              <w:rPr>
                <w:sz w:val="20"/>
                <w:szCs w:val="20"/>
                <w:color w:val="auto"/>
              </w:rPr>
            </w:pPr>
            <w:r>
              <w:rPr>
                <w:rFonts w:ascii="Calibri" w:cs="Calibri" w:eastAsia="Calibri" w:hAnsi="Calibri"/>
                <w:sz w:val="18"/>
                <w:szCs w:val="18"/>
                <w:color w:val="auto"/>
                <w:w w:val="87"/>
              </w:rPr>
              <w:t>$</w:t>
            </w:r>
          </w:p>
        </w:tc>
        <w:tc>
          <w:tcPr>
            <w:tcW w:w="82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938</w:t>
            </w:r>
          </w:p>
        </w:tc>
        <w:tc>
          <w:tcPr>
            <w:tcW w:w="240" w:type="dxa"/>
            <w:vAlign w:val="bottom"/>
            <w:tcBorders>
              <w:bottom w:val="single" w:sz="8" w:color="CFF0FC"/>
            </w:tcBorders>
            <w:gridSpan w:val="2"/>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w w:val="87"/>
              </w:rPr>
              <w:t>$</w:t>
            </w:r>
          </w:p>
        </w:tc>
        <w:tc>
          <w:tcPr>
            <w:tcW w:w="88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234</w:t>
            </w:r>
          </w:p>
        </w:tc>
        <w:tc>
          <w:tcPr>
            <w:tcW w:w="220" w:type="dxa"/>
            <w:vAlign w:val="bottom"/>
            <w:tcBorders>
              <w:bottom w:val="single" w:sz="8" w:color="CFF0FC"/>
            </w:tcBorders>
            <w:gridSpan w:val="2"/>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line="209" w:lineRule="exact"/>
              <w:rPr>
                <w:sz w:val="20"/>
                <w:szCs w:val="20"/>
                <w:color w:val="auto"/>
              </w:rPr>
            </w:pPr>
            <w:r>
              <w:rPr>
                <w:rFonts w:ascii="Calibri" w:cs="Calibri" w:eastAsia="Calibri" w:hAnsi="Calibri"/>
                <w:sz w:val="18"/>
                <w:szCs w:val="18"/>
                <w:color w:val="auto"/>
                <w:w w:val="87"/>
              </w:rPr>
              <w:t>$</w:t>
            </w:r>
          </w:p>
        </w:tc>
        <w:tc>
          <w:tcPr>
            <w:tcW w:w="82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17</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line="209" w:lineRule="exact"/>
              <w:rPr>
                <w:sz w:val="20"/>
                <w:szCs w:val="20"/>
                <w:color w:val="auto"/>
              </w:rPr>
            </w:pPr>
            <w:r>
              <w:rPr>
                <w:rFonts w:ascii="Calibri" w:cs="Calibri" w:eastAsia="Calibri" w:hAnsi="Calibri"/>
                <w:sz w:val="18"/>
                <w:szCs w:val="18"/>
                <w:color w:val="auto"/>
                <w:w w:val="87"/>
              </w:rPr>
              <w:t>$</w:t>
            </w:r>
          </w:p>
        </w:tc>
        <w:tc>
          <w:tcPr>
            <w:tcW w:w="80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16</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line="209" w:lineRule="exact"/>
              <w:rPr>
                <w:sz w:val="20"/>
                <w:szCs w:val="20"/>
                <w:color w:val="auto"/>
              </w:rPr>
            </w:pPr>
            <w:r>
              <w:rPr>
                <w:rFonts w:ascii="Calibri" w:cs="Calibri" w:eastAsia="Calibri" w:hAnsi="Calibri"/>
                <w:sz w:val="18"/>
                <w:szCs w:val="18"/>
                <w:color w:val="auto"/>
                <w:w w:val="87"/>
              </w:rPr>
              <w:t>$</w:t>
            </w:r>
          </w:p>
        </w:tc>
        <w:tc>
          <w:tcPr>
            <w:tcW w:w="80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1,205</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-590550</wp:posOffset>
            </wp:positionV>
            <wp:extent cx="7683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-590550</wp:posOffset>
            </wp:positionV>
            <wp:extent cx="6858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-590550</wp:posOffset>
            </wp:positionV>
            <wp:extent cx="6858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-590550</wp:posOffset>
            </wp:positionV>
            <wp:extent cx="6858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-590550</wp:posOffset>
            </wp:positionV>
            <wp:extent cx="6858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-24765</wp:posOffset>
            </wp:positionV>
            <wp:extent cx="7683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-7620</wp:posOffset>
            </wp:positionV>
            <wp:extent cx="7683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-24765</wp:posOffset>
            </wp:positionV>
            <wp:extent cx="6858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-7620</wp:posOffset>
            </wp:positionV>
            <wp:extent cx="6858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-24765</wp:posOffset>
            </wp:positionV>
            <wp:extent cx="6858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-7620</wp:posOffset>
            </wp:positionV>
            <wp:extent cx="6858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-24765</wp:posOffset>
            </wp:positionV>
            <wp:extent cx="6858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-7620</wp:posOffset>
            </wp:positionV>
            <wp:extent cx="6858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ind w:left="280" w:right="700" w:hanging="272"/>
        <w:spacing w:after="0" w:line="201" w:lineRule="auto"/>
        <w:tabs>
          <w:tab w:leader="none" w:pos="280" w:val="left"/>
        </w:tabs>
        <w:numPr>
          <w:ilvl w:val="0"/>
          <w:numId w:val="39"/>
        </w:numPr>
        <w:rPr>
          <w:rFonts w:ascii="Calibri" w:cs="Calibri" w:eastAsia="Calibri" w:hAnsi="Calibri"/>
          <w:sz w:val="24"/>
          <w:szCs w:val="24"/>
          <w:color w:val="auto"/>
          <w:vertAlign w:val="superscript"/>
        </w:rPr>
      </w:pPr>
      <w:r>
        <w:rPr>
          <w:rFonts w:ascii="Calibri" w:cs="Calibri" w:eastAsia="Calibri" w:hAnsi="Calibri"/>
          <w:sz w:val="18"/>
          <w:szCs w:val="18"/>
          <w:color w:val="auto"/>
        </w:rPr>
        <w:t>Sales are reported in the geographic area in which they originate. No non-U.S. country generated more than 10% of net sales in the years ended December 31, 2024, 2023 and 2022.</w:t>
      </w:r>
    </w:p>
    <w:p>
      <w:pPr>
        <w:spacing w:after="0" w:line="18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Contract Balances</w:t>
      </w:r>
    </w:p>
    <w:p>
      <w:pPr>
        <w:spacing w:after="0" w:line="177"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The tming of revenue recogniton, billings and cash collectons results in billed trade receivables, unbilled receivables (contract assets), and customer advances and deposits (contract liabilites) in the Consolidated Statement of Financial Positon. The contract assets are transferred to trade receivables when the rights to consideraton become unconditonal. The amounts recorded for contract assets are reported in Other current assets in the Consolidated Statement of Financial Positon. The contract liabilites primarily relate to brand licensing agreements, prepaid service contracts or upfront payments for certain equipment purchases. The amounts recorded for contract liabilites are reported in Other current liabilites and Other long-term liabilites in the Consolidated Statement of Financial Positon. Contract assets and liabilites consisted of the following:</w:t>
      </w:r>
    </w:p>
    <w:p>
      <w:pPr>
        <w:spacing w:after="0" w:line="216" w:lineRule="exact"/>
        <w:rPr>
          <w:sz w:val="20"/>
          <w:szCs w:val="20"/>
          <w:color w:val="auto"/>
        </w:rPr>
      </w:pPr>
    </w:p>
    <w:p>
      <w:pPr>
        <w:ind w:left="8600"/>
        <w:spacing w:after="0"/>
        <w:rPr>
          <w:sz w:val="20"/>
          <w:szCs w:val="20"/>
          <w:color w:val="auto"/>
        </w:rPr>
      </w:pPr>
      <w:r>
        <w:rPr>
          <w:rFonts w:ascii="Calibri" w:cs="Calibri" w:eastAsia="Calibri" w:hAnsi="Calibri"/>
          <w:sz w:val="18"/>
          <w:szCs w:val="18"/>
          <w:b w:val="1"/>
          <w:bCs w:val="1"/>
          <w:color w:val="auto"/>
        </w:rPr>
        <w:t>As of December 31,</w:t>
      </w:r>
    </w:p>
    <w:tbl>
      <w:tblPr>
        <w:tblLayout w:type="fixed"/>
        <w:tblInd w:w="0" w:type="dxa"/>
        <w:tblCellMar>
          <w:top w:w="0" w:type="dxa"/>
          <w:left w:w="0" w:type="dxa"/>
          <w:bottom w:w="0" w:type="dxa"/>
          <w:right w:w="0" w:type="dxa"/>
        </w:tblCellMar>
      </w:tblPr>
      <w:tr>
        <w:trPr>
          <w:trHeight w:val="216"/>
        </w:trPr>
        <w:tc>
          <w:tcPr>
            <w:tcW w:w="4620" w:type="dxa"/>
            <w:vAlign w:val="bottom"/>
          </w:tcPr>
          <w:p>
            <w:pPr>
              <w:ind w:left="20"/>
              <w:spacing w:after="0"/>
              <w:rPr>
                <w:sz w:val="20"/>
                <w:szCs w:val="20"/>
                <w:color w:val="auto"/>
              </w:rPr>
            </w:pPr>
            <w:r>
              <w:rPr>
                <w:rFonts w:ascii="Calibri" w:cs="Calibri" w:eastAsia="Calibri" w:hAnsi="Calibri"/>
                <w:sz w:val="14"/>
                <w:szCs w:val="14"/>
                <w:color w:val="auto"/>
              </w:rPr>
              <w:t>(in millions)</w:t>
            </w:r>
          </w:p>
        </w:tc>
        <w:tc>
          <w:tcPr>
            <w:tcW w:w="1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600"/>
              <w:spacing w:after="0" w:line="216" w:lineRule="exact"/>
              <w:rPr>
                <w:sz w:val="20"/>
                <w:szCs w:val="20"/>
                <w:color w:val="auto"/>
              </w:rPr>
            </w:pPr>
            <w:r>
              <w:rPr>
                <w:rFonts w:ascii="Calibri" w:cs="Calibri" w:eastAsia="Calibri" w:hAnsi="Calibri"/>
                <w:sz w:val="18"/>
                <w:szCs w:val="18"/>
                <w:b w:val="1"/>
                <w:bCs w:val="1"/>
                <w:color w:val="auto"/>
              </w:rPr>
              <w:t>2024</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510"/>
              <w:spacing w:after="0" w:line="216" w:lineRule="exact"/>
              <w:rPr>
                <w:sz w:val="20"/>
                <w:szCs w:val="20"/>
                <w:color w:val="auto"/>
              </w:rPr>
            </w:pPr>
            <w:r>
              <w:rPr>
                <w:rFonts w:ascii="Calibri" w:cs="Calibri" w:eastAsia="Calibri" w:hAnsi="Calibri"/>
                <w:sz w:val="18"/>
                <w:szCs w:val="18"/>
                <w:b w:val="1"/>
                <w:bCs w:val="1"/>
                <w:color w:val="auto"/>
              </w:rPr>
              <w:t>2023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
        </w:trPr>
        <w:tc>
          <w:tcPr>
            <w:tcW w:w="46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10"/>
        </w:trPr>
        <w:tc>
          <w:tcPr>
            <w:tcW w:w="4620" w:type="dxa"/>
            <w:vAlign w:val="bottom"/>
            <w:shd w:val="clear" w:color="auto" w:fill="CFF0FC"/>
          </w:tcPr>
          <w:p>
            <w:pPr>
              <w:ind w:left="20"/>
              <w:spacing w:after="0" w:line="209" w:lineRule="exact"/>
              <w:rPr>
                <w:sz w:val="20"/>
                <w:szCs w:val="20"/>
                <w:color w:val="auto"/>
              </w:rPr>
            </w:pPr>
            <w:r>
              <w:rPr>
                <w:rFonts w:ascii="Calibri" w:cs="Calibri" w:eastAsia="Calibri" w:hAnsi="Calibri"/>
                <w:sz w:val="18"/>
                <w:szCs w:val="18"/>
                <w:color w:val="auto"/>
              </w:rPr>
              <w:t>Contract assets</w:t>
            </w:r>
          </w:p>
        </w:tc>
        <w:tc>
          <w:tcPr>
            <w:tcW w:w="19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70"/>
              <w:spacing w:after="0" w:line="209" w:lineRule="exact"/>
              <w:rPr>
                <w:sz w:val="20"/>
                <w:szCs w:val="20"/>
                <w:color w:val="auto"/>
              </w:rPr>
            </w:pPr>
            <w:r>
              <w:rPr>
                <w:rFonts w:ascii="Calibri" w:cs="Calibri" w:eastAsia="Calibri" w:hAnsi="Calibri"/>
                <w:sz w:val="18"/>
                <w:szCs w:val="18"/>
                <w:color w:val="auto"/>
              </w:rPr>
              <w:t>$</w:t>
            </w:r>
          </w:p>
        </w:tc>
        <w:tc>
          <w:tcPr>
            <w:tcW w:w="1300" w:type="dxa"/>
            <w:vAlign w:val="bottom"/>
            <w:gridSpan w:val="2"/>
            <w:shd w:val="clear" w:color="auto" w:fill="CFF0FC"/>
          </w:tcPr>
          <w:p>
            <w:pPr>
              <w:jc w:val="right"/>
              <w:ind w:right="20"/>
              <w:spacing w:after="0" w:line="209" w:lineRule="exact"/>
              <w:rPr>
                <w:sz w:val="20"/>
                <w:szCs w:val="20"/>
                <w:color w:val="auto"/>
              </w:rPr>
            </w:pPr>
            <w:r>
              <w:rPr>
                <w:rFonts w:ascii="Calibri" w:cs="Calibri" w:eastAsia="Calibri" w:hAnsi="Calibri"/>
                <w:sz w:val="18"/>
                <w:szCs w:val="18"/>
                <w:color w:val="auto"/>
              </w:rPr>
              <w:t>5</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line="209" w:lineRule="exact"/>
              <w:rPr>
                <w:sz w:val="20"/>
                <w:szCs w:val="20"/>
                <w:color w:val="auto"/>
              </w:rPr>
            </w:pPr>
            <w:r>
              <w:rPr>
                <w:rFonts w:ascii="Calibri" w:cs="Calibri" w:eastAsia="Calibri" w:hAnsi="Calibri"/>
                <w:sz w:val="18"/>
                <w:szCs w:val="18"/>
                <w:color w:val="auto"/>
                <w:w w:val="87"/>
              </w:rPr>
              <w:t>$</w:t>
            </w: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1</w:t>
            </w:r>
          </w:p>
        </w:tc>
        <w:tc>
          <w:tcPr>
            <w:tcW w:w="100" w:type="dxa"/>
            <w:vAlign w:val="bottom"/>
            <w:shd w:val="clear" w:color="auto" w:fill="CFF0FC"/>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620" w:type="dxa"/>
            <w:vAlign w:val="bottom"/>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Contract liabilites - current</w:t>
            </w:r>
          </w:p>
        </w:tc>
        <w:tc>
          <w:tcPr>
            <w:tcW w:w="19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
              <w:spacing w:after="0" w:line="215" w:lineRule="exact"/>
              <w:rPr>
                <w:sz w:val="20"/>
                <w:szCs w:val="20"/>
                <w:color w:val="auto"/>
              </w:rPr>
            </w:pPr>
            <w:r>
              <w:rPr>
                <w:rFonts w:ascii="Calibri" w:cs="Calibri" w:eastAsia="Calibri" w:hAnsi="Calibri"/>
                <w:sz w:val="18"/>
                <w:szCs w:val="18"/>
                <w:color w:val="auto"/>
              </w:rPr>
              <w:t>35</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37</w:t>
            </w:r>
          </w:p>
        </w:tc>
        <w:tc>
          <w:tcPr>
            <w:tcW w:w="100" w:type="dxa"/>
            <w:vAlign w:val="bottom"/>
            <w:shd w:val="clear" w:color="auto" w:fill="CFF0FC"/>
          </w:tcPr>
          <w:p>
            <w:pPr>
              <w:spacing w:after="0"/>
              <w:rPr>
                <w:sz w:val="18"/>
                <w:szCs w:val="18"/>
                <w:color w:val="auto"/>
              </w:rPr>
            </w:pPr>
          </w:p>
        </w:tc>
        <w:tc>
          <w:tcPr>
            <w:tcW w:w="120" w:type="dxa"/>
            <w:vAlign w:val="bottom"/>
          </w:tcPr>
          <w:p>
            <w:pPr>
              <w:spacing w:after="0"/>
              <w:rPr>
                <w:sz w:val="18"/>
                <w:szCs w:val="18"/>
                <w:color w:val="auto"/>
              </w:rPr>
            </w:pPr>
          </w:p>
        </w:tc>
      </w:tr>
      <w:tr>
        <w:trPr>
          <w:trHeight w:val="215"/>
        </w:trPr>
        <w:tc>
          <w:tcPr>
            <w:tcW w:w="4620" w:type="dxa"/>
            <w:vAlign w:val="bottom"/>
          </w:tcPr>
          <w:p>
            <w:pPr>
              <w:ind w:left="20"/>
              <w:spacing w:after="0" w:line="215" w:lineRule="exact"/>
              <w:rPr>
                <w:sz w:val="20"/>
                <w:szCs w:val="20"/>
                <w:color w:val="auto"/>
              </w:rPr>
            </w:pPr>
            <w:r>
              <w:rPr>
                <w:rFonts w:ascii="Calibri" w:cs="Calibri" w:eastAsia="Calibri" w:hAnsi="Calibri"/>
                <w:sz w:val="18"/>
                <w:szCs w:val="18"/>
                <w:color w:val="auto"/>
              </w:rPr>
              <w:t>Contract liabilites - long-term</w:t>
            </w:r>
          </w:p>
        </w:tc>
        <w:tc>
          <w:tcPr>
            <w:tcW w:w="1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right"/>
              <w:ind w:right="20"/>
              <w:spacing w:after="0" w:line="215" w:lineRule="exact"/>
              <w:rPr>
                <w:sz w:val="20"/>
                <w:szCs w:val="20"/>
                <w:color w:val="auto"/>
              </w:rPr>
            </w:pPr>
            <w:r>
              <w:rPr>
                <w:rFonts w:ascii="Calibri" w:cs="Calibri" w:eastAsia="Calibri" w:hAnsi="Calibri"/>
                <w:sz w:val="18"/>
                <w:szCs w:val="18"/>
                <w:color w:val="auto"/>
              </w:rPr>
              <w:t>57</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63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49"/>
        </w:trPr>
        <w:tc>
          <w:tcPr>
            <w:tcW w:w="4620" w:type="dxa"/>
            <w:vAlign w:val="bottom"/>
            <w:shd w:val="clear" w:color="auto" w:fill="CFF0FC"/>
          </w:tcPr>
          <w:p>
            <w:pPr>
              <w:ind w:left="20"/>
              <w:spacing w:after="0" w:line="209" w:lineRule="exact"/>
              <w:rPr>
                <w:sz w:val="20"/>
                <w:szCs w:val="20"/>
                <w:color w:val="auto"/>
              </w:rPr>
            </w:pPr>
            <w:r>
              <w:rPr>
                <w:rFonts w:ascii="Calibri" w:cs="Calibri" w:eastAsia="Calibri" w:hAnsi="Calibri"/>
                <w:sz w:val="18"/>
                <w:szCs w:val="18"/>
                <w:color w:val="auto"/>
              </w:rPr>
              <w:t>Total</w:t>
            </w:r>
          </w:p>
        </w:tc>
        <w:tc>
          <w:tcPr>
            <w:tcW w:w="19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70"/>
              <w:spacing w:after="0" w:line="209" w:lineRule="exact"/>
              <w:rPr>
                <w:sz w:val="20"/>
                <w:szCs w:val="20"/>
                <w:color w:val="auto"/>
              </w:rPr>
            </w:pPr>
            <w:r>
              <w:rPr>
                <w:rFonts w:ascii="Calibri" w:cs="Calibri" w:eastAsia="Calibri" w:hAnsi="Calibri"/>
                <w:sz w:val="18"/>
                <w:szCs w:val="18"/>
                <w:color w:val="auto"/>
              </w:rPr>
              <w:t>$</w:t>
            </w:r>
          </w:p>
        </w:tc>
        <w:tc>
          <w:tcPr>
            <w:tcW w:w="1300" w:type="dxa"/>
            <w:vAlign w:val="bottom"/>
            <w:gridSpan w:val="2"/>
            <w:shd w:val="clear" w:color="auto" w:fill="CFF0FC"/>
          </w:tcPr>
          <w:p>
            <w:pPr>
              <w:jc w:val="right"/>
              <w:ind w:right="20"/>
              <w:spacing w:after="0" w:line="209" w:lineRule="exact"/>
              <w:rPr>
                <w:sz w:val="20"/>
                <w:szCs w:val="20"/>
                <w:color w:val="auto"/>
              </w:rPr>
            </w:pPr>
            <w:r>
              <w:rPr>
                <w:rFonts w:ascii="Calibri" w:cs="Calibri" w:eastAsia="Calibri" w:hAnsi="Calibri"/>
                <w:sz w:val="18"/>
                <w:szCs w:val="18"/>
                <w:color w:val="auto"/>
              </w:rPr>
              <w:t>92</w:t>
            </w: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line="209" w:lineRule="exact"/>
              <w:rPr>
                <w:sz w:val="20"/>
                <w:szCs w:val="20"/>
                <w:color w:val="auto"/>
              </w:rPr>
            </w:pPr>
            <w:r>
              <w:rPr>
                <w:rFonts w:ascii="Calibri" w:cs="Calibri" w:eastAsia="Calibri" w:hAnsi="Calibri"/>
                <w:sz w:val="18"/>
                <w:szCs w:val="18"/>
                <w:color w:val="auto"/>
                <w:w w:val="87"/>
              </w:rPr>
              <w:t>$</w:t>
            </w:r>
          </w:p>
        </w:tc>
        <w:tc>
          <w:tcPr>
            <w:tcW w:w="2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100</w:t>
            </w:r>
          </w:p>
        </w:tc>
        <w:tc>
          <w:tcPr>
            <w:tcW w:w="100" w:type="dxa"/>
            <w:vAlign w:val="bottom"/>
            <w:shd w:val="clear" w:color="auto" w:fill="CFF0FC"/>
          </w:tcPr>
          <w:p>
            <w:pPr>
              <w:spacing w:after="0"/>
              <w:rPr>
                <w:sz w:val="21"/>
                <w:szCs w:val="21"/>
                <w:color w:val="auto"/>
              </w:rPr>
            </w:pPr>
          </w:p>
        </w:tc>
        <w:tc>
          <w:tcPr>
            <w:tcW w:w="120" w:type="dxa"/>
            <w:vAlign w:val="bottom"/>
          </w:tcPr>
          <w:p>
            <w:pPr>
              <w:spacing w:after="0"/>
              <w:rPr>
                <w:sz w:val="21"/>
                <w:szCs w:val="21"/>
                <w:color w:val="auto"/>
              </w:rPr>
            </w:pPr>
          </w:p>
        </w:tc>
      </w:tr>
      <w:tr>
        <w:trPr>
          <w:trHeight w:val="390"/>
        </w:trPr>
        <w:tc>
          <w:tcPr>
            <w:tcW w:w="4620" w:type="dxa"/>
            <w:vAlign w:val="bottom"/>
            <w:tcBorders>
              <w:top w:val="single" w:sz="8" w:color="CFF0FC"/>
            </w:tcBorders>
          </w:tcPr>
          <w:p>
            <w:pPr>
              <w:spacing w:after="0"/>
              <w:rPr>
                <w:sz w:val="20"/>
                <w:szCs w:val="20"/>
                <w:color w:val="auto"/>
              </w:rPr>
            </w:pPr>
            <w:r>
              <w:rPr>
                <w:rFonts w:ascii="Calibri" w:cs="Calibri" w:eastAsia="Calibri" w:hAnsi="Calibri"/>
                <w:sz w:val="18"/>
                <w:szCs w:val="18"/>
                <w:color w:val="auto"/>
              </w:rPr>
              <w:t>Actvity in deferred revenue accounts consisted of:</w:t>
            </w:r>
          </w:p>
        </w:tc>
        <w:tc>
          <w:tcPr>
            <w:tcW w:w="1940" w:type="dxa"/>
            <w:vAlign w:val="bottom"/>
            <w:tcBorders>
              <w:top w:val="single" w:sz="8" w:color="CFF0FC"/>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76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20" w:type="dxa"/>
            <w:vAlign w:val="bottom"/>
          </w:tcPr>
          <w:p>
            <w:pPr>
              <w:spacing w:after="0"/>
              <w:rPr>
                <w:sz w:val="24"/>
                <w:szCs w:val="24"/>
                <w:color w:val="auto"/>
              </w:rPr>
            </w:pPr>
          </w:p>
        </w:tc>
      </w:tr>
      <w:tr>
        <w:trPr>
          <w:trHeight w:val="432"/>
        </w:trPr>
        <w:tc>
          <w:tcPr>
            <w:tcW w:w="46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320" w:type="dxa"/>
            <w:vAlign w:val="bottom"/>
            <w:gridSpan w:val="7"/>
          </w:tcPr>
          <w:p>
            <w:pPr>
              <w:jc w:val="right"/>
              <w:ind w:right="220"/>
              <w:spacing w:after="0"/>
              <w:rPr>
                <w:sz w:val="20"/>
                <w:szCs w:val="20"/>
                <w:color w:val="auto"/>
              </w:rPr>
            </w:pPr>
            <w:r>
              <w:rPr>
                <w:rFonts w:ascii="Calibri" w:cs="Calibri" w:eastAsia="Calibri" w:hAnsi="Calibri"/>
                <w:sz w:val="18"/>
                <w:szCs w:val="18"/>
                <w:b w:val="1"/>
                <w:bCs w:val="1"/>
                <w:color w:val="auto"/>
              </w:rPr>
              <w:t>Year Ended December 31,</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4620" w:type="dxa"/>
            <w:vAlign w:val="bottom"/>
          </w:tcPr>
          <w:p>
            <w:pPr>
              <w:ind w:left="20"/>
              <w:spacing w:after="0"/>
              <w:rPr>
                <w:sz w:val="20"/>
                <w:szCs w:val="20"/>
                <w:color w:val="auto"/>
              </w:rPr>
            </w:pPr>
            <w:r>
              <w:rPr>
                <w:rFonts w:ascii="Calibri" w:cs="Calibri" w:eastAsia="Calibri" w:hAnsi="Calibri"/>
                <w:sz w:val="14"/>
                <w:szCs w:val="14"/>
                <w:color w:val="auto"/>
              </w:rPr>
              <w:t>(in millions)</w:t>
            </w:r>
          </w:p>
        </w:tc>
        <w:tc>
          <w:tcPr>
            <w:tcW w:w="1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ind w:right="130"/>
              <w:spacing w:after="0" w:line="216" w:lineRule="exact"/>
              <w:rPr>
                <w:sz w:val="20"/>
                <w:szCs w:val="20"/>
                <w:color w:val="auto"/>
              </w:rPr>
            </w:pPr>
            <w:r>
              <w:rPr>
                <w:rFonts w:ascii="Calibri" w:cs="Calibri" w:eastAsia="Calibri" w:hAnsi="Calibri"/>
                <w:sz w:val="18"/>
                <w:szCs w:val="18"/>
                <w:b w:val="1"/>
                <w:bCs w:val="1"/>
                <w:color w:val="auto"/>
              </w:rPr>
              <w:t>2024</w:t>
            </w:r>
          </w:p>
        </w:tc>
        <w:tc>
          <w:tcPr>
            <w:tcW w:w="260" w:type="dxa"/>
            <w:vAlign w:val="bottom"/>
          </w:tcPr>
          <w:p>
            <w:pPr>
              <w:spacing w:after="0"/>
              <w:rPr>
                <w:sz w:val="18"/>
                <w:szCs w:val="18"/>
                <w:color w:val="auto"/>
              </w:rPr>
            </w:pPr>
          </w:p>
        </w:tc>
        <w:tc>
          <w:tcPr>
            <w:tcW w:w="1300" w:type="dxa"/>
            <w:vAlign w:val="bottom"/>
            <w:gridSpan w:val="2"/>
          </w:tcPr>
          <w:p>
            <w:pPr>
              <w:jc w:val="right"/>
              <w:ind w:right="200"/>
              <w:spacing w:after="0" w:line="216" w:lineRule="exact"/>
              <w:rPr>
                <w:sz w:val="20"/>
                <w:szCs w:val="20"/>
                <w:color w:val="auto"/>
              </w:rPr>
            </w:pPr>
            <w:r>
              <w:rPr>
                <w:rFonts w:ascii="Calibri" w:cs="Calibri" w:eastAsia="Calibri" w:hAnsi="Calibri"/>
                <w:sz w:val="18"/>
                <w:szCs w:val="18"/>
                <w:b w:val="1"/>
                <w:bCs w:val="1"/>
                <w:color w:val="auto"/>
              </w:rPr>
              <w:t>2023</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390"/>
              <w:spacing w:after="0" w:line="216" w:lineRule="exact"/>
              <w:rPr>
                <w:sz w:val="20"/>
                <w:szCs w:val="20"/>
                <w:color w:val="auto"/>
              </w:rPr>
            </w:pPr>
            <w:r>
              <w:rPr>
                <w:rFonts w:ascii="Calibri" w:cs="Calibri" w:eastAsia="Calibri" w:hAnsi="Calibri"/>
                <w:sz w:val="18"/>
                <w:szCs w:val="18"/>
                <w:b w:val="1"/>
                <w:bCs w:val="1"/>
                <w:color w:val="auto"/>
              </w:rPr>
              <w:t>2022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
        </w:trPr>
        <w:tc>
          <w:tcPr>
            <w:tcW w:w="46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09"/>
        </w:trPr>
        <w:tc>
          <w:tcPr>
            <w:tcW w:w="4620" w:type="dxa"/>
            <w:vAlign w:val="bottom"/>
            <w:shd w:val="clear" w:color="auto" w:fill="CFF0FC"/>
          </w:tcPr>
          <w:p>
            <w:pPr>
              <w:ind w:left="20"/>
              <w:spacing w:after="0" w:line="209" w:lineRule="exact"/>
              <w:rPr>
                <w:sz w:val="20"/>
                <w:szCs w:val="20"/>
                <w:color w:val="auto"/>
              </w:rPr>
            </w:pPr>
            <w:r>
              <w:rPr>
                <w:rFonts w:ascii="Calibri" w:cs="Calibri" w:eastAsia="Calibri" w:hAnsi="Calibri"/>
                <w:sz w:val="18"/>
                <w:szCs w:val="18"/>
                <w:color w:val="auto"/>
              </w:rPr>
              <w:t>Beginning liabilites recognized in revenue</w:t>
            </w:r>
          </w:p>
        </w:tc>
        <w:tc>
          <w:tcPr>
            <w:tcW w:w="2240" w:type="dxa"/>
            <w:vAlign w:val="bottom"/>
            <w:gridSpan w:val="2"/>
            <w:shd w:val="clear" w:color="auto" w:fill="CFF0FC"/>
          </w:tcPr>
          <w:p>
            <w:pPr>
              <w:jc w:val="right"/>
              <w:ind w:right="180"/>
              <w:spacing w:after="0" w:line="209" w:lineRule="exact"/>
              <w:rPr>
                <w:sz w:val="20"/>
                <w:szCs w:val="20"/>
                <w:color w:val="auto"/>
              </w:rPr>
            </w:pPr>
            <w:r>
              <w:rPr>
                <w:rFonts w:ascii="Calibri" w:cs="Calibri" w:eastAsia="Calibri" w:hAnsi="Calibri"/>
                <w:sz w:val="18"/>
                <w:szCs w:val="18"/>
                <w:color w:val="auto"/>
              </w:rPr>
              <w:t>$</w:t>
            </w:r>
          </w:p>
        </w:tc>
        <w:tc>
          <w:tcPr>
            <w:tcW w:w="1020" w:type="dxa"/>
            <w:vAlign w:val="bottom"/>
            <w:gridSpan w:val="2"/>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33</w:t>
            </w:r>
          </w:p>
        </w:tc>
        <w:tc>
          <w:tcPr>
            <w:tcW w:w="1300" w:type="dxa"/>
            <w:vAlign w:val="bottom"/>
            <w:gridSpan w:val="2"/>
            <w:shd w:val="clear" w:color="auto" w:fill="CFF0FC"/>
          </w:tcPr>
          <w:p>
            <w:pPr>
              <w:jc w:val="right"/>
              <w:ind w:right="940"/>
              <w:spacing w:after="0" w:line="209" w:lineRule="exact"/>
              <w:rPr>
                <w:sz w:val="20"/>
                <w:szCs w:val="20"/>
                <w:color w:val="auto"/>
              </w:rPr>
            </w:pPr>
            <w:r>
              <w:rPr>
                <w:rFonts w:ascii="Calibri" w:cs="Calibri" w:eastAsia="Calibri" w:hAnsi="Calibri"/>
                <w:sz w:val="18"/>
                <w:szCs w:val="18"/>
                <w:color w:val="auto"/>
              </w:rPr>
              <w:t>$</w:t>
            </w:r>
          </w:p>
        </w:tc>
        <w:tc>
          <w:tcPr>
            <w:tcW w:w="26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33</w:t>
            </w:r>
          </w:p>
        </w:tc>
        <w:tc>
          <w:tcPr>
            <w:tcW w:w="2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140"/>
              <w:spacing w:after="0" w:line="209" w:lineRule="exact"/>
              <w:rPr>
                <w:sz w:val="20"/>
                <w:szCs w:val="20"/>
                <w:color w:val="auto"/>
              </w:rPr>
            </w:pPr>
            <w:r>
              <w:rPr>
                <w:rFonts w:ascii="Calibri" w:cs="Calibri" w:eastAsia="Calibri" w:hAnsi="Calibri"/>
                <w:sz w:val="18"/>
                <w:szCs w:val="18"/>
                <w:color w:val="auto"/>
              </w:rPr>
              <w:t>$</w:t>
            </w:r>
          </w:p>
        </w:tc>
        <w:tc>
          <w:tcPr>
            <w:tcW w:w="108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38</w:t>
            </w:r>
          </w:p>
        </w:tc>
        <w:tc>
          <w:tcPr>
            <w:tcW w:w="100" w:type="dxa"/>
            <w:vAlign w:val="bottom"/>
            <w:shd w:val="clear" w:color="auto" w:fill="CFF0FC"/>
          </w:tcPr>
          <w:p>
            <w:pPr>
              <w:spacing w:after="0"/>
              <w:rPr>
                <w:sz w:val="18"/>
                <w:szCs w:val="18"/>
                <w:color w:val="auto"/>
              </w:rPr>
            </w:pPr>
          </w:p>
        </w:tc>
        <w:tc>
          <w:tcPr>
            <w:tcW w:w="120" w:type="dxa"/>
            <w:vAlign w:val="bottom"/>
          </w:tcPr>
          <w:p>
            <w:pPr>
              <w:spacing w:after="0"/>
              <w:rPr>
                <w:sz w:val="18"/>
                <w:szCs w:val="18"/>
                <w:color w:val="auto"/>
              </w:rPr>
            </w:pPr>
          </w:p>
        </w:tc>
      </w:tr>
      <w:tr>
        <w:trPr>
          <w:trHeight w:val="215"/>
        </w:trPr>
        <w:tc>
          <w:tcPr>
            <w:tcW w:w="4620" w:type="dxa"/>
            <w:vAlign w:val="bottom"/>
          </w:tcPr>
          <w:p>
            <w:pPr>
              <w:ind w:left="20"/>
              <w:spacing w:after="0" w:line="215" w:lineRule="exact"/>
              <w:rPr>
                <w:sz w:val="20"/>
                <w:szCs w:val="20"/>
                <w:color w:val="auto"/>
              </w:rPr>
            </w:pPr>
            <w:r>
              <w:rPr>
                <w:rFonts w:ascii="Calibri" w:cs="Calibri" w:eastAsia="Calibri" w:hAnsi="Calibri"/>
                <w:sz w:val="18"/>
                <w:szCs w:val="18"/>
                <w:color w:val="auto"/>
              </w:rPr>
              <w:t>Cash payments received, net of revenue recognized</w:t>
            </w:r>
          </w:p>
        </w:tc>
        <w:tc>
          <w:tcPr>
            <w:tcW w:w="1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24</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jc w:val="right"/>
              <w:spacing w:after="0" w:line="215" w:lineRule="exact"/>
              <w:rPr>
                <w:sz w:val="20"/>
                <w:szCs w:val="20"/>
                <w:color w:val="auto"/>
              </w:rPr>
            </w:pPr>
            <w:r>
              <w:rPr>
                <w:rFonts w:ascii="Calibri" w:cs="Calibri" w:eastAsia="Calibri" w:hAnsi="Calibri"/>
                <w:sz w:val="18"/>
                <w:szCs w:val="18"/>
                <w:color w:val="auto"/>
              </w:rPr>
              <w:t>39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585"/>
        </w:trPr>
        <w:tc>
          <w:tcPr>
            <w:tcW w:w="4620" w:type="dxa"/>
            <w:vAlign w:val="bottom"/>
          </w:tcPr>
          <w:p>
            <w:pPr>
              <w:spacing w:after="0"/>
              <w:rPr>
                <w:sz w:val="24"/>
                <w:szCs w:val="24"/>
                <w:color w:val="auto"/>
              </w:rPr>
            </w:pPr>
          </w:p>
        </w:tc>
        <w:tc>
          <w:tcPr>
            <w:tcW w:w="1940" w:type="dxa"/>
            <w:vAlign w:val="bottom"/>
          </w:tcPr>
          <w:p>
            <w:pPr>
              <w:jc w:val="right"/>
              <w:ind w:right="750"/>
              <w:spacing w:after="0"/>
              <w:rPr>
                <w:sz w:val="20"/>
                <w:szCs w:val="20"/>
                <w:color w:val="auto"/>
              </w:rPr>
            </w:pPr>
            <w:r>
              <w:rPr>
                <w:rFonts w:ascii="Calibri" w:cs="Calibri" w:eastAsia="Calibri" w:hAnsi="Calibri"/>
                <w:sz w:val="18"/>
                <w:szCs w:val="18"/>
                <w:color w:val="auto"/>
              </w:rPr>
              <w:t>86</w:t>
            </w: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530"/>
        </w:trPr>
        <w:tc>
          <w:tcPr>
            <w:tcW w:w="462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-1713865</wp:posOffset>
            </wp:positionV>
            <wp:extent cx="6858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-1696720</wp:posOffset>
            </wp:positionV>
            <wp:extent cx="6858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-1713865</wp:posOffset>
            </wp:positionV>
            <wp:extent cx="6858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-1696720</wp:posOffset>
            </wp:positionV>
            <wp:extent cx="6858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86" w:name="page87"/>
    <w:bookmarkEnd w:id="86"/>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NOTE 15: OTHER OPERATING (INCOME) EXPENSE, NET</w:t>
      </w:r>
    </w:p>
    <w:p>
      <w:pPr>
        <w:spacing w:after="0" w:line="200" w:lineRule="exact"/>
        <w:rPr>
          <w:sz w:val="20"/>
          <w:szCs w:val="20"/>
          <w:color w:val="auto"/>
        </w:rPr>
      </w:pPr>
    </w:p>
    <w:p>
      <w:pPr>
        <w:spacing w:after="0" w:line="312" w:lineRule="exact"/>
        <w:rPr>
          <w:sz w:val="20"/>
          <w:szCs w:val="20"/>
          <w:color w:val="auto"/>
        </w:rPr>
      </w:pPr>
    </w:p>
    <w:p>
      <w:pPr>
        <w:ind w:left="20"/>
        <w:spacing w:after="0"/>
        <w:rPr>
          <w:sz w:val="20"/>
          <w:szCs w:val="20"/>
          <w:color w:val="auto"/>
        </w:rPr>
      </w:pPr>
      <w:r>
        <w:rPr>
          <w:rFonts w:ascii="Calibri" w:cs="Calibri" w:eastAsia="Calibri" w:hAnsi="Calibri"/>
          <w:sz w:val="14"/>
          <w:szCs w:val="14"/>
          <w:color w:val="auto"/>
        </w:rPr>
        <w:t>(in millions)</w:t>
      </w:r>
    </w:p>
    <w:p>
      <w:pPr>
        <w:ind w:left="20"/>
        <w:spacing w:after="0" w:line="184" w:lineRule="auto"/>
        <w:rPr>
          <w:sz w:val="20"/>
          <w:szCs w:val="20"/>
          <w:color w:val="auto"/>
        </w:rPr>
      </w:pPr>
      <w:r>
        <w:rPr>
          <w:rFonts w:ascii="Calibri" w:cs="Calibri" w:eastAsia="Calibri" w:hAnsi="Calibri"/>
          <w:sz w:val="17"/>
          <w:szCs w:val="17"/>
          <w:color w:val="auto"/>
        </w:rPr>
        <w:t xml:space="preserve">Gain on sale of assets </w:t>
      </w:r>
      <w:r>
        <w:rPr>
          <w:rFonts w:ascii="Calibri" w:cs="Calibri" w:eastAsia="Calibri" w:hAnsi="Calibri"/>
          <w:sz w:val="23"/>
          <w:szCs w:val="23"/>
          <w:color w:val="auto"/>
          <w:vertAlign w:val="superscript"/>
        </w:rPr>
        <w:t>(1)</w:t>
      </w:r>
    </w:p>
    <w:p>
      <w:pPr>
        <w:ind w:left="20"/>
        <w:spacing w:after="0" w:line="207" w:lineRule="auto"/>
        <w:rPr>
          <w:sz w:val="20"/>
          <w:szCs w:val="20"/>
          <w:color w:val="auto"/>
        </w:rPr>
      </w:pPr>
      <w:r>
        <w:rPr>
          <w:rFonts w:ascii="Calibri" w:cs="Calibri" w:eastAsia="Calibri" w:hAnsi="Calibri"/>
          <w:sz w:val="18"/>
          <w:szCs w:val="18"/>
          <w:color w:val="auto"/>
        </w:rPr>
        <w:t xml:space="preserve">Asset impairments </w:t>
      </w:r>
      <w:r>
        <w:rPr>
          <w:rFonts w:ascii="Calibri" w:cs="Calibri" w:eastAsia="Calibri" w:hAnsi="Calibri"/>
          <w:sz w:val="24"/>
          <w:szCs w:val="24"/>
          <w:color w:val="auto"/>
          <w:vertAlign w:val="superscript"/>
        </w:rPr>
        <w:t>(2) (3) (4)</w:t>
      </w:r>
    </w:p>
    <w:p>
      <w:pPr>
        <w:ind w:left="20"/>
        <w:spacing w:after="0" w:line="196" w:lineRule="auto"/>
        <w:rPr>
          <w:sz w:val="20"/>
          <w:szCs w:val="20"/>
          <w:color w:val="auto"/>
        </w:rPr>
      </w:pPr>
      <w:r>
        <w:rPr>
          <w:rFonts w:ascii="Calibri" w:cs="Calibri" w:eastAsia="Calibri" w:hAnsi="Calibri"/>
          <w:sz w:val="18"/>
          <w:szCs w:val="18"/>
          <w:color w:val="auto"/>
        </w:rPr>
        <w:t>Legal setlements</w:t>
      </w:r>
    </w:p>
    <w:p>
      <w:pPr>
        <w:ind w:left="20"/>
        <w:spacing w:after="0" w:line="235" w:lineRule="auto"/>
        <w:rPr>
          <w:sz w:val="20"/>
          <w:szCs w:val="20"/>
          <w:color w:val="auto"/>
        </w:rPr>
      </w:pPr>
      <w:r>
        <w:rPr>
          <w:rFonts w:ascii="Calibri" w:cs="Calibri" w:eastAsia="Calibri" w:hAnsi="Calibri"/>
          <w:sz w:val="18"/>
          <w:szCs w:val="18"/>
          <w:color w:val="auto"/>
        </w:rPr>
        <w:t>Other</w:t>
      </w:r>
    </w:p>
    <w:p>
      <w:pPr>
        <w:spacing w:after="0" w:line="11"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300"/>
        <w:spacing w:after="0"/>
        <w:rPr>
          <w:sz w:val="20"/>
          <w:szCs w:val="20"/>
          <w:color w:val="auto"/>
        </w:rPr>
      </w:pPr>
      <w:r>
        <w:rPr>
          <w:rFonts w:ascii="Calibri" w:cs="Calibri" w:eastAsia="Calibri" w:hAnsi="Calibri"/>
          <w:sz w:val="18"/>
          <w:szCs w:val="18"/>
          <w:b w:val="1"/>
          <w:bCs w:val="1"/>
          <w:color w:val="auto"/>
        </w:rPr>
        <w:t>Year Ended December 31,</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Calibri" w:cs="Calibri" w:eastAsia="Calibri" w:hAnsi="Calibri"/>
                <w:sz w:val="18"/>
                <w:szCs w:val="18"/>
                <w:b w:val="1"/>
                <w:bCs w:val="1"/>
                <w:color w:val="auto"/>
              </w:rPr>
              <w:t>2024</w:t>
            </w:r>
          </w:p>
        </w:tc>
        <w:tc>
          <w:tcPr>
            <w:tcW w:w="26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70"/>
              <w:spacing w:after="0"/>
              <w:rPr>
                <w:sz w:val="20"/>
                <w:szCs w:val="20"/>
                <w:color w:val="auto"/>
              </w:rPr>
            </w:pPr>
            <w:r>
              <w:rPr>
                <w:rFonts w:ascii="Calibri" w:cs="Calibri" w:eastAsia="Calibri" w:hAnsi="Calibri"/>
                <w:sz w:val="18"/>
                <w:szCs w:val="18"/>
                <w:b w:val="1"/>
                <w:bCs w:val="1"/>
                <w:color w:val="auto"/>
              </w:rPr>
              <w:t>2023</w:t>
            </w:r>
          </w:p>
        </w:tc>
        <w:tc>
          <w:tcPr>
            <w:tcW w:w="26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Calibri" w:cs="Calibri" w:eastAsia="Calibri" w:hAnsi="Calibri"/>
                <w:sz w:val="18"/>
                <w:szCs w:val="18"/>
                <w:b w:val="1"/>
                <w:bCs w:val="1"/>
                <w:color w:val="auto"/>
              </w:rPr>
              <w:t>2022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300" w:type="dxa"/>
            <w:vAlign w:val="bottom"/>
          </w:tcPr>
          <w:p>
            <w:pPr>
              <w:jc w:val="right"/>
              <w:ind w:right="90"/>
              <w:spacing w:after="0" w:line="188" w:lineRule="exact"/>
              <w:rPr>
                <w:sz w:val="20"/>
                <w:szCs w:val="20"/>
                <w:color w:val="auto"/>
              </w:rPr>
            </w:pPr>
            <w:r>
              <w:rPr>
                <w:rFonts w:ascii="Calibri" w:cs="Calibri" w:eastAsia="Calibri" w:hAnsi="Calibri"/>
                <w:sz w:val="18"/>
                <w:szCs w:val="18"/>
                <w:color w:val="auto"/>
              </w:rPr>
              <w:t>$</w:t>
            </w:r>
          </w:p>
        </w:tc>
        <w:tc>
          <w:tcPr>
            <w:tcW w:w="1020" w:type="dxa"/>
            <w:vAlign w:val="bottom"/>
          </w:tcPr>
          <w:p>
            <w:pPr>
              <w:jc w:val="right"/>
              <w:spacing w:after="0" w:line="188" w:lineRule="exact"/>
              <w:rPr>
                <w:sz w:val="20"/>
                <w:szCs w:val="20"/>
                <w:color w:val="auto"/>
              </w:rPr>
            </w:pPr>
            <w:r>
              <w:rPr>
                <w:rFonts w:ascii="Calibri" w:cs="Calibri" w:eastAsia="Calibri" w:hAnsi="Calibri"/>
                <w:sz w:val="18"/>
                <w:szCs w:val="18"/>
                <w:color w:val="auto"/>
              </w:rPr>
              <w:t>(17</w:t>
            </w:r>
          </w:p>
        </w:tc>
        <w:tc>
          <w:tcPr>
            <w:tcW w:w="260" w:type="dxa"/>
            <w:vAlign w:val="bottom"/>
          </w:tcPr>
          <w:p>
            <w:pPr>
              <w:jc w:val="right"/>
              <w:ind w:right="110"/>
              <w:spacing w:after="0" w:line="188" w:lineRule="exact"/>
              <w:rPr>
                <w:sz w:val="20"/>
                <w:szCs w:val="20"/>
                <w:color w:val="auto"/>
              </w:rPr>
            </w:pPr>
            <w:r>
              <w:rPr>
                <w:rFonts w:ascii="Calibri" w:cs="Calibri" w:eastAsia="Calibri" w:hAnsi="Calibri"/>
                <w:sz w:val="18"/>
                <w:szCs w:val="18"/>
                <w:color w:val="auto"/>
                <w:w w:val="72"/>
              </w:rPr>
              <w:t>)</w:t>
            </w:r>
          </w:p>
        </w:tc>
        <w:tc>
          <w:tcPr>
            <w:tcW w:w="280" w:type="dxa"/>
            <w:vAlign w:val="bottom"/>
          </w:tcPr>
          <w:p>
            <w:pPr>
              <w:jc w:val="right"/>
              <w:ind w:right="90"/>
              <w:spacing w:after="0" w:line="188" w:lineRule="exact"/>
              <w:rPr>
                <w:sz w:val="20"/>
                <w:szCs w:val="20"/>
                <w:color w:val="auto"/>
              </w:rPr>
            </w:pPr>
            <w:r>
              <w:rPr>
                <w:rFonts w:ascii="Calibri" w:cs="Calibri" w:eastAsia="Calibri" w:hAnsi="Calibri"/>
                <w:sz w:val="18"/>
                <w:szCs w:val="18"/>
                <w:color w:val="auto"/>
                <w:w w:val="87"/>
              </w:rPr>
              <w:t>$</w:t>
            </w:r>
          </w:p>
        </w:tc>
        <w:tc>
          <w:tcPr>
            <w:tcW w:w="1020" w:type="dxa"/>
            <w:vAlign w:val="bottom"/>
          </w:tcPr>
          <w:p>
            <w:pPr>
              <w:jc w:val="right"/>
              <w:spacing w:after="0" w:line="188" w:lineRule="exact"/>
              <w:rPr>
                <w:sz w:val="20"/>
                <w:szCs w:val="20"/>
                <w:color w:val="auto"/>
              </w:rPr>
            </w:pPr>
            <w:r>
              <w:rPr>
                <w:rFonts w:ascii="Calibri" w:cs="Calibri" w:eastAsia="Calibri" w:hAnsi="Calibri"/>
                <w:sz w:val="18"/>
                <w:szCs w:val="18"/>
                <w:color w:val="auto"/>
              </w:rPr>
              <w:t>—</w:t>
            </w:r>
          </w:p>
        </w:tc>
        <w:tc>
          <w:tcPr>
            <w:tcW w:w="260" w:type="dxa"/>
            <w:vAlign w:val="bottom"/>
          </w:tcPr>
          <w:p>
            <w:pPr>
              <w:spacing w:after="0"/>
              <w:rPr>
                <w:sz w:val="16"/>
                <w:szCs w:val="16"/>
                <w:color w:val="auto"/>
              </w:rPr>
            </w:pPr>
          </w:p>
        </w:tc>
        <w:tc>
          <w:tcPr>
            <w:tcW w:w="300" w:type="dxa"/>
            <w:vAlign w:val="bottom"/>
          </w:tcPr>
          <w:p>
            <w:pPr>
              <w:jc w:val="right"/>
              <w:ind w:right="110"/>
              <w:spacing w:after="0" w:line="188" w:lineRule="exact"/>
              <w:rPr>
                <w:sz w:val="20"/>
                <w:szCs w:val="20"/>
                <w:color w:val="auto"/>
              </w:rPr>
            </w:pPr>
            <w:r>
              <w:rPr>
                <w:rFonts w:ascii="Calibri" w:cs="Calibri" w:eastAsia="Calibri" w:hAnsi="Calibri"/>
                <w:sz w:val="18"/>
                <w:szCs w:val="18"/>
                <w:color w:val="auto"/>
                <w:w w:val="87"/>
              </w:rPr>
              <w:t>$</w:t>
            </w:r>
          </w:p>
        </w:tc>
        <w:tc>
          <w:tcPr>
            <w:tcW w:w="1020" w:type="dxa"/>
            <w:vAlign w:val="bottom"/>
          </w:tcPr>
          <w:p>
            <w:pPr>
              <w:jc w:val="right"/>
              <w:spacing w:after="0" w:line="188" w:lineRule="exact"/>
              <w:rPr>
                <w:sz w:val="20"/>
                <w:szCs w:val="20"/>
                <w:color w:val="auto"/>
              </w:rPr>
            </w:pPr>
            <w:r>
              <w:rPr>
                <w:rFonts w:ascii="Calibri" w:cs="Calibri" w:eastAsia="Calibri" w:hAnsi="Calibri"/>
                <w:sz w:val="18"/>
                <w:szCs w:val="18"/>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00" w:type="dxa"/>
            <w:vAlign w:val="bottom"/>
          </w:tcPr>
          <w:p>
            <w:pPr>
              <w:spacing w:after="0"/>
              <w:rPr>
                <w:sz w:val="18"/>
                <w:szCs w:val="18"/>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4</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5</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20" w:type="dxa"/>
            <w:vAlign w:val="bottom"/>
          </w:tcPr>
          <w:p>
            <w:pPr>
              <w:jc w:val="right"/>
              <w:spacing w:after="0" w:line="216" w:lineRule="exact"/>
              <w:rPr>
                <w:sz w:val="20"/>
                <w:szCs w:val="20"/>
                <w:color w:val="auto"/>
              </w:rPr>
            </w:pPr>
            <w:r>
              <w:rPr>
                <w:rFonts w:ascii="Calibri" w:cs="Calibri" w:eastAsia="Calibri" w:hAnsi="Calibri"/>
                <w:sz w:val="18"/>
                <w:szCs w:val="18"/>
                <w:color w:val="auto"/>
              </w:rPr>
              <w:t>1</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line="216" w:lineRule="exact"/>
              <w:rPr>
                <w:sz w:val="20"/>
                <w:szCs w:val="20"/>
                <w:color w:val="auto"/>
              </w:rPr>
            </w:pPr>
            <w:r>
              <w:rPr>
                <w:rFonts w:ascii="Calibri" w:cs="Calibri" w:eastAsia="Calibri" w:hAnsi="Calibri"/>
                <w:sz w:val="18"/>
                <w:szCs w:val="18"/>
                <w:color w:val="auto"/>
              </w:rPr>
              <w:t>—</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spacing w:after="0" w:line="216" w:lineRule="exact"/>
              <w:rPr>
                <w:sz w:val="20"/>
                <w:szCs w:val="20"/>
                <w:color w:val="auto"/>
              </w:rPr>
            </w:pPr>
            <w:r>
              <w:rPr>
                <w:rFonts w:ascii="Calibri" w:cs="Calibri" w:eastAsia="Calibri" w:hAnsi="Calibri"/>
                <w:sz w:val="18"/>
                <w:szCs w:val="18"/>
                <w:color w:val="auto"/>
              </w:rPr>
              <w:t>(1 )</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20" w:type="dxa"/>
            <w:vAlign w:val="bottom"/>
          </w:tcPr>
          <w:p>
            <w:pPr>
              <w:jc w:val="right"/>
              <w:spacing w:after="0" w:line="216" w:lineRule="exact"/>
              <w:rPr>
                <w:sz w:val="20"/>
                <w:szCs w:val="20"/>
                <w:color w:val="auto"/>
              </w:rPr>
            </w:pPr>
            <w:r>
              <w:rPr>
                <w:rFonts w:ascii="Calibri" w:cs="Calibri" w:eastAsia="Calibri" w:hAnsi="Calibri"/>
                <w:sz w:val="18"/>
                <w:szCs w:val="18"/>
                <w:color w:val="auto"/>
              </w:rPr>
              <w:t>2</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line="216" w:lineRule="exact"/>
              <w:rPr>
                <w:sz w:val="20"/>
                <w:szCs w:val="20"/>
                <w:color w:val="auto"/>
              </w:rPr>
            </w:pPr>
            <w:r>
              <w:rPr>
                <w:rFonts w:ascii="Calibri" w:cs="Calibri" w:eastAsia="Calibri" w:hAnsi="Calibri"/>
                <w:sz w:val="18"/>
                <w:szCs w:val="18"/>
                <w:color w:val="auto"/>
              </w:rPr>
              <w:t>1</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spacing w:after="0" w:line="216" w:lineRule="exact"/>
              <w:rPr>
                <w:sz w:val="20"/>
                <w:szCs w:val="20"/>
                <w:color w:val="auto"/>
              </w:rPr>
            </w:pPr>
            <w:r>
              <w:rPr>
                <w:rFonts w:ascii="Calibri" w:cs="Calibri" w:eastAsia="Calibri" w:hAnsi="Calibri"/>
                <w:sz w:val="18"/>
                <w:szCs w:val="18"/>
                <w:color w:val="auto"/>
              </w:rPr>
              <w:t>(1 )</w:t>
            </w:r>
          </w:p>
        </w:tc>
        <w:tc>
          <w:tcPr>
            <w:tcW w:w="0" w:type="dxa"/>
            <w:vAlign w:val="bottom"/>
          </w:tcPr>
          <w:p>
            <w:pPr>
              <w:spacing w:after="0"/>
              <w:rPr>
                <w:sz w:val="1"/>
                <w:szCs w:val="1"/>
                <w:color w:val="auto"/>
              </w:rPr>
            </w:pPr>
          </w:p>
        </w:tc>
      </w:tr>
      <w:tr>
        <w:trPr>
          <w:trHeight w:val="23"/>
        </w:trPr>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vMerge w:val="restart"/>
          </w:tcPr>
          <w:p>
            <w:pPr>
              <w:jc w:val="right"/>
              <w:ind w:right="110"/>
              <w:spacing w:after="0"/>
              <w:rPr>
                <w:sz w:val="20"/>
                <w:szCs w:val="20"/>
                <w:color w:val="auto"/>
              </w:rPr>
            </w:pPr>
            <w:r>
              <w:rPr>
                <w:rFonts w:ascii="Calibri" w:cs="Calibri" w:eastAsia="Calibri" w:hAnsi="Calibri"/>
                <w:sz w:val="18"/>
                <w:szCs w:val="18"/>
                <w:color w:val="auto"/>
                <w:w w:val="72"/>
              </w:rPr>
              <w:t>)</w:t>
            </w: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vMerge w:val="restart"/>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vMerge w:val="restart"/>
          </w:tcPr>
          <w:p>
            <w:pPr>
              <w:jc w:val="right"/>
              <w:spacing w:after="0"/>
              <w:rPr>
                <w:sz w:val="20"/>
                <w:szCs w:val="20"/>
                <w:color w:val="auto"/>
              </w:rPr>
            </w:pPr>
            <w:r>
              <w:rPr>
                <w:rFonts w:ascii="Calibri" w:cs="Calibri" w:eastAsia="Calibri" w:hAnsi="Calibri"/>
                <w:sz w:val="18"/>
                <w:szCs w:val="18"/>
                <w:color w:val="auto"/>
                <w:w w:val="72"/>
              </w:rPr>
              <w:t>)</w:t>
            </w:r>
          </w:p>
        </w:tc>
        <w:tc>
          <w:tcPr>
            <w:tcW w:w="0" w:type="dxa"/>
            <w:vAlign w:val="bottom"/>
          </w:tcPr>
          <w:p>
            <w:pPr>
              <w:spacing w:after="0"/>
              <w:rPr>
                <w:sz w:val="1"/>
                <w:szCs w:val="1"/>
                <w:color w:val="auto"/>
              </w:rPr>
            </w:pPr>
          </w:p>
        </w:tc>
      </w:tr>
      <w:tr>
        <w:trPr>
          <w:trHeight w:val="209"/>
        </w:trPr>
        <w:tc>
          <w:tcPr>
            <w:tcW w:w="300" w:type="dxa"/>
            <w:vAlign w:val="bottom"/>
            <w:tcBorders>
              <w:bottom w:val="single" w:sz="8" w:color="auto"/>
            </w:tcBorders>
          </w:tcPr>
          <w:p>
            <w:pPr>
              <w:jc w:val="right"/>
              <w:ind w:right="90"/>
              <w:spacing w:after="0" w:line="209" w:lineRule="exact"/>
              <w:rPr>
                <w:sz w:val="20"/>
                <w:szCs w:val="20"/>
                <w:color w:val="auto"/>
              </w:rPr>
            </w:pPr>
            <w:r>
              <w:rPr>
                <w:rFonts w:ascii="Calibri" w:cs="Calibri" w:eastAsia="Calibri" w:hAnsi="Calibri"/>
                <w:sz w:val="18"/>
                <w:szCs w:val="18"/>
                <w:color w:val="auto"/>
              </w:rPr>
              <w:t>$</w:t>
            </w:r>
          </w:p>
        </w:tc>
        <w:tc>
          <w:tcPr>
            <w:tcW w:w="102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(10</w:t>
            </w:r>
          </w:p>
        </w:tc>
        <w:tc>
          <w:tcPr>
            <w:tcW w:w="260" w:type="dxa"/>
            <w:vAlign w:val="bottom"/>
            <w:vMerge w:val="continue"/>
          </w:tcPr>
          <w:p>
            <w:pPr>
              <w:spacing w:after="0"/>
              <w:rPr>
                <w:sz w:val="18"/>
                <w:szCs w:val="18"/>
                <w:color w:val="auto"/>
              </w:rPr>
            </w:pPr>
          </w:p>
        </w:tc>
        <w:tc>
          <w:tcPr>
            <w:tcW w:w="280" w:type="dxa"/>
            <w:vAlign w:val="bottom"/>
            <w:tcBorders>
              <w:bottom w:val="single" w:sz="8" w:color="auto"/>
            </w:tcBorders>
          </w:tcPr>
          <w:p>
            <w:pPr>
              <w:jc w:val="right"/>
              <w:ind w:right="90"/>
              <w:spacing w:after="0" w:line="209" w:lineRule="exact"/>
              <w:rPr>
                <w:sz w:val="20"/>
                <w:szCs w:val="20"/>
                <w:color w:val="auto"/>
              </w:rPr>
            </w:pPr>
            <w:r>
              <w:rPr>
                <w:rFonts w:ascii="Calibri" w:cs="Calibri" w:eastAsia="Calibri" w:hAnsi="Calibri"/>
                <w:sz w:val="18"/>
                <w:szCs w:val="18"/>
                <w:color w:val="auto"/>
                <w:w w:val="87"/>
              </w:rPr>
              <w:t>$</w:t>
            </w:r>
          </w:p>
        </w:tc>
        <w:tc>
          <w:tcPr>
            <w:tcW w:w="102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6</w:t>
            </w:r>
          </w:p>
        </w:tc>
        <w:tc>
          <w:tcPr>
            <w:tcW w:w="260" w:type="dxa"/>
            <w:vAlign w:val="bottom"/>
            <w:vMerge w:val="continue"/>
          </w:tcPr>
          <w:p>
            <w:pPr>
              <w:spacing w:after="0"/>
              <w:rPr>
                <w:sz w:val="18"/>
                <w:szCs w:val="18"/>
                <w:color w:val="auto"/>
              </w:rPr>
            </w:pPr>
          </w:p>
        </w:tc>
        <w:tc>
          <w:tcPr>
            <w:tcW w:w="300" w:type="dxa"/>
            <w:vAlign w:val="bottom"/>
            <w:tcBorders>
              <w:bottom w:val="single" w:sz="8" w:color="auto"/>
            </w:tcBorders>
          </w:tcPr>
          <w:p>
            <w:pPr>
              <w:jc w:val="right"/>
              <w:ind w:right="110"/>
              <w:spacing w:after="0" w:line="209" w:lineRule="exact"/>
              <w:rPr>
                <w:sz w:val="20"/>
                <w:szCs w:val="20"/>
                <w:color w:val="auto"/>
              </w:rPr>
            </w:pPr>
            <w:r>
              <w:rPr>
                <w:rFonts w:ascii="Calibri" w:cs="Calibri" w:eastAsia="Calibri" w:hAnsi="Calibri"/>
                <w:sz w:val="18"/>
                <w:szCs w:val="18"/>
                <w:color w:val="auto"/>
                <w:w w:val="87"/>
              </w:rPr>
              <w:t>$</w:t>
            </w:r>
          </w:p>
        </w:tc>
        <w:tc>
          <w:tcPr>
            <w:tcW w:w="102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(1</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-4159885</wp:posOffset>
            </wp:positionH>
            <wp:positionV relativeFrom="paragraph">
              <wp:posOffset>-719455</wp:posOffset>
            </wp:positionV>
            <wp:extent cx="7054850" cy="13716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054850" cy="13716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-445135</wp:posOffset>
            </wp:positionV>
            <wp:extent cx="7054850" cy="13716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054850" cy="13716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-161925</wp:posOffset>
            </wp:positionV>
            <wp:extent cx="7054850" cy="16256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054850" cy="162560"/>
                    </a:xfrm>
                    <a:prstGeom prst="rect">
                      <a:avLst/>
                    </a:prstGeom>
                    <a:noFill/>
                  </pic:spPr>
                </pic:pic>
              </a:graphicData>
            </a:graphic>
          </wp:anchor>
        </w:drawing>
      </w:r>
    </w:p>
    <w:p>
      <w:pPr>
        <w:spacing w:after="0" w:line="116" w:lineRule="exact"/>
        <w:rPr>
          <w:sz w:val="20"/>
          <w:szCs w:val="20"/>
          <w:color w:val="auto"/>
        </w:rPr>
      </w:pPr>
    </w:p>
    <w:p>
      <w:pPr>
        <w:sectPr>
          <w:pgSz w:w="11900" w:h="16838" w:orient="portrait"/>
          <w:cols w:equalWidth="0" w:num="2">
            <w:col w:w="5840" w:space="720"/>
            <w:col w:w="4640"/>
          </w:cols>
          <w:pgMar w:left="320" w:top="112" w:right="379" w:bottom="1440" w:gutter="0" w:footer="0" w:header="0"/>
        </w:sectPr>
      </w:pPr>
    </w:p>
    <w:p>
      <w:pPr>
        <w:ind w:left="280" w:hanging="272"/>
        <w:spacing w:after="0"/>
        <w:tabs>
          <w:tab w:leader="none" w:pos="280" w:val="left"/>
        </w:tabs>
        <w:numPr>
          <w:ilvl w:val="0"/>
          <w:numId w:val="40"/>
        </w:numPr>
        <w:rPr>
          <w:rFonts w:ascii="Calibri" w:cs="Calibri" w:eastAsia="Calibri" w:hAnsi="Calibri"/>
          <w:sz w:val="24"/>
          <w:szCs w:val="24"/>
          <w:color w:val="auto"/>
          <w:vertAlign w:val="superscript"/>
        </w:rPr>
      </w:pPr>
      <w:r>
        <w:rPr>
          <w:rFonts w:ascii="Calibri" w:cs="Calibri" w:eastAsia="Calibri" w:hAnsi="Calibri"/>
          <w:sz w:val="18"/>
          <w:szCs w:val="18"/>
          <w:color w:val="auto"/>
        </w:rPr>
        <w:t>In the frst quarter of 2024, Kodak sold certain assets in the U.S. and recognized a gain of $17 million.</w:t>
      </w:r>
    </w:p>
    <w:p>
      <w:pPr>
        <w:spacing w:after="0" w:line="37" w:lineRule="exact"/>
        <w:rPr>
          <w:rFonts w:ascii="Calibri" w:cs="Calibri" w:eastAsia="Calibri" w:hAnsi="Calibri"/>
          <w:sz w:val="24"/>
          <w:szCs w:val="24"/>
          <w:color w:val="auto"/>
          <w:vertAlign w:val="superscript"/>
        </w:rPr>
      </w:pPr>
    </w:p>
    <w:p>
      <w:pPr>
        <w:ind w:left="280" w:hanging="272"/>
        <w:spacing w:after="0" w:line="200" w:lineRule="auto"/>
        <w:tabs>
          <w:tab w:leader="none" w:pos="280" w:val="left"/>
        </w:tabs>
        <w:numPr>
          <w:ilvl w:val="0"/>
          <w:numId w:val="40"/>
        </w:numPr>
        <w:rPr>
          <w:rFonts w:ascii="Calibri" w:cs="Calibri" w:eastAsia="Calibri" w:hAnsi="Calibri"/>
          <w:sz w:val="24"/>
          <w:szCs w:val="24"/>
          <w:color w:val="auto"/>
          <w:vertAlign w:val="superscript"/>
        </w:rPr>
      </w:pPr>
      <w:r>
        <w:rPr>
          <w:rFonts w:ascii="Calibri" w:cs="Calibri" w:eastAsia="Calibri" w:hAnsi="Calibri"/>
          <w:sz w:val="18"/>
          <w:szCs w:val="18"/>
          <w:color w:val="auto"/>
        </w:rPr>
        <w:t>In the fourth quarter of 2024, Kodak recorded a long-lived asset impairment charge of $4 million related to the Light Blocking business, within the Advanced Materials and Chemicals segment, as a result of lower forecasted cash fows as the business contnues to explore strategic alternatves in order to commercialize this technology. The fair value of Light Blocking was estmated using a discounted cash fow method (Level 3).</w:t>
      </w:r>
    </w:p>
    <w:p>
      <w:pPr>
        <w:spacing w:after="0" w:line="1" w:lineRule="exact"/>
        <w:rPr>
          <w:rFonts w:ascii="Calibri" w:cs="Calibri" w:eastAsia="Calibri" w:hAnsi="Calibri"/>
          <w:sz w:val="24"/>
          <w:szCs w:val="24"/>
          <w:color w:val="auto"/>
          <w:vertAlign w:val="superscript"/>
        </w:rPr>
      </w:pPr>
    </w:p>
    <w:p>
      <w:pPr>
        <w:ind w:left="280" w:right="180" w:hanging="272"/>
        <w:spacing w:after="0" w:line="211" w:lineRule="auto"/>
        <w:tabs>
          <w:tab w:leader="none" w:pos="280" w:val="left"/>
        </w:tabs>
        <w:numPr>
          <w:ilvl w:val="0"/>
          <w:numId w:val="40"/>
        </w:numPr>
        <w:rPr>
          <w:rFonts w:ascii="Calibri" w:cs="Calibri" w:eastAsia="Calibri" w:hAnsi="Calibri"/>
          <w:sz w:val="24"/>
          <w:szCs w:val="24"/>
          <w:color w:val="auto"/>
          <w:vertAlign w:val="superscript"/>
        </w:rPr>
      </w:pPr>
      <w:r>
        <w:rPr>
          <w:rFonts w:ascii="Calibri" w:cs="Calibri" w:eastAsia="Calibri" w:hAnsi="Calibri"/>
          <w:sz w:val="18"/>
          <w:szCs w:val="18"/>
          <w:color w:val="auto"/>
        </w:rPr>
        <w:t>In the fourth quarter of 2023, Kodak recorded a long-lived asset impairment charge of $4 million related to the EPS business, within the Print segment, due to the contnued impacts of the decision to cease manufacturing of the EPS equipment products. The fair value of EPS was estmated using a discounted cash fow method (Level 3).</w:t>
      </w:r>
    </w:p>
    <w:p>
      <w:pPr>
        <w:spacing w:after="0" w:line="4" w:lineRule="exact"/>
        <w:rPr>
          <w:rFonts w:ascii="Calibri" w:cs="Calibri" w:eastAsia="Calibri" w:hAnsi="Calibri"/>
          <w:sz w:val="24"/>
          <w:szCs w:val="24"/>
          <w:color w:val="auto"/>
          <w:vertAlign w:val="superscript"/>
        </w:rPr>
      </w:pPr>
    </w:p>
    <w:p>
      <w:pPr>
        <w:ind w:left="280" w:hanging="272"/>
        <w:spacing w:after="0" w:line="201" w:lineRule="auto"/>
        <w:tabs>
          <w:tab w:leader="none" w:pos="280" w:val="left"/>
        </w:tabs>
        <w:numPr>
          <w:ilvl w:val="0"/>
          <w:numId w:val="40"/>
        </w:numPr>
        <w:rPr>
          <w:rFonts w:ascii="Calibri" w:cs="Calibri" w:eastAsia="Calibri" w:hAnsi="Calibri"/>
          <w:sz w:val="24"/>
          <w:szCs w:val="24"/>
          <w:color w:val="auto"/>
          <w:vertAlign w:val="superscript"/>
        </w:rPr>
      </w:pPr>
      <w:r>
        <w:rPr>
          <w:rFonts w:ascii="Calibri" w:cs="Calibri" w:eastAsia="Calibri" w:hAnsi="Calibri"/>
          <w:sz w:val="18"/>
          <w:szCs w:val="18"/>
          <w:color w:val="auto"/>
        </w:rPr>
        <w:t>In the fourth quarter of 2022, Kodak recorded an impairment charge of $1 million related to the Kodak trade name. Refer to Note 5, "Goodwill and Other Intangible Assets."</w:t>
      </w:r>
    </w:p>
    <w:p>
      <w:pPr>
        <w:spacing w:after="0" w:line="18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16: OTHER (INCOME) CHARGES, NET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20" w:type="dxa"/>
            <w:vAlign w:val="bottom"/>
            <w:gridSpan w:val="6"/>
          </w:tcPr>
          <w:p>
            <w:pPr>
              <w:jc w:val="right"/>
              <w:ind w:right="130"/>
              <w:spacing w:after="0"/>
              <w:rPr>
                <w:sz w:val="20"/>
                <w:szCs w:val="20"/>
                <w:color w:val="auto"/>
              </w:rPr>
            </w:pPr>
            <w:r>
              <w:rPr>
                <w:rFonts w:ascii="Calibri" w:cs="Calibri" w:eastAsia="Calibri" w:hAnsi="Calibri"/>
                <w:sz w:val="18"/>
                <w:szCs w:val="18"/>
                <w:b w:val="1"/>
                <w:bCs w:val="1"/>
                <w:color w:val="auto"/>
              </w:rPr>
              <w:t>Year Ended December 31,</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
        </w:trPr>
        <w:tc>
          <w:tcPr>
            <w:tcW w:w="67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09"/>
        </w:trPr>
        <w:tc>
          <w:tcPr>
            <w:tcW w:w="6720" w:type="dxa"/>
            <w:vAlign w:val="bottom"/>
          </w:tcPr>
          <w:p>
            <w:pPr>
              <w:ind w:left="20"/>
              <w:spacing w:after="0"/>
              <w:rPr>
                <w:sz w:val="20"/>
                <w:szCs w:val="20"/>
                <w:color w:val="auto"/>
              </w:rPr>
            </w:pPr>
            <w:r>
              <w:rPr>
                <w:rFonts w:ascii="Calibri" w:cs="Calibri" w:eastAsia="Calibri" w:hAnsi="Calibri"/>
                <w:sz w:val="14"/>
                <w:szCs w:val="14"/>
                <w:color w:val="auto"/>
              </w:rPr>
              <w:t>(in millions)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0"/>
              <w:spacing w:after="0" w:line="209" w:lineRule="exact"/>
              <w:rPr>
                <w:sz w:val="20"/>
                <w:szCs w:val="20"/>
                <w:color w:val="auto"/>
              </w:rPr>
            </w:pPr>
            <w:r>
              <w:rPr>
                <w:rFonts w:ascii="Calibri" w:cs="Calibri" w:eastAsia="Calibri" w:hAnsi="Calibri"/>
                <w:sz w:val="18"/>
                <w:szCs w:val="18"/>
                <w:b w:val="1"/>
                <w:bCs w:val="1"/>
                <w:color w:val="auto"/>
              </w:rPr>
              <w:t>2024</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line="209" w:lineRule="exact"/>
              <w:rPr>
                <w:sz w:val="20"/>
                <w:szCs w:val="20"/>
                <w:color w:val="auto"/>
              </w:rPr>
            </w:pPr>
            <w:r>
              <w:rPr>
                <w:rFonts w:ascii="Calibri" w:cs="Calibri" w:eastAsia="Calibri" w:hAnsi="Calibri"/>
                <w:sz w:val="18"/>
                <w:szCs w:val="18"/>
                <w:b w:val="1"/>
                <w:bCs w:val="1"/>
                <w:color w:val="auto"/>
              </w:rPr>
              <w:t>2023</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0"/>
              <w:spacing w:after="0" w:line="209" w:lineRule="exact"/>
              <w:rPr>
                <w:sz w:val="20"/>
                <w:szCs w:val="20"/>
                <w:color w:val="auto"/>
              </w:rPr>
            </w:pPr>
            <w:r>
              <w:rPr>
                <w:rFonts w:ascii="Calibri" w:cs="Calibri" w:eastAsia="Calibri" w:hAnsi="Calibri"/>
                <w:sz w:val="18"/>
                <w:szCs w:val="18"/>
                <w:b w:val="1"/>
                <w:bCs w:val="1"/>
                <w:color w:val="auto"/>
              </w:rPr>
              <w:t>2022</w:t>
            </w:r>
          </w:p>
        </w:tc>
        <w:tc>
          <w:tcPr>
            <w:tcW w:w="120" w:type="dxa"/>
            <w:vAlign w:val="bottom"/>
          </w:tcPr>
          <w:p>
            <w:pPr>
              <w:spacing w:after="0"/>
              <w:rPr>
                <w:sz w:val="18"/>
                <w:szCs w:val="18"/>
                <w:color w:val="auto"/>
              </w:rPr>
            </w:pPr>
          </w:p>
        </w:tc>
      </w:tr>
      <w:tr>
        <w:trPr>
          <w:trHeight w:val="210"/>
        </w:trPr>
        <w:tc>
          <w:tcPr>
            <w:tcW w:w="672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color w:val="auto"/>
              </w:rPr>
              <w:t>Interest income</w:t>
            </w:r>
          </w:p>
        </w:tc>
        <w:tc>
          <w:tcPr>
            <w:tcW w:w="280" w:type="dxa"/>
            <w:vAlign w:val="bottom"/>
            <w:shd w:val="clear" w:color="auto" w:fill="CFF0FC"/>
          </w:tcPr>
          <w:p>
            <w:pPr>
              <w:jc w:val="right"/>
              <w:ind w:right="90"/>
              <w:spacing w:after="0" w:line="210" w:lineRule="exact"/>
              <w:rPr>
                <w:sz w:val="20"/>
                <w:szCs w:val="20"/>
                <w:color w:val="auto"/>
              </w:rPr>
            </w:pPr>
            <w:r>
              <w:rPr>
                <w:rFonts w:ascii="Calibri" w:cs="Calibri" w:eastAsia="Calibri" w:hAnsi="Calibri"/>
                <w:sz w:val="18"/>
                <w:szCs w:val="18"/>
                <w:color w:val="auto"/>
                <w:w w:val="87"/>
              </w:rPr>
              <w:t>$</w:t>
            </w:r>
          </w:p>
        </w:tc>
        <w:tc>
          <w:tcPr>
            <w:tcW w:w="1220" w:type="dxa"/>
            <w:vAlign w:val="bottom"/>
            <w:gridSpan w:val="2"/>
            <w:shd w:val="clear" w:color="auto" w:fill="CFF0FC"/>
          </w:tcPr>
          <w:p>
            <w:pPr>
              <w:jc w:val="right"/>
              <w:ind w:right="180"/>
              <w:spacing w:after="0" w:line="210" w:lineRule="exact"/>
              <w:rPr>
                <w:sz w:val="20"/>
                <w:szCs w:val="20"/>
                <w:color w:val="auto"/>
              </w:rPr>
            </w:pPr>
            <w:r>
              <w:rPr>
                <w:rFonts w:ascii="Calibri" w:cs="Calibri" w:eastAsia="Calibri" w:hAnsi="Calibri"/>
                <w:sz w:val="18"/>
                <w:szCs w:val="18"/>
                <w:color w:val="auto"/>
              </w:rPr>
              <w:t>(12 )</w:t>
            </w:r>
          </w:p>
        </w:tc>
        <w:tc>
          <w:tcPr>
            <w:tcW w:w="280" w:type="dxa"/>
            <w:vAlign w:val="bottom"/>
            <w:shd w:val="clear" w:color="auto" w:fill="CFF0FC"/>
          </w:tcPr>
          <w:p>
            <w:pPr>
              <w:jc w:val="right"/>
              <w:ind w:right="70"/>
              <w:spacing w:after="0" w:line="210" w:lineRule="exact"/>
              <w:rPr>
                <w:sz w:val="20"/>
                <w:szCs w:val="20"/>
                <w:color w:val="auto"/>
              </w:rPr>
            </w:pPr>
            <w:r>
              <w:rPr>
                <w:rFonts w:ascii="Calibri" w:cs="Calibri" w:eastAsia="Calibri" w:hAnsi="Calibri"/>
                <w:sz w:val="18"/>
                <w:szCs w:val="18"/>
                <w:color w:val="auto"/>
              </w:rPr>
              <w:t>$</w:t>
            </w:r>
          </w:p>
        </w:tc>
        <w:tc>
          <w:tcPr>
            <w:tcW w:w="1240" w:type="dxa"/>
            <w:vAlign w:val="bottom"/>
            <w:gridSpan w:val="2"/>
            <w:shd w:val="clear" w:color="auto" w:fill="CFF0FC"/>
          </w:tcPr>
          <w:p>
            <w:pPr>
              <w:jc w:val="right"/>
              <w:ind w:right="180"/>
              <w:spacing w:after="0" w:line="210" w:lineRule="exact"/>
              <w:rPr>
                <w:sz w:val="20"/>
                <w:szCs w:val="20"/>
                <w:color w:val="auto"/>
              </w:rPr>
            </w:pPr>
            <w:r>
              <w:rPr>
                <w:rFonts w:ascii="Calibri" w:cs="Calibri" w:eastAsia="Calibri" w:hAnsi="Calibri"/>
                <w:sz w:val="18"/>
                <w:szCs w:val="18"/>
                <w:color w:val="auto"/>
              </w:rPr>
              <w:t>(15 )</w:t>
            </w:r>
          </w:p>
        </w:tc>
        <w:tc>
          <w:tcPr>
            <w:tcW w:w="280" w:type="dxa"/>
            <w:vAlign w:val="bottom"/>
            <w:shd w:val="clear" w:color="auto" w:fill="CFF0FC"/>
          </w:tcPr>
          <w:p>
            <w:pPr>
              <w:jc w:val="right"/>
              <w:ind w:right="90"/>
              <w:spacing w:after="0" w:line="210" w:lineRule="exact"/>
              <w:rPr>
                <w:sz w:val="20"/>
                <w:szCs w:val="20"/>
                <w:color w:val="auto"/>
              </w:rPr>
            </w:pPr>
            <w:r>
              <w:rPr>
                <w:rFonts w:ascii="Calibri" w:cs="Calibri" w:eastAsia="Calibri" w:hAnsi="Calibri"/>
                <w:sz w:val="18"/>
                <w:szCs w:val="18"/>
                <w:color w:val="auto"/>
                <w:w w:val="87"/>
              </w:rPr>
              <w:t>$</w:t>
            </w:r>
          </w:p>
        </w:tc>
        <w:tc>
          <w:tcPr>
            <w:tcW w:w="1100" w:type="dxa"/>
            <w:vAlign w:val="bottom"/>
            <w:gridSpan w:val="2"/>
            <w:shd w:val="clear" w:color="auto" w:fill="CFF0FC"/>
          </w:tcPr>
          <w:p>
            <w:pPr>
              <w:jc w:val="right"/>
              <w:ind w:right="60"/>
              <w:spacing w:after="0" w:line="210" w:lineRule="exact"/>
              <w:rPr>
                <w:sz w:val="20"/>
                <w:szCs w:val="20"/>
                <w:color w:val="auto"/>
              </w:rPr>
            </w:pPr>
            <w:r>
              <w:rPr>
                <w:rFonts w:ascii="Calibri" w:cs="Calibri" w:eastAsia="Calibri" w:hAnsi="Calibri"/>
                <w:sz w:val="18"/>
                <w:szCs w:val="18"/>
                <w:color w:val="auto"/>
              </w:rPr>
              <w:t>(1 )</w:t>
            </w:r>
          </w:p>
        </w:tc>
      </w:tr>
      <w:tr>
        <w:trPr>
          <w:trHeight w:val="215"/>
        </w:trPr>
        <w:tc>
          <w:tcPr>
            <w:tcW w:w="6720" w:type="dxa"/>
            <w:vAlign w:val="bottom"/>
          </w:tcPr>
          <w:p>
            <w:pPr>
              <w:ind w:left="20"/>
              <w:spacing w:after="0" w:line="215" w:lineRule="exact"/>
              <w:rPr>
                <w:sz w:val="20"/>
                <w:szCs w:val="20"/>
                <w:color w:val="auto"/>
              </w:rPr>
            </w:pPr>
            <w:r>
              <w:rPr>
                <w:rFonts w:ascii="Calibri" w:cs="Calibri" w:eastAsia="Calibri" w:hAnsi="Calibri"/>
                <w:sz w:val="18"/>
                <w:szCs w:val="18"/>
                <w:color w:val="auto"/>
              </w:rPr>
              <w:t>Change in fair value of embedded conversion features derivatve</w:t>
            </w:r>
          </w:p>
        </w:tc>
        <w:tc>
          <w:tcPr>
            <w:tcW w:w="280" w:type="dxa"/>
            <w:vAlign w:val="bottom"/>
          </w:tcPr>
          <w:p>
            <w:pPr>
              <w:spacing w:after="0"/>
              <w:rPr>
                <w:sz w:val="18"/>
                <w:szCs w:val="18"/>
                <w:color w:val="auto"/>
              </w:rPr>
            </w:pPr>
          </w:p>
        </w:tc>
        <w:tc>
          <w:tcPr>
            <w:tcW w:w="1220" w:type="dxa"/>
            <w:vAlign w:val="bottom"/>
            <w:gridSpan w:val="2"/>
          </w:tcPr>
          <w:p>
            <w:pPr>
              <w:jc w:val="right"/>
              <w:ind w:right="260"/>
              <w:spacing w:after="0" w:line="215" w:lineRule="exact"/>
              <w:rPr>
                <w:sz w:val="20"/>
                <w:szCs w:val="20"/>
                <w:color w:val="auto"/>
              </w:rPr>
            </w:pPr>
            <w:r>
              <w:rPr>
                <w:rFonts w:ascii="Calibri" w:cs="Calibri" w:eastAsia="Calibri" w:hAnsi="Calibri"/>
                <w:sz w:val="18"/>
                <w:szCs w:val="18"/>
                <w:color w:val="auto"/>
              </w:rPr>
              <w:t>—</w:t>
            </w:r>
          </w:p>
        </w:tc>
        <w:tc>
          <w:tcPr>
            <w:tcW w:w="280" w:type="dxa"/>
            <w:vAlign w:val="bottom"/>
          </w:tcPr>
          <w:p>
            <w:pPr>
              <w:spacing w:after="0"/>
              <w:rPr>
                <w:sz w:val="18"/>
                <w:szCs w:val="18"/>
                <w:color w:val="auto"/>
              </w:rPr>
            </w:pP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2</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0"/>
              <w:spacing w:after="0" w:line="215" w:lineRule="exact"/>
              <w:rPr>
                <w:sz w:val="20"/>
                <w:szCs w:val="20"/>
                <w:color w:val="auto"/>
              </w:rPr>
            </w:pPr>
            <w:r>
              <w:rPr>
                <w:rFonts w:ascii="Calibri" w:cs="Calibri" w:eastAsia="Calibri" w:hAnsi="Calibri"/>
                <w:sz w:val="18"/>
                <w:szCs w:val="18"/>
                <w:color w:val="auto"/>
              </w:rPr>
              <w:t>(3 )</w:t>
            </w:r>
          </w:p>
        </w:tc>
      </w:tr>
      <w:tr>
        <w:trPr>
          <w:trHeight w:val="217"/>
        </w:trPr>
        <w:tc>
          <w:tcPr>
            <w:tcW w:w="672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Loss on foreign exchange transactons</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9</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9</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4</w:t>
            </w:r>
          </w:p>
        </w:tc>
        <w:tc>
          <w:tcPr>
            <w:tcW w:w="120" w:type="dxa"/>
            <w:vAlign w:val="bottom"/>
            <w:shd w:val="clear" w:color="auto" w:fill="CFF0FC"/>
          </w:tcPr>
          <w:p>
            <w:pPr>
              <w:spacing w:after="0"/>
              <w:rPr>
                <w:sz w:val="18"/>
                <w:szCs w:val="18"/>
                <w:color w:val="auto"/>
              </w:rPr>
            </w:pPr>
          </w:p>
        </w:tc>
      </w:tr>
      <w:tr>
        <w:trPr>
          <w:trHeight w:val="215"/>
        </w:trPr>
        <w:tc>
          <w:tcPr>
            <w:tcW w:w="6720" w:type="dxa"/>
            <w:vAlign w:val="bottom"/>
          </w:tcPr>
          <w:p>
            <w:pPr>
              <w:ind w:left="20"/>
              <w:spacing w:after="0" w:line="215" w:lineRule="exact"/>
              <w:rPr>
                <w:sz w:val="20"/>
                <w:szCs w:val="20"/>
                <w:color w:val="auto"/>
              </w:rPr>
            </w:pPr>
            <w:r>
              <w:rPr>
                <w:rFonts w:ascii="Calibri" w:cs="Calibri" w:eastAsia="Calibri" w:hAnsi="Calibri"/>
                <w:sz w:val="18"/>
                <w:szCs w:val="18"/>
                <w:color w:val="auto"/>
              </w:rPr>
              <w:t>Other</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w:t>
            </w:r>
          </w:p>
        </w:tc>
        <w:tc>
          <w:tcPr>
            <w:tcW w:w="120" w:type="dxa"/>
            <w:vAlign w:val="bottom"/>
          </w:tcPr>
          <w:p>
            <w:pPr>
              <w:spacing w:after="0"/>
              <w:rPr>
                <w:sz w:val="18"/>
                <w:szCs w:val="18"/>
                <w:color w:val="auto"/>
              </w:rPr>
            </w:pPr>
          </w:p>
        </w:tc>
      </w:tr>
      <w:tr>
        <w:trPr>
          <w:trHeight w:val="230"/>
        </w:trPr>
        <w:tc>
          <w:tcPr>
            <w:tcW w:w="6720" w:type="dxa"/>
            <w:vAlign w:val="bottom"/>
            <w:shd w:val="clear" w:color="auto" w:fill="CFF0FC"/>
          </w:tcPr>
          <w:p>
            <w:pPr>
              <w:ind w:left="200"/>
              <w:spacing w:after="0" w:line="209" w:lineRule="exact"/>
              <w:rPr>
                <w:sz w:val="20"/>
                <w:szCs w:val="20"/>
                <w:color w:val="auto"/>
              </w:rPr>
            </w:pPr>
            <w:r>
              <w:rPr>
                <w:rFonts w:ascii="Calibri" w:cs="Calibri" w:eastAsia="Calibri" w:hAnsi="Calibri"/>
                <w:sz w:val="18"/>
                <w:szCs w:val="18"/>
                <w:color w:val="auto"/>
              </w:rPr>
              <w:t>Total</w:t>
            </w:r>
          </w:p>
        </w:tc>
        <w:tc>
          <w:tcPr>
            <w:tcW w:w="280" w:type="dxa"/>
            <w:vAlign w:val="bottom"/>
            <w:shd w:val="clear" w:color="auto" w:fill="CFF0FC"/>
          </w:tcPr>
          <w:p>
            <w:pPr>
              <w:jc w:val="right"/>
              <w:ind w:right="90"/>
              <w:spacing w:after="0" w:line="209" w:lineRule="exact"/>
              <w:rPr>
                <w:sz w:val="20"/>
                <w:szCs w:val="20"/>
                <w:color w:val="auto"/>
              </w:rPr>
            </w:pPr>
            <w:r>
              <w:rPr>
                <w:rFonts w:ascii="Calibri" w:cs="Calibri" w:eastAsia="Calibri" w:hAnsi="Calibri"/>
                <w:sz w:val="18"/>
                <w:szCs w:val="18"/>
                <w:color w:val="auto"/>
                <w:w w:val="87"/>
              </w:rPr>
              <w:t>$</w:t>
            </w:r>
          </w:p>
        </w:tc>
        <w:tc>
          <w:tcPr>
            <w:tcW w:w="1220" w:type="dxa"/>
            <w:vAlign w:val="bottom"/>
            <w:gridSpan w:val="2"/>
            <w:shd w:val="clear" w:color="auto" w:fill="CFF0FC"/>
          </w:tcPr>
          <w:p>
            <w:pPr>
              <w:jc w:val="right"/>
              <w:ind w:right="180"/>
              <w:spacing w:after="0" w:line="209" w:lineRule="exact"/>
              <w:rPr>
                <w:sz w:val="20"/>
                <w:szCs w:val="20"/>
                <w:color w:val="auto"/>
              </w:rPr>
            </w:pPr>
            <w:r>
              <w:rPr>
                <w:rFonts w:ascii="Calibri" w:cs="Calibri" w:eastAsia="Calibri" w:hAnsi="Calibri"/>
                <w:sz w:val="18"/>
                <w:szCs w:val="18"/>
                <w:color w:val="auto"/>
              </w:rPr>
              <w:t>(3 )</w:t>
            </w:r>
          </w:p>
        </w:tc>
        <w:tc>
          <w:tcPr>
            <w:tcW w:w="280" w:type="dxa"/>
            <w:vAlign w:val="bottom"/>
            <w:shd w:val="clear" w:color="auto" w:fill="CFF0FC"/>
          </w:tcPr>
          <w:p>
            <w:pPr>
              <w:jc w:val="right"/>
              <w:ind w:right="70"/>
              <w:spacing w:after="0" w:line="209" w:lineRule="exact"/>
              <w:rPr>
                <w:sz w:val="20"/>
                <w:szCs w:val="20"/>
                <w:color w:val="auto"/>
              </w:rPr>
            </w:pPr>
            <w:r>
              <w:rPr>
                <w:rFonts w:ascii="Calibri" w:cs="Calibri" w:eastAsia="Calibri" w:hAnsi="Calibri"/>
                <w:sz w:val="18"/>
                <w:szCs w:val="18"/>
                <w:color w:val="auto"/>
              </w:rPr>
              <w:t>$</w:t>
            </w:r>
          </w:p>
        </w:tc>
        <w:tc>
          <w:tcPr>
            <w:tcW w:w="1240" w:type="dxa"/>
            <w:vAlign w:val="bottom"/>
            <w:gridSpan w:val="2"/>
            <w:shd w:val="clear" w:color="auto" w:fill="CFF0FC"/>
          </w:tcPr>
          <w:p>
            <w:pPr>
              <w:jc w:val="right"/>
              <w:ind w:right="180"/>
              <w:spacing w:after="0" w:line="209" w:lineRule="exact"/>
              <w:rPr>
                <w:sz w:val="20"/>
                <w:szCs w:val="20"/>
                <w:color w:val="auto"/>
              </w:rPr>
            </w:pPr>
            <w:r>
              <w:rPr>
                <w:rFonts w:ascii="Calibri" w:cs="Calibri" w:eastAsia="Calibri" w:hAnsi="Calibri"/>
                <w:sz w:val="18"/>
                <w:szCs w:val="18"/>
                <w:color w:val="auto"/>
              </w:rPr>
              <w:t>(1 )</w:t>
            </w:r>
          </w:p>
        </w:tc>
        <w:tc>
          <w:tcPr>
            <w:tcW w:w="280" w:type="dxa"/>
            <w:vAlign w:val="bottom"/>
            <w:shd w:val="clear" w:color="auto" w:fill="CFF0FC"/>
          </w:tcPr>
          <w:p>
            <w:pPr>
              <w:jc w:val="right"/>
              <w:ind w:right="90"/>
              <w:spacing w:after="0" w:line="209" w:lineRule="exact"/>
              <w:rPr>
                <w:sz w:val="20"/>
                <w:szCs w:val="20"/>
                <w:color w:val="auto"/>
              </w:rPr>
            </w:pPr>
            <w:r>
              <w:rPr>
                <w:rFonts w:ascii="Calibri" w:cs="Calibri" w:eastAsia="Calibri" w:hAnsi="Calibri"/>
                <w:sz w:val="18"/>
                <w:szCs w:val="18"/>
                <w:color w:val="auto"/>
                <w:w w:val="87"/>
              </w:rPr>
              <w:t>$</w:t>
            </w:r>
          </w:p>
        </w:tc>
        <w:tc>
          <w:tcPr>
            <w:tcW w:w="98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1</w:t>
            </w:r>
          </w:p>
        </w:tc>
        <w:tc>
          <w:tcPr>
            <w:tcW w:w="120" w:type="dxa"/>
            <w:vAlign w:val="bottom"/>
            <w:shd w:val="clear" w:color="auto" w:fill="CFF0FC"/>
          </w:tcPr>
          <w:p>
            <w:pPr>
              <w:spacing w:after="0"/>
              <w:rPr>
                <w:sz w:val="19"/>
                <w:szCs w:val="19"/>
                <w:color w:val="auto"/>
              </w:rPr>
            </w:pPr>
          </w:p>
        </w:tc>
      </w:tr>
      <w:tr>
        <w:trPr>
          <w:trHeight w:val="20"/>
        </w:trPr>
        <w:tc>
          <w:tcPr>
            <w:tcW w:w="67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-24765</wp:posOffset>
            </wp:positionV>
            <wp:extent cx="6858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6858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6858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6858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-24765</wp:posOffset>
            </wp:positionV>
            <wp:extent cx="7747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-7620</wp:posOffset>
            </wp:positionV>
            <wp:extent cx="7747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17: INCOME TAXES</w:t>
      </w:r>
    </w:p>
    <w:p>
      <w:pPr>
        <w:spacing w:after="0" w:line="177" w:lineRule="exact"/>
        <w:rPr>
          <w:sz w:val="20"/>
          <w:szCs w:val="20"/>
          <w:color w:val="auto"/>
        </w:rPr>
      </w:pPr>
    </w:p>
    <w:p>
      <w:pPr>
        <w:ind w:right="540"/>
        <w:spacing w:after="0" w:line="235" w:lineRule="auto"/>
        <w:rPr>
          <w:sz w:val="20"/>
          <w:szCs w:val="20"/>
          <w:color w:val="auto"/>
        </w:rPr>
      </w:pPr>
      <w:r>
        <w:rPr>
          <w:rFonts w:ascii="Calibri" w:cs="Calibri" w:eastAsia="Calibri" w:hAnsi="Calibri"/>
          <w:sz w:val="18"/>
          <w:szCs w:val="18"/>
          <w:color w:val="auto"/>
        </w:rPr>
        <w:t>The components of earnings (loss) from contnuing operatons before income taxes and the related provision for U.S. and other income taxes were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140" w:type="dxa"/>
            <w:vAlign w:val="bottom"/>
            <w:gridSpan w:val="6"/>
          </w:tcPr>
          <w:p>
            <w:pPr>
              <w:jc w:val="right"/>
              <w:ind w:right="190"/>
              <w:spacing w:after="0"/>
              <w:rPr>
                <w:sz w:val="20"/>
                <w:szCs w:val="20"/>
                <w:color w:val="auto"/>
              </w:rPr>
            </w:pPr>
            <w:r>
              <w:rPr>
                <w:rFonts w:ascii="Calibri" w:cs="Calibri" w:eastAsia="Calibri" w:hAnsi="Calibri"/>
                <w:sz w:val="18"/>
                <w:szCs w:val="18"/>
                <w:b w:val="1"/>
                <w:bCs w:val="1"/>
                <w:color w:val="auto"/>
              </w:rPr>
              <w:t>Year Ended December 31,</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6560" w:type="dxa"/>
            <w:vAlign w:val="bottom"/>
            <w:vMerge w:val="restart"/>
          </w:tcPr>
          <w:p>
            <w:pPr>
              <w:ind w:left="20"/>
              <w:spacing w:after="0"/>
              <w:rPr>
                <w:sz w:val="20"/>
                <w:szCs w:val="20"/>
                <w:color w:val="auto"/>
              </w:rPr>
            </w:pPr>
            <w:r>
              <w:rPr>
                <w:rFonts w:ascii="Calibri" w:cs="Calibri" w:eastAsia="Calibri" w:hAnsi="Calibri"/>
                <w:sz w:val="18"/>
                <w:szCs w:val="18"/>
                <w:color w:val="auto"/>
              </w:rPr>
              <w:t>(in millions)</w:t>
            </w: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560" w:type="dxa"/>
            <w:vAlign w:val="bottom"/>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line="209" w:lineRule="exact"/>
              <w:rPr>
                <w:sz w:val="20"/>
                <w:szCs w:val="20"/>
                <w:color w:val="auto"/>
              </w:rPr>
            </w:pPr>
            <w:r>
              <w:rPr>
                <w:rFonts w:ascii="Calibri" w:cs="Calibri" w:eastAsia="Calibri" w:hAnsi="Calibri"/>
                <w:sz w:val="18"/>
                <w:szCs w:val="18"/>
                <w:b w:val="1"/>
                <w:bCs w:val="1"/>
                <w:color w:val="auto"/>
              </w:rPr>
              <w:t>2024</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0"/>
              <w:spacing w:after="0" w:line="209" w:lineRule="exact"/>
              <w:rPr>
                <w:sz w:val="20"/>
                <w:szCs w:val="20"/>
                <w:color w:val="auto"/>
              </w:rPr>
            </w:pPr>
            <w:r>
              <w:rPr>
                <w:rFonts w:ascii="Calibri" w:cs="Calibri" w:eastAsia="Calibri" w:hAnsi="Calibri"/>
                <w:sz w:val="18"/>
                <w:szCs w:val="18"/>
                <w:b w:val="1"/>
                <w:bCs w:val="1"/>
                <w:color w:val="auto"/>
              </w:rPr>
              <w:t>2023</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line="209" w:lineRule="exact"/>
              <w:rPr>
                <w:sz w:val="20"/>
                <w:szCs w:val="20"/>
                <w:color w:val="auto"/>
              </w:rPr>
            </w:pPr>
            <w:r>
              <w:rPr>
                <w:rFonts w:ascii="Calibri" w:cs="Calibri" w:eastAsia="Calibri" w:hAnsi="Calibri"/>
                <w:sz w:val="18"/>
                <w:szCs w:val="18"/>
                <w:b w:val="1"/>
                <w:bCs w:val="1"/>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b w:val="1"/>
                <w:bCs w:val="1"/>
                <w:color w:val="auto"/>
              </w:rPr>
              <w:t>Earnings (loss) from contnuing operatons before income taxes:</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60" w:type="dxa"/>
            <w:vAlign w:val="bottom"/>
          </w:tcPr>
          <w:p>
            <w:pPr>
              <w:ind w:left="20"/>
              <w:spacing w:after="0" w:line="215" w:lineRule="exact"/>
              <w:rPr>
                <w:sz w:val="20"/>
                <w:szCs w:val="20"/>
                <w:color w:val="auto"/>
              </w:rPr>
            </w:pPr>
            <w:r>
              <w:rPr>
                <w:rFonts w:ascii="Calibri" w:cs="Calibri" w:eastAsia="Calibri" w:hAnsi="Calibri"/>
                <w:sz w:val="18"/>
                <w:szCs w:val="18"/>
                <w:color w:val="auto"/>
              </w:rPr>
              <w:t>U.S.</w:t>
            </w:r>
          </w:p>
        </w:tc>
        <w:tc>
          <w:tcPr>
            <w:tcW w:w="30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70</w:t>
            </w:r>
          </w:p>
        </w:tc>
        <w:tc>
          <w:tcPr>
            <w:tcW w:w="260" w:type="dxa"/>
            <w:vAlign w:val="bottom"/>
          </w:tcPr>
          <w:p>
            <w:pPr>
              <w:spacing w:after="0"/>
              <w:rPr>
                <w:sz w:val="18"/>
                <w:szCs w:val="18"/>
                <w:color w:val="auto"/>
              </w:rPr>
            </w:pPr>
          </w:p>
        </w:tc>
        <w:tc>
          <w:tcPr>
            <w:tcW w:w="28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w w:val="87"/>
              </w:rPr>
              <w:t>$</w:t>
            </w: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36</w:t>
            </w:r>
          </w:p>
        </w:tc>
        <w:tc>
          <w:tcPr>
            <w:tcW w:w="260" w:type="dxa"/>
            <w:vAlign w:val="bottom"/>
          </w:tcPr>
          <w:p>
            <w:pPr>
              <w:spacing w:after="0"/>
              <w:rPr>
                <w:sz w:val="18"/>
                <w:szCs w:val="18"/>
                <w:color w:val="auto"/>
              </w:rPr>
            </w:pPr>
          </w:p>
        </w:tc>
        <w:tc>
          <w:tcPr>
            <w:tcW w:w="30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12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(2 )</w:t>
            </w:r>
          </w:p>
        </w:tc>
        <w:tc>
          <w:tcPr>
            <w:tcW w:w="0" w:type="dxa"/>
            <w:vAlign w:val="bottom"/>
          </w:tcPr>
          <w:p>
            <w:pPr>
              <w:spacing w:after="0"/>
              <w:rPr>
                <w:sz w:val="1"/>
                <w:szCs w:val="1"/>
                <w:color w:val="auto"/>
              </w:rPr>
            </w:pPr>
          </w:p>
        </w:tc>
      </w:tr>
      <w:tr>
        <w:trPr>
          <w:trHeight w:val="216"/>
        </w:trPr>
        <w:tc>
          <w:tcPr>
            <w:tcW w:w="6560" w:type="dxa"/>
            <w:vAlign w:val="bottom"/>
            <w:tcBorders>
              <w:bottom w:val="single" w:sz="8" w:color="CFF0FC"/>
            </w:tcBorders>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Outside the U.S.</w:t>
            </w: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40</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51</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60" w:type="dxa"/>
            <w:vAlign w:val="bottom"/>
          </w:tcPr>
          <w:p>
            <w:pPr>
              <w:ind w:left="200"/>
              <w:spacing w:after="0" w:line="209" w:lineRule="exact"/>
              <w:rPr>
                <w:sz w:val="20"/>
                <w:szCs w:val="20"/>
                <w:color w:val="auto"/>
              </w:rPr>
            </w:pPr>
            <w:r>
              <w:rPr>
                <w:rFonts w:ascii="Calibri" w:cs="Calibri" w:eastAsia="Calibri" w:hAnsi="Calibri"/>
                <w:sz w:val="18"/>
                <w:szCs w:val="18"/>
                <w:color w:val="auto"/>
              </w:rPr>
              <w:t>Total</w:t>
            </w:r>
          </w:p>
        </w:tc>
        <w:tc>
          <w:tcPr>
            <w:tcW w:w="300" w:type="dxa"/>
            <w:vAlign w:val="bottom"/>
            <w:tcBorders>
              <w:bottom w:val="single" w:sz="8" w:color="auto"/>
            </w:tcBorders>
          </w:tcPr>
          <w:p>
            <w:pPr>
              <w:jc w:val="right"/>
              <w:ind w:right="90"/>
              <w:spacing w:after="0" w:line="209" w:lineRule="exact"/>
              <w:rPr>
                <w:sz w:val="20"/>
                <w:szCs w:val="20"/>
                <w:color w:val="auto"/>
              </w:rPr>
            </w:pPr>
            <w:r>
              <w:rPr>
                <w:rFonts w:ascii="Calibri" w:cs="Calibri" w:eastAsia="Calibri" w:hAnsi="Calibri"/>
                <w:sz w:val="18"/>
                <w:szCs w:val="18"/>
                <w:color w:val="auto"/>
              </w:rPr>
              <w:t>$</w:t>
            </w:r>
          </w:p>
        </w:tc>
        <w:tc>
          <w:tcPr>
            <w:tcW w:w="102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110</w:t>
            </w:r>
          </w:p>
        </w:tc>
        <w:tc>
          <w:tcPr>
            <w:tcW w:w="26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line="209" w:lineRule="exact"/>
              <w:rPr>
                <w:sz w:val="20"/>
                <w:szCs w:val="20"/>
                <w:color w:val="auto"/>
              </w:rPr>
            </w:pPr>
            <w:r>
              <w:rPr>
                <w:rFonts w:ascii="Calibri" w:cs="Calibri" w:eastAsia="Calibri" w:hAnsi="Calibri"/>
                <w:sz w:val="18"/>
                <w:szCs w:val="18"/>
                <w:color w:val="auto"/>
                <w:w w:val="87"/>
              </w:rPr>
              <w:t>$</w:t>
            </w:r>
          </w:p>
        </w:tc>
        <w:tc>
          <w:tcPr>
            <w:tcW w:w="102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87</w:t>
            </w:r>
          </w:p>
        </w:tc>
        <w:tc>
          <w:tcPr>
            <w:tcW w:w="26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line="209" w:lineRule="exact"/>
              <w:rPr>
                <w:sz w:val="20"/>
                <w:szCs w:val="20"/>
                <w:color w:val="auto"/>
              </w:rPr>
            </w:pPr>
            <w:r>
              <w:rPr>
                <w:rFonts w:ascii="Calibri" w:cs="Calibri" w:eastAsia="Calibri" w:hAnsi="Calibri"/>
                <w:sz w:val="18"/>
                <w:szCs w:val="18"/>
                <w:color w:val="auto"/>
                <w:w w:val="87"/>
              </w:rPr>
              <w:t>$</w:t>
            </w:r>
          </w:p>
        </w:tc>
        <w:tc>
          <w:tcPr>
            <w:tcW w:w="102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60" w:type="dxa"/>
            <w:vAlign w:val="bottom"/>
            <w:shd w:val="clear" w:color="auto" w:fill="CFF0FC"/>
          </w:tcPr>
          <w:p>
            <w:pPr>
              <w:ind w:left="20"/>
              <w:spacing w:after="0" w:line="197" w:lineRule="exact"/>
              <w:rPr>
                <w:sz w:val="20"/>
                <w:szCs w:val="20"/>
                <w:color w:val="auto"/>
              </w:rPr>
            </w:pPr>
            <w:r>
              <w:rPr>
                <w:rFonts w:ascii="Calibri" w:cs="Calibri" w:eastAsia="Calibri" w:hAnsi="Calibri"/>
                <w:sz w:val="18"/>
                <w:szCs w:val="18"/>
                <w:b w:val="1"/>
                <w:bCs w:val="1"/>
                <w:color w:val="auto"/>
              </w:rPr>
              <w:t>U.S. income taxes:</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560" w:type="dxa"/>
            <w:vAlign w:val="bottom"/>
          </w:tcPr>
          <w:p>
            <w:pPr>
              <w:ind w:left="200"/>
              <w:spacing w:after="0" w:line="215" w:lineRule="exact"/>
              <w:rPr>
                <w:sz w:val="20"/>
                <w:szCs w:val="20"/>
                <w:color w:val="auto"/>
              </w:rPr>
            </w:pPr>
            <w:r>
              <w:rPr>
                <w:rFonts w:ascii="Calibri" w:cs="Calibri" w:eastAsia="Calibri" w:hAnsi="Calibri"/>
                <w:sz w:val="18"/>
                <w:szCs w:val="18"/>
                <w:color w:val="auto"/>
              </w:rPr>
              <w:t>Deferred beneft</w:t>
            </w:r>
          </w:p>
        </w:tc>
        <w:tc>
          <w:tcPr>
            <w:tcW w:w="30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28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(1 )</w:t>
            </w:r>
          </w:p>
        </w:tc>
        <w:tc>
          <w:tcPr>
            <w:tcW w:w="28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w w:val="87"/>
              </w:rPr>
              <w:t>$</w:t>
            </w:r>
          </w:p>
        </w:tc>
        <w:tc>
          <w:tcPr>
            <w:tcW w:w="128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(1 )</w:t>
            </w:r>
          </w:p>
        </w:tc>
        <w:tc>
          <w:tcPr>
            <w:tcW w:w="30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12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(3 )</w:t>
            </w:r>
          </w:p>
        </w:tc>
        <w:tc>
          <w:tcPr>
            <w:tcW w:w="0" w:type="dxa"/>
            <w:vAlign w:val="bottom"/>
          </w:tcPr>
          <w:p>
            <w:pPr>
              <w:spacing w:after="0"/>
              <w:rPr>
                <w:sz w:val="1"/>
                <w:szCs w:val="1"/>
                <w:color w:val="auto"/>
              </w:rPr>
            </w:pPr>
          </w:p>
        </w:tc>
      </w:tr>
      <w:tr>
        <w:trPr>
          <w:trHeight w:val="217"/>
        </w:trPr>
        <w:tc>
          <w:tcPr>
            <w:tcW w:w="656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b w:val="1"/>
                <w:bCs w:val="1"/>
                <w:color w:val="auto"/>
              </w:rPr>
              <w:t>Income taxes outside the U.S.:</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60" w:type="dxa"/>
            <w:vAlign w:val="bottom"/>
          </w:tcPr>
          <w:p>
            <w:pPr>
              <w:ind w:left="200"/>
              <w:spacing w:after="0" w:line="215" w:lineRule="exact"/>
              <w:rPr>
                <w:sz w:val="20"/>
                <w:szCs w:val="20"/>
                <w:color w:val="auto"/>
              </w:rPr>
            </w:pPr>
            <w:r>
              <w:rPr>
                <w:rFonts w:ascii="Calibri" w:cs="Calibri" w:eastAsia="Calibri" w:hAnsi="Calibri"/>
                <w:sz w:val="18"/>
                <w:szCs w:val="18"/>
                <w:color w:val="auto"/>
              </w:rPr>
              <w:t>Current provision</w:t>
            </w:r>
          </w:p>
        </w:tc>
        <w:tc>
          <w:tcPr>
            <w:tcW w:w="300" w:type="dxa"/>
            <w:vAlign w:val="bottom"/>
          </w:tcPr>
          <w:p>
            <w:pPr>
              <w:spacing w:after="0"/>
              <w:rPr>
                <w:sz w:val="18"/>
                <w:szCs w:val="18"/>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9</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12</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FF0FC"/>
          </w:tcPr>
          <w:p>
            <w:pPr>
              <w:ind w:left="200"/>
              <w:spacing w:after="0" w:line="216" w:lineRule="exact"/>
              <w:rPr>
                <w:sz w:val="20"/>
                <w:szCs w:val="20"/>
                <w:color w:val="auto"/>
              </w:rPr>
            </w:pPr>
            <w:r>
              <w:rPr>
                <w:rFonts w:ascii="Calibri" w:cs="Calibri" w:eastAsia="Calibri" w:hAnsi="Calibri"/>
                <w:sz w:val="18"/>
                <w:szCs w:val="18"/>
                <w:color w:val="auto"/>
              </w:rPr>
              <w:t>Deferred provision</w:t>
            </w: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80"/>
              <w:spacing w:after="0" w:line="216" w:lineRule="exact"/>
              <w:rPr>
                <w:sz w:val="20"/>
                <w:szCs w:val="20"/>
                <w:color w:val="auto"/>
              </w:rPr>
            </w:pPr>
            <w:r>
              <w:rPr>
                <w:rFonts w:ascii="Calibri" w:cs="Calibri" w:eastAsia="Calibri" w:hAnsi="Calibri"/>
                <w:sz w:val="18"/>
                <w:szCs w:val="18"/>
                <w:color w:val="auto"/>
              </w:rPr>
              <w:t>—</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tcBorders>
              <w:top w:val="single" w:sz="8" w:color="CFF0FC"/>
            </w:tcBorders>
          </w:tcPr>
          <w:p>
            <w:pPr>
              <w:ind w:left="200"/>
              <w:spacing w:after="0" w:line="209" w:lineRule="exact"/>
              <w:rPr>
                <w:sz w:val="20"/>
                <w:szCs w:val="20"/>
                <w:color w:val="auto"/>
              </w:rPr>
            </w:pPr>
            <w:r>
              <w:rPr>
                <w:rFonts w:ascii="Calibri" w:cs="Calibri" w:eastAsia="Calibri" w:hAnsi="Calibri"/>
                <w:sz w:val="18"/>
                <w:szCs w:val="18"/>
                <w:color w:val="auto"/>
              </w:rPr>
              <w:t>Total provision</w:t>
            </w:r>
          </w:p>
        </w:tc>
        <w:tc>
          <w:tcPr>
            <w:tcW w:w="300" w:type="dxa"/>
            <w:vAlign w:val="bottom"/>
            <w:tcBorders>
              <w:top w:val="single" w:sz="8" w:color="auto"/>
              <w:bottom w:val="single" w:sz="8" w:color="auto"/>
            </w:tcBorders>
          </w:tcPr>
          <w:p>
            <w:pPr>
              <w:jc w:val="right"/>
              <w:ind w:right="90"/>
              <w:spacing w:after="0" w:line="209" w:lineRule="exact"/>
              <w:rPr>
                <w:sz w:val="20"/>
                <w:szCs w:val="20"/>
                <w:color w:val="auto"/>
              </w:rPr>
            </w:pPr>
            <w:r>
              <w:rPr>
                <w:rFonts w:ascii="Calibri" w:cs="Calibri" w:eastAsia="Calibri" w:hAnsi="Calibri"/>
                <w:sz w:val="18"/>
                <w:szCs w:val="18"/>
                <w:color w:val="auto"/>
              </w:rPr>
              <w:t>$</w:t>
            </w:r>
          </w:p>
        </w:tc>
        <w:tc>
          <w:tcPr>
            <w:tcW w:w="1020" w:type="dxa"/>
            <w:vAlign w:val="bottom"/>
            <w:tcBorders>
              <w:top w:val="single" w:sz="8" w:color="auto"/>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8</w:t>
            </w:r>
          </w:p>
        </w:tc>
        <w:tc>
          <w:tcPr>
            <w:tcW w:w="260" w:type="dxa"/>
            <w:vAlign w:val="bottom"/>
            <w:tcBorders>
              <w:top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line="209" w:lineRule="exact"/>
              <w:rPr>
                <w:sz w:val="20"/>
                <w:szCs w:val="20"/>
                <w:color w:val="auto"/>
              </w:rPr>
            </w:pPr>
            <w:r>
              <w:rPr>
                <w:rFonts w:ascii="Calibri" w:cs="Calibri" w:eastAsia="Calibri" w:hAnsi="Calibri"/>
                <w:sz w:val="18"/>
                <w:szCs w:val="18"/>
                <w:color w:val="auto"/>
                <w:w w:val="87"/>
              </w:rPr>
              <w:t>$</w:t>
            </w:r>
          </w:p>
        </w:tc>
        <w:tc>
          <w:tcPr>
            <w:tcW w:w="1020" w:type="dxa"/>
            <w:vAlign w:val="bottom"/>
            <w:tcBorders>
              <w:top w:val="single" w:sz="8" w:color="auto"/>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12</w:t>
            </w:r>
          </w:p>
        </w:tc>
        <w:tc>
          <w:tcPr>
            <w:tcW w:w="26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line="209" w:lineRule="exact"/>
              <w:rPr>
                <w:sz w:val="20"/>
                <w:szCs w:val="20"/>
                <w:color w:val="auto"/>
              </w:rPr>
            </w:pPr>
            <w:r>
              <w:rPr>
                <w:rFonts w:ascii="Calibri" w:cs="Calibri" w:eastAsia="Calibri" w:hAnsi="Calibri"/>
                <w:sz w:val="18"/>
                <w:szCs w:val="18"/>
                <w:color w:val="auto"/>
                <w:w w:val="87"/>
              </w:rPr>
              <w:t>$</w:t>
            </w:r>
          </w:p>
        </w:tc>
        <w:tc>
          <w:tcPr>
            <w:tcW w:w="1020" w:type="dxa"/>
            <w:vAlign w:val="bottom"/>
            <w:tcBorders>
              <w:top w:val="single" w:sz="8" w:color="auto"/>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5</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-1028065</wp:posOffset>
            </wp:positionV>
            <wp:extent cx="6858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-1028065</wp:posOffset>
            </wp:positionV>
            <wp:extent cx="6858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-1028065</wp:posOffset>
            </wp:positionV>
            <wp:extent cx="6858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-170815</wp:posOffset>
            </wp:positionV>
            <wp:extent cx="6858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-170815</wp:posOffset>
            </wp:positionV>
            <wp:extent cx="6858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-170815</wp:posOffset>
            </wp:positionV>
            <wp:extent cx="6858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type w:val="continuous"/>
        </w:sectPr>
      </w:pPr>
    </w:p>
    <w:bookmarkStart w:id="87" w:name="page88"/>
    <w:bookmarkEnd w:id="87"/>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The diferences between income taxes computed using the U.S. federal income tax rate and the provision for income taxes for contnuing operatons were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140" w:type="dxa"/>
            <w:vAlign w:val="bottom"/>
            <w:gridSpan w:val="6"/>
          </w:tcPr>
          <w:p>
            <w:pPr>
              <w:jc w:val="right"/>
              <w:ind w:right="190"/>
              <w:spacing w:after="0"/>
              <w:rPr>
                <w:sz w:val="20"/>
                <w:szCs w:val="20"/>
                <w:color w:val="auto"/>
              </w:rPr>
            </w:pPr>
            <w:r>
              <w:rPr>
                <w:rFonts w:ascii="Calibri" w:cs="Calibri" w:eastAsia="Calibri" w:hAnsi="Calibri"/>
                <w:sz w:val="18"/>
                <w:szCs w:val="18"/>
                <w:b w:val="1"/>
                <w:bCs w:val="1"/>
                <w:color w:val="auto"/>
              </w:rPr>
              <w:t>Year Ended December 31,</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
        </w:trPr>
        <w:tc>
          <w:tcPr>
            <w:tcW w:w="65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9"/>
        </w:trPr>
        <w:tc>
          <w:tcPr>
            <w:tcW w:w="6560" w:type="dxa"/>
            <w:vAlign w:val="bottom"/>
          </w:tcPr>
          <w:p>
            <w:pPr>
              <w:ind w:left="20"/>
              <w:spacing w:after="0"/>
              <w:rPr>
                <w:sz w:val="20"/>
                <w:szCs w:val="20"/>
                <w:color w:val="auto"/>
              </w:rPr>
            </w:pPr>
            <w:r>
              <w:rPr>
                <w:rFonts w:ascii="Calibri" w:cs="Calibri" w:eastAsia="Calibri" w:hAnsi="Calibri"/>
                <w:sz w:val="14"/>
                <w:szCs w:val="14"/>
                <w:color w:val="auto"/>
              </w:rPr>
              <w:t>(in millions)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line="209" w:lineRule="exact"/>
              <w:rPr>
                <w:sz w:val="20"/>
                <w:szCs w:val="20"/>
                <w:color w:val="auto"/>
              </w:rPr>
            </w:pPr>
            <w:r>
              <w:rPr>
                <w:rFonts w:ascii="Calibri" w:cs="Calibri" w:eastAsia="Calibri" w:hAnsi="Calibri"/>
                <w:sz w:val="18"/>
                <w:szCs w:val="18"/>
                <w:b w:val="1"/>
                <w:bCs w:val="1"/>
                <w:color w:val="auto"/>
              </w:rPr>
              <w:t>2024</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0"/>
              <w:spacing w:after="0" w:line="209" w:lineRule="exact"/>
              <w:rPr>
                <w:sz w:val="20"/>
                <w:szCs w:val="20"/>
                <w:color w:val="auto"/>
              </w:rPr>
            </w:pPr>
            <w:r>
              <w:rPr>
                <w:rFonts w:ascii="Calibri" w:cs="Calibri" w:eastAsia="Calibri" w:hAnsi="Calibri"/>
                <w:sz w:val="18"/>
                <w:szCs w:val="18"/>
                <w:b w:val="1"/>
                <w:bCs w:val="1"/>
                <w:color w:val="auto"/>
              </w:rPr>
              <w:t>2023</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line="209" w:lineRule="exact"/>
              <w:rPr>
                <w:sz w:val="20"/>
                <w:szCs w:val="20"/>
                <w:color w:val="auto"/>
              </w:rPr>
            </w:pPr>
            <w:r>
              <w:rPr>
                <w:rFonts w:ascii="Calibri" w:cs="Calibri" w:eastAsia="Calibri" w:hAnsi="Calibri"/>
                <w:sz w:val="18"/>
                <w:szCs w:val="18"/>
                <w:b w:val="1"/>
                <w:bCs w:val="1"/>
                <w:color w:val="auto"/>
              </w:rPr>
              <w:t>2022</w:t>
            </w:r>
          </w:p>
        </w:tc>
        <w:tc>
          <w:tcPr>
            <w:tcW w:w="100" w:type="dxa"/>
            <w:vAlign w:val="bottom"/>
          </w:tcPr>
          <w:p>
            <w:pPr>
              <w:spacing w:after="0"/>
              <w:rPr>
                <w:sz w:val="18"/>
                <w:szCs w:val="18"/>
                <w:color w:val="auto"/>
              </w:rPr>
            </w:pPr>
          </w:p>
        </w:tc>
      </w:tr>
      <w:tr>
        <w:trPr>
          <w:trHeight w:val="210"/>
        </w:trPr>
        <w:tc>
          <w:tcPr>
            <w:tcW w:w="656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color w:val="auto"/>
              </w:rPr>
              <w:t>Amount computed using the statutory rate</w:t>
            </w:r>
          </w:p>
        </w:tc>
        <w:tc>
          <w:tcPr>
            <w:tcW w:w="300" w:type="dxa"/>
            <w:vAlign w:val="bottom"/>
            <w:shd w:val="clear" w:color="auto" w:fill="CFF0FC"/>
          </w:tcPr>
          <w:p>
            <w:pPr>
              <w:jc w:val="right"/>
              <w:ind w:right="90"/>
              <w:spacing w:after="0" w:line="210" w:lineRule="exact"/>
              <w:rPr>
                <w:sz w:val="20"/>
                <w:szCs w:val="20"/>
                <w:color w:val="auto"/>
              </w:rPr>
            </w:pPr>
            <w:r>
              <w:rPr>
                <w:rFonts w:ascii="Calibri" w:cs="Calibri" w:eastAsia="Calibri" w:hAnsi="Calibri"/>
                <w:sz w:val="18"/>
                <w:szCs w:val="18"/>
                <w:color w:val="auto"/>
              </w:rPr>
              <w:t>$</w:t>
            </w:r>
          </w:p>
        </w:tc>
        <w:tc>
          <w:tcPr>
            <w:tcW w:w="102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23</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line="210" w:lineRule="exact"/>
              <w:rPr>
                <w:sz w:val="20"/>
                <w:szCs w:val="20"/>
                <w:color w:val="auto"/>
              </w:rPr>
            </w:pPr>
            <w:r>
              <w:rPr>
                <w:rFonts w:ascii="Calibri" w:cs="Calibri" w:eastAsia="Calibri" w:hAnsi="Calibri"/>
                <w:sz w:val="18"/>
                <w:szCs w:val="18"/>
                <w:color w:val="auto"/>
                <w:w w:val="87"/>
              </w:rPr>
              <w:t>$</w:t>
            </w:r>
          </w:p>
        </w:tc>
        <w:tc>
          <w:tcPr>
            <w:tcW w:w="102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18</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line="210" w:lineRule="exact"/>
              <w:rPr>
                <w:sz w:val="20"/>
                <w:szCs w:val="20"/>
                <w:color w:val="auto"/>
              </w:rPr>
            </w:pPr>
            <w:r>
              <w:rPr>
                <w:rFonts w:ascii="Calibri" w:cs="Calibri" w:eastAsia="Calibri" w:hAnsi="Calibri"/>
                <w:sz w:val="18"/>
                <w:szCs w:val="18"/>
                <w:color w:val="auto"/>
                <w:w w:val="87"/>
              </w:rPr>
              <w:t>$</w:t>
            </w:r>
          </w:p>
        </w:tc>
        <w:tc>
          <w:tcPr>
            <w:tcW w:w="102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7</w:t>
            </w:r>
          </w:p>
        </w:tc>
        <w:tc>
          <w:tcPr>
            <w:tcW w:w="100" w:type="dxa"/>
            <w:vAlign w:val="bottom"/>
            <w:shd w:val="clear" w:color="auto" w:fill="CFF0FC"/>
          </w:tcPr>
          <w:p>
            <w:pPr>
              <w:spacing w:after="0"/>
              <w:rPr>
                <w:sz w:val="18"/>
                <w:szCs w:val="18"/>
                <w:color w:val="auto"/>
              </w:rPr>
            </w:pPr>
          </w:p>
        </w:tc>
      </w:tr>
      <w:tr>
        <w:trPr>
          <w:trHeight w:val="215"/>
        </w:trPr>
        <w:tc>
          <w:tcPr>
            <w:tcW w:w="6560" w:type="dxa"/>
            <w:vAlign w:val="bottom"/>
          </w:tcPr>
          <w:p>
            <w:pPr>
              <w:ind w:left="20"/>
              <w:spacing w:after="0" w:line="215" w:lineRule="exact"/>
              <w:rPr>
                <w:sz w:val="20"/>
                <w:szCs w:val="20"/>
                <w:color w:val="auto"/>
              </w:rPr>
            </w:pPr>
            <w:r>
              <w:rPr>
                <w:rFonts w:ascii="Calibri" w:cs="Calibri" w:eastAsia="Calibri" w:hAnsi="Calibri"/>
                <w:sz w:val="18"/>
                <w:szCs w:val="18"/>
                <w:b w:val="1"/>
                <w:bCs w:val="1"/>
                <w:color w:val="auto"/>
              </w:rPr>
              <w:t>Increase (reducton) in taxes resultng from:</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6560" w:type="dxa"/>
            <w:vAlign w:val="bottom"/>
            <w:shd w:val="clear" w:color="auto" w:fill="CFF0FC"/>
          </w:tcPr>
          <w:p>
            <w:pPr>
              <w:ind w:left="200"/>
              <w:spacing w:after="0" w:line="216" w:lineRule="exact"/>
              <w:rPr>
                <w:sz w:val="20"/>
                <w:szCs w:val="20"/>
                <w:color w:val="auto"/>
              </w:rPr>
            </w:pPr>
            <w:r>
              <w:rPr>
                <w:rFonts w:ascii="Calibri" w:cs="Calibri" w:eastAsia="Calibri" w:hAnsi="Calibri"/>
                <w:sz w:val="18"/>
                <w:szCs w:val="18"/>
                <w:color w:val="auto"/>
              </w:rPr>
              <w:t>Unremited foreign earnings</w:t>
            </w: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80"/>
              <w:spacing w:after="0" w:line="216" w:lineRule="exact"/>
              <w:rPr>
                <w:sz w:val="20"/>
                <w:szCs w:val="20"/>
                <w:color w:val="auto"/>
              </w:rPr>
            </w:pPr>
            <w:r>
              <w:rPr>
                <w:rFonts w:ascii="Calibri" w:cs="Calibri" w:eastAsia="Calibri" w:hAnsi="Calibri"/>
                <w:sz w:val="18"/>
                <w:szCs w:val="18"/>
                <w:color w:val="auto"/>
              </w:rPr>
              <w:t>—</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line="216" w:lineRule="exact"/>
              <w:rPr>
                <w:sz w:val="20"/>
                <w:szCs w:val="20"/>
                <w:color w:val="auto"/>
              </w:rPr>
            </w:pPr>
            <w:r>
              <w:rPr>
                <w:rFonts w:ascii="Calibri" w:cs="Calibri" w:eastAsia="Calibri" w:hAnsi="Calibri"/>
                <w:sz w:val="18"/>
                <w:szCs w:val="18"/>
                <w:color w:val="auto"/>
              </w:rPr>
              <w:t>(2 )</w:t>
            </w:r>
          </w:p>
        </w:tc>
      </w:tr>
      <w:tr>
        <w:trPr>
          <w:trHeight w:val="215"/>
        </w:trPr>
        <w:tc>
          <w:tcPr>
            <w:tcW w:w="6560" w:type="dxa"/>
            <w:vAlign w:val="bottom"/>
          </w:tcPr>
          <w:p>
            <w:pPr>
              <w:ind w:left="200"/>
              <w:spacing w:after="0" w:line="215" w:lineRule="exact"/>
              <w:rPr>
                <w:sz w:val="20"/>
                <w:szCs w:val="20"/>
                <w:color w:val="auto"/>
              </w:rPr>
            </w:pPr>
            <w:r>
              <w:rPr>
                <w:rFonts w:ascii="Calibri" w:cs="Calibri" w:eastAsia="Calibri" w:hAnsi="Calibri"/>
                <w:sz w:val="18"/>
                <w:szCs w:val="18"/>
                <w:color w:val="auto"/>
              </w:rPr>
              <w:t>Operatons outside the U.S.</w:t>
            </w:r>
          </w:p>
        </w:tc>
        <w:tc>
          <w:tcPr>
            <w:tcW w:w="300" w:type="dxa"/>
            <w:vAlign w:val="bottom"/>
          </w:tcPr>
          <w:p>
            <w:pPr>
              <w:spacing w:after="0"/>
              <w:rPr>
                <w:sz w:val="18"/>
                <w:szCs w:val="18"/>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7</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13</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4</w:t>
            </w:r>
          </w:p>
        </w:tc>
        <w:tc>
          <w:tcPr>
            <w:tcW w:w="100" w:type="dxa"/>
            <w:vAlign w:val="bottom"/>
          </w:tcPr>
          <w:p>
            <w:pPr>
              <w:spacing w:after="0"/>
              <w:rPr>
                <w:sz w:val="18"/>
                <w:szCs w:val="18"/>
                <w:color w:val="auto"/>
              </w:rPr>
            </w:pPr>
          </w:p>
        </w:tc>
      </w:tr>
      <w:tr>
        <w:trPr>
          <w:trHeight w:val="217"/>
        </w:trPr>
        <w:tc>
          <w:tcPr>
            <w:tcW w:w="6560" w:type="dxa"/>
            <w:vAlign w:val="bottom"/>
            <w:shd w:val="clear" w:color="auto" w:fill="CFF0FC"/>
          </w:tcPr>
          <w:p>
            <w:pPr>
              <w:ind w:left="200"/>
              <w:spacing w:after="0" w:line="216" w:lineRule="exact"/>
              <w:rPr>
                <w:sz w:val="20"/>
                <w:szCs w:val="20"/>
                <w:color w:val="auto"/>
              </w:rPr>
            </w:pPr>
            <w:r>
              <w:rPr>
                <w:rFonts w:ascii="Calibri" w:cs="Calibri" w:eastAsia="Calibri" w:hAnsi="Calibri"/>
                <w:sz w:val="18"/>
                <w:szCs w:val="18"/>
                <w:color w:val="auto"/>
              </w:rPr>
              <w:t>Legislatve tax law and rate changes</w:t>
            </w: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80"/>
              <w:spacing w:after="0" w:line="216" w:lineRule="exact"/>
              <w:rPr>
                <w:sz w:val="20"/>
                <w:szCs w:val="20"/>
                <w:color w:val="auto"/>
              </w:rPr>
            </w:pPr>
            <w:r>
              <w:rPr>
                <w:rFonts w:ascii="Calibri" w:cs="Calibri" w:eastAsia="Calibri" w:hAnsi="Calibri"/>
                <w:sz w:val="18"/>
                <w:szCs w:val="18"/>
                <w:color w:val="auto"/>
              </w:rPr>
              <w:t>—</w:t>
            </w:r>
          </w:p>
        </w:tc>
        <w:tc>
          <w:tcPr>
            <w:tcW w:w="2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60"/>
              <w:spacing w:after="0" w:line="216" w:lineRule="exact"/>
              <w:rPr>
                <w:sz w:val="20"/>
                <w:szCs w:val="20"/>
                <w:color w:val="auto"/>
              </w:rPr>
            </w:pPr>
            <w:r>
              <w:rPr>
                <w:rFonts w:ascii="Calibri" w:cs="Calibri" w:eastAsia="Calibri" w:hAnsi="Calibri"/>
                <w:sz w:val="18"/>
                <w:szCs w:val="18"/>
                <w:color w:val="auto"/>
              </w:rPr>
              <w:t>—</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line="216" w:lineRule="exact"/>
              <w:rPr>
                <w:sz w:val="20"/>
                <w:szCs w:val="20"/>
                <w:color w:val="auto"/>
              </w:rPr>
            </w:pPr>
            <w:r>
              <w:rPr>
                <w:rFonts w:ascii="Calibri" w:cs="Calibri" w:eastAsia="Calibri" w:hAnsi="Calibri"/>
                <w:sz w:val="18"/>
                <w:szCs w:val="18"/>
                <w:color w:val="auto"/>
              </w:rPr>
              <w:t>—</w:t>
            </w:r>
          </w:p>
        </w:tc>
      </w:tr>
      <w:tr>
        <w:trPr>
          <w:trHeight w:val="215"/>
        </w:trPr>
        <w:tc>
          <w:tcPr>
            <w:tcW w:w="6560" w:type="dxa"/>
            <w:vAlign w:val="bottom"/>
          </w:tcPr>
          <w:p>
            <w:pPr>
              <w:ind w:left="200"/>
              <w:spacing w:after="0" w:line="215" w:lineRule="exact"/>
              <w:rPr>
                <w:sz w:val="20"/>
                <w:szCs w:val="20"/>
                <w:color w:val="auto"/>
              </w:rPr>
            </w:pPr>
            <w:r>
              <w:rPr>
                <w:rFonts w:ascii="Calibri" w:cs="Calibri" w:eastAsia="Calibri" w:hAnsi="Calibri"/>
                <w:sz w:val="18"/>
                <w:szCs w:val="18"/>
                <w:color w:val="auto"/>
              </w:rPr>
              <w:t>Valuaton allowance</w:t>
            </w:r>
          </w:p>
        </w:tc>
        <w:tc>
          <w:tcPr>
            <w:tcW w:w="300" w:type="dxa"/>
            <w:vAlign w:val="bottom"/>
          </w:tcPr>
          <w:p>
            <w:pPr>
              <w:spacing w:after="0"/>
              <w:rPr>
                <w:sz w:val="18"/>
                <w:szCs w:val="18"/>
                <w:color w:val="auto"/>
              </w:rPr>
            </w:pPr>
          </w:p>
        </w:tc>
        <w:tc>
          <w:tcPr>
            <w:tcW w:w="128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(23 )</w:t>
            </w:r>
          </w:p>
        </w:tc>
        <w:tc>
          <w:tcPr>
            <w:tcW w:w="280" w:type="dxa"/>
            <w:vAlign w:val="bottom"/>
          </w:tcPr>
          <w:p>
            <w:pPr>
              <w:spacing w:after="0"/>
              <w:rPr>
                <w:sz w:val="18"/>
                <w:szCs w:val="18"/>
                <w:color w:val="auto"/>
              </w:rPr>
            </w:pPr>
          </w:p>
        </w:tc>
        <w:tc>
          <w:tcPr>
            <w:tcW w:w="128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(19 )</w:t>
            </w:r>
          </w:p>
        </w:tc>
        <w:tc>
          <w:tcPr>
            <w:tcW w:w="300" w:type="dxa"/>
            <w:vAlign w:val="bottom"/>
          </w:tcPr>
          <w:p>
            <w:pPr>
              <w:spacing w:after="0"/>
              <w:rPr>
                <w:sz w:val="18"/>
                <w:szCs w:val="18"/>
                <w:color w:val="auto"/>
              </w:rPr>
            </w:pPr>
          </w:p>
        </w:tc>
        <w:tc>
          <w:tcPr>
            <w:tcW w:w="112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(9 )</w:t>
            </w:r>
          </w:p>
        </w:tc>
      </w:tr>
      <w:tr>
        <w:trPr>
          <w:trHeight w:val="217"/>
        </w:trPr>
        <w:tc>
          <w:tcPr>
            <w:tcW w:w="6560" w:type="dxa"/>
            <w:vAlign w:val="bottom"/>
            <w:shd w:val="clear" w:color="auto" w:fill="CFF0FC"/>
          </w:tcPr>
          <w:p>
            <w:pPr>
              <w:ind w:left="200"/>
              <w:spacing w:after="0" w:line="216" w:lineRule="exact"/>
              <w:rPr>
                <w:sz w:val="20"/>
                <w:szCs w:val="20"/>
                <w:color w:val="auto"/>
              </w:rPr>
            </w:pPr>
            <w:r>
              <w:rPr>
                <w:rFonts w:ascii="Calibri" w:cs="Calibri" w:eastAsia="Calibri" w:hAnsi="Calibri"/>
                <w:sz w:val="18"/>
                <w:szCs w:val="18"/>
                <w:color w:val="auto"/>
              </w:rPr>
              <w:t>Tax setlements and adjustments, including interest</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60"/>
              <w:spacing w:after="0" w:line="216" w:lineRule="exact"/>
              <w:rPr>
                <w:sz w:val="20"/>
                <w:szCs w:val="20"/>
                <w:color w:val="auto"/>
              </w:rPr>
            </w:pPr>
            <w:r>
              <w:rPr>
                <w:rFonts w:ascii="Calibri" w:cs="Calibri" w:eastAsia="Calibri" w:hAnsi="Calibri"/>
                <w:sz w:val="18"/>
                <w:szCs w:val="18"/>
                <w:color w:val="auto"/>
              </w:rPr>
              <w:t>—</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4</w:t>
            </w:r>
          </w:p>
        </w:tc>
        <w:tc>
          <w:tcPr>
            <w:tcW w:w="100" w:type="dxa"/>
            <w:vAlign w:val="bottom"/>
            <w:shd w:val="clear" w:color="auto" w:fill="CFF0FC"/>
          </w:tcPr>
          <w:p>
            <w:pPr>
              <w:spacing w:after="0"/>
              <w:rPr>
                <w:sz w:val="18"/>
                <w:szCs w:val="18"/>
                <w:color w:val="auto"/>
              </w:rPr>
            </w:pPr>
          </w:p>
        </w:tc>
      </w:tr>
      <w:tr>
        <w:trPr>
          <w:trHeight w:val="215"/>
        </w:trPr>
        <w:tc>
          <w:tcPr>
            <w:tcW w:w="6560" w:type="dxa"/>
            <w:vAlign w:val="bottom"/>
          </w:tcPr>
          <w:p>
            <w:pPr>
              <w:ind w:left="200"/>
              <w:spacing w:after="0" w:line="215" w:lineRule="exact"/>
              <w:rPr>
                <w:sz w:val="20"/>
                <w:szCs w:val="20"/>
                <w:color w:val="auto"/>
              </w:rPr>
            </w:pPr>
            <w:r>
              <w:rPr>
                <w:rFonts w:ascii="Calibri" w:cs="Calibri" w:eastAsia="Calibri" w:hAnsi="Calibri"/>
                <w:sz w:val="18"/>
                <w:szCs w:val="18"/>
                <w:color w:val="auto"/>
              </w:rPr>
              <w:t>Other, net</w:t>
            </w:r>
          </w:p>
        </w:tc>
        <w:tc>
          <w:tcPr>
            <w:tcW w:w="300" w:type="dxa"/>
            <w:vAlign w:val="bottom"/>
          </w:tcPr>
          <w:p>
            <w:pPr>
              <w:spacing w:after="0"/>
              <w:rPr>
                <w:sz w:val="18"/>
                <w:szCs w:val="18"/>
                <w:color w:val="auto"/>
              </w:rPr>
            </w:pPr>
          </w:p>
        </w:tc>
        <w:tc>
          <w:tcPr>
            <w:tcW w:w="1280" w:type="dxa"/>
            <w:vAlign w:val="bottom"/>
            <w:gridSpan w:val="2"/>
          </w:tcPr>
          <w:p>
            <w:pPr>
              <w:jc w:val="right"/>
              <w:ind w:right="280"/>
              <w:spacing w:after="0" w:line="215" w:lineRule="exact"/>
              <w:rPr>
                <w:sz w:val="20"/>
                <w:szCs w:val="20"/>
                <w:color w:val="auto"/>
              </w:rPr>
            </w:pPr>
            <w:r>
              <w:rPr>
                <w:rFonts w:ascii="Calibri" w:cs="Calibri" w:eastAsia="Calibri" w:hAnsi="Calibri"/>
                <w:sz w:val="18"/>
                <w:szCs w:val="18"/>
                <w:color w:val="auto"/>
              </w:rPr>
              <w:t>—</w:t>
            </w:r>
          </w:p>
        </w:tc>
        <w:tc>
          <w:tcPr>
            <w:tcW w:w="280" w:type="dxa"/>
            <w:vAlign w:val="bottom"/>
          </w:tcPr>
          <w:p>
            <w:pPr>
              <w:spacing w:after="0"/>
              <w:rPr>
                <w:sz w:val="18"/>
                <w:szCs w:val="18"/>
                <w:color w:val="auto"/>
              </w:rPr>
            </w:pPr>
          </w:p>
        </w:tc>
        <w:tc>
          <w:tcPr>
            <w:tcW w:w="128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(1 )</w:t>
            </w:r>
          </w:p>
        </w:tc>
        <w:tc>
          <w:tcPr>
            <w:tcW w:w="300" w:type="dxa"/>
            <w:vAlign w:val="bottom"/>
          </w:tcPr>
          <w:p>
            <w:pPr>
              <w:spacing w:after="0"/>
              <w:rPr>
                <w:sz w:val="18"/>
                <w:szCs w:val="18"/>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1</w:t>
            </w:r>
          </w:p>
        </w:tc>
        <w:tc>
          <w:tcPr>
            <w:tcW w:w="100" w:type="dxa"/>
            <w:vAlign w:val="bottom"/>
          </w:tcPr>
          <w:p>
            <w:pPr>
              <w:spacing w:after="0"/>
              <w:rPr>
                <w:sz w:val="18"/>
                <w:szCs w:val="18"/>
                <w:color w:val="auto"/>
              </w:rPr>
            </w:pPr>
          </w:p>
        </w:tc>
      </w:tr>
      <w:tr>
        <w:trPr>
          <w:trHeight w:val="249"/>
        </w:trPr>
        <w:tc>
          <w:tcPr>
            <w:tcW w:w="6560" w:type="dxa"/>
            <w:vAlign w:val="bottom"/>
            <w:tcBorders>
              <w:bottom w:val="single" w:sz="8" w:color="CFF0FC"/>
            </w:tcBorders>
            <w:shd w:val="clear" w:color="auto" w:fill="CFF0FC"/>
          </w:tcPr>
          <w:p>
            <w:pPr>
              <w:ind w:left="20"/>
              <w:spacing w:after="0" w:line="209" w:lineRule="exact"/>
              <w:rPr>
                <w:sz w:val="20"/>
                <w:szCs w:val="20"/>
                <w:color w:val="auto"/>
              </w:rPr>
            </w:pPr>
            <w:r>
              <w:rPr>
                <w:rFonts w:ascii="Calibri" w:cs="Calibri" w:eastAsia="Calibri" w:hAnsi="Calibri"/>
                <w:sz w:val="18"/>
                <w:szCs w:val="18"/>
                <w:color w:val="auto"/>
              </w:rPr>
              <w:t>Provision for income taxes</w:t>
            </w:r>
          </w:p>
        </w:tc>
        <w:tc>
          <w:tcPr>
            <w:tcW w:w="300" w:type="dxa"/>
            <w:vAlign w:val="bottom"/>
            <w:tcBorders>
              <w:top w:val="single" w:sz="8" w:color="auto"/>
              <w:bottom w:val="single" w:sz="8" w:color="auto"/>
            </w:tcBorders>
            <w:shd w:val="clear" w:color="auto" w:fill="CFF0FC"/>
          </w:tcPr>
          <w:p>
            <w:pPr>
              <w:jc w:val="right"/>
              <w:ind w:right="90"/>
              <w:spacing w:after="0" w:line="209" w:lineRule="exact"/>
              <w:rPr>
                <w:sz w:val="20"/>
                <w:szCs w:val="20"/>
                <w:color w:val="auto"/>
              </w:rPr>
            </w:pPr>
            <w:r>
              <w:rPr>
                <w:rFonts w:ascii="Calibri" w:cs="Calibri" w:eastAsia="Calibri" w:hAnsi="Calibri"/>
                <w:sz w:val="18"/>
                <w:szCs w:val="18"/>
                <w:color w:val="auto"/>
              </w:rPr>
              <w:t>$</w:t>
            </w:r>
          </w:p>
        </w:tc>
        <w:tc>
          <w:tcPr>
            <w:tcW w:w="1020" w:type="dxa"/>
            <w:vAlign w:val="bottom"/>
            <w:tcBorders>
              <w:top w:val="single" w:sz="8" w:color="auto"/>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8</w:t>
            </w:r>
          </w:p>
        </w:tc>
        <w:tc>
          <w:tcPr>
            <w:tcW w:w="2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jc w:val="right"/>
              <w:ind w:right="90"/>
              <w:spacing w:after="0" w:line="209" w:lineRule="exact"/>
              <w:rPr>
                <w:sz w:val="20"/>
                <w:szCs w:val="20"/>
                <w:color w:val="auto"/>
              </w:rPr>
            </w:pPr>
            <w:r>
              <w:rPr>
                <w:rFonts w:ascii="Calibri" w:cs="Calibri" w:eastAsia="Calibri" w:hAnsi="Calibri"/>
                <w:sz w:val="18"/>
                <w:szCs w:val="18"/>
                <w:color w:val="auto"/>
                <w:w w:val="87"/>
              </w:rPr>
              <w:t>$</w:t>
            </w:r>
          </w:p>
        </w:tc>
        <w:tc>
          <w:tcPr>
            <w:tcW w:w="1020" w:type="dxa"/>
            <w:vAlign w:val="bottom"/>
            <w:tcBorders>
              <w:top w:val="single" w:sz="8" w:color="auto"/>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12</w:t>
            </w: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jc w:val="right"/>
              <w:ind w:right="110"/>
              <w:spacing w:after="0" w:line="209" w:lineRule="exact"/>
              <w:rPr>
                <w:sz w:val="20"/>
                <w:szCs w:val="20"/>
                <w:color w:val="auto"/>
              </w:rPr>
            </w:pPr>
            <w:r>
              <w:rPr>
                <w:rFonts w:ascii="Calibri" w:cs="Calibri" w:eastAsia="Calibri" w:hAnsi="Calibri"/>
                <w:sz w:val="18"/>
                <w:szCs w:val="18"/>
                <w:color w:val="auto"/>
                <w:w w:val="87"/>
              </w:rPr>
              <w:t>$</w:t>
            </w:r>
          </w:p>
        </w:tc>
        <w:tc>
          <w:tcPr>
            <w:tcW w:w="1020" w:type="dxa"/>
            <w:vAlign w:val="bottom"/>
            <w:tcBorders>
              <w:top w:val="single" w:sz="8" w:color="auto"/>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5</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-24765</wp:posOffset>
            </wp:positionV>
            <wp:extent cx="6858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-7620</wp:posOffset>
            </wp:positionV>
            <wp:extent cx="6858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-24765</wp:posOffset>
            </wp:positionV>
            <wp:extent cx="6858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-7620</wp:posOffset>
            </wp:positionV>
            <wp:extent cx="6858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-24765</wp:posOffset>
            </wp:positionV>
            <wp:extent cx="6858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-7620</wp:posOffset>
            </wp:positionV>
            <wp:extent cx="6858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Calibri" w:cs="Calibri" w:eastAsia="Calibri" w:hAnsi="Calibri"/>
          <w:sz w:val="18"/>
          <w:szCs w:val="18"/>
          <w:color w:val="auto"/>
        </w:rPr>
        <w:t>The signifcant components of deferred tax assets and liabilites were as follows:</w:t>
      </w:r>
    </w:p>
    <w:p>
      <w:pPr>
        <w:spacing w:after="0" w:line="212" w:lineRule="exact"/>
        <w:rPr>
          <w:sz w:val="20"/>
          <w:szCs w:val="20"/>
          <w:color w:val="auto"/>
        </w:rPr>
      </w:pPr>
    </w:p>
    <w:p>
      <w:pPr>
        <w:ind w:left="8600"/>
        <w:spacing w:after="0"/>
        <w:rPr>
          <w:sz w:val="20"/>
          <w:szCs w:val="20"/>
          <w:color w:val="auto"/>
        </w:rPr>
      </w:pPr>
      <w:r>
        <w:rPr>
          <w:rFonts w:ascii="Calibri" w:cs="Calibri" w:eastAsia="Calibri" w:hAnsi="Calibri"/>
          <w:sz w:val="18"/>
          <w:szCs w:val="18"/>
          <w:b w:val="1"/>
          <w:bCs w:val="1"/>
          <w:color w:val="auto"/>
        </w:rPr>
        <w:t>As of December 31,</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620" w:type="dxa"/>
            <w:vAlign w:val="bottom"/>
          </w:tcPr>
          <w:p>
            <w:pPr>
              <w:ind w:left="20"/>
              <w:spacing w:after="0"/>
              <w:rPr>
                <w:sz w:val="20"/>
                <w:szCs w:val="20"/>
                <w:color w:val="auto"/>
              </w:rPr>
            </w:pPr>
            <w:r>
              <w:rPr>
                <w:rFonts w:ascii="Calibri" w:cs="Calibri" w:eastAsia="Calibri" w:hAnsi="Calibri"/>
                <w:sz w:val="14"/>
                <w:szCs w:val="14"/>
                <w:color w:val="auto"/>
              </w:rPr>
              <w:t>(in millions)</w:t>
            </w: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Calibri" w:cs="Calibri" w:eastAsia="Calibri" w:hAnsi="Calibri"/>
                <w:sz w:val="18"/>
                <w:szCs w:val="18"/>
                <w:b w:val="1"/>
                <w:bCs w:val="1"/>
                <w:color w:val="auto"/>
              </w:rPr>
              <w:t>2024</w:t>
            </w:r>
          </w:p>
        </w:tc>
        <w:tc>
          <w:tcPr>
            <w:tcW w:w="28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Calibri" w:cs="Calibri" w:eastAsia="Calibri" w:hAnsi="Calibri"/>
                <w:sz w:val="18"/>
                <w:szCs w:val="18"/>
                <w:b w:val="1"/>
                <w:bCs w:val="1"/>
                <w:color w:val="auto"/>
              </w:rPr>
              <w:t>2023</w:t>
            </w:r>
          </w:p>
        </w:tc>
        <w:tc>
          <w:tcPr>
            <w:tcW w:w="100" w:type="dxa"/>
            <w:vAlign w:val="bottom"/>
          </w:tcPr>
          <w:p>
            <w:pPr>
              <w:spacing w:after="0"/>
              <w:rPr>
                <w:sz w:val="19"/>
                <w:szCs w:val="19"/>
                <w:color w:val="auto"/>
              </w:rPr>
            </w:pPr>
          </w:p>
        </w:tc>
      </w:tr>
      <w:tr>
        <w:trPr>
          <w:trHeight w:val="210"/>
        </w:trPr>
        <w:tc>
          <w:tcPr>
            <w:tcW w:w="762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b w:val="1"/>
                <w:bCs w:val="1"/>
                <w:color w:val="auto"/>
              </w:rPr>
              <w:t>Deferred tax assets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7620" w:type="dxa"/>
            <w:vAlign w:val="bottom"/>
          </w:tcPr>
          <w:p>
            <w:pPr>
              <w:ind w:left="200"/>
              <w:spacing w:after="0" w:line="215" w:lineRule="exact"/>
              <w:rPr>
                <w:sz w:val="20"/>
                <w:szCs w:val="20"/>
                <w:color w:val="auto"/>
              </w:rPr>
            </w:pPr>
            <w:r>
              <w:rPr>
                <w:rFonts w:ascii="Calibri" w:cs="Calibri" w:eastAsia="Calibri" w:hAnsi="Calibri"/>
                <w:sz w:val="18"/>
                <w:szCs w:val="18"/>
                <w:color w:val="auto"/>
              </w:rPr>
              <w:t>Restructuring programs</w:t>
            </w:r>
          </w:p>
        </w:tc>
        <w:tc>
          <w:tcPr>
            <w:tcW w:w="36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w w:val="87"/>
              </w:rPr>
              <w:t>$</w:t>
            </w:r>
          </w:p>
        </w:tc>
        <w:tc>
          <w:tcPr>
            <w:tcW w:w="1200" w:type="dxa"/>
            <w:vAlign w:val="bottom"/>
          </w:tcPr>
          <w:p>
            <w:pPr>
              <w:jc w:val="right"/>
              <w:spacing w:after="0" w:line="215" w:lineRule="exact"/>
              <w:rPr>
                <w:sz w:val="20"/>
                <w:szCs w:val="20"/>
                <w:color w:val="auto"/>
              </w:rPr>
            </w:pPr>
            <w:r>
              <w:rPr>
                <w:rFonts w:ascii="Calibri" w:cs="Calibri" w:eastAsia="Calibri" w:hAnsi="Calibri"/>
                <w:sz w:val="18"/>
                <w:szCs w:val="18"/>
                <w:color w:val="auto"/>
              </w:rPr>
              <w:t>1</w:t>
            </w:r>
          </w:p>
        </w:tc>
        <w:tc>
          <w:tcPr>
            <w:tcW w:w="280" w:type="dxa"/>
            <w:vAlign w:val="bottom"/>
          </w:tcPr>
          <w:p>
            <w:pPr>
              <w:spacing w:after="0"/>
              <w:rPr>
                <w:sz w:val="18"/>
                <w:szCs w:val="18"/>
                <w:color w:val="auto"/>
              </w:rPr>
            </w:pPr>
          </w:p>
        </w:tc>
        <w:tc>
          <w:tcPr>
            <w:tcW w:w="34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w w:val="87"/>
              </w:rPr>
              <w:t>$</w:t>
            </w:r>
          </w:p>
        </w:tc>
        <w:tc>
          <w:tcPr>
            <w:tcW w:w="1220" w:type="dxa"/>
            <w:vAlign w:val="bottom"/>
          </w:tcPr>
          <w:p>
            <w:pPr>
              <w:jc w:val="right"/>
              <w:spacing w:after="0" w:line="215" w:lineRule="exact"/>
              <w:rPr>
                <w:sz w:val="20"/>
                <w:szCs w:val="20"/>
                <w:color w:val="auto"/>
              </w:rPr>
            </w:pPr>
            <w:r>
              <w:rPr>
                <w:rFonts w:ascii="Calibri" w:cs="Calibri" w:eastAsia="Calibri" w:hAnsi="Calibri"/>
                <w:sz w:val="18"/>
                <w:szCs w:val="18"/>
                <w:color w:val="auto"/>
              </w:rPr>
              <w:t>1</w:t>
            </w:r>
          </w:p>
        </w:tc>
        <w:tc>
          <w:tcPr>
            <w:tcW w:w="100" w:type="dxa"/>
            <w:vAlign w:val="bottom"/>
          </w:tcPr>
          <w:p>
            <w:pPr>
              <w:spacing w:after="0"/>
              <w:rPr>
                <w:sz w:val="18"/>
                <w:szCs w:val="18"/>
                <w:color w:val="auto"/>
              </w:rPr>
            </w:pPr>
          </w:p>
        </w:tc>
      </w:tr>
      <w:tr>
        <w:trPr>
          <w:trHeight w:val="217"/>
        </w:trPr>
        <w:tc>
          <w:tcPr>
            <w:tcW w:w="7620" w:type="dxa"/>
            <w:vAlign w:val="bottom"/>
            <w:shd w:val="clear" w:color="auto" w:fill="CFF0FC"/>
          </w:tcPr>
          <w:p>
            <w:pPr>
              <w:ind w:left="200"/>
              <w:spacing w:after="0" w:line="216" w:lineRule="exact"/>
              <w:rPr>
                <w:sz w:val="20"/>
                <w:szCs w:val="20"/>
                <w:color w:val="auto"/>
              </w:rPr>
            </w:pPr>
            <w:r>
              <w:rPr>
                <w:rFonts w:ascii="Calibri" w:cs="Calibri" w:eastAsia="Calibri" w:hAnsi="Calibri"/>
                <w:sz w:val="18"/>
                <w:szCs w:val="18"/>
                <w:color w:val="auto"/>
              </w:rPr>
              <w:t>Leasing</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7</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8</w:t>
            </w:r>
          </w:p>
        </w:tc>
        <w:tc>
          <w:tcPr>
            <w:tcW w:w="100" w:type="dxa"/>
            <w:vAlign w:val="bottom"/>
            <w:shd w:val="clear" w:color="auto" w:fill="CFF0FC"/>
          </w:tcPr>
          <w:p>
            <w:pPr>
              <w:spacing w:after="0"/>
              <w:rPr>
                <w:sz w:val="18"/>
                <w:szCs w:val="18"/>
                <w:color w:val="auto"/>
              </w:rPr>
            </w:pPr>
          </w:p>
        </w:tc>
      </w:tr>
      <w:tr>
        <w:trPr>
          <w:trHeight w:val="215"/>
        </w:trPr>
        <w:tc>
          <w:tcPr>
            <w:tcW w:w="7620" w:type="dxa"/>
            <w:vAlign w:val="bottom"/>
          </w:tcPr>
          <w:p>
            <w:pPr>
              <w:ind w:left="200"/>
              <w:spacing w:after="0" w:line="215" w:lineRule="exact"/>
              <w:rPr>
                <w:sz w:val="20"/>
                <w:szCs w:val="20"/>
                <w:color w:val="auto"/>
              </w:rPr>
            </w:pPr>
            <w:r>
              <w:rPr>
                <w:rFonts w:ascii="Calibri" w:cs="Calibri" w:eastAsia="Calibri" w:hAnsi="Calibri"/>
                <w:sz w:val="18"/>
                <w:szCs w:val="18"/>
                <w:color w:val="auto"/>
              </w:rPr>
              <w:t>Foreign tax credit</w:t>
            </w:r>
          </w:p>
        </w:tc>
        <w:tc>
          <w:tcPr>
            <w:tcW w:w="360" w:type="dxa"/>
            <w:vAlign w:val="bottom"/>
          </w:tcPr>
          <w:p>
            <w:pPr>
              <w:spacing w:after="0"/>
              <w:rPr>
                <w:sz w:val="18"/>
                <w:szCs w:val="18"/>
                <w:color w:val="auto"/>
              </w:rPr>
            </w:pPr>
          </w:p>
        </w:tc>
        <w:tc>
          <w:tcPr>
            <w:tcW w:w="1200" w:type="dxa"/>
            <w:vAlign w:val="bottom"/>
          </w:tcPr>
          <w:p>
            <w:pPr>
              <w:jc w:val="right"/>
              <w:spacing w:after="0" w:line="215" w:lineRule="exact"/>
              <w:rPr>
                <w:sz w:val="20"/>
                <w:szCs w:val="20"/>
                <w:color w:val="auto"/>
              </w:rPr>
            </w:pPr>
            <w:r>
              <w:rPr>
                <w:rFonts w:ascii="Calibri" w:cs="Calibri" w:eastAsia="Calibri" w:hAnsi="Calibri"/>
                <w:sz w:val="18"/>
                <w:szCs w:val="18"/>
                <w:color w:val="auto"/>
              </w:rPr>
              <w:t>134</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line="215" w:lineRule="exact"/>
              <w:rPr>
                <w:sz w:val="20"/>
                <w:szCs w:val="20"/>
                <w:color w:val="auto"/>
              </w:rPr>
            </w:pPr>
            <w:r>
              <w:rPr>
                <w:rFonts w:ascii="Calibri" w:cs="Calibri" w:eastAsia="Calibri" w:hAnsi="Calibri"/>
                <w:sz w:val="18"/>
                <w:szCs w:val="18"/>
                <w:color w:val="auto"/>
              </w:rPr>
              <w:t>281</w:t>
            </w:r>
          </w:p>
        </w:tc>
        <w:tc>
          <w:tcPr>
            <w:tcW w:w="100" w:type="dxa"/>
            <w:vAlign w:val="bottom"/>
          </w:tcPr>
          <w:p>
            <w:pPr>
              <w:spacing w:after="0"/>
              <w:rPr>
                <w:sz w:val="18"/>
                <w:szCs w:val="18"/>
                <w:color w:val="auto"/>
              </w:rPr>
            </w:pPr>
          </w:p>
        </w:tc>
      </w:tr>
      <w:tr>
        <w:trPr>
          <w:trHeight w:val="217"/>
        </w:trPr>
        <w:tc>
          <w:tcPr>
            <w:tcW w:w="7620" w:type="dxa"/>
            <w:vAlign w:val="bottom"/>
            <w:shd w:val="clear" w:color="auto" w:fill="CFF0FC"/>
          </w:tcPr>
          <w:p>
            <w:pPr>
              <w:ind w:left="200"/>
              <w:spacing w:after="0" w:line="216" w:lineRule="exact"/>
              <w:rPr>
                <w:sz w:val="20"/>
                <w:szCs w:val="20"/>
                <w:color w:val="auto"/>
              </w:rPr>
            </w:pPr>
            <w:r>
              <w:rPr>
                <w:rFonts w:ascii="Calibri" w:cs="Calibri" w:eastAsia="Calibri" w:hAnsi="Calibri"/>
                <w:sz w:val="18"/>
                <w:szCs w:val="18"/>
                <w:color w:val="auto"/>
              </w:rPr>
              <w:t>Inventories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13</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11</w:t>
            </w:r>
          </w:p>
        </w:tc>
        <w:tc>
          <w:tcPr>
            <w:tcW w:w="100" w:type="dxa"/>
            <w:vAlign w:val="bottom"/>
            <w:shd w:val="clear" w:color="auto" w:fill="CFF0FC"/>
          </w:tcPr>
          <w:p>
            <w:pPr>
              <w:spacing w:after="0"/>
              <w:rPr>
                <w:sz w:val="18"/>
                <w:szCs w:val="18"/>
                <w:color w:val="auto"/>
              </w:rPr>
            </w:pPr>
          </w:p>
        </w:tc>
      </w:tr>
      <w:tr>
        <w:trPr>
          <w:trHeight w:val="215"/>
        </w:trPr>
        <w:tc>
          <w:tcPr>
            <w:tcW w:w="7620" w:type="dxa"/>
            <w:vAlign w:val="bottom"/>
          </w:tcPr>
          <w:p>
            <w:pPr>
              <w:ind w:left="200"/>
              <w:spacing w:after="0" w:line="215" w:lineRule="exact"/>
              <w:rPr>
                <w:sz w:val="20"/>
                <w:szCs w:val="20"/>
                <w:color w:val="auto"/>
              </w:rPr>
            </w:pPr>
            <w:r>
              <w:rPr>
                <w:rFonts w:ascii="Calibri" w:cs="Calibri" w:eastAsia="Calibri" w:hAnsi="Calibri"/>
                <w:sz w:val="18"/>
                <w:szCs w:val="18"/>
                <w:color w:val="auto"/>
              </w:rPr>
              <w:t>Investment tax credit</w:t>
            </w:r>
          </w:p>
        </w:tc>
        <w:tc>
          <w:tcPr>
            <w:tcW w:w="360" w:type="dxa"/>
            <w:vAlign w:val="bottom"/>
          </w:tcPr>
          <w:p>
            <w:pPr>
              <w:spacing w:after="0"/>
              <w:rPr>
                <w:sz w:val="18"/>
                <w:szCs w:val="18"/>
                <w:color w:val="auto"/>
              </w:rPr>
            </w:pPr>
          </w:p>
        </w:tc>
        <w:tc>
          <w:tcPr>
            <w:tcW w:w="1200" w:type="dxa"/>
            <w:vAlign w:val="bottom"/>
          </w:tcPr>
          <w:p>
            <w:pPr>
              <w:jc w:val="right"/>
              <w:spacing w:after="0" w:line="215" w:lineRule="exact"/>
              <w:rPr>
                <w:sz w:val="20"/>
                <w:szCs w:val="20"/>
                <w:color w:val="auto"/>
              </w:rPr>
            </w:pPr>
            <w:r>
              <w:rPr>
                <w:rFonts w:ascii="Calibri" w:cs="Calibri" w:eastAsia="Calibri" w:hAnsi="Calibri"/>
                <w:sz w:val="18"/>
                <w:szCs w:val="18"/>
                <w:color w:val="auto"/>
              </w:rPr>
              <w:t>21</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line="215" w:lineRule="exact"/>
              <w:rPr>
                <w:sz w:val="20"/>
                <w:szCs w:val="20"/>
                <w:color w:val="auto"/>
              </w:rPr>
            </w:pPr>
            <w:r>
              <w:rPr>
                <w:rFonts w:ascii="Calibri" w:cs="Calibri" w:eastAsia="Calibri" w:hAnsi="Calibri"/>
                <w:sz w:val="18"/>
                <w:szCs w:val="18"/>
                <w:color w:val="auto"/>
              </w:rPr>
              <w:t>25</w:t>
            </w:r>
          </w:p>
        </w:tc>
        <w:tc>
          <w:tcPr>
            <w:tcW w:w="100" w:type="dxa"/>
            <w:vAlign w:val="bottom"/>
          </w:tcPr>
          <w:p>
            <w:pPr>
              <w:spacing w:after="0"/>
              <w:rPr>
                <w:sz w:val="18"/>
                <w:szCs w:val="18"/>
                <w:color w:val="auto"/>
              </w:rPr>
            </w:pPr>
          </w:p>
        </w:tc>
      </w:tr>
      <w:tr>
        <w:trPr>
          <w:trHeight w:val="217"/>
        </w:trPr>
        <w:tc>
          <w:tcPr>
            <w:tcW w:w="7620" w:type="dxa"/>
            <w:vAlign w:val="bottom"/>
            <w:shd w:val="clear" w:color="auto" w:fill="CFF0FC"/>
          </w:tcPr>
          <w:p>
            <w:pPr>
              <w:ind w:left="200"/>
              <w:spacing w:after="0" w:line="216" w:lineRule="exact"/>
              <w:rPr>
                <w:sz w:val="20"/>
                <w:szCs w:val="20"/>
                <w:color w:val="auto"/>
              </w:rPr>
            </w:pPr>
            <w:r>
              <w:rPr>
                <w:rFonts w:ascii="Calibri" w:cs="Calibri" w:eastAsia="Calibri" w:hAnsi="Calibri"/>
                <w:sz w:val="18"/>
                <w:szCs w:val="18"/>
                <w:color w:val="auto"/>
              </w:rPr>
              <w:t>Employee deferred compensaton</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7</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9</w:t>
            </w:r>
          </w:p>
        </w:tc>
        <w:tc>
          <w:tcPr>
            <w:tcW w:w="100" w:type="dxa"/>
            <w:vAlign w:val="bottom"/>
            <w:shd w:val="clear" w:color="auto" w:fill="CFF0FC"/>
          </w:tcPr>
          <w:p>
            <w:pPr>
              <w:spacing w:after="0"/>
              <w:rPr>
                <w:sz w:val="18"/>
                <w:szCs w:val="18"/>
                <w:color w:val="auto"/>
              </w:rPr>
            </w:pPr>
          </w:p>
        </w:tc>
      </w:tr>
      <w:tr>
        <w:trPr>
          <w:trHeight w:val="215"/>
        </w:trPr>
        <w:tc>
          <w:tcPr>
            <w:tcW w:w="7620" w:type="dxa"/>
            <w:vAlign w:val="bottom"/>
          </w:tcPr>
          <w:p>
            <w:pPr>
              <w:ind w:left="200"/>
              <w:spacing w:after="0" w:line="215" w:lineRule="exact"/>
              <w:rPr>
                <w:sz w:val="20"/>
                <w:szCs w:val="20"/>
                <w:color w:val="auto"/>
              </w:rPr>
            </w:pPr>
            <w:r>
              <w:rPr>
                <w:rFonts w:ascii="Calibri" w:cs="Calibri" w:eastAsia="Calibri" w:hAnsi="Calibri"/>
                <w:sz w:val="18"/>
                <w:szCs w:val="18"/>
                <w:color w:val="auto"/>
              </w:rPr>
              <w:t>Workers' compensaton and other employee reserves</w:t>
            </w:r>
          </w:p>
        </w:tc>
        <w:tc>
          <w:tcPr>
            <w:tcW w:w="360" w:type="dxa"/>
            <w:vAlign w:val="bottom"/>
          </w:tcPr>
          <w:p>
            <w:pPr>
              <w:spacing w:after="0"/>
              <w:rPr>
                <w:sz w:val="18"/>
                <w:szCs w:val="18"/>
                <w:color w:val="auto"/>
              </w:rPr>
            </w:pPr>
          </w:p>
        </w:tc>
        <w:tc>
          <w:tcPr>
            <w:tcW w:w="1200" w:type="dxa"/>
            <w:vAlign w:val="bottom"/>
          </w:tcPr>
          <w:p>
            <w:pPr>
              <w:jc w:val="right"/>
              <w:spacing w:after="0" w:line="215" w:lineRule="exact"/>
              <w:rPr>
                <w:sz w:val="20"/>
                <w:szCs w:val="20"/>
                <w:color w:val="auto"/>
              </w:rPr>
            </w:pPr>
            <w:r>
              <w:rPr>
                <w:rFonts w:ascii="Calibri" w:cs="Calibri" w:eastAsia="Calibri" w:hAnsi="Calibri"/>
                <w:sz w:val="18"/>
                <w:szCs w:val="18"/>
                <w:color w:val="auto"/>
              </w:rPr>
              <w:t>13</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line="215" w:lineRule="exact"/>
              <w:rPr>
                <w:sz w:val="20"/>
                <w:szCs w:val="20"/>
                <w:color w:val="auto"/>
              </w:rPr>
            </w:pPr>
            <w:r>
              <w:rPr>
                <w:rFonts w:ascii="Calibri" w:cs="Calibri" w:eastAsia="Calibri" w:hAnsi="Calibri"/>
                <w:sz w:val="18"/>
                <w:szCs w:val="18"/>
                <w:color w:val="auto"/>
              </w:rPr>
              <w:t>14</w:t>
            </w:r>
          </w:p>
        </w:tc>
        <w:tc>
          <w:tcPr>
            <w:tcW w:w="100" w:type="dxa"/>
            <w:vAlign w:val="bottom"/>
          </w:tcPr>
          <w:p>
            <w:pPr>
              <w:spacing w:after="0"/>
              <w:rPr>
                <w:sz w:val="18"/>
                <w:szCs w:val="18"/>
                <w:color w:val="auto"/>
              </w:rPr>
            </w:pPr>
          </w:p>
        </w:tc>
      </w:tr>
      <w:tr>
        <w:trPr>
          <w:trHeight w:val="217"/>
        </w:trPr>
        <w:tc>
          <w:tcPr>
            <w:tcW w:w="7620" w:type="dxa"/>
            <w:vAlign w:val="bottom"/>
            <w:shd w:val="clear" w:color="auto" w:fill="CFF0FC"/>
          </w:tcPr>
          <w:p>
            <w:pPr>
              <w:ind w:left="200"/>
              <w:spacing w:after="0" w:line="216" w:lineRule="exact"/>
              <w:rPr>
                <w:sz w:val="20"/>
                <w:szCs w:val="20"/>
                <w:color w:val="auto"/>
              </w:rPr>
            </w:pPr>
            <w:r>
              <w:rPr>
                <w:rFonts w:ascii="Calibri" w:cs="Calibri" w:eastAsia="Calibri" w:hAnsi="Calibri"/>
                <w:sz w:val="18"/>
                <w:szCs w:val="18"/>
                <w:color w:val="auto"/>
              </w:rPr>
              <w:t>Depreciaton</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26</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31</w:t>
            </w:r>
          </w:p>
        </w:tc>
        <w:tc>
          <w:tcPr>
            <w:tcW w:w="100" w:type="dxa"/>
            <w:vAlign w:val="bottom"/>
            <w:shd w:val="clear" w:color="auto" w:fill="CFF0FC"/>
          </w:tcPr>
          <w:p>
            <w:pPr>
              <w:spacing w:after="0"/>
              <w:rPr>
                <w:sz w:val="18"/>
                <w:szCs w:val="18"/>
                <w:color w:val="auto"/>
              </w:rPr>
            </w:pPr>
          </w:p>
        </w:tc>
      </w:tr>
      <w:tr>
        <w:trPr>
          <w:trHeight w:val="215"/>
        </w:trPr>
        <w:tc>
          <w:tcPr>
            <w:tcW w:w="7620" w:type="dxa"/>
            <w:vAlign w:val="bottom"/>
          </w:tcPr>
          <w:p>
            <w:pPr>
              <w:ind w:left="200"/>
              <w:spacing w:after="0" w:line="215" w:lineRule="exact"/>
              <w:rPr>
                <w:sz w:val="20"/>
                <w:szCs w:val="20"/>
                <w:color w:val="auto"/>
              </w:rPr>
            </w:pPr>
            <w:r>
              <w:rPr>
                <w:rFonts w:ascii="Calibri" w:cs="Calibri" w:eastAsia="Calibri" w:hAnsi="Calibri"/>
                <w:sz w:val="18"/>
                <w:szCs w:val="18"/>
                <w:color w:val="auto"/>
              </w:rPr>
              <w:t>Research and development costs</w:t>
            </w:r>
          </w:p>
        </w:tc>
        <w:tc>
          <w:tcPr>
            <w:tcW w:w="360" w:type="dxa"/>
            <w:vAlign w:val="bottom"/>
          </w:tcPr>
          <w:p>
            <w:pPr>
              <w:spacing w:after="0"/>
              <w:rPr>
                <w:sz w:val="18"/>
                <w:szCs w:val="18"/>
                <w:color w:val="auto"/>
              </w:rPr>
            </w:pPr>
          </w:p>
        </w:tc>
        <w:tc>
          <w:tcPr>
            <w:tcW w:w="1200" w:type="dxa"/>
            <w:vAlign w:val="bottom"/>
          </w:tcPr>
          <w:p>
            <w:pPr>
              <w:jc w:val="right"/>
              <w:spacing w:after="0" w:line="215" w:lineRule="exact"/>
              <w:rPr>
                <w:sz w:val="20"/>
                <w:szCs w:val="20"/>
                <w:color w:val="auto"/>
              </w:rPr>
            </w:pPr>
            <w:r>
              <w:rPr>
                <w:rFonts w:ascii="Calibri" w:cs="Calibri" w:eastAsia="Calibri" w:hAnsi="Calibri"/>
                <w:sz w:val="18"/>
                <w:szCs w:val="18"/>
                <w:color w:val="auto"/>
              </w:rPr>
              <w:t>44</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line="215" w:lineRule="exact"/>
              <w:rPr>
                <w:sz w:val="20"/>
                <w:szCs w:val="20"/>
                <w:color w:val="auto"/>
              </w:rPr>
            </w:pPr>
            <w:r>
              <w:rPr>
                <w:rFonts w:ascii="Calibri" w:cs="Calibri" w:eastAsia="Calibri" w:hAnsi="Calibri"/>
                <w:sz w:val="18"/>
                <w:szCs w:val="18"/>
                <w:color w:val="auto"/>
              </w:rPr>
              <w:t>42</w:t>
            </w:r>
          </w:p>
        </w:tc>
        <w:tc>
          <w:tcPr>
            <w:tcW w:w="100" w:type="dxa"/>
            <w:vAlign w:val="bottom"/>
          </w:tcPr>
          <w:p>
            <w:pPr>
              <w:spacing w:after="0"/>
              <w:rPr>
                <w:sz w:val="18"/>
                <w:szCs w:val="18"/>
                <w:color w:val="auto"/>
              </w:rPr>
            </w:pPr>
          </w:p>
        </w:tc>
      </w:tr>
      <w:tr>
        <w:trPr>
          <w:trHeight w:val="217"/>
        </w:trPr>
        <w:tc>
          <w:tcPr>
            <w:tcW w:w="7620" w:type="dxa"/>
            <w:vAlign w:val="bottom"/>
            <w:shd w:val="clear" w:color="auto" w:fill="CFF0FC"/>
          </w:tcPr>
          <w:p>
            <w:pPr>
              <w:ind w:left="200"/>
              <w:spacing w:after="0" w:line="216" w:lineRule="exact"/>
              <w:rPr>
                <w:sz w:val="20"/>
                <w:szCs w:val="20"/>
                <w:color w:val="auto"/>
              </w:rPr>
            </w:pPr>
            <w:r>
              <w:rPr>
                <w:rFonts w:ascii="Calibri" w:cs="Calibri" w:eastAsia="Calibri" w:hAnsi="Calibri"/>
                <w:sz w:val="18"/>
                <w:szCs w:val="18"/>
                <w:color w:val="auto"/>
              </w:rPr>
              <w:t>Tax loss carryforwards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539</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529</w:t>
            </w:r>
          </w:p>
        </w:tc>
        <w:tc>
          <w:tcPr>
            <w:tcW w:w="100" w:type="dxa"/>
            <w:vAlign w:val="bottom"/>
            <w:shd w:val="clear" w:color="auto" w:fill="CFF0FC"/>
          </w:tcPr>
          <w:p>
            <w:pPr>
              <w:spacing w:after="0"/>
              <w:rPr>
                <w:sz w:val="18"/>
                <w:szCs w:val="18"/>
                <w:color w:val="auto"/>
              </w:rPr>
            </w:pPr>
          </w:p>
        </w:tc>
      </w:tr>
      <w:tr>
        <w:trPr>
          <w:trHeight w:val="215"/>
        </w:trPr>
        <w:tc>
          <w:tcPr>
            <w:tcW w:w="7620" w:type="dxa"/>
            <w:vAlign w:val="bottom"/>
          </w:tcPr>
          <w:p>
            <w:pPr>
              <w:ind w:left="200"/>
              <w:spacing w:after="0" w:line="215" w:lineRule="exact"/>
              <w:rPr>
                <w:sz w:val="20"/>
                <w:szCs w:val="20"/>
                <w:color w:val="auto"/>
              </w:rPr>
            </w:pPr>
            <w:r>
              <w:rPr>
                <w:rFonts w:ascii="Calibri" w:cs="Calibri" w:eastAsia="Calibri" w:hAnsi="Calibri"/>
                <w:sz w:val="18"/>
                <w:szCs w:val="18"/>
                <w:color w:val="auto"/>
              </w:rPr>
              <w:t>Other deferred revenue</w:t>
            </w:r>
          </w:p>
        </w:tc>
        <w:tc>
          <w:tcPr>
            <w:tcW w:w="360" w:type="dxa"/>
            <w:vAlign w:val="bottom"/>
          </w:tcPr>
          <w:p>
            <w:pPr>
              <w:spacing w:after="0"/>
              <w:rPr>
                <w:sz w:val="18"/>
                <w:szCs w:val="18"/>
                <w:color w:val="auto"/>
              </w:rPr>
            </w:pPr>
          </w:p>
        </w:tc>
        <w:tc>
          <w:tcPr>
            <w:tcW w:w="1200" w:type="dxa"/>
            <w:vAlign w:val="bottom"/>
          </w:tcPr>
          <w:p>
            <w:pPr>
              <w:jc w:val="right"/>
              <w:spacing w:after="0" w:line="215" w:lineRule="exact"/>
              <w:rPr>
                <w:sz w:val="20"/>
                <w:szCs w:val="20"/>
                <w:color w:val="auto"/>
              </w:rPr>
            </w:pPr>
            <w:r>
              <w:rPr>
                <w:rFonts w:ascii="Calibri" w:cs="Calibri" w:eastAsia="Calibri" w:hAnsi="Calibri"/>
                <w:sz w:val="18"/>
                <w:szCs w:val="18"/>
                <w:color w:val="auto"/>
              </w:rPr>
              <w:t>2</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line="215" w:lineRule="exact"/>
              <w:rPr>
                <w:sz w:val="20"/>
                <w:szCs w:val="20"/>
                <w:color w:val="auto"/>
              </w:rPr>
            </w:pPr>
            <w:r>
              <w:rPr>
                <w:rFonts w:ascii="Calibri" w:cs="Calibri" w:eastAsia="Calibri" w:hAnsi="Calibri"/>
                <w:sz w:val="18"/>
                <w:szCs w:val="18"/>
                <w:color w:val="auto"/>
              </w:rPr>
              <w:t>2</w:t>
            </w:r>
          </w:p>
        </w:tc>
        <w:tc>
          <w:tcPr>
            <w:tcW w:w="100" w:type="dxa"/>
            <w:vAlign w:val="bottom"/>
          </w:tcPr>
          <w:p>
            <w:pPr>
              <w:spacing w:after="0"/>
              <w:rPr>
                <w:sz w:val="18"/>
                <w:szCs w:val="18"/>
                <w:color w:val="auto"/>
              </w:rPr>
            </w:pPr>
          </w:p>
        </w:tc>
      </w:tr>
      <w:tr>
        <w:trPr>
          <w:trHeight w:val="216"/>
        </w:trPr>
        <w:tc>
          <w:tcPr>
            <w:tcW w:w="7620" w:type="dxa"/>
            <w:vAlign w:val="bottom"/>
            <w:tcBorders>
              <w:bottom w:val="single" w:sz="8" w:color="CFF0FC"/>
            </w:tcBorders>
            <w:shd w:val="clear" w:color="auto" w:fill="CFF0FC"/>
          </w:tcPr>
          <w:p>
            <w:pPr>
              <w:ind w:left="200"/>
              <w:spacing w:after="0" w:line="216" w:lineRule="exact"/>
              <w:rPr>
                <w:sz w:val="20"/>
                <w:szCs w:val="20"/>
                <w:color w:val="auto"/>
              </w:rPr>
            </w:pPr>
            <w:r>
              <w:rPr>
                <w:rFonts w:ascii="Calibri" w:cs="Calibri" w:eastAsia="Calibri" w:hAnsi="Calibri"/>
                <w:sz w:val="18"/>
                <w:szCs w:val="18"/>
                <w:color w:val="auto"/>
              </w:rPr>
              <w:t>Other</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71</w:t>
            </w:r>
          </w:p>
        </w:tc>
        <w:tc>
          <w:tcPr>
            <w:tcW w:w="2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79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620" w:type="dxa"/>
            <w:vAlign w:val="bottom"/>
          </w:tcPr>
          <w:p>
            <w:pPr>
              <w:ind w:left="20"/>
              <w:spacing w:after="0" w:line="209" w:lineRule="exact"/>
              <w:rPr>
                <w:sz w:val="20"/>
                <w:szCs w:val="20"/>
                <w:color w:val="auto"/>
              </w:rPr>
            </w:pPr>
            <w:r>
              <w:rPr>
                <w:rFonts w:ascii="Calibri" w:cs="Calibri" w:eastAsia="Calibri" w:hAnsi="Calibri"/>
                <w:sz w:val="18"/>
                <w:szCs w:val="18"/>
                <w:color w:val="auto"/>
              </w:rPr>
              <w:t>Total deferred tax assets before valuaton allowances</w:t>
            </w:r>
          </w:p>
        </w:tc>
        <w:tc>
          <w:tcPr>
            <w:tcW w:w="360" w:type="dxa"/>
            <w:vAlign w:val="bottom"/>
            <w:tcBorders>
              <w:bottom w:val="single" w:sz="8" w:color="auto"/>
            </w:tcBorders>
          </w:tcPr>
          <w:p>
            <w:pPr>
              <w:jc w:val="right"/>
              <w:ind w:right="170"/>
              <w:spacing w:after="0" w:line="209" w:lineRule="exact"/>
              <w:rPr>
                <w:sz w:val="20"/>
                <w:szCs w:val="20"/>
                <w:color w:val="auto"/>
              </w:rPr>
            </w:pPr>
            <w:r>
              <w:rPr>
                <w:rFonts w:ascii="Calibri" w:cs="Calibri" w:eastAsia="Calibri" w:hAnsi="Calibri"/>
                <w:sz w:val="18"/>
                <w:szCs w:val="18"/>
                <w:color w:val="auto"/>
                <w:w w:val="87"/>
              </w:rPr>
              <w:t>$</w:t>
            </w:r>
          </w:p>
        </w:tc>
        <w:tc>
          <w:tcPr>
            <w:tcW w:w="120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878</w:t>
            </w:r>
          </w:p>
        </w:tc>
        <w:tc>
          <w:tcPr>
            <w:tcW w:w="28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line="209" w:lineRule="exact"/>
              <w:rPr>
                <w:sz w:val="20"/>
                <w:szCs w:val="20"/>
                <w:color w:val="auto"/>
              </w:rPr>
            </w:pPr>
            <w:r>
              <w:rPr>
                <w:rFonts w:ascii="Calibri" w:cs="Calibri" w:eastAsia="Calibri" w:hAnsi="Calibri"/>
                <w:sz w:val="18"/>
                <w:szCs w:val="18"/>
                <w:color w:val="auto"/>
                <w:w w:val="87"/>
              </w:rPr>
              <w:t>$</w:t>
            </w:r>
          </w:p>
        </w:tc>
        <w:tc>
          <w:tcPr>
            <w:tcW w:w="122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1,032</w:t>
            </w:r>
          </w:p>
        </w:tc>
        <w:tc>
          <w:tcPr>
            <w:tcW w:w="100" w:type="dxa"/>
            <w:vAlign w:val="bottom"/>
          </w:tcPr>
          <w:p>
            <w:pPr>
              <w:spacing w:after="0"/>
              <w:rPr>
                <w:sz w:val="18"/>
                <w:szCs w:val="18"/>
                <w:color w:val="auto"/>
              </w:rPr>
            </w:pPr>
          </w:p>
        </w:tc>
      </w:tr>
      <w:tr>
        <w:trPr>
          <w:trHeight w:val="210"/>
        </w:trPr>
        <w:tc>
          <w:tcPr>
            <w:tcW w:w="7620" w:type="dxa"/>
            <w:vAlign w:val="bottom"/>
            <w:shd w:val="clear" w:color="auto" w:fill="CFF0FC"/>
          </w:tcPr>
          <w:p>
            <w:pPr>
              <w:ind w:left="200"/>
              <w:spacing w:after="0" w:line="209" w:lineRule="exact"/>
              <w:rPr>
                <w:sz w:val="20"/>
                <w:szCs w:val="20"/>
                <w:color w:val="auto"/>
              </w:rPr>
            </w:pPr>
            <w:r>
              <w:rPr>
                <w:rFonts w:ascii="Calibri" w:cs="Calibri" w:eastAsia="Calibri" w:hAnsi="Calibri"/>
                <w:sz w:val="18"/>
                <w:szCs w:val="18"/>
                <w:color w:val="auto"/>
              </w:rPr>
              <w:t>Valuaton allowances</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20"/>
              <w:spacing w:after="0" w:line="209" w:lineRule="exact"/>
              <w:rPr>
                <w:sz w:val="20"/>
                <w:szCs w:val="20"/>
                <w:color w:val="auto"/>
              </w:rPr>
            </w:pPr>
            <w:r>
              <w:rPr>
                <w:rFonts w:ascii="Calibri" w:cs="Calibri" w:eastAsia="Calibri" w:hAnsi="Calibri"/>
                <w:sz w:val="18"/>
                <w:szCs w:val="18"/>
                <w:color w:val="auto"/>
              </w:rPr>
              <w:t>(671 )</w:t>
            </w: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line="209" w:lineRule="exact"/>
              <w:rPr>
                <w:sz w:val="20"/>
                <w:szCs w:val="20"/>
                <w:color w:val="auto"/>
              </w:rPr>
            </w:pPr>
            <w:r>
              <w:rPr>
                <w:rFonts w:ascii="Calibri" w:cs="Calibri" w:eastAsia="Calibri" w:hAnsi="Calibri"/>
                <w:sz w:val="18"/>
                <w:szCs w:val="18"/>
                <w:color w:val="auto"/>
              </w:rPr>
              <w:t>(778 )</w:t>
            </w:r>
          </w:p>
        </w:tc>
      </w:tr>
      <w:tr>
        <w:trPr>
          <w:trHeight w:val="210"/>
        </w:trPr>
        <w:tc>
          <w:tcPr>
            <w:tcW w:w="7620" w:type="dxa"/>
            <w:vAlign w:val="bottom"/>
            <w:tcBorders>
              <w:top w:val="single" w:sz="8" w:color="CFF0FC"/>
            </w:tcBorders>
          </w:tcPr>
          <w:p>
            <w:pPr>
              <w:ind w:left="20"/>
              <w:spacing w:after="0" w:line="209" w:lineRule="exact"/>
              <w:rPr>
                <w:sz w:val="20"/>
                <w:szCs w:val="20"/>
                <w:color w:val="auto"/>
              </w:rPr>
            </w:pPr>
            <w:r>
              <w:rPr>
                <w:rFonts w:ascii="Calibri" w:cs="Calibri" w:eastAsia="Calibri" w:hAnsi="Calibri"/>
                <w:sz w:val="18"/>
                <w:szCs w:val="18"/>
                <w:color w:val="auto"/>
              </w:rPr>
              <w:t>Total net deferred tax assets</w:t>
            </w:r>
          </w:p>
        </w:tc>
        <w:tc>
          <w:tcPr>
            <w:tcW w:w="360" w:type="dxa"/>
            <w:vAlign w:val="bottom"/>
            <w:tcBorders>
              <w:top w:val="single" w:sz="8" w:color="auto"/>
              <w:bottom w:val="single" w:sz="8" w:color="auto"/>
            </w:tcBorders>
          </w:tcPr>
          <w:p>
            <w:pPr>
              <w:jc w:val="right"/>
              <w:ind w:right="170"/>
              <w:spacing w:after="0" w:line="209" w:lineRule="exact"/>
              <w:rPr>
                <w:sz w:val="20"/>
                <w:szCs w:val="20"/>
                <w:color w:val="auto"/>
              </w:rPr>
            </w:pPr>
            <w:r>
              <w:rPr>
                <w:rFonts w:ascii="Calibri" w:cs="Calibri" w:eastAsia="Calibri" w:hAnsi="Calibri"/>
                <w:sz w:val="18"/>
                <w:szCs w:val="18"/>
                <w:color w:val="auto"/>
                <w:w w:val="87"/>
              </w:rPr>
              <w:t>$</w:t>
            </w:r>
          </w:p>
        </w:tc>
        <w:tc>
          <w:tcPr>
            <w:tcW w:w="1200" w:type="dxa"/>
            <w:vAlign w:val="bottom"/>
            <w:tcBorders>
              <w:top w:val="single" w:sz="8" w:color="auto"/>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207</w:t>
            </w:r>
          </w:p>
        </w:tc>
        <w:tc>
          <w:tcPr>
            <w:tcW w:w="280" w:type="dxa"/>
            <w:vAlign w:val="bottom"/>
            <w:tcBorders>
              <w:top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line="209" w:lineRule="exact"/>
              <w:rPr>
                <w:sz w:val="20"/>
                <w:szCs w:val="20"/>
                <w:color w:val="auto"/>
              </w:rPr>
            </w:pPr>
            <w:r>
              <w:rPr>
                <w:rFonts w:ascii="Calibri" w:cs="Calibri" w:eastAsia="Calibri" w:hAnsi="Calibri"/>
                <w:sz w:val="18"/>
                <w:szCs w:val="18"/>
                <w:color w:val="auto"/>
                <w:w w:val="87"/>
              </w:rPr>
              <w:t>$</w:t>
            </w:r>
          </w:p>
        </w:tc>
        <w:tc>
          <w:tcPr>
            <w:tcW w:w="1220" w:type="dxa"/>
            <w:vAlign w:val="bottom"/>
            <w:tcBorders>
              <w:top w:val="single" w:sz="8" w:color="auto"/>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254</w:t>
            </w:r>
          </w:p>
        </w:tc>
        <w:tc>
          <w:tcPr>
            <w:tcW w:w="100" w:type="dxa"/>
            <w:vAlign w:val="bottom"/>
            <w:tcBorders>
              <w:top w:val="single" w:sz="8" w:color="CFF0FC"/>
            </w:tcBorders>
          </w:tcPr>
          <w:p>
            <w:pPr>
              <w:spacing w:after="0"/>
              <w:rPr>
                <w:sz w:val="18"/>
                <w:szCs w:val="18"/>
                <w:color w:val="auto"/>
              </w:rPr>
            </w:pPr>
          </w:p>
        </w:tc>
      </w:tr>
      <w:tr>
        <w:trPr>
          <w:trHeight w:val="20"/>
        </w:trPr>
        <w:tc>
          <w:tcPr>
            <w:tcW w:w="7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6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5"/>
        </w:trPr>
        <w:tc>
          <w:tcPr>
            <w:tcW w:w="7620" w:type="dxa"/>
            <w:vAlign w:val="bottom"/>
          </w:tcPr>
          <w:p>
            <w:pPr>
              <w:ind w:left="20"/>
              <w:spacing w:after="0" w:line="215" w:lineRule="exact"/>
              <w:rPr>
                <w:sz w:val="20"/>
                <w:szCs w:val="20"/>
                <w:color w:val="auto"/>
              </w:rPr>
            </w:pPr>
            <w:r>
              <w:rPr>
                <w:rFonts w:ascii="Calibri" w:cs="Calibri" w:eastAsia="Calibri" w:hAnsi="Calibri"/>
                <w:sz w:val="18"/>
                <w:szCs w:val="18"/>
                <w:b w:val="1"/>
                <w:bCs w:val="1"/>
                <w:color w:val="auto"/>
              </w:rPr>
              <w:t>Deferred tax liabilites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7620" w:type="dxa"/>
            <w:vAlign w:val="bottom"/>
            <w:shd w:val="clear" w:color="auto" w:fill="CFF0FC"/>
          </w:tcPr>
          <w:p>
            <w:pPr>
              <w:ind w:left="200"/>
              <w:spacing w:after="0" w:line="216" w:lineRule="exact"/>
              <w:rPr>
                <w:sz w:val="20"/>
                <w:szCs w:val="20"/>
                <w:color w:val="auto"/>
              </w:rPr>
            </w:pPr>
            <w:r>
              <w:rPr>
                <w:rFonts w:ascii="Calibri" w:cs="Calibri" w:eastAsia="Calibri" w:hAnsi="Calibri"/>
                <w:sz w:val="18"/>
                <w:szCs w:val="18"/>
                <w:color w:val="auto"/>
              </w:rPr>
              <w:t>Pension and postretrement obligatons</w:t>
            </w:r>
          </w:p>
        </w:tc>
        <w:tc>
          <w:tcPr>
            <w:tcW w:w="360" w:type="dxa"/>
            <w:vAlign w:val="bottom"/>
            <w:shd w:val="clear" w:color="auto" w:fill="CFF0FC"/>
          </w:tcPr>
          <w:p>
            <w:pPr>
              <w:jc w:val="right"/>
              <w:ind w:right="170"/>
              <w:spacing w:after="0" w:line="216" w:lineRule="exact"/>
              <w:rPr>
                <w:sz w:val="20"/>
                <w:szCs w:val="20"/>
                <w:color w:val="auto"/>
              </w:rPr>
            </w:pPr>
            <w:r>
              <w:rPr>
                <w:rFonts w:ascii="Calibri" w:cs="Calibri" w:eastAsia="Calibri" w:hAnsi="Calibri"/>
                <w:sz w:val="18"/>
                <w:szCs w:val="18"/>
                <w:color w:val="auto"/>
                <w:w w:val="87"/>
              </w:rPr>
              <w:t>$</w:t>
            </w:r>
          </w:p>
        </w:tc>
        <w:tc>
          <w:tcPr>
            <w:tcW w:w="1480" w:type="dxa"/>
            <w:vAlign w:val="bottom"/>
            <w:gridSpan w:val="2"/>
            <w:shd w:val="clear" w:color="auto" w:fill="CFF0FC"/>
          </w:tcPr>
          <w:p>
            <w:pPr>
              <w:jc w:val="right"/>
              <w:ind w:right="220"/>
              <w:spacing w:after="0" w:line="216" w:lineRule="exact"/>
              <w:rPr>
                <w:sz w:val="20"/>
                <w:szCs w:val="20"/>
                <w:color w:val="auto"/>
              </w:rPr>
            </w:pPr>
            <w:r>
              <w:rPr>
                <w:rFonts w:ascii="Calibri" w:cs="Calibri" w:eastAsia="Calibri" w:hAnsi="Calibri"/>
                <w:sz w:val="18"/>
                <w:szCs w:val="18"/>
                <w:color w:val="auto"/>
              </w:rPr>
              <w:t>(205 )</w:t>
            </w:r>
          </w:p>
        </w:tc>
        <w:tc>
          <w:tcPr>
            <w:tcW w:w="340" w:type="dxa"/>
            <w:vAlign w:val="bottom"/>
            <w:shd w:val="clear" w:color="auto" w:fill="CFF0FC"/>
          </w:tcPr>
          <w:p>
            <w:pPr>
              <w:jc w:val="right"/>
              <w:ind w:right="150"/>
              <w:spacing w:after="0" w:line="216" w:lineRule="exact"/>
              <w:rPr>
                <w:sz w:val="20"/>
                <w:szCs w:val="20"/>
                <w:color w:val="auto"/>
              </w:rPr>
            </w:pPr>
            <w:r>
              <w:rPr>
                <w:rFonts w:ascii="Calibri" w:cs="Calibri" w:eastAsia="Calibri" w:hAnsi="Calibri"/>
                <w:sz w:val="18"/>
                <w:szCs w:val="18"/>
                <w:color w:val="auto"/>
                <w:w w:val="87"/>
              </w:rPr>
              <w:t>$</w:t>
            </w:r>
          </w:p>
        </w:tc>
        <w:tc>
          <w:tcPr>
            <w:tcW w:w="1320" w:type="dxa"/>
            <w:vAlign w:val="bottom"/>
            <w:gridSpan w:val="2"/>
            <w:shd w:val="clear" w:color="auto" w:fill="CFF0FC"/>
          </w:tcPr>
          <w:p>
            <w:pPr>
              <w:jc w:val="right"/>
              <w:ind w:right="40"/>
              <w:spacing w:after="0" w:line="216" w:lineRule="exact"/>
              <w:rPr>
                <w:sz w:val="20"/>
                <w:szCs w:val="20"/>
                <w:color w:val="auto"/>
              </w:rPr>
            </w:pPr>
            <w:r>
              <w:rPr>
                <w:rFonts w:ascii="Calibri" w:cs="Calibri" w:eastAsia="Calibri" w:hAnsi="Calibri"/>
                <w:sz w:val="18"/>
                <w:szCs w:val="18"/>
                <w:color w:val="auto"/>
              </w:rPr>
              <w:t>(251 )</w:t>
            </w:r>
          </w:p>
        </w:tc>
      </w:tr>
      <w:tr>
        <w:trPr>
          <w:trHeight w:val="215"/>
        </w:trPr>
        <w:tc>
          <w:tcPr>
            <w:tcW w:w="7620" w:type="dxa"/>
            <w:vAlign w:val="bottom"/>
          </w:tcPr>
          <w:p>
            <w:pPr>
              <w:ind w:left="200"/>
              <w:spacing w:after="0" w:line="215" w:lineRule="exact"/>
              <w:rPr>
                <w:sz w:val="20"/>
                <w:szCs w:val="20"/>
                <w:color w:val="auto"/>
              </w:rPr>
            </w:pPr>
            <w:r>
              <w:rPr>
                <w:rFonts w:ascii="Calibri" w:cs="Calibri" w:eastAsia="Calibri" w:hAnsi="Calibri"/>
                <w:sz w:val="18"/>
                <w:szCs w:val="18"/>
                <w:color w:val="auto"/>
              </w:rPr>
              <w:t>Leasing</w:t>
            </w:r>
          </w:p>
        </w:tc>
        <w:tc>
          <w:tcPr>
            <w:tcW w:w="36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w w:val="87"/>
              </w:rPr>
              <w:t>$</w:t>
            </w:r>
          </w:p>
        </w:tc>
        <w:tc>
          <w:tcPr>
            <w:tcW w:w="1480" w:type="dxa"/>
            <w:vAlign w:val="bottom"/>
            <w:gridSpan w:val="2"/>
          </w:tcPr>
          <w:p>
            <w:pPr>
              <w:jc w:val="right"/>
              <w:ind w:right="220"/>
              <w:spacing w:after="0" w:line="215" w:lineRule="exact"/>
              <w:rPr>
                <w:sz w:val="20"/>
                <w:szCs w:val="20"/>
                <w:color w:val="auto"/>
              </w:rPr>
            </w:pPr>
            <w:r>
              <w:rPr>
                <w:rFonts w:ascii="Calibri" w:cs="Calibri" w:eastAsia="Calibri" w:hAnsi="Calibri"/>
                <w:sz w:val="18"/>
                <w:szCs w:val="18"/>
                <w:color w:val="auto"/>
              </w:rPr>
              <w:t>(5 )</w:t>
            </w:r>
          </w:p>
        </w:tc>
        <w:tc>
          <w:tcPr>
            <w:tcW w:w="34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w w:val="87"/>
              </w:rPr>
              <w:t>$</w:t>
            </w:r>
          </w:p>
        </w:tc>
        <w:tc>
          <w:tcPr>
            <w:tcW w:w="132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(6 )</w:t>
            </w:r>
          </w:p>
        </w:tc>
      </w:tr>
      <w:tr>
        <w:trPr>
          <w:trHeight w:val="217"/>
        </w:trPr>
        <w:tc>
          <w:tcPr>
            <w:tcW w:w="7620" w:type="dxa"/>
            <w:vAlign w:val="bottom"/>
            <w:shd w:val="clear" w:color="auto" w:fill="CFF0FC"/>
          </w:tcPr>
          <w:p>
            <w:pPr>
              <w:ind w:left="200"/>
              <w:spacing w:after="0" w:line="216" w:lineRule="exact"/>
              <w:rPr>
                <w:sz w:val="20"/>
                <w:szCs w:val="20"/>
                <w:color w:val="auto"/>
              </w:rPr>
            </w:pPr>
            <w:r>
              <w:rPr>
                <w:rFonts w:ascii="Calibri" w:cs="Calibri" w:eastAsia="Calibri" w:hAnsi="Calibri"/>
                <w:sz w:val="18"/>
                <w:szCs w:val="18"/>
                <w:color w:val="auto"/>
              </w:rPr>
              <w:t>Goodwill/intangibles</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20"/>
              <w:spacing w:after="0" w:line="216" w:lineRule="exact"/>
              <w:rPr>
                <w:sz w:val="20"/>
                <w:szCs w:val="20"/>
                <w:color w:val="auto"/>
              </w:rPr>
            </w:pPr>
            <w:r>
              <w:rPr>
                <w:rFonts w:ascii="Calibri" w:cs="Calibri" w:eastAsia="Calibri" w:hAnsi="Calibri"/>
                <w:sz w:val="18"/>
                <w:szCs w:val="18"/>
                <w:color w:val="auto"/>
              </w:rPr>
              <w:t>(6 )</w:t>
            </w: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line="216" w:lineRule="exact"/>
              <w:rPr>
                <w:sz w:val="20"/>
                <w:szCs w:val="20"/>
                <w:color w:val="auto"/>
              </w:rPr>
            </w:pPr>
            <w:r>
              <w:rPr>
                <w:rFonts w:ascii="Calibri" w:cs="Calibri" w:eastAsia="Calibri" w:hAnsi="Calibri"/>
                <w:sz w:val="18"/>
                <w:szCs w:val="18"/>
                <w:color w:val="auto"/>
              </w:rPr>
              <w:t>(8 )</w:t>
            </w:r>
          </w:p>
        </w:tc>
      </w:tr>
      <w:tr>
        <w:trPr>
          <w:trHeight w:val="215"/>
        </w:trPr>
        <w:tc>
          <w:tcPr>
            <w:tcW w:w="7620" w:type="dxa"/>
            <w:vAlign w:val="bottom"/>
          </w:tcPr>
          <w:p>
            <w:pPr>
              <w:ind w:left="200"/>
              <w:spacing w:after="0" w:line="215" w:lineRule="exact"/>
              <w:rPr>
                <w:sz w:val="20"/>
                <w:szCs w:val="20"/>
                <w:color w:val="auto"/>
              </w:rPr>
            </w:pPr>
            <w:r>
              <w:rPr>
                <w:rFonts w:ascii="Calibri" w:cs="Calibri" w:eastAsia="Calibri" w:hAnsi="Calibri"/>
                <w:sz w:val="18"/>
                <w:szCs w:val="18"/>
                <w:color w:val="auto"/>
              </w:rPr>
              <w:t>Unremited foreign earnings</w:t>
            </w:r>
          </w:p>
        </w:tc>
        <w:tc>
          <w:tcPr>
            <w:tcW w:w="360" w:type="dxa"/>
            <w:vAlign w:val="bottom"/>
          </w:tcPr>
          <w:p>
            <w:pPr>
              <w:spacing w:after="0"/>
              <w:rPr>
                <w:sz w:val="18"/>
                <w:szCs w:val="18"/>
                <w:color w:val="auto"/>
              </w:rPr>
            </w:pPr>
          </w:p>
        </w:tc>
        <w:tc>
          <w:tcPr>
            <w:tcW w:w="1480" w:type="dxa"/>
            <w:vAlign w:val="bottom"/>
            <w:gridSpan w:val="2"/>
          </w:tcPr>
          <w:p>
            <w:pPr>
              <w:jc w:val="right"/>
              <w:ind w:right="220"/>
              <w:spacing w:after="0" w:line="215" w:lineRule="exact"/>
              <w:rPr>
                <w:sz w:val="20"/>
                <w:szCs w:val="20"/>
                <w:color w:val="auto"/>
              </w:rPr>
            </w:pPr>
            <w:r>
              <w:rPr>
                <w:rFonts w:ascii="Calibri" w:cs="Calibri" w:eastAsia="Calibri" w:hAnsi="Calibri"/>
                <w:sz w:val="18"/>
                <w:szCs w:val="18"/>
                <w:color w:val="auto"/>
              </w:rPr>
              <w:t>(15 )</w:t>
            </w:r>
          </w:p>
        </w:tc>
        <w:tc>
          <w:tcPr>
            <w:tcW w:w="340" w:type="dxa"/>
            <w:vAlign w:val="bottom"/>
          </w:tcPr>
          <w:p>
            <w:pPr>
              <w:spacing w:after="0"/>
              <w:rPr>
                <w:sz w:val="18"/>
                <w:szCs w:val="18"/>
                <w:color w:val="auto"/>
              </w:rPr>
            </w:pPr>
          </w:p>
        </w:tc>
        <w:tc>
          <w:tcPr>
            <w:tcW w:w="132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(16 )</w:t>
            </w:r>
          </w:p>
        </w:tc>
      </w:tr>
      <w:tr>
        <w:trPr>
          <w:trHeight w:val="20"/>
        </w:trPr>
        <w:tc>
          <w:tcPr>
            <w:tcW w:w="76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620" w:type="dxa"/>
            <w:vAlign w:val="bottom"/>
            <w:shd w:val="clear" w:color="auto" w:fill="CFF0FC"/>
          </w:tcPr>
          <w:p>
            <w:pPr>
              <w:ind w:left="20"/>
              <w:spacing w:after="0" w:line="209" w:lineRule="exact"/>
              <w:rPr>
                <w:sz w:val="20"/>
                <w:szCs w:val="20"/>
                <w:color w:val="auto"/>
              </w:rPr>
            </w:pPr>
            <w:r>
              <w:rPr>
                <w:rFonts w:ascii="Calibri" w:cs="Calibri" w:eastAsia="Calibri" w:hAnsi="Calibri"/>
                <w:sz w:val="18"/>
                <w:szCs w:val="18"/>
                <w:color w:val="auto"/>
              </w:rPr>
              <w:t>Total deferred tax liabilites</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20"/>
              <w:spacing w:after="0" w:line="209" w:lineRule="exact"/>
              <w:rPr>
                <w:sz w:val="20"/>
                <w:szCs w:val="20"/>
                <w:color w:val="auto"/>
              </w:rPr>
            </w:pPr>
            <w:r>
              <w:rPr>
                <w:rFonts w:ascii="Calibri" w:cs="Calibri" w:eastAsia="Calibri" w:hAnsi="Calibri"/>
                <w:sz w:val="18"/>
                <w:szCs w:val="18"/>
                <w:color w:val="auto"/>
              </w:rPr>
              <w:t>(231 )</w:t>
            </w: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line="209" w:lineRule="exact"/>
              <w:rPr>
                <w:sz w:val="20"/>
                <w:szCs w:val="20"/>
                <w:color w:val="auto"/>
              </w:rPr>
            </w:pPr>
            <w:r>
              <w:rPr>
                <w:rFonts w:ascii="Calibri" w:cs="Calibri" w:eastAsia="Calibri" w:hAnsi="Calibri"/>
                <w:sz w:val="18"/>
                <w:szCs w:val="18"/>
                <w:color w:val="auto"/>
              </w:rPr>
              <w:t>(281 )</w:t>
            </w:r>
          </w:p>
        </w:tc>
      </w:tr>
      <w:tr>
        <w:trPr>
          <w:trHeight w:val="20"/>
        </w:trPr>
        <w:tc>
          <w:tcPr>
            <w:tcW w:w="76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620" w:type="dxa"/>
            <w:vAlign w:val="bottom"/>
          </w:tcPr>
          <w:p>
            <w:pPr>
              <w:ind w:left="20"/>
              <w:spacing w:after="0" w:line="209" w:lineRule="exact"/>
              <w:rPr>
                <w:sz w:val="20"/>
                <w:szCs w:val="20"/>
                <w:color w:val="auto"/>
              </w:rPr>
            </w:pPr>
            <w:r>
              <w:rPr>
                <w:rFonts w:ascii="Calibri" w:cs="Calibri" w:eastAsia="Calibri" w:hAnsi="Calibri"/>
                <w:sz w:val="18"/>
                <w:szCs w:val="18"/>
                <w:color w:val="auto"/>
              </w:rPr>
              <w:t>Net deferred tax liabilites</w:t>
            </w:r>
          </w:p>
        </w:tc>
        <w:tc>
          <w:tcPr>
            <w:tcW w:w="360" w:type="dxa"/>
            <w:vAlign w:val="bottom"/>
          </w:tcPr>
          <w:p>
            <w:pPr>
              <w:jc w:val="right"/>
              <w:ind w:right="170"/>
              <w:spacing w:after="0" w:line="209" w:lineRule="exact"/>
              <w:rPr>
                <w:sz w:val="20"/>
                <w:szCs w:val="20"/>
                <w:color w:val="auto"/>
              </w:rPr>
            </w:pPr>
            <w:r>
              <w:rPr>
                <w:rFonts w:ascii="Calibri" w:cs="Calibri" w:eastAsia="Calibri" w:hAnsi="Calibri"/>
                <w:sz w:val="18"/>
                <w:szCs w:val="18"/>
                <w:color w:val="auto"/>
                <w:w w:val="87"/>
              </w:rPr>
              <w:t>$</w:t>
            </w:r>
          </w:p>
        </w:tc>
        <w:tc>
          <w:tcPr>
            <w:tcW w:w="1480" w:type="dxa"/>
            <w:vAlign w:val="bottom"/>
            <w:gridSpan w:val="2"/>
          </w:tcPr>
          <w:p>
            <w:pPr>
              <w:jc w:val="right"/>
              <w:ind w:right="220"/>
              <w:spacing w:after="0" w:line="209" w:lineRule="exact"/>
              <w:rPr>
                <w:sz w:val="20"/>
                <w:szCs w:val="20"/>
                <w:color w:val="auto"/>
              </w:rPr>
            </w:pPr>
            <w:r>
              <w:rPr>
                <w:rFonts w:ascii="Calibri" w:cs="Calibri" w:eastAsia="Calibri" w:hAnsi="Calibri"/>
                <w:sz w:val="18"/>
                <w:szCs w:val="18"/>
                <w:color w:val="auto"/>
              </w:rPr>
              <w:t>(24 )</w:t>
            </w:r>
          </w:p>
        </w:tc>
        <w:tc>
          <w:tcPr>
            <w:tcW w:w="340" w:type="dxa"/>
            <w:vAlign w:val="bottom"/>
          </w:tcPr>
          <w:p>
            <w:pPr>
              <w:jc w:val="right"/>
              <w:ind w:right="150"/>
              <w:spacing w:after="0" w:line="209" w:lineRule="exact"/>
              <w:rPr>
                <w:sz w:val="20"/>
                <w:szCs w:val="20"/>
                <w:color w:val="auto"/>
              </w:rPr>
            </w:pPr>
            <w:r>
              <w:rPr>
                <w:rFonts w:ascii="Calibri" w:cs="Calibri" w:eastAsia="Calibri" w:hAnsi="Calibri"/>
                <w:sz w:val="18"/>
                <w:szCs w:val="18"/>
                <w:color w:val="auto"/>
                <w:w w:val="87"/>
              </w:rPr>
              <w:t>$</w:t>
            </w:r>
          </w:p>
        </w:tc>
        <w:tc>
          <w:tcPr>
            <w:tcW w:w="1320" w:type="dxa"/>
            <w:vAlign w:val="bottom"/>
            <w:gridSpan w:val="2"/>
          </w:tcPr>
          <w:p>
            <w:pPr>
              <w:jc w:val="right"/>
              <w:ind w:right="40"/>
              <w:spacing w:after="0" w:line="209" w:lineRule="exact"/>
              <w:rPr>
                <w:sz w:val="20"/>
                <w:szCs w:val="20"/>
                <w:color w:val="auto"/>
              </w:rPr>
            </w:pPr>
            <w:r>
              <w:rPr>
                <w:rFonts w:ascii="Calibri" w:cs="Calibri" w:eastAsia="Calibri" w:hAnsi="Calibri"/>
                <w:sz w:val="18"/>
                <w:szCs w:val="18"/>
                <w:color w:val="auto"/>
              </w:rPr>
              <w:t>(27 )</w:t>
            </w:r>
          </w:p>
        </w:tc>
      </w:tr>
      <w:tr>
        <w:trPr>
          <w:trHeight w:val="20"/>
        </w:trPr>
        <w:tc>
          <w:tcPr>
            <w:tcW w:w="76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-1602105</wp:posOffset>
            </wp:positionV>
            <wp:extent cx="6858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-1602105</wp:posOffset>
            </wp:positionV>
            <wp:extent cx="6858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-1310640</wp:posOffset>
            </wp:positionV>
            <wp:extent cx="6858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-1310640</wp:posOffset>
            </wp:positionV>
            <wp:extent cx="6858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-170815</wp:posOffset>
            </wp:positionV>
            <wp:extent cx="6858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-170815</wp:posOffset>
            </wp:positionV>
            <wp:extent cx="6858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Calibri" w:cs="Calibri" w:eastAsia="Calibri" w:hAnsi="Calibri"/>
          <w:sz w:val="18"/>
          <w:szCs w:val="18"/>
          <w:color w:val="auto"/>
        </w:rPr>
        <w:t>Deferred tax liabilites are reported in the following component within the Consolidated Statement of Financial Positon:</w:t>
      </w:r>
    </w:p>
    <w:p>
      <w:pPr>
        <w:spacing w:after="0" w:line="212" w:lineRule="exact"/>
        <w:rPr>
          <w:sz w:val="20"/>
          <w:szCs w:val="20"/>
          <w:color w:val="auto"/>
        </w:rPr>
      </w:pPr>
    </w:p>
    <w:p>
      <w:pPr>
        <w:ind w:left="8600"/>
        <w:spacing w:after="0"/>
        <w:rPr>
          <w:sz w:val="20"/>
          <w:szCs w:val="20"/>
          <w:color w:val="auto"/>
        </w:rPr>
      </w:pPr>
      <w:r>
        <w:rPr>
          <w:rFonts w:ascii="Calibri" w:cs="Calibri" w:eastAsia="Calibri" w:hAnsi="Calibri"/>
          <w:sz w:val="18"/>
          <w:szCs w:val="18"/>
          <w:b w:val="1"/>
          <w:bCs w:val="1"/>
          <w:color w:val="auto"/>
        </w:rPr>
        <w:t>As of December 31,</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620" w:type="dxa"/>
            <w:vAlign w:val="bottom"/>
          </w:tcPr>
          <w:p>
            <w:pPr>
              <w:ind w:left="20"/>
              <w:spacing w:after="0"/>
              <w:rPr>
                <w:sz w:val="20"/>
                <w:szCs w:val="20"/>
                <w:color w:val="auto"/>
              </w:rPr>
            </w:pPr>
            <w:r>
              <w:rPr>
                <w:rFonts w:ascii="Calibri" w:cs="Calibri" w:eastAsia="Calibri" w:hAnsi="Calibri"/>
                <w:sz w:val="14"/>
                <w:szCs w:val="14"/>
                <w:color w:val="auto"/>
              </w:rPr>
              <w:t>(in millions)</w:t>
            </w:r>
          </w:p>
        </w:tc>
        <w:tc>
          <w:tcPr>
            <w:tcW w:w="1140" w:type="dxa"/>
            <w:vAlign w:val="bottom"/>
            <w:tcBorders>
              <w:top w:val="single" w:sz="8" w:color="auto"/>
              <w:bottom w:val="single" w:sz="8" w:color="auto"/>
            </w:tcBorders>
          </w:tcPr>
          <w:p>
            <w:pPr>
              <w:jc w:val="right"/>
              <w:ind w:right="90"/>
              <w:spacing w:after="0"/>
              <w:rPr>
                <w:sz w:val="20"/>
                <w:szCs w:val="20"/>
                <w:color w:val="auto"/>
              </w:rPr>
            </w:pPr>
            <w:r>
              <w:rPr>
                <w:rFonts w:ascii="Calibri" w:cs="Calibri" w:eastAsia="Calibri" w:hAnsi="Calibri"/>
                <w:sz w:val="18"/>
                <w:szCs w:val="18"/>
                <w:b w:val="1"/>
                <w:bCs w:val="1"/>
                <w:color w:val="auto"/>
              </w:rPr>
              <w:t>2024</w:t>
            </w:r>
          </w:p>
        </w:tc>
        <w:tc>
          <w:tcPr>
            <w:tcW w:w="4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Calibri" w:cs="Calibri" w:eastAsia="Calibri" w:hAnsi="Calibri"/>
                <w:sz w:val="18"/>
                <w:szCs w:val="18"/>
                <w:b w:val="1"/>
                <w:bCs w:val="1"/>
                <w:color w:val="auto"/>
              </w:rPr>
              <w:t>2023</w:t>
            </w:r>
          </w:p>
        </w:tc>
        <w:tc>
          <w:tcPr>
            <w:tcW w:w="100" w:type="dxa"/>
            <w:vAlign w:val="bottom"/>
          </w:tcPr>
          <w:p>
            <w:pPr>
              <w:spacing w:after="0"/>
              <w:rPr>
                <w:sz w:val="19"/>
                <w:szCs w:val="19"/>
                <w:color w:val="auto"/>
              </w:rPr>
            </w:pPr>
          </w:p>
        </w:tc>
      </w:tr>
      <w:tr>
        <w:trPr>
          <w:trHeight w:val="210"/>
        </w:trPr>
        <w:tc>
          <w:tcPr>
            <w:tcW w:w="7620" w:type="dxa"/>
            <w:vAlign w:val="bottom"/>
            <w:shd w:val="clear" w:color="auto" w:fill="CFF0FC"/>
          </w:tcPr>
          <w:p>
            <w:pPr>
              <w:ind w:left="20"/>
              <w:spacing w:after="0" w:line="209" w:lineRule="exact"/>
              <w:rPr>
                <w:sz w:val="20"/>
                <w:szCs w:val="20"/>
                <w:color w:val="auto"/>
              </w:rPr>
            </w:pPr>
            <w:r>
              <w:rPr>
                <w:rFonts w:ascii="Calibri" w:cs="Calibri" w:eastAsia="Calibri" w:hAnsi="Calibri"/>
                <w:sz w:val="18"/>
                <w:szCs w:val="18"/>
                <w:color w:val="auto"/>
              </w:rPr>
              <w:t>Other long-term liabilites</w:t>
            </w:r>
          </w:p>
        </w:tc>
        <w:tc>
          <w:tcPr>
            <w:tcW w:w="1140" w:type="dxa"/>
            <w:vAlign w:val="bottom"/>
            <w:shd w:val="clear" w:color="auto" w:fill="CFF0FC"/>
          </w:tcPr>
          <w:p>
            <w:pPr>
              <w:jc w:val="right"/>
              <w:ind w:right="950"/>
              <w:spacing w:after="0" w:line="209" w:lineRule="exact"/>
              <w:rPr>
                <w:sz w:val="20"/>
                <w:szCs w:val="20"/>
                <w:color w:val="auto"/>
              </w:rPr>
            </w:pPr>
            <w:r>
              <w:rPr>
                <w:rFonts w:ascii="Calibri" w:cs="Calibri" w:eastAsia="Calibri" w:hAnsi="Calibri"/>
                <w:sz w:val="18"/>
                <w:szCs w:val="18"/>
                <w:color w:val="auto"/>
                <w:w w:val="87"/>
              </w:rPr>
              <w:t>$</w:t>
            </w:r>
          </w:p>
        </w:tc>
        <w:tc>
          <w:tcPr>
            <w:tcW w:w="700" w:type="dxa"/>
            <w:vAlign w:val="bottom"/>
            <w:gridSpan w:val="2"/>
            <w:shd w:val="clear" w:color="auto" w:fill="CFF0FC"/>
          </w:tcPr>
          <w:p>
            <w:pPr>
              <w:jc w:val="right"/>
              <w:ind w:right="220"/>
              <w:spacing w:after="0" w:line="209" w:lineRule="exact"/>
              <w:rPr>
                <w:sz w:val="20"/>
                <w:szCs w:val="20"/>
                <w:color w:val="auto"/>
              </w:rPr>
            </w:pPr>
            <w:r>
              <w:rPr>
                <w:rFonts w:ascii="Calibri" w:cs="Calibri" w:eastAsia="Calibri" w:hAnsi="Calibri"/>
                <w:sz w:val="18"/>
                <w:szCs w:val="18"/>
                <w:color w:val="auto"/>
              </w:rPr>
              <w:t>(24 )</w:t>
            </w:r>
          </w:p>
        </w:tc>
        <w:tc>
          <w:tcPr>
            <w:tcW w:w="340" w:type="dxa"/>
            <w:vAlign w:val="bottom"/>
            <w:shd w:val="clear" w:color="auto" w:fill="CFF0FC"/>
          </w:tcPr>
          <w:p>
            <w:pPr>
              <w:jc w:val="right"/>
              <w:ind w:right="150"/>
              <w:spacing w:after="0" w:line="209" w:lineRule="exact"/>
              <w:rPr>
                <w:sz w:val="20"/>
                <w:szCs w:val="20"/>
                <w:color w:val="auto"/>
              </w:rPr>
            </w:pPr>
            <w:r>
              <w:rPr>
                <w:rFonts w:ascii="Calibri" w:cs="Calibri" w:eastAsia="Calibri" w:hAnsi="Calibri"/>
                <w:sz w:val="18"/>
                <w:szCs w:val="18"/>
                <w:color w:val="auto"/>
                <w:w w:val="87"/>
              </w:rPr>
              <w:t>$</w:t>
            </w:r>
          </w:p>
        </w:tc>
        <w:tc>
          <w:tcPr>
            <w:tcW w:w="1320" w:type="dxa"/>
            <w:vAlign w:val="bottom"/>
            <w:gridSpan w:val="2"/>
            <w:shd w:val="clear" w:color="auto" w:fill="CFF0FC"/>
          </w:tcPr>
          <w:p>
            <w:pPr>
              <w:jc w:val="right"/>
              <w:ind w:right="40"/>
              <w:spacing w:after="0" w:line="209" w:lineRule="exact"/>
              <w:rPr>
                <w:sz w:val="20"/>
                <w:szCs w:val="20"/>
                <w:color w:val="auto"/>
              </w:rPr>
            </w:pPr>
            <w:r>
              <w:rPr>
                <w:rFonts w:ascii="Calibri" w:cs="Calibri" w:eastAsia="Calibri" w:hAnsi="Calibri"/>
                <w:sz w:val="18"/>
                <w:szCs w:val="18"/>
                <w:color w:val="auto"/>
              </w:rPr>
              <w:t>(27 )</w:t>
            </w:r>
          </w:p>
        </w:tc>
      </w:tr>
      <w:tr>
        <w:trPr>
          <w:trHeight w:val="20"/>
        </w:trPr>
        <w:tc>
          <w:tcPr>
            <w:tcW w:w="762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620" w:type="dxa"/>
            <w:vAlign w:val="bottom"/>
          </w:tcPr>
          <w:p>
            <w:pPr>
              <w:ind w:left="20"/>
              <w:spacing w:after="0" w:line="209" w:lineRule="exact"/>
              <w:rPr>
                <w:sz w:val="20"/>
                <w:szCs w:val="20"/>
                <w:color w:val="auto"/>
              </w:rPr>
            </w:pPr>
            <w:r>
              <w:rPr>
                <w:rFonts w:ascii="Calibri" w:cs="Calibri" w:eastAsia="Calibri" w:hAnsi="Calibri"/>
                <w:sz w:val="18"/>
                <w:szCs w:val="18"/>
                <w:color w:val="auto"/>
              </w:rPr>
              <w:t>Net deferred tax liabilites</w:t>
            </w:r>
          </w:p>
        </w:tc>
        <w:tc>
          <w:tcPr>
            <w:tcW w:w="1140" w:type="dxa"/>
            <w:vAlign w:val="bottom"/>
          </w:tcPr>
          <w:p>
            <w:pPr>
              <w:jc w:val="right"/>
              <w:ind w:right="950"/>
              <w:spacing w:after="0" w:line="209" w:lineRule="exact"/>
              <w:rPr>
                <w:sz w:val="20"/>
                <w:szCs w:val="20"/>
                <w:color w:val="auto"/>
              </w:rPr>
            </w:pPr>
            <w:r>
              <w:rPr>
                <w:rFonts w:ascii="Calibri" w:cs="Calibri" w:eastAsia="Calibri" w:hAnsi="Calibri"/>
                <w:sz w:val="18"/>
                <w:szCs w:val="18"/>
                <w:color w:val="auto"/>
                <w:w w:val="87"/>
              </w:rPr>
              <w:t>$</w:t>
            </w:r>
          </w:p>
        </w:tc>
        <w:tc>
          <w:tcPr>
            <w:tcW w:w="700" w:type="dxa"/>
            <w:vAlign w:val="bottom"/>
            <w:gridSpan w:val="2"/>
          </w:tcPr>
          <w:p>
            <w:pPr>
              <w:jc w:val="right"/>
              <w:ind w:right="220"/>
              <w:spacing w:after="0" w:line="209" w:lineRule="exact"/>
              <w:rPr>
                <w:sz w:val="20"/>
                <w:szCs w:val="20"/>
                <w:color w:val="auto"/>
              </w:rPr>
            </w:pPr>
            <w:r>
              <w:rPr>
                <w:rFonts w:ascii="Calibri" w:cs="Calibri" w:eastAsia="Calibri" w:hAnsi="Calibri"/>
                <w:sz w:val="18"/>
                <w:szCs w:val="18"/>
                <w:color w:val="auto"/>
              </w:rPr>
              <w:t>(24 )</w:t>
            </w:r>
          </w:p>
        </w:tc>
        <w:tc>
          <w:tcPr>
            <w:tcW w:w="340" w:type="dxa"/>
            <w:vAlign w:val="bottom"/>
          </w:tcPr>
          <w:p>
            <w:pPr>
              <w:jc w:val="right"/>
              <w:ind w:right="150"/>
              <w:spacing w:after="0" w:line="209" w:lineRule="exact"/>
              <w:rPr>
                <w:sz w:val="20"/>
                <w:szCs w:val="20"/>
                <w:color w:val="auto"/>
              </w:rPr>
            </w:pPr>
            <w:r>
              <w:rPr>
                <w:rFonts w:ascii="Calibri" w:cs="Calibri" w:eastAsia="Calibri" w:hAnsi="Calibri"/>
                <w:sz w:val="18"/>
                <w:szCs w:val="18"/>
                <w:color w:val="auto"/>
                <w:w w:val="87"/>
              </w:rPr>
              <w:t>$</w:t>
            </w:r>
          </w:p>
        </w:tc>
        <w:tc>
          <w:tcPr>
            <w:tcW w:w="1320" w:type="dxa"/>
            <w:vAlign w:val="bottom"/>
            <w:gridSpan w:val="2"/>
          </w:tcPr>
          <w:p>
            <w:pPr>
              <w:jc w:val="right"/>
              <w:ind w:right="40"/>
              <w:spacing w:after="0" w:line="209" w:lineRule="exact"/>
              <w:rPr>
                <w:sz w:val="20"/>
                <w:szCs w:val="20"/>
                <w:color w:val="auto"/>
              </w:rPr>
            </w:pPr>
            <w:r>
              <w:rPr>
                <w:rFonts w:ascii="Calibri" w:cs="Calibri" w:eastAsia="Calibri" w:hAnsi="Calibri"/>
                <w:sz w:val="18"/>
                <w:szCs w:val="18"/>
                <w:color w:val="auto"/>
              </w:rPr>
              <w:t>(27 )</w:t>
            </w:r>
          </w:p>
        </w:tc>
      </w:tr>
      <w:tr>
        <w:trPr>
          <w:trHeight w:val="20"/>
        </w:trPr>
        <w:tc>
          <w:tcPr>
            <w:tcW w:w="76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-170815</wp:posOffset>
            </wp:positionV>
            <wp:extent cx="6858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-170815</wp:posOffset>
            </wp:positionV>
            <wp:extent cx="6858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As of December 31, 2024, Kodak had available domestc and foreign net operatng loss ("NOL") carryforwards for income tax purposes of approximately $2,228 million, of which approximately $1,062 million have an indefnite carryforward period. The $1,062 million with an indefnite carryforward period includes $218 million of U.S interest carryforward. The remaining $1,166 million that do not have an indefnite carryforward period expire between the years 2025 and 2043. Kodak also had foreign tax and investment</w:t>
      </w:r>
    </w:p>
    <w:p>
      <w:pPr>
        <w:spacing w:after="0" w:line="188"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sectPr>
      </w:pPr>
    </w:p>
    <w:bookmarkStart w:id="88" w:name="page89"/>
    <w:bookmarkEnd w:id="88"/>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jc w:val="both"/>
        <w:ind w:right="180"/>
        <w:spacing w:after="0" w:line="235" w:lineRule="auto"/>
        <w:rPr>
          <w:sz w:val="20"/>
          <w:szCs w:val="20"/>
          <w:color w:val="auto"/>
        </w:rPr>
      </w:pPr>
      <w:r>
        <w:rPr>
          <w:rFonts w:ascii="Calibri" w:cs="Calibri" w:eastAsia="Calibri" w:hAnsi="Calibri"/>
          <w:sz w:val="18"/>
          <w:szCs w:val="18"/>
          <w:color w:val="auto"/>
        </w:rPr>
        <w:t>tax credit carryforwards of $134 million and $21 million, respectvely, which expire between 2025 and 2039. A total of $97 million of the foreign tax credit carryforwards will expire in 2025 if lef unutlized. If writen of, these tax atributes are expected to be fully ofset by a corresponding decrease in Kodak's valuaton allowance, resultng in no net tax provision.</w:t>
      </w:r>
    </w:p>
    <w:p>
      <w:pPr>
        <w:spacing w:after="0" w:line="192" w:lineRule="exact"/>
        <w:rPr>
          <w:sz w:val="20"/>
          <w:szCs w:val="20"/>
          <w:color w:val="auto"/>
        </w:rPr>
      </w:pPr>
    </w:p>
    <w:p>
      <w:pPr>
        <w:ind w:right="200"/>
        <w:spacing w:after="0" w:line="235" w:lineRule="auto"/>
        <w:rPr>
          <w:sz w:val="20"/>
          <w:szCs w:val="20"/>
          <w:color w:val="auto"/>
        </w:rPr>
      </w:pPr>
      <w:r>
        <w:rPr>
          <w:rFonts w:ascii="Calibri" w:cs="Calibri" w:eastAsia="Calibri" w:hAnsi="Calibri"/>
          <w:sz w:val="18"/>
          <w:szCs w:val="18"/>
          <w:color w:val="auto"/>
        </w:rPr>
        <w:t>As of December 31, 2024, approximately $147 million of unused foreign tax credits expired and were writen of. The write-of of these tax atributes was fully ofset by a corresponding reducton in Kodak’s valuaton allowance, which resulted in no net tax provision.</w:t>
      </w:r>
    </w:p>
    <w:p>
      <w:pPr>
        <w:spacing w:after="0" w:line="177" w:lineRule="exact"/>
        <w:rPr>
          <w:sz w:val="20"/>
          <w:szCs w:val="20"/>
          <w:color w:val="auto"/>
        </w:rPr>
      </w:pPr>
    </w:p>
    <w:p>
      <w:pPr>
        <w:ind w:right="280"/>
        <w:spacing w:after="0" w:line="235" w:lineRule="auto"/>
        <w:rPr>
          <w:sz w:val="20"/>
          <w:szCs w:val="20"/>
          <w:color w:val="auto"/>
        </w:rPr>
      </w:pPr>
      <w:r>
        <w:rPr>
          <w:rFonts w:ascii="Calibri" w:cs="Calibri" w:eastAsia="Calibri" w:hAnsi="Calibri"/>
          <w:sz w:val="18"/>
          <w:szCs w:val="18"/>
          <w:color w:val="auto"/>
        </w:rPr>
        <w:t>As of December 31, 2024, Kodak had available $10 million of tax credits related to its research and development actvites. These credits expire between 2034 and 2043. A full valuaton allowance has been recorded on these credits.</w:t>
      </w:r>
    </w:p>
    <w:p>
      <w:pPr>
        <w:spacing w:after="0" w:line="177"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Kodak’s ability to utlize its U.S. NOLs and tax credits may be subject to limitatons imposed by Secton 382 of the Internal Revenue Code. Secton 382 limits the utlizaton of NOLs in the event of signifcant changes in the stock ownership of the Company. An ownership change occurs if, among other things, the aggregate ownership of stockholders owning fve percent of Kodak’s stock increases by more than 50 percentage points over a three-year rolling period. An ownership change can also occur by other events, such as the sale of Kodak shares that are owned by its 5% shareholders. Future transactons, when combined with reported transactons within the testng period could aggregate to an ownership change during the testng period in excess of 50 percentage points.</w:t>
      </w:r>
    </w:p>
    <w:p>
      <w:pPr>
        <w:spacing w:after="0" w:line="194" w:lineRule="exact"/>
        <w:rPr>
          <w:sz w:val="20"/>
          <w:szCs w:val="20"/>
          <w:color w:val="auto"/>
        </w:rPr>
      </w:pPr>
    </w:p>
    <w:p>
      <w:pPr>
        <w:ind w:right="160"/>
        <w:spacing w:after="0" w:line="258" w:lineRule="auto"/>
        <w:rPr>
          <w:sz w:val="20"/>
          <w:szCs w:val="20"/>
          <w:color w:val="auto"/>
        </w:rPr>
      </w:pPr>
      <w:r>
        <w:rPr>
          <w:rFonts w:ascii="Calibri" w:cs="Calibri" w:eastAsia="Calibri" w:hAnsi="Calibri"/>
          <w:sz w:val="17"/>
          <w:szCs w:val="17"/>
          <w:color w:val="auto"/>
        </w:rPr>
        <w:t>Kodak intends to repatriate its ofshore earnings when prudent. Accordingly, it recorded deferred tax liabilites of $15 million and $16 million for potental taxes on undistributed earnings as of December 31, 2024 and 2023, respectvely. These taxes are primarily atributable to foreign withholding taxes.</w:t>
      </w:r>
    </w:p>
    <w:p>
      <w:pPr>
        <w:spacing w:after="0" w:line="161" w:lineRule="exact"/>
        <w:rPr>
          <w:sz w:val="20"/>
          <w:szCs w:val="20"/>
          <w:color w:val="auto"/>
        </w:rPr>
      </w:pPr>
    </w:p>
    <w:p>
      <w:pPr>
        <w:jc w:val="both"/>
        <w:ind w:right="280"/>
        <w:spacing w:after="0" w:line="235" w:lineRule="auto"/>
        <w:rPr>
          <w:sz w:val="20"/>
          <w:szCs w:val="20"/>
          <w:color w:val="auto"/>
        </w:rPr>
      </w:pPr>
      <w:r>
        <w:rPr>
          <w:rFonts w:ascii="Calibri" w:cs="Calibri" w:eastAsia="Calibri" w:hAnsi="Calibri"/>
          <w:sz w:val="18"/>
          <w:szCs w:val="18"/>
          <w:color w:val="auto"/>
        </w:rPr>
        <w:t>Kodak’s valuaton allowance as of December 31, 2024 was $671 million. Of this amount, $259 million was atributable to Kodak’s net deferred tax assets outside the U.S. of $251 million, and $412 million related to Kodak’s net deferred tax assets in the U.S. of $396 million, for which Kodak believes it is not more likely than not that the assets will be realized.</w:t>
      </w:r>
    </w:p>
    <w:p>
      <w:pPr>
        <w:spacing w:after="0" w:line="178" w:lineRule="exact"/>
        <w:rPr>
          <w:sz w:val="20"/>
          <w:szCs w:val="20"/>
          <w:color w:val="auto"/>
        </w:rPr>
      </w:pPr>
    </w:p>
    <w:p>
      <w:pPr>
        <w:jc w:val="both"/>
        <w:ind w:right="280"/>
        <w:spacing w:after="0" w:line="235" w:lineRule="auto"/>
        <w:rPr>
          <w:sz w:val="20"/>
          <w:szCs w:val="20"/>
          <w:color w:val="auto"/>
        </w:rPr>
      </w:pPr>
      <w:r>
        <w:rPr>
          <w:rFonts w:ascii="Calibri" w:cs="Calibri" w:eastAsia="Calibri" w:hAnsi="Calibri"/>
          <w:sz w:val="18"/>
          <w:szCs w:val="18"/>
          <w:color w:val="auto"/>
        </w:rPr>
        <w:t>Kodak’s valuaton allowance as of December 31, 2023 was $778 million. Of this amount, $290 million was atributable to Kodak’s net deferred tax assets outside the U.S. of $279 million, and $488 million related to Kodak’s net deferred tax assets in the U.S. of $472 million, for which Kodak believes it is not more likely than not that the assets will be realized.</w:t>
      </w:r>
    </w:p>
    <w:p>
      <w:pPr>
        <w:spacing w:after="0" w:line="18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Accountng for Uncertainty in Income Taxes</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color w:val="auto"/>
        </w:rPr>
        <w:t>A reconciliaton of the beginning and ending amount of Kodak’s liability for income taxes associated with unrecognized tax benefts is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140" w:type="dxa"/>
            <w:vAlign w:val="bottom"/>
            <w:gridSpan w:val="6"/>
          </w:tcPr>
          <w:p>
            <w:pPr>
              <w:jc w:val="right"/>
              <w:ind w:right="190"/>
              <w:spacing w:after="0"/>
              <w:rPr>
                <w:sz w:val="20"/>
                <w:szCs w:val="20"/>
                <w:color w:val="auto"/>
              </w:rPr>
            </w:pPr>
            <w:r>
              <w:rPr>
                <w:rFonts w:ascii="Calibri" w:cs="Calibri" w:eastAsia="Calibri" w:hAnsi="Calibri"/>
                <w:sz w:val="18"/>
                <w:szCs w:val="18"/>
                <w:b w:val="1"/>
                <w:bCs w:val="1"/>
                <w:color w:val="auto"/>
              </w:rPr>
              <w:t>Year Ended December 31,</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
        </w:trPr>
        <w:tc>
          <w:tcPr>
            <w:tcW w:w="65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9"/>
        </w:trPr>
        <w:tc>
          <w:tcPr>
            <w:tcW w:w="6560" w:type="dxa"/>
            <w:vAlign w:val="bottom"/>
          </w:tcPr>
          <w:p>
            <w:pPr>
              <w:ind w:left="20"/>
              <w:spacing w:after="0"/>
              <w:rPr>
                <w:sz w:val="20"/>
                <w:szCs w:val="20"/>
                <w:color w:val="auto"/>
              </w:rPr>
            </w:pPr>
            <w:r>
              <w:rPr>
                <w:rFonts w:ascii="Calibri" w:cs="Calibri" w:eastAsia="Calibri" w:hAnsi="Calibri"/>
                <w:sz w:val="14"/>
                <w:szCs w:val="14"/>
                <w:color w:val="auto"/>
              </w:rPr>
              <w:t>(in millions)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line="209" w:lineRule="exact"/>
              <w:rPr>
                <w:sz w:val="20"/>
                <w:szCs w:val="20"/>
                <w:color w:val="auto"/>
              </w:rPr>
            </w:pPr>
            <w:r>
              <w:rPr>
                <w:rFonts w:ascii="Calibri" w:cs="Calibri" w:eastAsia="Calibri" w:hAnsi="Calibri"/>
                <w:sz w:val="18"/>
                <w:szCs w:val="18"/>
                <w:b w:val="1"/>
                <w:bCs w:val="1"/>
                <w:color w:val="auto"/>
              </w:rPr>
              <w:t>2024</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0"/>
              <w:spacing w:after="0" w:line="209" w:lineRule="exact"/>
              <w:rPr>
                <w:sz w:val="20"/>
                <w:szCs w:val="20"/>
                <w:color w:val="auto"/>
              </w:rPr>
            </w:pPr>
            <w:r>
              <w:rPr>
                <w:rFonts w:ascii="Calibri" w:cs="Calibri" w:eastAsia="Calibri" w:hAnsi="Calibri"/>
                <w:sz w:val="18"/>
                <w:szCs w:val="18"/>
                <w:b w:val="1"/>
                <w:bCs w:val="1"/>
                <w:color w:val="auto"/>
              </w:rPr>
              <w:t>2023</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line="209" w:lineRule="exact"/>
              <w:rPr>
                <w:sz w:val="20"/>
                <w:szCs w:val="20"/>
                <w:color w:val="auto"/>
              </w:rPr>
            </w:pPr>
            <w:r>
              <w:rPr>
                <w:rFonts w:ascii="Calibri" w:cs="Calibri" w:eastAsia="Calibri" w:hAnsi="Calibri"/>
                <w:sz w:val="18"/>
                <w:szCs w:val="18"/>
                <w:b w:val="1"/>
                <w:bCs w:val="1"/>
                <w:color w:val="auto"/>
              </w:rPr>
              <w:t>2022</w:t>
            </w:r>
          </w:p>
        </w:tc>
        <w:tc>
          <w:tcPr>
            <w:tcW w:w="100" w:type="dxa"/>
            <w:vAlign w:val="bottom"/>
          </w:tcPr>
          <w:p>
            <w:pPr>
              <w:spacing w:after="0"/>
              <w:rPr>
                <w:sz w:val="18"/>
                <w:szCs w:val="18"/>
                <w:color w:val="auto"/>
              </w:rPr>
            </w:pPr>
          </w:p>
        </w:tc>
      </w:tr>
      <w:tr>
        <w:trPr>
          <w:trHeight w:val="210"/>
        </w:trPr>
        <w:tc>
          <w:tcPr>
            <w:tcW w:w="656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b w:val="1"/>
                <w:bCs w:val="1"/>
                <w:color w:val="auto"/>
              </w:rPr>
              <w:t>Balance as of January 1</w:t>
            </w:r>
          </w:p>
        </w:tc>
        <w:tc>
          <w:tcPr>
            <w:tcW w:w="300" w:type="dxa"/>
            <w:vAlign w:val="bottom"/>
            <w:shd w:val="clear" w:color="auto" w:fill="CFF0FC"/>
          </w:tcPr>
          <w:p>
            <w:pPr>
              <w:jc w:val="right"/>
              <w:ind w:right="90"/>
              <w:spacing w:after="0" w:line="210" w:lineRule="exact"/>
              <w:rPr>
                <w:sz w:val="20"/>
                <w:szCs w:val="20"/>
                <w:color w:val="auto"/>
              </w:rPr>
            </w:pPr>
            <w:r>
              <w:rPr>
                <w:rFonts w:ascii="Calibri" w:cs="Calibri" w:eastAsia="Calibri" w:hAnsi="Calibri"/>
                <w:sz w:val="18"/>
                <w:szCs w:val="18"/>
                <w:color w:val="auto"/>
              </w:rPr>
              <w:t>$</w:t>
            </w:r>
          </w:p>
        </w:tc>
        <w:tc>
          <w:tcPr>
            <w:tcW w:w="102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2</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line="210" w:lineRule="exact"/>
              <w:rPr>
                <w:sz w:val="20"/>
                <w:szCs w:val="20"/>
                <w:color w:val="auto"/>
              </w:rPr>
            </w:pPr>
            <w:r>
              <w:rPr>
                <w:rFonts w:ascii="Calibri" w:cs="Calibri" w:eastAsia="Calibri" w:hAnsi="Calibri"/>
                <w:sz w:val="18"/>
                <w:szCs w:val="18"/>
                <w:color w:val="auto"/>
                <w:w w:val="87"/>
              </w:rPr>
              <w:t>$</w:t>
            </w:r>
          </w:p>
        </w:tc>
        <w:tc>
          <w:tcPr>
            <w:tcW w:w="102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3</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line="210" w:lineRule="exact"/>
              <w:rPr>
                <w:sz w:val="20"/>
                <w:szCs w:val="20"/>
                <w:color w:val="auto"/>
              </w:rPr>
            </w:pPr>
            <w:r>
              <w:rPr>
                <w:rFonts w:ascii="Calibri" w:cs="Calibri" w:eastAsia="Calibri" w:hAnsi="Calibri"/>
                <w:sz w:val="18"/>
                <w:szCs w:val="18"/>
                <w:color w:val="auto"/>
                <w:w w:val="87"/>
              </w:rPr>
              <w:t>$</w:t>
            </w:r>
          </w:p>
        </w:tc>
        <w:tc>
          <w:tcPr>
            <w:tcW w:w="102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4</w:t>
            </w:r>
          </w:p>
        </w:tc>
        <w:tc>
          <w:tcPr>
            <w:tcW w:w="100" w:type="dxa"/>
            <w:vAlign w:val="bottom"/>
            <w:shd w:val="clear" w:color="auto" w:fill="CFF0FC"/>
          </w:tcPr>
          <w:p>
            <w:pPr>
              <w:spacing w:after="0"/>
              <w:rPr>
                <w:sz w:val="18"/>
                <w:szCs w:val="18"/>
                <w:color w:val="auto"/>
              </w:rPr>
            </w:pPr>
          </w:p>
        </w:tc>
      </w:tr>
      <w:tr>
        <w:trPr>
          <w:trHeight w:val="215"/>
        </w:trPr>
        <w:tc>
          <w:tcPr>
            <w:tcW w:w="6560" w:type="dxa"/>
            <w:vAlign w:val="bottom"/>
          </w:tcPr>
          <w:p>
            <w:pPr>
              <w:ind w:left="20"/>
              <w:spacing w:after="0" w:line="215" w:lineRule="exact"/>
              <w:rPr>
                <w:sz w:val="20"/>
                <w:szCs w:val="20"/>
                <w:color w:val="auto"/>
              </w:rPr>
            </w:pPr>
            <w:r>
              <w:rPr>
                <w:rFonts w:ascii="Calibri" w:cs="Calibri" w:eastAsia="Calibri" w:hAnsi="Calibri"/>
                <w:sz w:val="18"/>
                <w:szCs w:val="18"/>
                <w:b w:val="1"/>
                <w:bCs w:val="1"/>
                <w:color w:val="auto"/>
              </w:rPr>
              <w:t>Tax positons related to the current year:</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656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Additons</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60"/>
              <w:spacing w:after="0" w:line="216" w:lineRule="exact"/>
              <w:rPr>
                <w:sz w:val="20"/>
                <w:szCs w:val="20"/>
                <w:color w:val="auto"/>
              </w:rPr>
            </w:pPr>
            <w:r>
              <w:rPr>
                <w:rFonts w:ascii="Calibri" w:cs="Calibri" w:eastAsia="Calibri" w:hAnsi="Calibri"/>
                <w:sz w:val="18"/>
                <w:szCs w:val="18"/>
                <w:color w:val="auto"/>
              </w:rPr>
              <w:t>—</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line="216" w:lineRule="exact"/>
              <w:rPr>
                <w:sz w:val="20"/>
                <w:szCs w:val="20"/>
                <w:color w:val="auto"/>
              </w:rPr>
            </w:pPr>
            <w:r>
              <w:rPr>
                <w:rFonts w:ascii="Calibri" w:cs="Calibri" w:eastAsia="Calibri" w:hAnsi="Calibri"/>
                <w:sz w:val="18"/>
                <w:szCs w:val="18"/>
                <w:color w:val="auto"/>
              </w:rPr>
              <w:t>—</w:t>
            </w:r>
          </w:p>
        </w:tc>
      </w:tr>
      <w:tr>
        <w:trPr>
          <w:trHeight w:val="215"/>
        </w:trPr>
        <w:tc>
          <w:tcPr>
            <w:tcW w:w="6560" w:type="dxa"/>
            <w:vAlign w:val="bottom"/>
          </w:tcPr>
          <w:p>
            <w:pPr>
              <w:ind w:left="20"/>
              <w:spacing w:after="0" w:line="215" w:lineRule="exact"/>
              <w:rPr>
                <w:sz w:val="20"/>
                <w:szCs w:val="20"/>
                <w:color w:val="auto"/>
              </w:rPr>
            </w:pPr>
            <w:r>
              <w:rPr>
                <w:rFonts w:ascii="Calibri" w:cs="Calibri" w:eastAsia="Calibri" w:hAnsi="Calibri"/>
                <w:sz w:val="18"/>
                <w:szCs w:val="18"/>
                <w:b w:val="1"/>
                <w:bCs w:val="1"/>
                <w:color w:val="auto"/>
              </w:rPr>
              <w:t>Tax positons related to prior years: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656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Additons</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w:t>
            </w:r>
          </w:p>
        </w:tc>
        <w:tc>
          <w:tcPr>
            <w:tcW w:w="100" w:type="dxa"/>
            <w:vAlign w:val="bottom"/>
            <w:shd w:val="clear" w:color="auto" w:fill="CFF0FC"/>
          </w:tcPr>
          <w:p>
            <w:pPr>
              <w:spacing w:after="0"/>
              <w:rPr>
                <w:sz w:val="18"/>
                <w:szCs w:val="18"/>
                <w:color w:val="auto"/>
              </w:rPr>
            </w:pPr>
          </w:p>
        </w:tc>
      </w:tr>
      <w:tr>
        <w:trPr>
          <w:trHeight w:val="215"/>
        </w:trPr>
        <w:tc>
          <w:tcPr>
            <w:tcW w:w="6560" w:type="dxa"/>
            <w:vAlign w:val="bottom"/>
          </w:tcPr>
          <w:p>
            <w:pPr>
              <w:ind w:left="20"/>
              <w:spacing w:after="0" w:line="215" w:lineRule="exact"/>
              <w:rPr>
                <w:sz w:val="20"/>
                <w:szCs w:val="20"/>
                <w:color w:val="auto"/>
              </w:rPr>
            </w:pPr>
            <w:r>
              <w:rPr>
                <w:rFonts w:ascii="Calibri" w:cs="Calibri" w:eastAsia="Calibri" w:hAnsi="Calibri"/>
                <w:sz w:val="18"/>
                <w:szCs w:val="18"/>
                <w:color w:val="auto"/>
              </w:rPr>
              <w:t>Reductons</w:t>
            </w:r>
          </w:p>
        </w:tc>
        <w:tc>
          <w:tcPr>
            <w:tcW w:w="300" w:type="dxa"/>
            <w:vAlign w:val="bottom"/>
          </w:tcPr>
          <w:p>
            <w:pPr>
              <w:spacing w:after="0"/>
              <w:rPr>
                <w:sz w:val="18"/>
                <w:szCs w:val="18"/>
                <w:color w:val="auto"/>
              </w:rPr>
            </w:pPr>
          </w:p>
        </w:tc>
        <w:tc>
          <w:tcPr>
            <w:tcW w:w="128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(2 )</w:t>
            </w:r>
          </w:p>
        </w:tc>
        <w:tc>
          <w:tcPr>
            <w:tcW w:w="280" w:type="dxa"/>
            <w:vAlign w:val="bottom"/>
          </w:tcPr>
          <w:p>
            <w:pPr>
              <w:spacing w:after="0"/>
              <w:rPr>
                <w:sz w:val="18"/>
                <w:szCs w:val="18"/>
                <w:color w:val="auto"/>
              </w:rPr>
            </w:pPr>
          </w:p>
        </w:tc>
        <w:tc>
          <w:tcPr>
            <w:tcW w:w="128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(1 )</w:t>
            </w:r>
          </w:p>
        </w:tc>
        <w:tc>
          <w:tcPr>
            <w:tcW w:w="300" w:type="dxa"/>
            <w:vAlign w:val="bottom"/>
          </w:tcPr>
          <w:p>
            <w:pPr>
              <w:spacing w:after="0"/>
              <w:rPr>
                <w:sz w:val="18"/>
                <w:szCs w:val="18"/>
                <w:color w:val="auto"/>
              </w:rPr>
            </w:pPr>
          </w:p>
        </w:tc>
        <w:tc>
          <w:tcPr>
            <w:tcW w:w="112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(2 )</w:t>
            </w:r>
          </w:p>
        </w:tc>
      </w:tr>
      <w:tr>
        <w:trPr>
          <w:trHeight w:val="216"/>
        </w:trPr>
        <w:tc>
          <w:tcPr>
            <w:tcW w:w="656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Setlements with taxing jurisdictons</w:t>
            </w: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80"/>
              <w:spacing w:after="0" w:line="216" w:lineRule="exact"/>
              <w:rPr>
                <w:sz w:val="20"/>
                <w:szCs w:val="20"/>
                <w:color w:val="auto"/>
              </w:rPr>
            </w:pPr>
            <w:r>
              <w:rPr>
                <w:rFonts w:ascii="Calibri" w:cs="Calibri" w:eastAsia="Calibri" w:hAnsi="Calibri"/>
                <w:sz w:val="18"/>
                <w:szCs w:val="18"/>
                <w:color w:val="auto"/>
              </w:rPr>
              <w:t>—</w:t>
            </w:r>
          </w:p>
        </w:tc>
        <w:tc>
          <w:tcPr>
            <w:tcW w:w="2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line="216" w:lineRule="exact"/>
              <w:rPr>
                <w:sz w:val="20"/>
                <w:szCs w:val="20"/>
                <w:color w:val="auto"/>
              </w:rPr>
            </w:pPr>
            <w:r>
              <w:rPr>
                <w:rFonts w:ascii="Calibri" w:cs="Calibri" w:eastAsia="Calibri" w:hAnsi="Calibri"/>
                <w:sz w:val="18"/>
                <w:szCs w:val="18"/>
                <w:color w:val="auto"/>
              </w:rPr>
              <w:t>(1 )</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line="216" w:lineRule="exact"/>
              <w:rPr>
                <w:sz w:val="20"/>
                <w:szCs w:val="20"/>
                <w:color w:val="auto"/>
              </w:rPr>
            </w:pPr>
            <w:r>
              <w:rPr>
                <w:rFonts w:ascii="Calibri" w:cs="Calibri" w:eastAsia="Calibri" w:hAnsi="Calibri"/>
                <w:sz w:val="18"/>
                <w:szCs w:val="18"/>
                <w:color w:val="auto"/>
              </w:rPr>
              <w:t>—</w:t>
            </w:r>
          </w:p>
        </w:tc>
      </w:tr>
      <w:tr>
        <w:trPr>
          <w:trHeight w:val="210"/>
        </w:trPr>
        <w:tc>
          <w:tcPr>
            <w:tcW w:w="6560" w:type="dxa"/>
            <w:vAlign w:val="bottom"/>
            <w:tcBorders>
              <w:top w:val="single" w:sz="8" w:color="CFF0FC"/>
            </w:tcBorders>
          </w:tcPr>
          <w:p>
            <w:pPr>
              <w:ind w:left="200"/>
              <w:spacing w:after="0" w:line="210" w:lineRule="exact"/>
              <w:rPr>
                <w:sz w:val="20"/>
                <w:szCs w:val="20"/>
                <w:color w:val="auto"/>
              </w:rPr>
            </w:pPr>
            <w:r>
              <w:rPr>
                <w:rFonts w:ascii="Calibri" w:cs="Calibri" w:eastAsia="Calibri" w:hAnsi="Calibri"/>
                <w:sz w:val="18"/>
                <w:szCs w:val="18"/>
                <w:b w:val="1"/>
                <w:bCs w:val="1"/>
                <w:color w:val="auto"/>
              </w:rPr>
              <w:t>Balance as of December 31</w:t>
            </w:r>
          </w:p>
        </w:tc>
        <w:tc>
          <w:tcPr>
            <w:tcW w:w="300" w:type="dxa"/>
            <w:vAlign w:val="bottom"/>
            <w:tcBorders>
              <w:top w:val="single" w:sz="8" w:color="auto"/>
              <w:bottom w:val="single" w:sz="8" w:color="auto"/>
            </w:tcBorders>
          </w:tcPr>
          <w:p>
            <w:pPr>
              <w:jc w:val="right"/>
              <w:ind w:right="90"/>
              <w:spacing w:after="0" w:line="210" w:lineRule="exact"/>
              <w:rPr>
                <w:sz w:val="20"/>
                <w:szCs w:val="20"/>
                <w:color w:val="auto"/>
              </w:rPr>
            </w:pPr>
            <w:r>
              <w:rPr>
                <w:rFonts w:ascii="Calibri" w:cs="Calibri" w:eastAsia="Calibri" w:hAnsi="Calibri"/>
                <w:sz w:val="18"/>
                <w:szCs w:val="18"/>
                <w:color w:val="auto"/>
              </w:rPr>
              <w:t>$</w:t>
            </w:r>
          </w:p>
        </w:tc>
        <w:tc>
          <w:tcPr>
            <w:tcW w:w="1020" w:type="dxa"/>
            <w:vAlign w:val="bottom"/>
            <w:tcBorders>
              <w:top w:val="single" w:sz="8" w:color="auto"/>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2</w:t>
            </w:r>
          </w:p>
        </w:tc>
        <w:tc>
          <w:tcPr>
            <w:tcW w:w="260" w:type="dxa"/>
            <w:vAlign w:val="bottom"/>
            <w:tcBorders>
              <w:top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line="210" w:lineRule="exact"/>
              <w:rPr>
                <w:sz w:val="20"/>
                <w:szCs w:val="20"/>
                <w:color w:val="auto"/>
              </w:rPr>
            </w:pPr>
            <w:r>
              <w:rPr>
                <w:rFonts w:ascii="Calibri" w:cs="Calibri" w:eastAsia="Calibri" w:hAnsi="Calibri"/>
                <w:sz w:val="18"/>
                <w:szCs w:val="18"/>
                <w:color w:val="auto"/>
                <w:w w:val="87"/>
              </w:rPr>
              <w:t>$</w:t>
            </w:r>
          </w:p>
        </w:tc>
        <w:tc>
          <w:tcPr>
            <w:tcW w:w="1020" w:type="dxa"/>
            <w:vAlign w:val="bottom"/>
            <w:tcBorders>
              <w:top w:val="single" w:sz="8" w:color="auto"/>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2</w:t>
            </w:r>
          </w:p>
        </w:tc>
        <w:tc>
          <w:tcPr>
            <w:tcW w:w="26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line="210" w:lineRule="exact"/>
              <w:rPr>
                <w:sz w:val="20"/>
                <w:szCs w:val="20"/>
                <w:color w:val="auto"/>
              </w:rPr>
            </w:pPr>
            <w:r>
              <w:rPr>
                <w:rFonts w:ascii="Calibri" w:cs="Calibri" w:eastAsia="Calibri" w:hAnsi="Calibri"/>
                <w:sz w:val="18"/>
                <w:szCs w:val="18"/>
                <w:color w:val="auto"/>
                <w:w w:val="87"/>
              </w:rPr>
              <w:t>$</w:t>
            </w:r>
          </w:p>
        </w:tc>
        <w:tc>
          <w:tcPr>
            <w:tcW w:w="1020" w:type="dxa"/>
            <w:vAlign w:val="bottom"/>
            <w:tcBorders>
              <w:top w:val="single" w:sz="8" w:color="auto"/>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3</w:t>
            </w:r>
          </w:p>
        </w:tc>
        <w:tc>
          <w:tcPr>
            <w:tcW w:w="100" w:type="dxa"/>
            <w:vAlign w:val="bottom"/>
            <w:tcBorders>
              <w:top w:val="single" w:sz="8" w:color="CFF0FC"/>
            </w:tcBorders>
          </w:tcPr>
          <w:p>
            <w:pPr>
              <w:spacing w:after="0"/>
              <w:rPr>
                <w:sz w:val="18"/>
                <w:szCs w:val="18"/>
                <w:color w:val="auto"/>
              </w:rPr>
            </w:pPr>
          </w:p>
        </w:tc>
      </w:tr>
      <w:tr>
        <w:trPr>
          <w:trHeight w:val="20"/>
        </w:trPr>
        <w:tc>
          <w:tcPr>
            <w:tcW w:w="6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-170815</wp:posOffset>
            </wp:positionV>
            <wp:extent cx="6858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-170815</wp:posOffset>
            </wp:positionV>
            <wp:extent cx="6858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-170815</wp:posOffset>
            </wp:positionV>
            <wp:extent cx="6858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ind w:right="260"/>
        <w:spacing w:after="0" w:line="235" w:lineRule="auto"/>
        <w:rPr>
          <w:sz w:val="20"/>
          <w:szCs w:val="20"/>
          <w:color w:val="auto"/>
        </w:rPr>
      </w:pPr>
      <w:r>
        <w:rPr>
          <w:rFonts w:ascii="Calibri" w:cs="Calibri" w:eastAsia="Calibri" w:hAnsi="Calibri"/>
          <w:sz w:val="18"/>
          <w:szCs w:val="18"/>
          <w:color w:val="auto"/>
        </w:rPr>
        <w:t>Kodak’s policy is to recognize interest and/or penaltes related to income tax maters as a component of its provision for income taxes. Kodak had approximately $11 million, $10 million and $10 million of interest and penaltes associated with uncertain tax benefts accrued as of December 31, 2024, 2023 and 2022 respectvely.</w:t>
      </w:r>
    </w:p>
    <w:p>
      <w:pPr>
        <w:spacing w:after="0" w:line="178" w:lineRule="exact"/>
        <w:rPr>
          <w:sz w:val="20"/>
          <w:szCs w:val="20"/>
          <w:color w:val="auto"/>
        </w:rPr>
      </w:pPr>
    </w:p>
    <w:p>
      <w:pPr>
        <w:ind w:right="120"/>
        <w:spacing w:after="0" w:line="252" w:lineRule="auto"/>
        <w:rPr>
          <w:sz w:val="20"/>
          <w:szCs w:val="20"/>
          <w:color w:val="auto"/>
        </w:rPr>
      </w:pPr>
      <w:r>
        <w:rPr>
          <w:rFonts w:ascii="Calibri" w:cs="Calibri" w:eastAsia="Calibri" w:hAnsi="Calibri"/>
          <w:sz w:val="17"/>
          <w:szCs w:val="17"/>
          <w:color w:val="auto"/>
        </w:rPr>
        <w:t>Kodak had uncertain tax benefts of approximately $14 million, $13 million and $13 million as of December 31, 2024, 2023 and 2022 respectvely, that, if recognized, would afect the efectve income tax rate. Kodak has classifed certain income tax liabilites as current or noncurrent based on management’s estmate of when these liabilites will be setled. The current income tax liabilites are recorded in Other current liabilites in the Consolidated Statement of Financial Positon. Noncurrent income tax liabilites are recorded in Other long-term liabilites in the Consolidated Statement of Financial Positon.</w:t>
      </w:r>
    </w:p>
    <w:p>
      <w:pPr>
        <w:spacing w:after="0" w:line="177" w:lineRule="exact"/>
        <w:rPr>
          <w:sz w:val="20"/>
          <w:szCs w:val="20"/>
          <w:color w:val="auto"/>
        </w:rPr>
      </w:pPr>
    </w:p>
    <w:p>
      <w:pPr>
        <w:jc w:val="center"/>
        <w:ind w:right="-119"/>
        <w:spacing w:after="0"/>
        <w:rPr>
          <w:sz w:val="20"/>
          <w:szCs w:val="20"/>
          <w:color w:val="auto"/>
        </w:rPr>
      </w:pPr>
      <w:r>
        <w:rPr>
          <w:rFonts w:ascii="Calibri" w:cs="Calibri" w:eastAsia="Calibri" w:hAnsi="Calibri"/>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311150</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2" w:right="439" w:bottom="1440" w:gutter="0" w:footer="0" w:header="0"/>
        </w:sectPr>
      </w:pPr>
    </w:p>
    <w:bookmarkStart w:id="89" w:name="page90"/>
    <w:bookmarkEnd w:id="89"/>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220"/>
        <w:spacing w:after="0" w:line="235" w:lineRule="auto"/>
        <w:rPr>
          <w:sz w:val="20"/>
          <w:szCs w:val="20"/>
          <w:color w:val="auto"/>
        </w:rPr>
      </w:pPr>
      <w:r>
        <w:rPr>
          <w:rFonts w:ascii="Calibri" w:cs="Calibri" w:eastAsia="Calibri" w:hAnsi="Calibri"/>
          <w:sz w:val="18"/>
          <w:szCs w:val="18"/>
          <w:color w:val="auto"/>
        </w:rPr>
        <w:t>It is reasonably possible that the liability associated with Kodak’s unrecognized tax benefts will increase or decrease within the next twelve months. These changes may be the result of setling ongoing audits or the expiraton of statutes of limitatons. Audit outcomes and the tming of audit setlements are subject to signifcant uncertainty.</w:t>
      </w:r>
    </w:p>
    <w:p>
      <w:pPr>
        <w:spacing w:after="0" w:line="178" w:lineRule="exact"/>
        <w:rPr>
          <w:sz w:val="20"/>
          <w:szCs w:val="20"/>
          <w:color w:val="auto"/>
        </w:rPr>
      </w:pPr>
    </w:p>
    <w:p>
      <w:pPr>
        <w:ind w:right="320"/>
        <w:spacing w:after="0" w:line="235" w:lineRule="auto"/>
        <w:rPr>
          <w:sz w:val="20"/>
          <w:szCs w:val="20"/>
          <w:color w:val="auto"/>
        </w:rPr>
      </w:pPr>
      <w:r>
        <w:rPr>
          <w:rFonts w:ascii="Calibri" w:cs="Calibri" w:eastAsia="Calibri" w:hAnsi="Calibri"/>
          <w:sz w:val="18"/>
          <w:szCs w:val="18"/>
          <w:color w:val="auto"/>
        </w:rPr>
        <w:t>Although management believes that adequate provision has been made for such issues, there is the possibility that the ultmate resoluton of such issues could have an adverse efect on the earnings of Kodak. Conversely, if these issues are resolved favorably in the future, the related provision would be reduced, thus having a positve impact on earnings.</w:t>
      </w:r>
    </w:p>
    <w:p>
      <w:pPr>
        <w:spacing w:after="0" w:line="178"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Kodak is subject to taxaton and fles income tax returns in the U.S. federal jurisdicton and in many state and foreign jurisdictons. Kodak has substantally concluded all U.S. federal income tax maters for years through 2019 and state income tax maters for years through 2016 with the respectve tax authorites. With respect to countries outside the U.S., Kodak has substantally concluded all material foreign income tax maters through 2013 with respectve foreign tax jurisdicton authorites.</w:t>
      </w:r>
    </w:p>
    <w:p>
      <w:pPr>
        <w:spacing w:after="0" w:line="18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18: RESTRUCTURING COSTS AND OTHER</w:t>
      </w:r>
    </w:p>
    <w:p>
      <w:pPr>
        <w:spacing w:after="0" w:line="177" w:lineRule="exact"/>
        <w:rPr>
          <w:sz w:val="20"/>
          <w:szCs w:val="20"/>
          <w:color w:val="auto"/>
        </w:rPr>
      </w:pPr>
    </w:p>
    <w:p>
      <w:pPr>
        <w:ind w:right="300"/>
        <w:spacing w:after="0" w:line="235" w:lineRule="auto"/>
        <w:rPr>
          <w:sz w:val="20"/>
          <w:szCs w:val="20"/>
          <w:color w:val="auto"/>
        </w:rPr>
      </w:pPr>
      <w:r>
        <w:rPr>
          <w:rFonts w:ascii="Calibri" w:cs="Calibri" w:eastAsia="Calibri" w:hAnsi="Calibri"/>
          <w:sz w:val="18"/>
          <w:szCs w:val="18"/>
          <w:color w:val="auto"/>
        </w:rPr>
        <w:t>Kodak recognizes the need to contnually ratonalize its workforce and streamline its operatons in the face of ongoing business and economic changes. Charges for restructuring initatves are recorded in the period in which Kodak commits to a formalized restructuring plan, or executes the specifc actons contemplated by the plan and all criteria for liability recogniton under the applicable accountng guidance have been met.</w:t>
      </w:r>
    </w:p>
    <w:p>
      <w:pPr>
        <w:spacing w:after="0" w:line="173" w:lineRule="exact"/>
        <w:rPr>
          <w:sz w:val="20"/>
          <w:szCs w:val="20"/>
          <w:color w:val="auto"/>
        </w:rPr>
      </w:pPr>
    </w:p>
    <w:p>
      <w:pPr>
        <w:spacing w:after="0"/>
        <w:rPr>
          <w:sz w:val="20"/>
          <w:szCs w:val="20"/>
          <w:color w:val="auto"/>
        </w:rPr>
      </w:pPr>
      <w:r>
        <w:rPr>
          <w:rFonts w:ascii="Calibri" w:cs="Calibri" w:eastAsia="Calibri" w:hAnsi="Calibri"/>
          <w:sz w:val="18"/>
          <w:szCs w:val="18"/>
          <w:color w:val="auto"/>
        </w:rPr>
        <w:t>The actvity incurred in relaton to restructuring programs during the three years ended December 31, 2024 were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9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center"/>
              <w:ind w:right="480"/>
              <w:spacing w:after="0"/>
              <w:rPr>
                <w:sz w:val="20"/>
                <w:szCs w:val="20"/>
                <w:color w:val="auto"/>
              </w:rPr>
            </w:pPr>
            <w:r>
              <w:rPr>
                <w:rFonts w:ascii="Calibri" w:cs="Calibri" w:eastAsia="Calibri" w:hAnsi="Calibri"/>
                <w:sz w:val="18"/>
                <w:szCs w:val="18"/>
                <w:b w:val="1"/>
                <w:bCs w:val="1"/>
                <w:color w:val="auto"/>
                <w:w w:val="99"/>
              </w:rPr>
              <w:t>Inventory</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193"/>
        </w:trPr>
        <w:tc>
          <w:tcPr>
            <w:tcW w:w="4900" w:type="dxa"/>
            <w:vAlign w:val="bottom"/>
          </w:tcPr>
          <w:p>
            <w:pPr>
              <w:spacing w:after="0"/>
              <w:rPr>
                <w:sz w:val="16"/>
                <w:szCs w:val="16"/>
                <w:color w:val="auto"/>
              </w:rPr>
            </w:pPr>
          </w:p>
        </w:tc>
        <w:tc>
          <w:tcPr>
            <w:tcW w:w="1140" w:type="dxa"/>
            <w:vAlign w:val="bottom"/>
          </w:tcPr>
          <w:p>
            <w:pPr>
              <w:jc w:val="right"/>
              <w:spacing w:after="0" w:line="193" w:lineRule="exact"/>
              <w:rPr>
                <w:sz w:val="20"/>
                <w:szCs w:val="20"/>
                <w:color w:val="auto"/>
              </w:rPr>
            </w:pPr>
            <w:r>
              <w:rPr>
                <w:rFonts w:ascii="Calibri" w:cs="Calibri" w:eastAsia="Calibri" w:hAnsi="Calibri"/>
                <w:sz w:val="18"/>
                <w:szCs w:val="18"/>
                <w:b w:val="1"/>
                <w:bCs w:val="1"/>
                <w:color w:val="auto"/>
              </w:rPr>
              <w:t>Severance</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jc w:val="right"/>
              <w:ind w:right="600"/>
              <w:spacing w:after="0" w:line="193" w:lineRule="exact"/>
              <w:rPr>
                <w:sz w:val="20"/>
                <w:szCs w:val="20"/>
                <w:color w:val="auto"/>
              </w:rPr>
            </w:pPr>
            <w:r>
              <w:rPr>
                <w:rFonts w:ascii="Calibri" w:cs="Calibri" w:eastAsia="Calibri" w:hAnsi="Calibri"/>
                <w:sz w:val="18"/>
                <w:szCs w:val="18"/>
                <w:b w:val="1"/>
                <w:bCs w:val="1"/>
                <w:color w:val="auto"/>
              </w:rPr>
              <w:t>Exit Costs</w:t>
            </w:r>
          </w:p>
        </w:tc>
        <w:tc>
          <w:tcPr>
            <w:tcW w:w="220" w:type="dxa"/>
            <w:vAlign w:val="bottom"/>
          </w:tcPr>
          <w:p>
            <w:pPr>
              <w:spacing w:after="0"/>
              <w:rPr>
                <w:sz w:val="16"/>
                <w:szCs w:val="16"/>
                <w:color w:val="auto"/>
              </w:rPr>
            </w:pPr>
          </w:p>
        </w:tc>
        <w:tc>
          <w:tcPr>
            <w:tcW w:w="1400" w:type="dxa"/>
            <w:vAlign w:val="bottom"/>
            <w:gridSpan w:val="2"/>
          </w:tcPr>
          <w:p>
            <w:pPr>
              <w:jc w:val="center"/>
              <w:ind w:right="480"/>
              <w:spacing w:after="0" w:line="193" w:lineRule="exact"/>
              <w:rPr>
                <w:sz w:val="20"/>
                <w:szCs w:val="20"/>
                <w:color w:val="auto"/>
              </w:rPr>
            </w:pPr>
            <w:r>
              <w:rPr>
                <w:rFonts w:ascii="Calibri" w:cs="Calibri" w:eastAsia="Calibri" w:hAnsi="Calibri"/>
                <w:sz w:val="18"/>
                <w:szCs w:val="18"/>
                <w:b w:val="1"/>
                <w:bCs w:val="1"/>
                <w:color w:val="auto"/>
              </w:rPr>
              <w:t>Write-</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63"/>
        </w:trPr>
        <w:tc>
          <w:tcPr>
            <w:tcW w:w="4900" w:type="dxa"/>
            <w:vAlign w:val="bottom"/>
          </w:tcPr>
          <w:p>
            <w:pPr>
              <w:ind w:left="20"/>
              <w:spacing w:after="0"/>
              <w:rPr>
                <w:sz w:val="20"/>
                <w:szCs w:val="20"/>
                <w:color w:val="auto"/>
              </w:rPr>
            </w:pPr>
            <w:r>
              <w:rPr>
                <w:rFonts w:ascii="Calibri" w:cs="Calibri" w:eastAsia="Calibri" w:hAnsi="Calibri"/>
                <w:sz w:val="14"/>
                <w:szCs w:val="14"/>
                <w:color w:val="auto"/>
              </w:rPr>
              <w:t>(in millions)</w:t>
            </w:r>
          </w:p>
        </w:tc>
        <w:tc>
          <w:tcPr>
            <w:tcW w:w="1140" w:type="dxa"/>
            <w:vAlign w:val="bottom"/>
          </w:tcPr>
          <w:p>
            <w:pPr>
              <w:jc w:val="right"/>
              <w:spacing w:after="0" w:line="263" w:lineRule="exact"/>
              <w:rPr>
                <w:sz w:val="20"/>
                <w:szCs w:val="20"/>
                <w:color w:val="auto"/>
              </w:rPr>
            </w:pPr>
            <w:r>
              <w:rPr>
                <w:rFonts w:ascii="Calibri" w:cs="Calibri" w:eastAsia="Calibri" w:hAnsi="Calibri"/>
                <w:sz w:val="18"/>
                <w:szCs w:val="18"/>
                <w:b w:val="1"/>
                <w:bCs w:val="1"/>
                <w:color w:val="auto"/>
              </w:rPr>
              <w:t xml:space="preserve">Reserve </w:t>
            </w:r>
            <w:r>
              <w:rPr>
                <w:rFonts w:ascii="Calibri" w:cs="Calibri" w:eastAsia="Calibri" w:hAnsi="Calibri"/>
                <w:sz w:val="24"/>
                <w:szCs w:val="24"/>
                <w:b w:val="1"/>
                <w:bCs w:val="1"/>
                <w:color w:val="auto"/>
                <w:vertAlign w:val="superscript"/>
              </w:rPr>
              <w:t>(1)</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gridSpan w:val="2"/>
          </w:tcPr>
          <w:p>
            <w:pPr>
              <w:jc w:val="right"/>
              <w:ind w:right="580"/>
              <w:spacing w:after="0" w:line="263" w:lineRule="exact"/>
              <w:rPr>
                <w:sz w:val="20"/>
                <w:szCs w:val="20"/>
                <w:color w:val="auto"/>
              </w:rPr>
            </w:pPr>
            <w:r>
              <w:rPr>
                <w:rFonts w:ascii="Calibri" w:cs="Calibri" w:eastAsia="Calibri" w:hAnsi="Calibri"/>
                <w:sz w:val="18"/>
                <w:szCs w:val="18"/>
                <w:b w:val="1"/>
                <w:bCs w:val="1"/>
                <w:color w:val="auto"/>
              </w:rPr>
              <w:t xml:space="preserve">Reserve </w:t>
            </w:r>
            <w:r>
              <w:rPr>
                <w:rFonts w:ascii="Calibri" w:cs="Calibri" w:eastAsia="Calibri" w:hAnsi="Calibri"/>
                <w:sz w:val="24"/>
                <w:szCs w:val="24"/>
                <w:b w:val="1"/>
                <w:bCs w:val="1"/>
                <w:color w:val="auto"/>
                <w:vertAlign w:val="superscript"/>
              </w:rPr>
              <w:t>(1)</w:t>
            </w:r>
          </w:p>
        </w:tc>
        <w:tc>
          <w:tcPr>
            <w:tcW w:w="220" w:type="dxa"/>
            <w:vAlign w:val="bottom"/>
          </w:tcPr>
          <w:p>
            <w:pPr>
              <w:spacing w:after="0"/>
              <w:rPr>
                <w:sz w:val="22"/>
                <w:szCs w:val="22"/>
                <w:color w:val="auto"/>
              </w:rPr>
            </w:pPr>
          </w:p>
        </w:tc>
        <w:tc>
          <w:tcPr>
            <w:tcW w:w="1400" w:type="dxa"/>
            <w:vAlign w:val="bottom"/>
            <w:gridSpan w:val="2"/>
          </w:tcPr>
          <w:p>
            <w:pPr>
              <w:jc w:val="center"/>
              <w:ind w:right="480"/>
              <w:spacing w:after="0" w:line="263" w:lineRule="exact"/>
              <w:rPr>
                <w:sz w:val="20"/>
                <w:szCs w:val="20"/>
                <w:color w:val="auto"/>
              </w:rPr>
            </w:pPr>
            <w:r>
              <w:rPr>
                <w:rFonts w:ascii="Calibri" w:cs="Calibri" w:eastAsia="Calibri" w:hAnsi="Calibri"/>
                <w:sz w:val="18"/>
                <w:szCs w:val="18"/>
                <w:b w:val="1"/>
                <w:bCs w:val="1"/>
                <w:color w:val="auto"/>
                <w:w w:val="89"/>
              </w:rPr>
              <w:t xml:space="preserve">downs </w:t>
            </w:r>
            <w:r>
              <w:rPr>
                <w:rFonts w:ascii="Calibri" w:cs="Calibri" w:eastAsia="Calibri" w:hAnsi="Calibri"/>
                <w:sz w:val="24"/>
                <w:szCs w:val="24"/>
                <w:b w:val="1"/>
                <w:bCs w:val="1"/>
                <w:color w:val="auto"/>
                <w:w w:val="89"/>
                <w:vertAlign w:val="superscript"/>
              </w:rPr>
              <w:t>(1)</w:t>
            </w:r>
          </w:p>
        </w:tc>
        <w:tc>
          <w:tcPr>
            <w:tcW w:w="300" w:type="dxa"/>
            <w:vAlign w:val="bottom"/>
          </w:tcPr>
          <w:p>
            <w:pPr>
              <w:spacing w:after="0"/>
              <w:rPr>
                <w:sz w:val="22"/>
                <w:szCs w:val="22"/>
                <w:color w:val="auto"/>
              </w:rPr>
            </w:pPr>
          </w:p>
        </w:tc>
        <w:tc>
          <w:tcPr>
            <w:tcW w:w="1180" w:type="dxa"/>
            <w:vAlign w:val="bottom"/>
            <w:gridSpan w:val="2"/>
          </w:tcPr>
          <w:p>
            <w:pPr>
              <w:jc w:val="right"/>
              <w:ind w:right="620"/>
              <w:spacing w:after="0"/>
              <w:rPr>
                <w:sz w:val="20"/>
                <w:szCs w:val="20"/>
                <w:color w:val="auto"/>
              </w:rPr>
            </w:pPr>
            <w:r>
              <w:rPr>
                <w:rFonts w:ascii="Calibri" w:cs="Calibri" w:eastAsia="Calibri" w:hAnsi="Calibri"/>
                <w:sz w:val="18"/>
                <w:szCs w:val="18"/>
                <w:b w:val="1"/>
                <w:bCs w:val="1"/>
                <w:color w:val="auto"/>
              </w:rPr>
              <w:t>Total</w:t>
            </w:r>
          </w:p>
        </w:tc>
      </w:tr>
      <w:tr>
        <w:trPr>
          <w:trHeight w:val="209"/>
        </w:trPr>
        <w:tc>
          <w:tcPr>
            <w:tcW w:w="4900" w:type="dxa"/>
            <w:vAlign w:val="bottom"/>
          </w:tcPr>
          <w:p>
            <w:pPr>
              <w:ind w:left="20"/>
              <w:spacing w:after="0" w:line="195" w:lineRule="exact"/>
              <w:rPr>
                <w:sz w:val="20"/>
                <w:szCs w:val="20"/>
                <w:color w:val="auto"/>
              </w:rPr>
            </w:pPr>
            <w:r>
              <w:rPr>
                <w:rFonts w:ascii="Calibri" w:cs="Calibri" w:eastAsia="Calibri" w:hAnsi="Calibri"/>
                <w:sz w:val="18"/>
                <w:szCs w:val="18"/>
                <w:b w:val="1"/>
                <w:bCs w:val="1"/>
                <w:color w:val="auto"/>
              </w:rPr>
              <w:t>Balance as of December 31, 2021</w:t>
            </w:r>
          </w:p>
        </w:tc>
        <w:tc>
          <w:tcPr>
            <w:tcW w:w="1140" w:type="dxa"/>
            <w:vAlign w:val="bottom"/>
            <w:tcBorders>
              <w:top w:val="single" w:sz="8" w:color="auto"/>
              <w:bottom w:val="single" w:sz="8" w:color="auto"/>
            </w:tcBorders>
          </w:tcPr>
          <w:p>
            <w:pPr>
              <w:jc w:val="right"/>
              <w:ind w:right="930"/>
              <w:spacing w:after="0" w:line="209" w:lineRule="exact"/>
              <w:rPr>
                <w:sz w:val="20"/>
                <w:szCs w:val="20"/>
                <w:color w:val="auto"/>
              </w:rPr>
            </w:pPr>
            <w:r>
              <w:rPr>
                <w:rFonts w:ascii="Calibri" w:cs="Calibri" w:eastAsia="Calibri" w:hAnsi="Calibri"/>
                <w:sz w:val="18"/>
                <w:szCs w:val="18"/>
                <w:color w:val="auto"/>
              </w:rPr>
              <w:t>$</w:t>
            </w:r>
          </w:p>
        </w:tc>
        <w:tc>
          <w:tcPr>
            <w:tcW w:w="220" w:type="dxa"/>
            <w:vAlign w:val="bottom"/>
            <w:tcBorders>
              <w:top w:val="single" w:sz="8" w:color="auto"/>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4</w:t>
            </w:r>
          </w:p>
        </w:tc>
        <w:tc>
          <w:tcPr>
            <w:tcW w:w="2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line="209" w:lineRule="exact"/>
              <w:rPr>
                <w:sz w:val="20"/>
                <w:szCs w:val="20"/>
                <w:color w:val="auto"/>
              </w:rPr>
            </w:pPr>
            <w:r>
              <w:rPr>
                <w:rFonts w:ascii="Calibri" w:cs="Calibri" w:eastAsia="Calibri" w:hAnsi="Calibri"/>
                <w:sz w:val="18"/>
                <w:szCs w:val="18"/>
                <w:color w:val="auto"/>
                <w:w w:val="87"/>
              </w:rPr>
              <w:t>$</w:t>
            </w:r>
          </w:p>
        </w:tc>
        <w:tc>
          <w:tcPr>
            <w:tcW w:w="1160" w:type="dxa"/>
            <w:vAlign w:val="bottom"/>
            <w:tcBorders>
              <w:top w:val="single" w:sz="8" w:color="auto"/>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1</w:t>
            </w:r>
          </w:p>
        </w:tc>
        <w:tc>
          <w:tcPr>
            <w:tcW w:w="2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line="209" w:lineRule="exact"/>
              <w:rPr>
                <w:sz w:val="20"/>
                <w:szCs w:val="20"/>
                <w:color w:val="auto"/>
              </w:rPr>
            </w:pPr>
            <w:r>
              <w:rPr>
                <w:rFonts w:ascii="Calibri" w:cs="Calibri" w:eastAsia="Calibri" w:hAnsi="Calibri"/>
                <w:sz w:val="18"/>
                <w:szCs w:val="18"/>
                <w:color w:val="auto"/>
                <w:w w:val="87"/>
              </w:rPr>
              <w:t>$</w:t>
            </w:r>
          </w:p>
        </w:tc>
        <w:tc>
          <w:tcPr>
            <w:tcW w:w="1140" w:type="dxa"/>
            <w:vAlign w:val="bottom"/>
            <w:tcBorders>
              <w:top w:val="single" w:sz="8" w:color="auto"/>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w:t>
            </w:r>
          </w:p>
        </w:tc>
        <w:tc>
          <w:tcPr>
            <w:tcW w:w="26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line="209" w:lineRule="exact"/>
              <w:rPr>
                <w:sz w:val="20"/>
                <w:szCs w:val="20"/>
                <w:color w:val="auto"/>
              </w:rPr>
            </w:pPr>
            <w:r>
              <w:rPr>
                <w:rFonts w:ascii="Calibri" w:cs="Calibri" w:eastAsia="Calibri" w:hAnsi="Calibri"/>
                <w:sz w:val="18"/>
                <w:szCs w:val="18"/>
                <w:color w:val="auto"/>
                <w:w w:val="87"/>
              </w:rPr>
              <w:t>$</w:t>
            </w:r>
          </w:p>
        </w:tc>
        <w:tc>
          <w:tcPr>
            <w:tcW w:w="1060" w:type="dxa"/>
            <w:vAlign w:val="bottom"/>
            <w:tcBorders>
              <w:top w:val="single" w:sz="8" w:color="auto"/>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5</w:t>
            </w:r>
          </w:p>
        </w:tc>
        <w:tc>
          <w:tcPr>
            <w:tcW w:w="120" w:type="dxa"/>
            <w:vAlign w:val="bottom"/>
          </w:tcPr>
          <w:p>
            <w:pPr>
              <w:spacing w:after="0"/>
              <w:rPr>
                <w:sz w:val="18"/>
                <w:szCs w:val="18"/>
                <w:color w:val="auto"/>
              </w:rPr>
            </w:pPr>
          </w:p>
        </w:tc>
      </w:tr>
      <w:tr>
        <w:trPr>
          <w:trHeight w:val="210"/>
        </w:trPr>
        <w:tc>
          <w:tcPr>
            <w:tcW w:w="490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color w:val="auto"/>
              </w:rPr>
              <w:t>Charges</w:t>
            </w: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6</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4</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3</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13</w:t>
            </w:r>
          </w:p>
        </w:tc>
        <w:tc>
          <w:tcPr>
            <w:tcW w:w="120" w:type="dxa"/>
            <w:vAlign w:val="bottom"/>
            <w:shd w:val="clear" w:color="auto" w:fill="CFF0FC"/>
          </w:tcPr>
          <w:p>
            <w:pPr>
              <w:spacing w:after="0"/>
              <w:rPr>
                <w:sz w:val="18"/>
                <w:szCs w:val="18"/>
                <w:color w:val="auto"/>
              </w:rPr>
            </w:pPr>
          </w:p>
        </w:tc>
      </w:tr>
      <w:tr>
        <w:trPr>
          <w:trHeight w:val="169"/>
        </w:trPr>
        <w:tc>
          <w:tcPr>
            <w:tcW w:w="4900" w:type="dxa"/>
            <w:vAlign w:val="bottom"/>
          </w:tcPr>
          <w:p>
            <w:pPr>
              <w:ind w:left="20"/>
              <w:spacing w:after="0" w:line="169" w:lineRule="exact"/>
              <w:rPr>
                <w:sz w:val="20"/>
                <w:szCs w:val="20"/>
                <w:color w:val="auto"/>
              </w:rPr>
            </w:pPr>
            <w:r>
              <w:rPr>
                <w:rFonts w:ascii="Calibri" w:cs="Calibri" w:eastAsia="Calibri" w:hAnsi="Calibri"/>
                <w:sz w:val="18"/>
                <w:szCs w:val="18"/>
                <w:color w:val="auto"/>
              </w:rPr>
              <w:t>Utlizaton/cash payments</w:t>
            </w:r>
          </w:p>
        </w:tc>
        <w:tc>
          <w:tcPr>
            <w:tcW w:w="1140" w:type="dxa"/>
            <w:vAlign w:val="bottom"/>
          </w:tcPr>
          <w:p>
            <w:pPr>
              <w:spacing w:after="0"/>
              <w:rPr>
                <w:sz w:val="14"/>
                <w:szCs w:val="14"/>
                <w:color w:val="auto"/>
              </w:rPr>
            </w:pPr>
          </w:p>
        </w:tc>
        <w:tc>
          <w:tcPr>
            <w:tcW w:w="480" w:type="dxa"/>
            <w:vAlign w:val="bottom"/>
            <w:gridSpan w:val="2"/>
          </w:tcPr>
          <w:p>
            <w:pPr>
              <w:jc w:val="right"/>
              <w:ind w:right="200"/>
              <w:spacing w:after="0" w:line="169" w:lineRule="exact"/>
              <w:rPr>
                <w:sz w:val="20"/>
                <w:szCs w:val="20"/>
                <w:color w:val="auto"/>
              </w:rPr>
            </w:pPr>
            <w:r>
              <w:rPr>
                <w:rFonts w:ascii="Calibri" w:cs="Calibri" w:eastAsia="Calibri" w:hAnsi="Calibri"/>
                <w:sz w:val="18"/>
                <w:szCs w:val="18"/>
                <w:color w:val="auto"/>
              </w:rPr>
              <w:t>(6 )</w:t>
            </w:r>
          </w:p>
        </w:tc>
        <w:tc>
          <w:tcPr>
            <w:tcW w:w="200" w:type="dxa"/>
            <w:vAlign w:val="bottom"/>
          </w:tcPr>
          <w:p>
            <w:pPr>
              <w:spacing w:after="0"/>
              <w:rPr>
                <w:sz w:val="14"/>
                <w:szCs w:val="14"/>
                <w:color w:val="auto"/>
              </w:rPr>
            </w:pPr>
          </w:p>
        </w:tc>
        <w:tc>
          <w:tcPr>
            <w:tcW w:w="1420" w:type="dxa"/>
            <w:vAlign w:val="bottom"/>
            <w:gridSpan w:val="2"/>
          </w:tcPr>
          <w:p>
            <w:pPr>
              <w:jc w:val="right"/>
              <w:ind w:right="280"/>
              <w:spacing w:after="0" w:line="169" w:lineRule="exact"/>
              <w:rPr>
                <w:sz w:val="20"/>
                <w:szCs w:val="20"/>
                <w:color w:val="auto"/>
              </w:rPr>
            </w:pPr>
            <w:r>
              <w:rPr>
                <w:rFonts w:ascii="Calibri" w:cs="Calibri" w:eastAsia="Calibri" w:hAnsi="Calibri"/>
                <w:sz w:val="18"/>
                <w:szCs w:val="18"/>
                <w:color w:val="auto"/>
              </w:rPr>
              <w:t>—</w:t>
            </w:r>
          </w:p>
        </w:tc>
        <w:tc>
          <w:tcPr>
            <w:tcW w:w="220" w:type="dxa"/>
            <w:vAlign w:val="bottom"/>
          </w:tcPr>
          <w:p>
            <w:pPr>
              <w:spacing w:after="0"/>
              <w:rPr>
                <w:sz w:val="14"/>
                <w:szCs w:val="14"/>
                <w:color w:val="auto"/>
              </w:rPr>
            </w:pPr>
          </w:p>
        </w:tc>
        <w:tc>
          <w:tcPr>
            <w:tcW w:w="1400" w:type="dxa"/>
            <w:vAlign w:val="bottom"/>
            <w:gridSpan w:val="2"/>
          </w:tcPr>
          <w:p>
            <w:pPr>
              <w:jc w:val="right"/>
              <w:ind w:right="200"/>
              <w:spacing w:after="0" w:line="169" w:lineRule="exact"/>
              <w:rPr>
                <w:sz w:val="20"/>
                <w:szCs w:val="20"/>
                <w:color w:val="auto"/>
              </w:rPr>
            </w:pPr>
            <w:r>
              <w:rPr>
                <w:rFonts w:ascii="Calibri" w:cs="Calibri" w:eastAsia="Calibri" w:hAnsi="Calibri"/>
                <w:sz w:val="18"/>
                <w:szCs w:val="18"/>
                <w:color w:val="auto"/>
              </w:rPr>
              <w:t>(3 )</w:t>
            </w:r>
          </w:p>
        </w:tc>
        <w:tc>
          <w:tcPr>
            <w:tcW w:w="300" w:type="dxa"/>
            <w:vAlign w:val="bottom"/>
          </w:tcPr>
          <w:p>
            <w:pPr>
              <w:spacing w:after="0"/>
              <w:rPr>
                <w:sz w:val="14"/>
                <w:szCs w:val="14"/>
                <w:color w:val="auto"/>
              </w:rPr>
            </w:pPr>
          </w:p>
        </w:tc>
        <w:tc>
          <w:tcPr>
            <w:tcW w:w="1180" w:type="dxa"/>
            <w:vAlign w:val="bottom"/>
            <w:gridSpan w:val="2"/>
          </w:tcPr>
          <w:p>
            <w:pPr>
              <w:jc w:val="right"/>
              <w:ind w:right="60"/>
              <w:spacing w:after="0" w:line="169" w:lineRule="exact"/>
              <w:rPr>
                <w:sz w:val="20"/>
                <w:szCs w:val="20"/>
                <w:color w:val="auto"/>
              </w:rPr>
            </w:pPr>
            <w:r>
              <w:rPr>
                <w:rFonts w:ascii="Calibri" w:cs="Calibri" w:eastAsia="Calibri" w:hAnsi="Calibri"/>
                <w:sz w:val="18"/>
                <w:szCs w:val="18"/>
                <w:color w:val="auto"/>
              </w:rPr>
              <w:t>(9 )</w:t>
            </w:r>
          </w:p>
        </w:tc>
      </w:tr>
      <w:tr>
        <w:trPr>
          <w:trHeight w:val="263"/>
        </w:trPr>
        <w:tc>
          <w:tcPr>
            <w:tcW w:w="4900" w:type="dxa"/>
            <w:vAlign w:val="bottom"/>
          </w:tcPr>
          <w:p>
            <w:pPr>
              <w:ind w:left="20"/>
              <w:spacing w:after="0" w:line="263" w:lineRule="exact"/>
              <w:rPr>
                <w:sz w:val="20"/>
                <w:szCs w:val="20"/>
                <w:color w:val="auto"/>
              </w:rPr>
            </w:pPr>
            <w:r>
              <w:rPr>
                <w:rFonts w:ascii="Calibri" w:cs="Calibri" w:eastAsia="Calibri" w:hAnsi="Calibri"/>
                <w:sz w:val="18"/>
                <w:szCs w:val="18"/>
                <w:color w:val="auto"/>
              </w:rPr>
              <w:t xml:space="preserve">Other adjustments &amp; reclasses </w:t>
            </w:r>
            <w:r>
              <w:rPr>
                <w:rFonts w:ascii="Calibri" w:cs="Calibri" w:eastAsia="Calibri" w:hAnsi="Calibri"/>
                <w:sz w:val="24"/>
                <w:szCs w:val="24"/>
                <w:color w:val="auto"/>
                <w:vertAlign w:val="superscript"/>
              </w:rPr>
              <w:t>(2)</w:t>
            </w:r>
          </w:p>
        </w:tc>
        <w:tc>
          <w:tcPr>
            <w:tcW w:w="1140" w:type="dxa"/>
            <w:vAlign w:val="bottom"/>
          </w:tcPr>
          <w:p>
            <w:pPr>
              <w:spacing w:after="0"/>
              <w:rPr>
                <w:sz w:val="22"/>
                <w:szCs w:val="22"/>
                <w:color w:val="auto"/>
              </w:rPr>
            </w:pPr>
          </w:p>
        </w:tc>
        <w:tc>
          <w:tcPr>
            <w:tcW w:w="480" w:type="dxa"/>
            <w:vAlign w:val="bottom"/>
            <w:gridSpan w:val="2"/>
          </w:tcPr>
          <w:p>
            <w:pPr>
              <w:jc w:val="right"/>
              <w:ind w:right="200"/>
              <w:spacing w:after="0"/>
              <w:rPr>
                <w:sz w:val="20"/>
                <w:szCs w:val="20"/>
                <w:color w:val="auto"/>
              </w:rPr>
            </w:pPr>
            <w:r>
              <w:rPr>
                <w:rFonts w:ascii="Calibri" w:cs="Calibri" w:eastAsia="Calibri" w:hAnsi="Calibri"/>
                <w:sz w:val="18"/>
                <w:szCs w:val="18"/>
                <w:color w:val="auto"/>
              </w:rPr>
              <w:t>(2 )</w:t>
            </w:r>
          </w:p>
        </w:tc>
        <w:tc>
          <w:tcPr>
            <w:tcW w:w="200" w:type="dxa"/>
            <w:vAlign w:val="bottom"/>
          </w:tcPr>
          <w:p>
            <w:pPr>
              <w:spacing w:after="0"/>
              <w:rPr>
                <w:sz w:val="22"/>
                <w:szCs w:val="22"/>
                <w:color w:val="auto"/>
              </w:rPr>
            </w:pPr>
          </w:p>
        </w:tc>
        <w:tc>
          <w:tcPr>
            <w:tcW w:w="1420" w:type="dxa"/>
            <w:vAlign w:val="bottom"/>
            <w:gridSpan w:val="2"/>
          </w:tcPr>
          <w:p>
            <w:pPr>
              <w:jc w:val="right"/>
              <w:ind w:right="280"/>
              <w:spacing w:after="0"/>
              <w:rPr>
                <w:sz w:val="20"/>
                <w:szCs w:val="20"/>
                <w:color w:val="auto"/>
              </w:rPr>
            </w:pPr>
            <w:r>
              <w:rPr>
                <w:rFonts w:ascii="Calibri" w:cs="Calibri" w:eastAsia="Calibri" w:hAnsi="Calibri"/>
                <w:sz w:val="18"/>
                <w:szCs w:val="18"/>
                <w:color w:val="auto"/>
              </w:rPr>
              <w:t>—</w:t>
            </w:r>
          </w:p>
        </w:tc>
        <w:tc>
          <w:tcPr>
            <w:tcW w:w="220" w:type="dxa"/>
            <w:vAlign w:val="bottom"/>
          </w:tcPr>
          <w:p>
            <w:pPr>
              <w:spacing w:after="0"/>
              <w:rPr>
                <w:sz w:val="22"/>
                <w:szCs w:val="22"/>
                <w:color w:val="auto"/>
              </w:rPr>
            </w:pPr>
          </w:p>
        </w:tc>
        <w:tc>
          <w:tcPr>
            <w:tcW w:w="1400" w:type="dxa"/>
            <w:vAlign w:val="bottom"/>
            <w:gridSpan w:val="2"/>
          </w:tcPr>
          <w:p>
            <w:pPr>
              <w:jc w:val="right"/>
              <w:ind w:right="280"/>
              <w:spacing w:after="0"/>
              <w:rPr>
                <w:sz w:val="20"/>
                <w:szCs w:val="20"/>
                <w:color w:val="auto"/>
              </w:rPr>
            </w:pPr>
            <w:r>
              <w:rPr>
                <w:rFonts w:ascii="Calibri" w:cs="Calibri" w:eastAsia="Calibri" w:hAnsi="Calibri"/>
                <w:sz w:val="18"/>
                <w:szCs w:val="18"/>
                <w:color w:val="auto"/>
              </w:rPr>
              <w:t>—</w:t>
            </w:r>
          </w:p>
        </w:tc>
        <w:tc>
          <w:tcPr>
            <w:tcW w:w="300" w:type="dxa"/>
            <w:vAlign w:val="bottom"/>
          </w:tcPr>
          <w:p>
            <w:pPr>
              <w:spacing w:after="0"/>
              <w:rPr>
                <w:sz w:val="22"/>
                <w:szCs w:val="22"/>
                <w:color w:val="auto"/>
              </w:rPr>
            </w:pPr>
          </w:p>
        </w:tc>
        <w:tc>
          <w:tcPr>
            <w:tcW w:w="1180" w:type="dxa"/>
            <w:vAlign w:val="bottom"/>
            <w:gridSpan w:val="2"/>
          </w:tcPr>
          <w:p>
            <w:pPr>
              <w:jc w:val="right"/>
              <w:ind w:right="60"/>
              <w:spacing w:after="0"/>
              <w:rPr>
                <w:sz w:val="20"/>
                <w:szCs w:val="20"/>
                <w:color w:val="auto"/>
              </w:rPr>
            </w:pPr>
            <w:r>
              <w:rPr>
                <w:rFonts w:ascii="Calibri" w:cs="Calibri" w:eastAsia="Calibri" w:hAnsi="Calibri"/>
                <w:sz w:val="18"/>
                <w:szCs w:val="18"/>
                <w:color w:val="auto"/>
              </w:rPr>
              <w:t>(2 )</w:t>
            </w:r>
          </w:p>
        </w:tc>
      </w:tr>
      <w:tr>
        <w:trPr>
          <w:trHeight w:val="209"/>
        </w:trPr>
        <w:tc>
          <w:tcPr>
            <w:tcW w:w="4900" w:type="dxa"/>
            <w:vAlign w:val="bottom"/>
          </w:tcPr>
          <w:p>
            <w:pPr>
              <w:ind w:left="20"/>
              <w:spacing w:after="0" w:line="195" w:lineRule="exact"/>
              <w:rPr>
                <w:sz w:val="20"/>
                <w:szCs w:val="20"/>
                <w:color w:val="auto"/>
              </w:rPr>
            </w:pPr>
            <w:r>
              <w:rPr>
                <w:rFonts w:ascii="Calibri" w:cs="Calibri" w:eastAsia="Calibri" w:hAnsi="Calibri"/>
                <w:sz w:val="18"/>
                <w:szCs w:val="18"/>
                <w:b w:val="1"/>
                <w:bCs w:val="1"/>
                <w:color w:val="auto"/>
              </w:rPr>
              <w:t>Balance as of December 31, 2022</w:t>
            </w:r>
          </w:p>
        </w:tc>
        <w:tc>
          <w:tcPr>
            <w:tcW w:w="114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2</w:t>
            </w:r>
          </w:p>
        </w:tc>
        <w:tc>
          <w:tcPr>
            <w:tcW w:w="2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5</w:t>
            </w:r>
          </w:p>
        </w:tc>
        <w:tc>
          <w:tcPr>
            <w:tcW w:w="2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w:t>
            </w:r>
          </w:p>
        </w:tc>
        <w:tc>
          <w:tcPr>
            <w:tcW w:w="26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7</w:t>
            </w:r>
          </w:p>
        </w:tc>
        <w:tc>
          <w:tcPr>
            <w:tcW w:w="120" w:type="dxa"/>
            <w:vAlign w:val="bottom"/>
          </w:tcPr>
          <w:p>
            <w:pPr>
              <w:spacing w:after="0"/>
              <w:rPr>
                <w:sz w:val="18"/>
                <w:szCs w:val="18"/>
                <w:color w:val="auto"/>
              </w:rPr>
            </w:pPr>
          </w:p>
        </w:tc>
      </w:tr>
      <w:tr>
        <w:trPr>
          <w:trHeight w:val="210"/>
        </w:trPr>
        <w:tc>
          <w:tcPr>
            <w:tcW w:w="490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color w:val="auto"/>
              </w:rPr>
              <w:t>Charges</w:t>
            </w: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8</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00"/>
              <w:spacing w:after="0" w:line="210" w:lineRule="exact"/>
              <w:rPr>
                <w:sz w:val="20"/>
                <w:szCs w:val="20"/>
                <w:color w:val="auto"/>
              </w:rPr>
            </w:pPr>
            <w:r>
              <w:rPr>
                <w:rFonts w:ascii="Calibri" w:cs="Calibri" w:eastAsia="Calibri" w:hAnsi="Calibri"/>
                <w:sz w:val="18"/>
                <w:szCs w:val="18"/>
                <w:color w:val="auto"/>
              </w:rPr>
              <w:t>(1 )</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3</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10</w:t>
            </w:r>
          </w:p>
        </w:tc>
        <w:tc>
          <w:tcPr>
            <w:tcW w:w="120" w:type="dxa"/>
            <w:vAlign w:val="bottom"/>
            <w:shd w:val="clear" w:color="auto" w:fill="CFF0FC"/>
          </w:tcPr>
          <w:p>
            <w:pPr>
              <w:spacing w:after="0"/>
              <w:rPr>
                <w:sz w:val="18"/>
                <w:szCs w:val="18"/>
                <w:color w:val="auto"/>
              </w:rPr>
            </w:pPr>
          </w:p>
        </w:tc>
      </w:tr>
      <w:tr>
        <w:trPr>
          <w:trHeight w:val="215"/>
        </w:trPr>
        <w:tc>
          <w:tcPr>
            <w:tcW w:w="4900" w:type="dxa"/>
            <w:vAlign w:val="bottom"/>
          </w:tcPr>
          <w:p>
            <w:pPr>
              <w:ind w:left="20"/>
              <w:spacing w:after="0" w:line="215" w:lineRule="exact"/>
              <w:rPr>
                <w:sz w:val="20"/>
                <w:szCs w:val="20"/>
                <w:color w:val="auto"/>
              </w:rPr>
            </w:pPr>
            <w:r>
              <w:rPr>
                <w:rFonts w:ascii="Calibri" w:cs="Calibri" w:eastAsia="Calibri" w:hAnsi="Calibri"/>
                <w:sz w:val="18"/>
                <w:szCs w:val="18"/>
                <w:color w:val="auto"/>
              </w:rPr>
              <w:t>Utlizaton/cash payments</w:t>
            </w:r>
          </w:p>
        </w:tc>
        <w:tc>
          <w:tcPr>
            <w:tcW w:w="1140" w:type="dxa"/>
            <w:vAlign w:val="bottom"/>
          </w:tcPr>
          <w:p>
            <w:pPr>
              <w:spacing w:after="0"/>
              <w:rPr>
                <w:sz w:val="18"/>
                <w:szCs w:val="18"/>
                <w:color w:val="auto"/>
              </w:rPr>
            </w:pPr>
          </w:p>
        </w:tc>
        <w:tc>
          <w:tcPr>
            <w:tcW w:w="48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(6 )</w:t>
            </w:r>
          </w:p>
        </w:tc>
        <w:tc>
          <w:tcPr>
            <w:tcW w:w="200" w:type="dxa"/>
            <w:vAlign w:val="bottom"/>
          </w:tcPr>
          <w:p>
            <w:pPr>
              <w:spacing w:after="0"/>
              <w:rPr>
                <w:sz w:val="18"/>
                <w:szCs w:val="18"/>
                <w:color w:val="auto"/>
              </w:rPr>
            </w:pPr>
          </w:p>
        </w:tc>
        <w:tc>
          <w:tcPr>
            <w:tcW w:w="142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(3 )</w:t>
            </w:r>
          </w:p>
        </w:tc>
        <w:tc>
          <w:tcPr>
            <w:tcW w:w="220" w:type="dxa"/>
            <w:vAlign w:val="bottom"/>
          </w:tcPr>
          <w:p>
            <w:pPr>
              <w:spacing w:after="0"/>
              <w:rPr>
                <w:sz w:val="18"/>
                <w:szCs w:val="18"/>
                <w:color w:val="auto"/>
              </w:rPr>
            </w:pPr>
          </w:p>
        </w:tc>
        <w:tc>
          <w:tcPr>
            <w:tcW w:w="140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(3 )</w:t>
            </w:r>
          </w:p>
        </w:tc>
        <w:tc>
          <w:tcPr>
            <w:tcW w:w="300" w:type="dxa"/>
            <w:vAlign w:val="bottom"/>
          </w:tcPr>
          <w:p>
            <w:pPr>
              <w:spacing w:after="0"/>
              <w:rPr>
                <w:sz w:val="18"/>
                <w:szCs w:val="18"/>
                <w:color w:val="auto"/>
              </w:rPr>
            </w:pPr>
          </w:p>
        </w:tc>
        <w:tc>
          <w:tcPr>
            <w:tcW w:w="1180" w:type="dxa"/>
            <w:vAlign w:val="bottom"/>
            <w:gridSpan w:val="2"/>
          </w:tcPr>
          <w:p>
            <w:pPr>
              <w:jc w:val="right"/>
              <w:ind w:right="60"/>
              <w:spacing w:after="0" w:line="215" w:lineRule="exact"/>
              <w:rPr>
                <w:sz w:val="20"/>
                <w:szCs w:val="20"/>
                <w:color w:val="auto"/>
              </w:rPr>
            </w:pPr>
            <w:r>
              <w:rPr>
                <w:rFonts w:ascii="Calibri" w:cs="Calibri" w:eastAsia="Calibri" w:hAnsi="Calibri"/>
                <w:sz w:val="18"/>
                <w:szCs w:val="18"/>
                <w:color w:val="auto"/>
              </w:rPr>
              <w:t>(12 )</w:t>
            </w:r>
          </w:p>
        </w:tc>
      </w:tr>
      <w:tr>
        <w:trPr>
          <w:trHeight w:val="209"/>
        </w:trPr>
        <w:tc>
          <w:tcPr>
            <w:tcW w:w="4900" w:type="dxa"/>
            <w:vAlign w:val="bottom"/>
            <w:tcBorders>
              <w:bottom w:val="single" w:sz="8" w:color="CFF0FC"/>
            </w:tcBorders>
            <w:shd w:val="clear" w:color="auto" w:fill="CFF0FC"/>
          </w:tcPr>
          <w:p>
            <w:pPr>
              <w:ind w:left="20"/>
              <w:spacing w:after="0" w:line="209" w:lineRule="exact"/>
              <w:rPr>
                <w:sz w:val="20"/>
                <w:szCs w:val="20"/>
                <w:color w:val="auto"/>
              </w:rPr>
            </w:pPr>
            <w:r>
              <w:rPr>
                <w:rFonts w:ascii="Calibri" w:cs="Calibri" w:eastAsia="Calibri" w:hAnsi="Calibri"/>
                <w:sz w:val="18"/>
                <w:szCs w:val="18"/>
                <w:b w:val="1"/>
                <w:bCs w:val="1"/>
                <w:color w:val="auto"/>
              </w:rPr>
              <w:t>Balance as of December 31, 2023</w:t>
            </w:r>
          </w:p>
        </w:tc>
        <w:tc>
          <w:tcPr>
            <w:tcW w:w="1140" w:type="dxa"/>
            <w:vAlign w:val="bottom"/>
            <w:tcBorders>
              <w:top w:val="single" w:sz="8" w:color="auto"/>
              <w:bottom w:val="single" w:sz="8" w:color="auto"/>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4</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160" w:type="dxa"/>
            <w:vAlign w:val="bottom"/>
            <w:tcBorders>
              <w:top w:val="single" w:sz="8" w:color="auto"/>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1</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5</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4900" w:type="dxa"/>
            <w:vAlign w:val="bottom"/>
          </w:tcPr>
          <w:p>
            <w:pPr>
              <w:ind w:left="20"/>
              <w:spacing w:after="0" w:line="209" w:lineRule="exact"/>
              <w:rPr>
                <w:sz w:val="20"/>
                <w:szCs w:val="20"/>
                <w:color w:val="auto"/>
              </w:rPr>
            </w:pPr>
            <w:r>
              <w:rPr>
                <w:rFonts w:ascii="Calibri" w:cs="Calibri" w:eastAsia="Calibri" w:hAnsi="Calibri"/>
                <w:sz w:val="18"/>
                <w:szCs w:val="18"/>
                <w:color w:val="auto"/>
              </w:rPr>
              <w:t>Charges</w:t>
            </w:r>
          </w:p>
        </w:tc>
        <w:tc>
          <w:tcPr>
            <w:tcW w:w="1140" w:type="dxa"/>
            <w:vAlign w:val="bottom"/>
          </w:tcPr>
          <w:p>
            <w:pPr>
              <w:spacing w:after="0"/>
              <w:rPr>
                <w:sz w:val="18"/>
                <w:szCs w:val="18"/>
                <w:color w:val="auto"/>
              </w:rPr>
            </w:pPr>
          </w:p>
        </w:tc>
        <w:tc>
          <w:tcPr>
            <w:tcW w:w="220" w:type="dxa"/>
            <w:vAlign w:val="bottom"/>
          </w:tcPr>
          <w:p>
            <w:pPr>
              <w:jc w:val="right"/>
              <w:spacing w:after="0" w:line="209" w:lineRule="exact"/>
              <w:rPr>
                <w:sz w:val="20"/>
                <w:szCs w:val="20"/>
                <w:color w:val="auto"/>
              </w:rPr>
            </w:pPr>
            <w:r>
              <w:rPr>
                <w:rFonts w:ascii="Calibri" w:cs="Calibri" w:eastAsia="Calibri" w:hAnsi="Calibri"/>
                <w:sz w:val="18"/>
                <w:szCs w:val="18"/>
                <w:color w:val="auto"/>
              </w:rPr>
              <w:t>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line="209" w:lineRule="exact"/>
              <w:rPr>
                <w:sz w:val="20"/>
                <w:szCs w:val="20"/>
                <w:color w:val="auto"/>
              </w:rPr>
            </w:pPr>
            <w:r>
              <w:rPr>
                <w:rFonts w:ascii="Calibri" w:cs="Calibri" w:eastAsia="Calibri" w:hAnsi="Calibri"/>
                <w:sz w:val="18"/>
                <w:szCs w:val="18"/>
                <w:color w:val="auto"/>
              </w:rPr>
              <w:t>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280"/>
              <w:spacing w:after="0" w:line="209" w:lineRule="exact"/>
              <w:rPr>
                <w:sz w:val="20"/>
                <w:szCs w:val="20"/>
                <w:color w:val="auto"/>
              </w:rPr>
            </w:pPr>
            <w:r>
              <w:rPr>
                <w:rFonts w:ascii="Calibri" w:cs="Calibri" w:eastAsia="Calibri" w:hAnsi="Calibri"/>
                <w:sz w:val="18"/>
                <w:szCs w:val="18"/>
                <w:color w:val="auto"/>
              </w:rPr>
              <w:t>—</w:t>
            </w:r>
          </w:p>
        </w:tc>
        <w:tc>
          <w:tcPr>
            <w:tcW w:w="300" w:type="dxa"/>
            <w:vAlign w:val="bottom"/>
          </w:tcPr>
          <w:p>
            <w:pPr>
              <w:spacing w:after="0"/>
              <w:rPr>
                <w:sz w:val="18"/>
                <w:szCs w:val="18"/>
                <w:color w:val="auto"/>
              </w:rPr>
            </w:pPr>
          </w:p>
        </w:tc>
        <w:tc>
          <w:tcPr>
            <w:tcW w:w="1060" w:type="dxa"/>
            <w:vAlign w:val="bottom"/>
          </w:tcPr>
          <w:p>
            <w:pPr>
              <w:jc w:val="right"/>
              <w:spacing w:after="0" w:line="209" w:lineRule="exact"/>
              <w:rPr>
                <w:sz w:val="20"/>
                <w:szCs w:val="20"/>
                <w:color w:val="auto"/>
              </w:rPr>
            </w:pPr>
            <w:r>
              <w:rPr>
                <w:rFonts w:ascii="Calibri" w:cs="Calibri" w:eastAsia="Calibri" w:hAnsi="Calibri"/>
                <w:sz w:val="18"/>
                <w:szCs w:val="18"/>
                <w:color w:val="auto"/>
              </w:rPr>
              <w:t>8</w:t>
            </w:r>
          </w:p>
        </w:tc>
        <w:tc>
          <w:tcPr>
            <w:tcW w:w="120" w:type="dxa"/>
            <w:vAlign w:val="bottom"/>
          </w:tcPr>
          <w:p>
            <w:pPr>
              <w:spacing w:after="0"/>
              <w:rPr>
                <w:sz w:val="18"/>
                <w:szCs w:val="18"/>
                <w:color w:val="auto"/>
              </w:rPr>
            </w:pPr>
          </w:p>
        </w:tc>
      </w:tr>
      <w:tr>
        <w:trPr>
          <w:trHeight w:val="170"/>
        </w:trPr>
        <w:tc>
          <w:tcPr>
            <w:tcW w:w="4900" w:type="dxa"/>
            <w:vAlign w:val="bottom"/>
          </w:tcPr>
          <w:p>
            <w:pPr>
              <w:ind w:left="20"/>
              <w:spacing w:after="0" w:line="170" w:lineRule="exact"/>
              <w:rPr>
                <w:sz w:val="20"/>
                <w:szCs w:val="20"/>
                <w:color w:val="auto"/>
              </w:rPr>
            </w:pPr>
            <w:r>
              <w:rPr>
                <w:rFonts w:ascii="Calibri" w:cs="Calibri" w:eastAsia="Calibri" w:hAnsi="Calibri"/>
                <w:sz w:val="18"/>
                <w:szCs w:val="18"/>
                <w:color w:val="auto"/>
              </w:rPr>
              <w:t>Utlizaton/cash payments</w:t>
            </w:r>
          </w:p>
        </w:tc>
        <w:tc>
          <w:tcPr>
            <w:tcW w:w="1140" w:type="dxa"/>
            <w:vAlign w:val="bottom"/>
          </w:tcPr>
          <w:p>
            <w:pPr>
              <w:spacing w:after="0"/>
              <w:rPr>
                <w:sz w:val="14"/>
                <w:szCs w:val="14"/>
                <w:color w:val="auto"/>
              </w:rPr>
            </w:pPr>
          </w:p>
        </w:tc>
        <w:tc>
          <w:tcPr>
            <w:tcW w:w="480" w:type="dxa"/>
            <w:vAlign w:val="bottom"/>
            <w:gridSpan w:val="2"/>
          </w:tcPr>
          <w:p>
            <w:pPr>
              <w:jc w:val="right"/>
              <w:ind w:right="200"/>
              <w:spacing w:after="0" w:line="170" w:lineRule="exact"/>
              <w:rPr>
                <w:sz w:val="20"/>
                <w:szCs w:val="20"/>
                <w:color w:val="auto"/>
              </w:rPr>
            </w:pPr>
            <w:r>
              <w:rPr>
                <w:rFonts w:ascii="Calibri" w:cs="Calibri" w:eastAsia="Calibri" w:hAnsi="Calibri"/>
                <w:sz w:val="18"/>
                <w:szCs w:val="18"/>
                <w:color w:val="auto"/>
              </w:rPr>
              <w:t>(7 )</w:t>
            </w:r>
          </w:p>
        </w:tc>
        <w:tc>
          <w:tcPr>
            <w:tcW w:w="200" w:type="dxa"/>
            <w:vAlign w:val="bottom"/>
          </w:tcPr>
          <w:p>
            <w:pPr>
              <w:spacing w:after="0"/>
              <w:rPr>
                <w:sz w:val="14"/>
                <w:szCs w:val="14"/>
                <w:color w:val="auto"/>
              </w:rPr>
            </w:pPr>
          </w:p>
        </w:tc>
        <w:tc>
          <w:tcPr>
            <w:tcW w:w="1420" w:type="dxa"/>
            <w:vAlign w:val="bottom"/>
            <w:gridSpan w:val="2"/>
          </w:tcPr>
          <w:p>
            <w:pPr>
              <w:jc w:val="right"/>
              <w:ind w:right="280"/>
              <w:spacing w:after="0" w:line="170" w:lineRule="exact"/>
              <w:rPr>
                <w:sz w:val="20"/>
                <w:szCs w:val="20"/>
                <w:color w:val="auto"/>
              </w:rPr>
            </w:pPr>
            <w:r>
              <w:rPr>
                <w:rFonts w:ascii="Calibri" w:cs="Calibri" w:eastAsia="Calibri" w:hAnsi="Calibri"/>
                <w:sz w:val="18"/>
                <w:szCs w:val="18"/>
                <w:color w:val="auto"/>
              </w:rPr>
              <w:t>—</w:t>
            </w:r>
          </w:p>
        </w:tc>
        <w:tc>
          <w:tcPr>
            <w:tcW w:w="220" w:type="dxa"/>
            <w:vAlign w:val="bottom"/>
          </w:tcPr>
          <w:p>
            <w:pPr>
              <w:spacing w:after="0"/>
              <w:rPr>
                <w:sz w:val="14"/>
                <w:szCs w:val="14"/>
                <w:color w:val="auto"/>
              </w:rPr>
            </w:pPr>
          </w:p>
        </w:tc>
        <w:tc>
          <w:tcPr>
            <w:tcW w:w="1400" w:type="dxa"/>
            <w:vAlign w:val="bottom"/>
            <w:gridSpan w:val="2"/>
          </w:tcPr>
          <w:p>
            <w:pPr>
              <w:jc w:val="right"/>
              <w:ind w:right="280"/>
              <w:spacing w:after="0" w:line="170" w:lineRule="exact"/>
              <w:rPr>
                <w:sz w:val="20"/>
                <w:szCs w:val="20"/>
                <w:color w:val="auto"/>
              </w:rPr>
            </w:pPr>
            <w:r>
              <w:rPr>
                <w:rFonts w:ascii="Calibri" w:cs="Calibri" w:eastAsia="Calibri" w:hAnsi="Calibri"/>
                <w:sz w:val="18"/>
                <w:szCs w:val="18"/>
                <w:color w:val="auto"/>
              </w:rPr>
              <w:t>—</w:t>
            </w:r>
          </w:p>
        </w:tc>
        <w:tc>
          <w:tcPr>
            <w:tcW w:w="300" w:type="dxa"/>
            <w:vAlign w:val="bottom"/>
          </w:tcPr>
          <w:p>
            <w:pPr>
              <w:spacing w:after="0"/>
              <w:rPr>
                <w:sz w:val="14"/>
                <w:szCs w:val="14"/>
                <w:color w:val="auto"/>
              </w:rPr>
            </w:pPr>
          </w:p>
        </w:tc>
        <w:tc>
          <w:tcPr>
            <w:tcW w:w="1180" w:type="dxa"/>
            <w:vAlign w:val="bottom"/>
            <w:gridSpan w:val="2"/>
          </w:tcPr>
          <w:p>
            <w:pPr>
              <w:jc w:val="right"/>
              <w:ind w:right="60"/>
              <w:spacing w:after="0" w:line="170" w:lineRule="exact"/>
              <w:rPr>
                <w:sz w:val="20"/>
                <w:szCs w:val="20"/>
                <w:color w:val="auto"/>
              </w:rPr>
            </w:pPr>
            <w:r>
              <w:rPr>
                <w:rFonts w:ascii="Calibri" w:cs="Calibri" w:eastAsia="Calibri" w:hAnsi="Calibri"/>
                <w:sz w:val="18"/>
                <w:szCs w:val="18"/>
                <w:color w:val="auto"/>
              </w:rPr>
              <w:t>(7 )</w:t>
            </w:r>
          </w:p>
        </w:tc>
      </w:tr>
      <w:tr>
        <w:trPr>
          <w:trHeight w:val="263"/>
        </w:trPr>
        <w:tc>
          <w:tcPr>
            <w:tcW w:w="4900" w:type="dxa"/>
            <w:vAlign w:val="bottom"/>
          </w:tcPr>
          <w:p>
            <w:pPr>
              <w:ind w:left="20"/>
              <w:spacing w:after="0" w:line="263" w:lineRule="exact"/>
              <w:rPr>
                <w:sz w:val="20"/>
                <w:szCs w:val="20"/>
                <w:color w:val="auto"/>
              </w:rPr>
            </w:pPr>
            <w:r>
              <w:rPr>
                <w:rFonts w:ascii="Calibri" w:cs="Calibri" w:eastAsia="Calibri" w:hAnsi="Calibri"/>
                <w:sz w:val="18"/>
                <w:szCs w:val="18"/>
                <w:color w:val="auto"/>
              </w:rPr>
              <w:t xml:space="preserve">Other adjustments &amp; reclasses </w:t>
            </w:r>
            <w:r>
              <w:rPr>
                <w:rFonts w:ascii="Calibri" w:cs="Calibri" w:eastAsia="Calibri" w:hAnsi="Calibri"/>
                <w:sz w:val="24"/>
                <w:szCs w:val="24"/>
                <w:color w:val="auto"/>
                <w:vertAlign w:val="superscript"/>
              </w:rPr>
              <w:t>(2)</w:t>
            </w:r>
          </w:p>
        </w:tc>
        <w:tc>
          <w:tcPr>
            <w:tcW w:w="1140" w:type="dxa"/>
            <w:vAlign w:val="bottom"/>
          </w:tcPr>
          <w:p>
            <w:pPr>
              <w:spacing w:after="0"/>
              <w:rPr>
                <w:sz w:val="22"/>
                <w:szCs w:val="22"/>
                <w:color w:val="auto"/>
              </w:rPr>
            </w:pPr>
          </w:p>
        </w:tc>
        <w:tc>
          <w:tcPr>
            <w:tcW w:w="480" w:type="dxa"/>
            <w:vAlign w:val="bottom"/>
            <w:gridSpan w:val="2"/>
          </w:tcPr>
          <w:p>
            <w:pPr>
              <w:jc w:val="right"/>
              <w:ind w:right="200"/>
              <w:spacing w:after="0"/>
              <w:rPr>
                <w:sz w:val="20"/>
                <w:szCs w:val="20"/>
                <w:color w:val="auto"/>
              </w:rPr>
            </w:pPr>
            <w:r>
              <w:rPr>
                <w:rFonts w:ascii="Calibri" w:cs="Calibri" w:eastAsia="Calibri" w:hAnsi="Calibri"/>
                <w:sz w:val="18"/>
                <w:szCs w:val="18"/>
                <w:color w:val="auto"/>
              </w:rPr>
              <w:t>(1 )</w:t>
            </w:r>
          </w:p>
        </w:tc>
        <w:tc>
          <w:tcPr>
            <w:tcW w:w="200" w:type="dxa"/>
            <w:vAlign w:val="bottom"/>
          </w:tcPr>
          <w:p>
            <w:pPr>
              <w:spacing w:after="0"/>
              <w:rPr>
                <w:sz w:val="22"/>
                <w:szCs w:val="22"/>
                <w:color w:val="auto"/>
              </w:rPr>
            </w:pPr>
          </w:p>
        </w:tc>
        <w:tc>
          <w:tcPr>
            <w:tcW w:w="1420" w:type="dxa"/>
            <w:vAlign w:val="bottom"/>
            <w:gridSpan w:val="2"/>
          </w:tcPr>
          <w:p>
            <w:pPr>
              <w:jc w:val="right"/>
              <w:ind w:right="280"/>
              <w:spacing w:after="0"/>
              <w:rPr>
                <w:sz w:val="20"/>
                <w:szCs w:val="20"/>
                <w:color w:val="auto"/>
              </w:rPr>
            </w:pPr>
            <w:r>
              <w:rPr>
                <w:rFonts w:ascii="Calibri" w:cs="Calibri" w:eastAsia="Calibri" w:hAnsi="Calibri"/>
                <w:sz w:val="18"/>
                <w:szCs w:val="18"/>
                <w:color w:val="auto"/>
              </w:rPr>
              <w:t>—</w:t>
            </w:r>
          </w:p>
        </w:tc>
        <w:tc>
          <w:tcPr>
            <w:tcW w:w="220" w:type="dxa"/>
            <w:vAlign w:val="bottom"/>
          </w:tcPr>
          <w:p>
            <w:pPr>
              <w:spacing w:after="0"/>
              <w:rPr>
                <w:sz w:val="22"/>
                <w:szCs w:val="22"/>
                <w:color w:val="auto"/>
              </w:rPr>
            </w:pPr>
          </w:p>
        </w:tc>
        <w:tc>
          <w:tcPr>
            <w:tcW w:w="1400" w:type="dxa"/>
            <w:vAlign w:val="bottom"/>
            <w:gridSpan w:val="2"/>
          </w:tcPr>
          <w:p>
            <w:pPr>
              <w:jc w:val="right"/>
              <w:ind w:right="280"/>
              <w:spacing w:after="0"/>
              <w:rPr>
                <w:sz w:val="20"/>
                <w:szCs w:val="20"/>
                <w:color w:val="auto"/>
              </w:rPr>
            </w:pPr>
            <w:r>
              <w:rPr>
                <w:rFonts w:ascii="Calibri" w:cs="Calibri" w:eastAsia="Calibri" w:hAnsi="Calibri"/>
                <w:sz w:val="18"/>
                <w:szCs w:val="18"/>
                <w:color w:val="auto"/>
              </w:rPr>
              <w:t>—</w:t>
            </w:r>
          </w:p>
        </w:tc>
        <w:tc>
          <w:tcPr>
            <w:tcW w:w="300" w:type="dxa"/>
            <w:vAlign w:val="bottom"/>
          </w:tcPr>
          <w:p>
            <w:pPr>
              <w:spacing w:after="0"/>
              <w:rPr>
                <w:sz w:val="22"/>
                <w:szCs w:val="22"/>
                <w:color w:val="auto"/>
              </w:rPr>
            </w:pPr>
          </w:p>
        </w:tc>
        <w:tc>
          <w:tcPr>
            <w:tcW w:w="1180" w:type="dxa"/>
            <w:vAlign w:val="bottom"/>
            <w:gridSpan w:val="2"/>
          </w:tcPr>
          <w:p>
            <w:pPr>
              <w:jc w:val="right"/>
              <w:ind w:right="60"/>
              <w:spacing w:after="0"/>
              <w:rPr>
                <w:sz w:val="20"/>
                <w:szCs w:val="20"/>
                <w:color w:val="auto"/>
              </w:rPr>
            </w:pPr>
            <w:r>
              <w:rPr>
                <w:rFonts w:ascii="Calibri" w:cs="Calibri" w:eastAsia="Calibri" w:hAnsi="Calibri"/>
                <w:sz w:val="18"/>
                <w:szCs w:val="18"/>
                <w:color w:val="auto"/>
              </w:rPr>
              <w:t>(1 )</w:t>
            </w:r>
          </w:p>
        </w:tc>
      </w:tr>
      <w:tr>
        <w:trPr>
          <w:trHeight w:val="249"/>
        </w:trPr>
        <w:tc>
          <w:tcPr>
            <w:tcW w:w="4900" w:type="dxa"/>
            <w:vAlign w:val="bottom"/>
            <w:tcBorders>
              <w:bottom w:val="single" w:sz="8" w:color="CFF0FC"/>
            </w:tcBorders>
            <w:shd w:val="clear" w:color="auto" w:fill="CFF0FC"/>
          </w:tcPr>
          <w:p>
            <w:pPr>
              <w:ind w:left="20"/>
              <w:spacing w:after="0" w:line="209" w:lineRule="exact"/>
              <w:rPr>
                <w:sz w:val="20"/>
                <w:szCs w:val="20"/>
                <w:color w:val="auto"/>
              </w:rPr>
            </w:pPr>
            <w:r>
              <w:rPr>
                <w:rFonts w:ascii="Calibri" w:cs="Calibri" w:eastAsia="Calibri" w:hAnsi="Calibri"/>
                <w:sz w:val="18"/>
                <w:szCs w:val="18"/>
                <w:b w:val="1"/>
                <w:bCs w:val="1"/>
                <w:color w:val="auto"/>
              </w:rPr>
              <w:t>Balance as of December 31, 2024</w:t>
            </w:r>
          </w:p>
        </w:tc>
        <w:tc>
          <w:tcPr>
            <w:tcW w:w="1140" w:type="dxa"/>
            <w:vAlign w:val="bottom"/>
            <w:tcBorders>
              <w:top w:val="single" w:sz="8" w:color="auto"/>
              <w:bottom w:val="single" w:sz="8" w:color="auto"/>
            </w:tcBorders>
            <w:shd w:val="clear" w:color="auto" w:fill="CFF0FC"/>
          </w:tcPr>
          <w:p>
            <w:pPr>
              <w:jc w:val="right"/>
              <w:ind w:right="930"/>
              <w:spacing w:after="0" w:line="209" w:lineRule="exact"/>
              <w:rPr>
                <w:sz w:val="20"/>
                <w:szCs w:val="20"/>
                <w:color w:val="auto"/>
              </w:rPr>
            </w:pPr>
            <w:r>
              <w:rPr>
                <w:rFonts w:ascii="Calibri" w:cs="Calibri" w:eastAsia="Calibri" w:hAnsi="Calibri"/>
                <w:sz w:val="18"/>
                <w:szCs w:val="18"/>
                <w:color w:val="auto"/>
              </w:rPr>
              <w:t>$</w:t>
            </w:r>
          </w:p>
        </w:tc>
        <w:tc>
          <w:tcPr>
            <w:tcW w:w="220" w:type="dxa"/>
            <w:vAlign w:val="bottom"/>
            <w:tcBorders>
              <w:top w:val="single" w:sz="8" w:color="auto"/>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3</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10"/>
              <w:spacing w:after="0" w:line="209" w:lineRule="exact"/>
              <w:rPr>
                <w:sz w:val="20"/>
                <w:szCs w:val="20"/>
                <w:color w:val="auto"/>
              </w:rPr>
            </w:pPr>
            <w:r>
              <w:rPr>
                <w:rFonts w:ascii="Calibri" w:cs="Calibri" w:eastAsia="Calibri" w:hAnsi="Calibri"/>
                <w:sz w:val="18"/>
                <w:szCs w:val="18"/>
                <w:color w:val="auto"/>
                <w:w w:val="87"/>
              </w:rPr>
              <w:t>$</w:t>
            </w:r>
          </w:p>
        </w:tc>
        <w:tc>
          <w:tcPr>
            <w:tcW w:w="1160" w:type="dxa"/>
            <w:vAlign w:val="bottom"/>
            <w:tcBorders>
              <w:top w:val="single" w:sz="8" w:color="auto"/>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2</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30"/>
              <w:spacing w:after="0" w:line="209" w:lineRule="exact"/>
              <w:rPr>
                <w:sz w:val="20"/>
                <w:szCs w:val="20"/>
                <w:color w:val="auto"/>
              </w:rPr>
            </w:pPr>
            <w:r>
              <w:rPr>
                <w:rFonts w:ascii="Calibri" w:cs="Calibri" w:eastAsia="Calibri" w:hAnsi="Calibri"/>
                <w:sz w:val="18"/>
                <w:szCs w:val="18"/>
                <w:color w:val="auto"/>
                <w:w w:val="87"/>
              </w:rPr>
              <w:t>$</w:t>
            </w:r>
          </w:p>
        </w:tc>
        <w:tc>
          <w:tcPr>
            <w:tcW w:w="1140" w:type="dxa"/>
            <w:vAlign w:val="bottom"/>
            <w:tcBorders>
              <w:top w:val="single" w:sz="8" w:color="auto"/>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jc w:val="right"/>
              <w:ind w:right="110"/>
              <w:spacing w:after="0" w:line="209" w:lineRule="exact"/>
              <w:rPr>
                <w:sz w:val="20"/>
                <w:szCs w:val="20"/>
                <w:color w:val="auto"/>
              </w:rPr>
            </w:pPr>
            <w:r>
              <w:rPr>
                <w:rFonts w:ascii="Calibri" w:cs="Calibri" w:eastAsia="Calibri" w:hAnsi="Calibri"/>
                <w:sz w:val="18"/>
                <w:szCs w:val="18"/>
                <w:color w:val="auto"/>
                <w:w w:val="87"/>
              </w:rPr>
              <w:t>$</w:t>
            </w:r>
          </w:p>
        </w:tc>
        <w:tc>
          <w:tcPr>
            <w:tcW w:w="1060" w:type="dxa"/>
            <w:vAlign w:val="bottom"/>
            <w:tcBorders>
              <w:top w:val="single" w:sz="8" w:color="auto"/>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5</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-445135</wp:posOffset>
            </wp:positionV>
            <wp:extent cx="7132320" cy="13716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-1302385</wp:posOffset>
            </wp:positionV>
            <wp:extent cx="7132320" cy="14541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-590550</wp:posOffset>
            </wp:positionV>
            <wp:extent cx="6858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-590550</wp:posOffset>
            </wp:positionV>
            <wp:extent cx="6858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-590550</wp:posOffset>
            </wp:positionV>
            <wp:extent cx="6858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-590550</wp:posOffset>
            </wp:positionV>
            <wp:extent cx="7747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-24765</wp:posOffset>
            </wp:positionV>
            <wp:extent cx="6858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-7620</wp:posOffset>
            </wp:positionV>
            <wp:extent cx="6858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-24765</wp:posOffset>
            </wp:positionV>
            <wp:extent cx="6858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-7620</wp:posOffset>
            </wp:positionV>
            <wp:extent cx="6858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-24765</wp:posOffset>
            </wp:positionV>
            <wp:extent cx="6858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-7620</wp:posOffset>
            </wp:positionV>
            <wp:extent cx="6858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96" w:lineRule="exact"/>
        <w:rPr>
          <w:sz w:val="20"/>
          <w:szCs w:val="20"/>
          <w:color w:val="auto"/>
        </w:rPr>
      </w:pPr>
    </w:p>
    <w:p>
      <w:pPr>
        <w:ind w:left="280" w:hanging="272"/>
        <w:spacing w:after="0"/>
        <w:tabs>
          <w:tab w:leader="none" w:pos="280" w:val="left"/>
        </w:tabs>
        <w:numPr>
          <w:ilvl w:val="0"/>
          <w:numId w:val="41"/>
        </w:numPr>
        <w:rPr>
          <w:rFonts w:ascii="Calibri" w:cs="Calibri" w:eastAsia="Calibri" w:hAnsi="Calibri"/>
          <w:sz w:val="24"/>
          <w:szCs w:val="24"/>
          <w:color w:val="auto"/>
          <w:vertAlign w:val="superscript"/>
        </w:rPr>
      </w:pPr>
      <w:r>
        <w:rPr>
          <w:rFonts w:ascii="Calibri" w:cs="Calibri" w:eastAsia="Calibri" w:hAnsi="Calibri"/>
          <w:sz w:val="18"/>
          <w:szCs w:val="18"/>
          <w:color w:val="auto"/>
        </w:rPr>
        <w:t>The severance and exit costs reserves require the outlay of cash. Inventory write-downs are non-cash items.</w:t>
      </w:r>
    </w:p>
    <w:p>
      <w:pPr>
        <w:spacing w:after="0" w:line="37" w:lineRule="exact"/>
        <w:rPr>
          <w:rFonts w:ascii="Calibri" w:cs="Calibri" w:eastAsia="Calibri" w:hAnsi="Calibri"/>
          <w:sz w:val="24"/>
          <w:szCs w:val="24"/>
          <w:color w:val="auto"/>
          <w:vertAlign w:val="superscript"/>
        </w:rPr>
      </w:pPr>
    </w:p>
    <w:p>
      <w:pPr>
        <w:ind w:left="280" w:right="280" w:hanging="272"/>
        <w:spacing w:after="0" w:line="184" w:lineRule="auto"/>
        <w:tabs>
          <w:tab w:leader="none" w:pos="280" w:val="left"/>
        </w:tabs>
        <w:numPr>
          <w:ilvl w:val="0"/>
          <w:numId w:val="41"/>
        </w:numPr>
        <w:rPr>
          <w:rFonts w:ascii="Calibri" w:cs="Calibri" w:eastAsia="Calibri" w:hAnsi="Calibri"/>
          <w:sz w:val="24"/>
          <w:szCs w:val="24"/>
          <w:color w:val="auto"/>
          <w:vertAlign w:val="superscript"/>
        </w:rPr>
      </w:pPr>
      <w:r>
        <w:rPr>
          <w:rFonts w:ascii="Calibri" w:cs="Calibri" w:eastAsia="Calibri" w:hAnsi="Calibri"/>
          <w:sz w:val="18"/>
          <w:szCs w:val="18"/>
          <w:color w:val="auto"/>
        </w:rPr>
        <w:t>The $2 million in 2022 and $1 million in 2024 represented severance charges funded from pension plan assets, which were reclassifed to Pension and other postretrement liabilites.</w:t>
      </w:r>
    </w:p>
    <w:p>
      <w:pPr>
        <w:spacing w:after="0" w:line="18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2022 Actvity</w:t>
      </w:r>
    </w:p>
    <w:p>
      <w:pPr>
        <w:spacing w:after="0" w:line="177" w:lineRule="exact"/>
        <w:rPr>
          <w:sz w:val="20"/>
          <w:szCs w:val="20"/>
          <w:color w:val="auto"/>
        </w:rPr>
      </w:pPr>
    </w:p>
    <w:p>
      <w:pPr>
        <w:ind w:right="180"/>
        <w:spacing w:after="0" w:line="235" w:lineRule="auto"/>
        <w:rPr>
          <w:sz w:val="20"/>
          <w:szCs w:val="20"/>
          <w:color w:val="auto"/>
        </w:rPr>
      </w:pPr>
      <w:r>
        <w:rPr>
          <w:rFonts w:ascii="Calibri" w:cs="Calibri" w:eastAsia="Calibri" w:hAnsi="Calibri"/>
          <w:sz w:val="18"/>
          <w:szCs w:val="18"/>
          <w:color w:val="auto"/>
        </w:rPr>
        <w:t>Restructuring actons taken in 2022 were initated to reduce Kodak’s cost structure as part of its commitment to drive sustainable proftability and included various targeted reductons in manufacturing, service, sales, research and development and other administratve functons.</w:t>
      </w:r>
    </w:p>
    <w:p>
      <w:pPr>
        <w:spacing w:after="0" w:line="177" w:lineRule="exact"/>
        <w:rPr>
          <w:sz w:val="20"/>
          <w:szCs w:val="20"/>
          <w:color w:val="auto"/>
        </w:rPr>
      </w:pPr>
    </w:p>
    <w:p>
      <w:pPr>
        <w:ind w:right="900"/>
        <w:spacing w:after="0" w:line="258" w:lineRule="auto"/>
        <w:rPr>
          <w:sz w:val="20"/>
          <w:szCs w:val="20"/>
          <w:color w:val="auto"/>
        </w:rPr>
      </w:pPr>
      <w:r>
        <w:rPr>
          <w:rFonts w:ascii="Calibri" w:cs="Calibri" w:eastAsia="Calibri" w:hAnsi="Calibri"/>
          <w:sz w:val="17"/>
          <w:szCs w:val="17"/>
          <w:color w:val="auto"/>
        </w:rPr>
        <w:t>As a result of these actons, for the year ended December 31, 2022, Kodak recorded $13 million of charges of which $10 million were reported as Restructuring costs and other and $3 million were reported as Cost of revenues in the accompanying Consolidated Statement of Operatons.</w:t>
      </w:r>
    </w:p>
    <w:p>
      <w:pPr>
        <w:spacing w:after="0" w:line="175" w:lineRule="exact"/>
        <w:rPr>
          <w:sz w:val="20"/>
          <w:szCs w:val="20"/>
          <w:color w:val="auto"/>
        </w:rPr>
      </w:pPr>
    </w:p>
    <w:p>
      <w:pPr>
        <w:ind w:right="300"/>
        <w:spacing w:after="0" w:line="235" w:lineRule="auto"/>
        <w:rPr>
          <w:sz w:val="20"/>
          <w:szCs w:val="20"/>
          <w:color w:val="auto"/>
        </w:rPr>
      </w:pPr>
      <w:r>
        <w:rPr>
          <w:rFonts w:ascii="Calibri" w:cs="Calibri" w:eastAsia="Calibri" w:hAnsi="Calibri"/>
          <w:sz w:val="18"/>
          <w:szCs w:val="18"/>
          <w:color w:val="auto"/>
        </w:rPr>
        <w:t>The 2022 severance costs related to the eliminaton of approximately 115 positons, including approximately 50 administratve, 40 manufacturing/service and 25 research and development positons. The geographic compositon of these positons included approximately 65 in the U.S. and Canada and 50 throughout the rest of the world. The 2022 exit costs related to the cessaton of manufacturing of the EPS equipment products and represent contractual obligatons associated with open purchase orders as of December 31, 2022.</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90" w:name="page91"/>
    <w:bookmarkEnd w:id="90"/>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2023 Actvity</w:t>
      </w:r>
    </w:p>
    <w:p>
      <w:pPr>
        <w:spacing w:after="0" w:line="177" w:lineRule="exact"/>
        <w:rPr>
          <w:sz w:val="20"/>
          <w:szCs w:val="20"/>
          <w:color w:val="auto"/>
        </w:rPr>
      </w:pPr>
    </w:p>
    <w:p>
      <w:pPr>
        <w:jc w:val="both"/>
        <w:ind w:right="160"/>
        <w:spacing w:after="0" w:line="235" w:lineRule="auto"/>
        <w:rPr>
          <w:sz w:val="20"/>
          <w:szCs w:val="20"/>
          <w:color w:val="auto"/>
        </w:rPr>
      </w:pPr>
      <w:r>
        <w:rPr>
          <w:rFonts w:ascii="Calibri" w:cs="Calibri" w:eastAsia="Calibri" w:hAnsi="Calibri"/>
          <w:sz w:val="18"/>
          <w:szCs w:val="18"/>
          <w:color w:val="auto"/>
        </w:rPr>
        <w:t>Restructuring actons taken in 2023 were initated to reduce Kodak’s cost structure as part of its commitment to drive sustainable proftability and included actons to complete the process of ceasing manufacturing of the EPS equipment products as well as various targeted reductons in manufacturing, service, sales and administratve functons.</w:t>
      </w:r>
    </w:p>
    <w:p>
      <w:pPr>
        <w:spacing w:after="0" w:line="178" w:lineRule="exact"/>
        <w:rPr>
          <w:sz w:val="20"/>
          <w:szCs w:val="20"/>
          <w:color w:val="auto"/>
        </w:rPr>
      </w:pPr>
    </w:p>
    <w:p>
      <w:pPr>
        <w:ind w:right="980"/>
        <w:spacing w:after="0" w:line="258" w:lineRule="auto"/>
        <w:rPr>
          <w:sz w:val="20"/>
          <w:szCs w:val="20"/>
          <w:color w:val="auto"/>
        </w:rPr>
      </w:pPr>
      <w:r>
        <w:rPr>
          <w:rFonts w:ascii="Calibri" w:cs="Calibri" w:eastAsia="Calibri" w:hAnsi="Calibri"/>
          <w:sz w:val="17"/>
          <w:szCs w:val="17"/>
          <w:color w:val="auto"/>
        </w:rPr>
        <w:t>As a result of these actons, for the year ended December 31, 2023, Kodak recorded $10 million of charges of which $7 million were reported as Restructuring costs and other and $3 million were reported as Cost of revenues in the accompanying Consolidated Statement of Operatons.</w:t>
      </w:r>
    </w:p>
    <w:p>
      <w:pPr>
        <w:spacing w:after="0" w:line="175" w:lineRule="exact"/>
        <w:rPr>
          <w:sz w:val="20"/>
          <w:szCs w:val="20"/>
          <w:color w:val="auto"/>
        </w:rPr>
      </w:pPr>
    </w:p>
    <w:p>
      <w:pPr>
        <w:ind w:right="20"/>
        <w:spacing w:after="0" w:line="258" w:lineRule="auto"/>
        <w:rPr>
          <w:sz w:val="20"/>
          <w:szCs w:val="20"/>
          <w:color w:val="auto"/>
        </w:rPr>
      </w:pPr>
      <w:r>
        <w:rPr>
          <w:rFonts w:ascii="Calibri" w:cs="Calibri" w:eastAsia="Calibri" w:hAnsi="Calibri"/>
          <w:sz w:val="17"/>
          <w:szCs w:val="17"/>
          <w:color w:val="auto"/>
        </w:rPr>
        <w:t>The 2023 severance costs related to the eliminaton of approximately 130 positons, including approximately 50 administratve and 80 manufacturing/service positons. The geographic compositon of these positons included approximately 20 in the U.S. and Canada and 110 throughout the rest of the world.</w:t>
      </w:r>
    </w:p>
    <w:p>
      <w:pPr>
        <w:spacing w:after="0" w:line="15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2024 Actvity</w:t>
      </w:r>
    </w:p>
    <w:p>
      <w:pPr>
        <w:spacing w:after="0" w:line="177" w:lineRule="exact"/>
        <w:rPr>
          <w:sz w:val="20"/>
          <w:szCs w:val="20"/>
          <w:color w:val="auto"/>
        </w:rPr>
      </w:pPr>
    </w:p>
    <w:p>
      <w:pPr>
        <w:ind w:right="160"/>
        <w:spacing w:after="0" w:line="235" w:lineRule="auto"/>
        <w:rPr>
          <w:sz w:val="20"/>
          <w:szCs w:val="20"/>
          <w:color w:val="auto"/>
        </w:rPr>
      </w:pPr>
      <w:r>
        <w:rPr>
          <w:rFonts w:ascii="Calibri" w:cs="Calibri" w:eastAsia="Calibri" w:hAnsi="Calibri"/>
          <w:sz w:val="18"/>
          <w:szCs w:val="18"/>
          <w:color w:val="auto"/>
        </w:rPr>
        <w:t>Restructuring actons taken in 2024 were initated to reduce Kodak’s cost structure as part of its commitment to drive sustainable proftability and included various targeted reductons in manufacturing, service, sales, administratve, and research and development functons.</w:t>
      </w:r>
    </w:p>
    <w:p>
      <w:pPr>
        <w:spacing w:after="0" w:line="191" w:lineRule="exact"/>
        <w:rPr>
          <w:sz w:val="20"/>
          <w:szCs w:val="20"/>
          <w:color w:val="auto"/>
        </w:rPr>
      </w:pPr>
    </w:p>
    <w:p>
      <w:pPr>
        <w:ind w:right="280"/>
        <w:spacing w:after="0" w:line="235" w:lineRule="auto"/>
        <w:rPr>
          <w:sz w:val="20"/>
          <w:szCs w:val="20"/>
          <w:color w:val="auto"/>
        </w:rPr>
      </w:pPr>
      <w:r>
        <w:rPr>
          <w:rFonts w:ascii="Calibri" w:cs="Calibri" w:eastAsia="Calibri" w:hAnsi="Calibri"/>
          <w:sz w:val="18"/>
          <w:szCs w:val="18"/>
          <w:color w:val="auto"/>
        </w:rPr>
        <w:t>As a result of these actons, for the year ended December 31, 2024, Kodak recorded $8 million of charges which were reported as Restructuring costs and other in the accompanying Consolidated Statement of Operatons.</w:t>
      </w:r>
    </w:p>
    <w:p>
      <w:pPr>
        <w:spacing w:after="0" w:line="177" w:lineRule="exact"/>
        <w:rPr>
          <w:sz w:val="20"/>
          <w:szCs w:val="20"/>
          <w:color w:val="auto"/>
        </w:rPr>
      </w:pPr>
    </w:p>
    <w:p>
      <w:pPr>
        <w:ind w:right="280"/>
        <w:spacing w:after="0" w:line="235" w:lineRule="auto"/>
        <w:rPr>
          <w:sz w:val="20"/>
          <w:szCs w:val="20"/>
          <w:color w:val="auto"/>
        </w:rPr>
      </w:pPr>
      <w:r>
        <w:rPr>
          <w:rFonts w:ascii="Calibri" w:cs="Calibri" w:eastAsia="Calibri" w:hAnsi="Calibri"/>
          <w:sz w:val="18"/>
          <w:szCs w:val="18"/>
          <w:color w:val="auto"/>
        </w:rPr>
        <w:t>The 2024 severance costs related to the eliminaton of approximately 135 positons, including approximately 55 administratve, 75 manufacturing/service and 5 research and development positons. The geographic compositon of these positons included approximately 70 in the U.S. and Canada and 65 throughout the rest of the world.</w:t>
      </w:r>
    </w:p>
    <w:p>
      <w:pPr>
        <w:spacing w:after="0" w:line="178" w:lineRule="exact"/>
        <w:rPr>
          <w:sz w:val="20"/>
          <w:szCs w:val="20"/>
          <w:color w:val="auto"/>
        </w:rPr>
      </w:pPr>
    </w:p>
    <w:p>
      <w:pPr>
        <w:ind w:right="180"/>
        <w:spacing w:after="0" w:line="235" w:lineRule="auto"/>
        <w:rPr>
          <w:sz w:val="20"/>
          <w:szCs w:val="20"/>
          <w:color w:val="auto"/>
        </w:rPr>
      </w:pPr>
      <w:r>
        <w:rPr>
          <w:rFonts w:ascii="Calibri" w:cs="Calibri" w:eastAsia="Calibri" w:hAnsi="Calibri"/>
          <w:sz w:val="18"/>
          <w:szCs w:val="18"/>
          <w:color w:val="auto"/>
        </w:rPr>
        <w:t>As a result of these initatves, the majority of the severance liabilites as of December 31, 2024 will be paid during periods through the end of 2025. The $2 million exit cost reserve relates to a liability for which tming of the payment is uncertain.</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19: RETIREMENT PLANS</w:t>
      </w:r>
    </w:p>
    <w:p>
      <w:pPr>
        <w:spacing w:after="0" w:line="177"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color w:val="auto"/>
        </w:rPr>
        <w:t>Substantally all U.S. employees are covered by a noncontributory defned beneft plan, the Kodak Retrement Income Plan (“KRIP” or the "U.S. Plan"), which is funded by Company contributons to an irrevocable trust fund. The funding policy for KRIP is to contribute amounts sufcient to meet minimum funding requirements as determined by employee beneft and tax laws plus any additonal amounts the Company determines to be appropriate. Assets in the trust fund are held for the sole beneft of partcipatng employees and retrees. The projected beneft obligaton for the U.S. Plan was measured using actuarial techniques that incorporate management’s assumpton for the discount rate, as well as other assumptons.</w:t>
      </w:r>
    </w:p>
    <w:p>
      <w:pPr>
        <w:spacing w:after="0" w:line="180"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For U.S. employees hired prior to March 1999, KRIP’s benefts were generally based on a formula recognizing length of service and fnal average earnings. KRIP included a separate cash balance formula for all U.S. employees hired afer February 1999, as well as employees hired prior to that date who opted into the cash balance formula during a special electon period. Efectve January 1, 2015 the KRIP was amended to provide that all partcipants accrue benefts under a single, revised cash balance formula (the “Cash Balance Plan”). The Cash Balance Plan credits employees’ hypothetcal accounts with an amount equal to a specifed percentage of their pay, plus an interest creditng rate based on the 30-year Treasury bond rate. In May 2022, KRIP was amended to increase the employees’ creditng rates from 9% or 10% of pay based on employee classifcaton to 12% or 13% of pay, retroactve to January 1, 2022. The plan amendment also provided a one-tme service credit to eligible employees’ cash balance accounts. In May 2023, KRIP was amended to provide another one-tme service credit to eligible employees’ cash balance accounts.</w:t>
      </w:r>
    </w:p>
    <w:p>
      <w:pPr>
        <w:spacing w:after="0" w:line="196" w:lineRule="exact"/>
        <w:rPr>
          <w:sz w:val="20"/>
          <w:szCs w:val="20"/>
          <w:color w:val="auto"/>
        </w:rPr>
      </w:pPr>
    </w:p>
    <w:p>
      <w:pPr>
        <w:spacing w:after="0" w:line="251" w:lineRule="auto"/>
        <w:rPr>
          <w:sz w:val="20"/>
          <w:szCs w:val="20"/>
          <w:color w:val="auto"/>
        </w:rPr>
      </w:pPr>
      <w:r>
        <w:rPr>
          <w:rFonts w:ascii="Calibri" w:cs="Calibri" w:eastAsia="Calibri" w:hAnsi="Calibri"/>
          <w:sz w:val="17"/>
          <w:szCs w:val="17"/>
          <w:color w:val="auto"/>
        </w:rPr>
        <w:t>During 2024 the Company, in conjuncton with the KRIP Commitee, implemented various actons designed to preserve and maximize the value of KRIP’s over-funding by reducing investment risk and improving the overall liquidity of KRIP. During the frst quarter of 2024, the KRIP Commitee outsourced the investment management of KRIP to NEPC, LLC ("NEPC"). Efectve April 1, 2024, the KRIP Commitee approved an updated investment policy that modifed the target asset allocatons by allocatng a greater porton of KRIP’s assets to lower risk investments as well as interest rate hedging investments which aim to manage the liability interest rate risk associated with KRIP's liabilites. As contemplated by the updated investment policy, NEPC subsequently initated the redempton of a substantal majority of KRIP’s hedge fund investments and expanded its interest rate hedging strategy with a porton of those proceeds.</w:t>
      </w:r>
    </w:p>
    <w:p>
      <w:pPr>
        <w:spacing w:after="0" w:line="169" w:lineRule="exact"/>
        <w:rPr>
          <w:sz w:val="20"/>
          <w:szCs w:val="20"/>
          <w:color w:val="auto"/>
        </w:rPr>
      </w:pPr>
    </w:p>
    <w:p>
      <w:pPr>
        <w:ind w:right="520"/>
        <w:spacing w:after="0" w:line="235" w:lineRule="auto"/>
        <w:rPr>
          <w:sz w:val="20"/>
          <w:szCs w:val="20"/>
          <w:color w:val="auto"/>
        </w:rPr>
      </w:pPr>
      <w:r>
        <w:rPr>
          <w:rFonts w:ascii="Calibri" w:cs="Calibri" w:eastAsia="Calibri" w:hAnsi="Calibri"/>
          <w:sz w:val="18"/>
          <w:szCs w:val="18"/>
          <w:color w:val="auto"/>
        </w:rPr>
        <w:t>On November 20, 2024, the Kodak Retrement Income Plan Trust (the “Trust”), in its capacity as holder of assets for the beneft of KRIP, entered into a Purchase and Sale Agreement (the “Agreement”) with Mastercard Foundaton (the “Buyer”) related to the sale</w:t>
      </w:r>
    </w:p>
    <w:p>
      <w:pPr>
        <w:spacing w:after="0" w:line="172"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91" w:name="page92"/>
    <w:bookmarkEnd w:id="91"/>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140"/>
        <w:spacing w:after="0" w:line="235" w:lineRule="auto"/>
        <w:rPr>
          <w:sz w:val="20"/>
          <w:szCs w:val="20"/>
          <w:color w:val="auto"/>
        </w:rPr>
      </w:pPr>
      <w:r>
        <w:rPr>
          <w:rFonts w:ascii="Calibri" w:cs="Calibri" w:eastAsia="Calibri" w:hAnsi="Calibri"/>
          <w:sz w:val="18"/>
          <w:szCs w:val="18"/>
          <w:color w:val="auto"/>
        </w:rPr>
        <w:t>of a porton of KRIP's private equity and certain other illiquid investments (collectvely, "KRIP Illiquid Assets"). Pursuant to the Agreement, on December 31, 2024, the Trust sold to the Buyer (the “Mastercard Closing”) KRIP Illiquid Assets for a cash purchase price of $510 million, which was received at the Mastercard Closing.</w:t>
      </w:r>
    </w:p>
    <w:p>
      <w:pPr>
        <w:spacing w:after="0" w:line="219"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Subsequent to the entry into the Agreement, the Trust entered into Purchase and Sale Agreements similar to the Agreement (collectvely, the “Other Agreements” and, together with the Agreement, the “Sale Agreements”) with four other investors for a porton of the remaining KRIP Illiquid Assets. Pursuant to the Other Agreements, on December 31, 2024 (together with the Mastercard Closing, the “Closings”) the Trust sold to these investors KRIP Illiquid Assets for a purchase price of $49 million, of which $33 million was received in cash on December 31, 2024, $7 million was received in cash in January 2025 and $9 million is payable on a deferred basis on December 31, 2025.</w:t>
      </w:r>
    </w:p>
    <w:p>
      <w:pPr>
        <w:spacing w:after="0" w:line="180" w:lineRule="exact"/>
        <w:rPr>
          <w:sz w:val="20"/>
          <w:szCs w:val="20"/>
          <w:color w:val="auto"/>
        </w:rPr>
      </w:pPr>
    </w:p>
    <w:p>
      <w:pPr>
        <w:ind w:right="40"/>
        <w:spacing w:after="0" w:line="252" w:lineRule="auto"/>
        <w:rPr>
          <w:sz w:val="20"/>
          <w:szCs w:val="20"/>
          <w:color w:val="auto"/>
        </w:rPr>
      </w:pPr>
      <w:r>
        <w:rPr>
          <w:rFonts w:ascii="Calibri" w:cs="Calibri" w:eastAsia="Calibri" w:hAnsi="Calibri"/>
          <w:sz w:val="17"/>
          <w:szCs w:val="17"/>
          <w:color w:val="auto"/>
        </w:rPr>
        <w:t>The total aggregate net asset value ("NAV") of the KRIP Illiquid assets as of December 31, 2023 that were sold pursuant to the Sale Agreements was approximately $840 million. KRIP received net distributons in 2024 related to these assets of approximately $43 million and cash proceeds at the Closings of $543 million. The $7 million cash received in January 2025 and the $9 million of deferred proceeds was recorded as a receivable as of December 31, 2024. As a result, the loss on the sale of KRIP Illiquid Assets sold pursuant to the Sale Agreements was approximately $238 million as of December 31, 2024.</w:t>
      </w:r>
    </w:p>
    <w:p>
      <w:pPr>
        <w:spacing w:after="0" w:line="168"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On January 21, 2025, the Board of Directors of Kodak approved the terminaton of KRIP efectve March 31, 2025, and no further benefts will accrue under KRIP following such date. In additon, the Board of Directors approved a defned beneft retrement plan (the “Kodak Cash Balance Plan”) as a replacement for KRIP which became efectve on March 1, 2025 for new hires and becomes efectve on April 1, 2025 for current employees. The benefts under the Kodak Cash Balance Plan are substantally the same as those under the cash balance feature of KRIP.</w:t>
      </w:r>
    </w:p>
    <w:p>
      <w:pPr>
        <w:spacing w:after="0" w:line="192"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Many subsidiaries and branches operatng outside the U.S. have defned beneft retrement plans covering substantally all employees. Contributons by Kodak for these plans are typically deposited under government or other fduciary-type arrangements. Retrement benefts are generally based on contractual agreements that provide for beneft formulas using years of service and/or compensaton prior to retrement. The actuarial assumptons used for these plans, which include the discount rate, expected return on plan assets (for funded plans) as well as other assumptons, refect the diverse economic environments within the various countries in which Kodak operates.</w:t>
      </w:r>
    </w:p>
    <w:p>
      <w:pPr>
        <w:spacing w:after="0" w:line="180"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Informaton on the major funded and unfunded U.S. and Non-U.S. defned beneft pension plans is presented below. The informaton for the U.S. for all years presented relates to KRIP. The compositon of the major Non-U.S. plans may vary from year to year. If the major Non-U.S. plan compositon changes, prior year data is conformed to ensure comparability.</w:t>
      </w:r>
    </w:p>
    <w:p>
      <w:pPr>
        <w:spacing w:after="0" w:line="173"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92" w:name="page93"/>
    <w:bookmarkEnd w:id="92"/>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Obligatons and Funded Status:</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color w:val="auto"/>
        </w:rPr>
        <w:t>The measurement date used to determine the pension obligaton for all funded and unfunded U.S. and Non-U.S. defned beneft plans is December 31.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20" w:type="dxa"/>
            <w:vAlign w:val="bottom"/>
            <w:gridSpan w:val="5"/>
          </w:tcPr>
          <w:p>
            <w:pPr>
              <w:jc w:val="right"/>
              <w:ind w:right="1100"/>
              <w:spacing w:after="0"/>
              <w:rPr>
                <w:sz w:val="20"/>
                <w:szCs w:val="20"/>
                <w:color w:val="auto"/>
              </w:rPr>
            </w:pPr>
            <w:r>
              <w:rPr>
                <w:rFonts w:ascii="Calibri" w:cs="Calibri" w:eastAsia="Calibri" w:hAnsi="Calibri"/>
                <w:sz w:val="18"/>
                <w:szCs w:val="18"/>
                <w:b w:val="1"/>
                <w:bCs w:val="1"/>
                <w:color w:val="auto"/>
              </w:rPr>
              <w:t>Year Ended</w:t>
            </w:r>
          </w:p>
        </w:tc>
        <w:tc>
          <w:tcPr>
            <w:tcW w:w="260" w:type="dxa"/>
            <w:vAlign w:val="bottom"/>
          </w:tcPr>
          <w:p>
            <w:pPr>
              <w:spacing w:after="0"/>
              <w:rPr>
                <w:sz w:val="19"/>
                <w:szCs w:val="19"/>
                <w:color w:val="auto"/>
              </w:rPr>
            </w:pPr>
          </w:p>
        </w:tc>
        <w:tc>
          <w:tcPr>
            <w:tcW w:w="2380" w:type="dxa"/>
            <w:vAlign w:val="bottom"/>
            <w:gridSpan w:val="5"/>
          </w:tcPr>
          <w:p>
            <w:pPr>
              <w:jc w:val="right"/>
              <w:ind w:right="960"/>
              <w:spacing w:after="0"/>
              <w:rPr>
                <w:sz w:val="20"/>
                <w:szCs w:val="20"/>
                <w:color w:val="auto"/>
              </w:rPr>
            </w:pPr>
            <w:r>
              <w:rPr>
                <w:rFonts w:ascii="Calibri" w:cs="Calibri" w:eastAsia="Calibri" w:hAnsi="Calibri"/>
                <w:sz w:val="18"/>
                <w:szCs w:val="18"/>
                <w:b w:val="1"/>
                <w:bCs w:val="1"/>
                <w:color w:val="auto"/>
              </w:rPr>
              <w:t>Year Ended</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20" w:type="dxa"/>
            <w:vAlign w:val="bottom"/>
            <w:gridSpan w:val="5"/>
          </w:tcPr>
          <w:p>
            <w:pPr>
              <w:jc w:val="right"/>
              <w:ind w:right="820"/>
              <w:spacing w:after="0" w:line="216" w:lineRule="exact"/>
              <w:rPr>
                <w:sz w:val="20"/>
                <w:szCs w:val="20"/>
                <w:color w:val="auto"/>
              </w:rPr>
            </w:pPr>
            <w:r>
              <w:rPr>
                <w:rFonts w:ascii="Calibri" w:cs="Calibri" w:eastAsia="Calibri" w:hAnsi="Calibri"/>
                <w:sz w:val="18"/>
                <w:szCs w:val="18"/>
                <w:b w:val="1"/>
                <w:bCs w:val="1"/>
                <w:color w:val="auto"/>
              </w:rPr>
              <w:t>December 31, 2024</w:t>
            </w:r>
          </w:p>
        </w:tc>
        <w:tc>
          <w:tcPr>
            <w:tcW w:w="260" w:type="dxa"/>
            <w:vAlign w:val="bottom"/>
          </w:tcPr>
          <w:p>
            <w:pPr>
              <w:spacing w:after="0"/>
              <w:rPr>
                <w:sz w:val="18"/>
                <w:szCs w:val="18"/>
                <w:color w:val="auto"/>
              </w:rPr>
            </w:pPr>
          </w:p>
        </w:tc>
        <w:tc>
          <w:tcPr>
            <w:tcW w:w="2380" w:type="dxa"/>
            <w:vAlign w:val="bottom"/>
            <w:gridSpan w:val="5"/>
          </w:tcPr>
          <w:p>
            <w:pPr>
              <w:jc w:val="right"/>
              <w:ind w:right="680"/>
              <w:spacing w:after="0" w:line="216" w:lineRule="exact"/>
              <w:rPr>
                <w:sz w:val="20"/>
                <w:szCs w:val="20"/>
                <w:color w:val="auto"/>
              </w:rPr>
            </w:pPr>
            <w:r>
              <w:rPr>
                <w:rFonts w:ascii="Calibri" w:cs="Calibri" w:eastAsia="Calibri" w:hAnsi="Calibri"/>
                <w:sz w:val="18"/>
                <w:szCs w:val="18"/>
                <w:b w:val="1"/>
                <w:bCs w:val="1"/>
                <w:color w:val="auto"/>
              </w:rPr>
              <w:t>December 31, 2023</w:t>
            </w:r>
          </w:p>
        </w:tc>
        <w:tc>
          <w:tcPr>
            <w:tcW w:w="0" w:type="dxa"/>
            <w:vAlign w:val="bottom"/>
          </w:tcPr>
          <w:p>
            <w:pPr>
              <w:spacing w:after="0"/>
              <w:rPr>
                <w:sz w:val="1"/>
                <w:szCs w:val="1"/>
                <w:color w:val="auto"/>
              </w:rPr>
            </w:pPr>
          </w:p>
        </w:tc>
      </w:tr>
      <w:tr>
        <w:trPr>
          <w:trHeight w:val="23"/>
        </w:trPr>
        <w:tc>
          <w:tcPr>
            <w:tcW w:w="58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vMerge w:val="restart"/>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820" w:type="dxa"/>
            <w:vAlign w:val="bottom"/>
          </w:tcPr>
          <w:p>
            <w:pPr>
              <w:ind w:left="20"/>
              <w:spacing w:after="0"/>
              <w:rPr>
                <w:sz w:val="20"/>
                <w:szCs w:val="20"/>
                <w:color w:val="auto"/>
              </w:rPr>
            </w:pPr>
            <w:r>
              <w:rPr>
                <w:rFonts w:ascii="Calibri" w:cs="Calibri" w:eastAsia="Calibri" w:hAnsi="Calibri"/>
                <w:sz w:val="14"/>
                <w:szCs w:val="14"/>
                <w:color w:val="auto"/>
              </w:rPr>
              <w:t>(in millions)</w:t>
            </w:r>
          </w:p>
        </w:tc>
        <w:tc>
          <w:tcPr>
            <w:tcW w:w="260" w:type="dxa"/>
            <w:vAlign w:val="bottom"/>
          </w:tcPr>
          <w:p>
            <w:pPr>
              <w:spacing w:after="0"/>
              <w:rPr>
                <w:sz w:val="18"/>
                <w:szCs w:val="18"/>
                <w:color w:val="auto"/>
              </w:rPr>
            </w:pPr>
          </w:p>
        </w:tc>
        <w:tc>
          <w:tcPr>
            <w:tcW w:w="1120" w:type="dxa"/>
            <w:vAlign w:val="bottom"/>
            <w:gridSpan w:val="2"/>
          </w:tcPr>
          <w:p>
            <w:pPr>
              <w:jc w:val="right"/>
              <w:ind w:right="660"/>
              <w:spacing w:after="0" w:line="209" w:lineRule="exact"/>
              <w:rPr>
                <w:sz w:val="20"/>
                <w:szCs w:val="20"/>
                <w:color w:val="auto"/>
              </w:rPr>
            </w:pPr>
            <w:r>
              <w:rPr>
                <w:rFonts w:ascii="Calibri" w:cs="Calibri" w:eastAsia="Calibri" w:hAnsi="Calibri"/>
                <w:sz w:val="18"/>
                <w:szCs w:val="18"/>
                <w:b w:val="1"/>
                <w:bCs w:val="1"/>
                <w:color w:val="auto"/>
              </w:rPr>
              <w:t>U.S.</w:t>
            </w:r>
          </w:p>
        </w:tc>
        <w:tc>
          <w:tcPr>
            <w:tcW w:w="180" w:type="dxa"/>
            <w:vAlign w:val="bottom"/>
          </w:tcPr>
          <w:p>
            <w:pPr>
              <w:spacing w:after="0"/>
              <w:rPr>
                <w:sz w:val="18"/>
                <w:szCs w:val="18"/>
                <w:color w:val="auto"/>
              </w:rPr>
            </w:pPr>
          </w:p>
        </w:tc>
        <w:tc>
          <w:tcPr>
            <w:tcW w:w="980" w:type="dxa"/>
            <w:vAlign w:val="bottom"/>
          </w:tcPr>
          <w:p>
            <w:pPr>
              <w:jc w:val="right"/>
              <w:ind w:right="170"/>
              <w:spacing w:after="0" w:line="209" w:lineRule="exact"/>
              <w:rPr>
                <w:sz w:val="20"/>
                <w:szCs w:val="20"/>
                <w:color w:val="auto"/>
              </w:rPr>
            </w:pPr>
            <w:r>
              <w:rPr>
                <w:rFonts w:ascii="Calibri" w:cs="Calibri" w:eastAsia="Calibri" w:hAnsi="Calibri"/>
                <w:sz w:val="18"/>
                <w:szCs w:val="18"/>
                <w:b w:val="1"/>
                <w:bCs w:val="1"/>
                <w:color w:val="auto"/>
              </w:rPr>
              <w:t>Non-U.S.</w:t>
            </w:r>
          </w:p>
        </w:tc>
        <w:tc>
          <w:tcPr>
            <w:tcW w:w="2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60"/>
              <w:spacing w:after="0" w:line="209" w:lineRule="exact"/>
              <w:rPr>
                <w:sz w:val="20"/>
                <w:szCs w:val="20"/>
                <w:color w:val="auto"/>
              </w:rPr>
            </w:pPr>
            <w:r>
              <w:rPr>
                <w:rFonts w:ascii="Calibri" w:cs="Calibri" w:eastAsia="Calibri" w:hAnsi="Calibri"/>
                <w:sz w:val="18"/>
                <w:szCs w:val="18"/>
                <w:b w:val="1"/>
                <w:bCs w:val="1"/>
                <w:color w:val="auto"/>
              </w:rPr>
              <w:t>U.S.</w:t>
            </w:r>
          </w:p>
        </w:tc>
        <w:tc>
          <w:tcPr>
            <w:tcW w:w="180" w:type="dxa"/>
            <w:vAlign w:val="bottom"/>
          </w:tcPr>
          <w:p>
            <w:pPr>
              <w:spacing w:after="0"/>
              <w:rPr>
                <w:sz w:val="18"/>
                <w:szCs w:val="18"/>
                <w:color w:val="auto"/>
              </w:rPr>
            </w:pPr>
          </w:p>
        </w:tc>
        <w:tc>
          <w:tcPr>
            <w:tcW w:w="980" w:type="dxa"/>
            <w:vAlign w:val="bottom"/>
          </w:tcPr>
          <w:p>
            <w:pPr>
              <w:jc w:val="right"/>
              <w:ind w:right="170"/>
              <w:spacing w:after="0" w:line="209" w:lineRule="exact"/>
              <w:rPr>
                <w:sz w:val="20"/>
                <w:szCs w:val="20"/>
                <w:color w:val="auto"/>
              </w:rPr>
            </w:pPr>
            <w:r>
              <w:rPr>
                <w:rFonts w:ascii="Calibri" w:cs="Calibri" w:eastAsia="Calibri" w:hAnsi="Calibri"/>
                <w:sz w:val="18"/>
                <w:szCs w:val="18"/>
                <w:b w:val="1"/>
                <w:bCs w:val="1"/>
                <w:color w:val="auto"/>
              </w:rPr>
              <w:t>Non-U.S.</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2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color w:val="auto"/>
              </w:rPr>
              <w:t>Change in Beneft Obligaton</w:t>
            </w:r>
          </w:p>
        </w:tc>
        <w:tc>
          <w:tcPr>
            <w:tcW w:w="2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20" w:type="dxa"/>
            <w:vAlign w:val="bottom"/>
          </w:tcPr>
          <w:p>
            <w:pPr>
              <w:ind w:left="20"/>
              <w:spacing w:after="0" w:line="215" w:lineRule="exact"/>
              <w:rPr>
                <w:sz w:val="20"/>
                <w:szCs w:val="20"/>
                <w:color w:val="auto"/>
              </w:rPr>
            </w:pPr>
            <w:r>
              <w:rPr>
                <w:rFonts w:ascii="Calibri" w:cs="Calibri" w:eastAsia="Calibri" w:hAnsi="Calibri"/>
                <w:sz w:val="18"/>
                <w:szCs w:val="18"/>
                <w:color w:val="auto"/>
              </w:rPr>
              <w:t>Projected beneft obligaton at beginning of period</w:t>
            </w:r>
          </w:p>
        </w:tc>
        <w:tc>
          <w:tcPr>
            <w:tcW w:w="260" w:type="dxa"/>
            <w:vAlign w:val="bottom"/>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880" w:type="dxa"/>
            <w:vAlign w:val="bottom"/>
          </w:tcPr>
          <w:p>
            <w:pPr>
              <w:jc w:val="right"/>
              <w:spacing w:after="0" w:line="215" w:lineRule="exact"/>
              <w:rPr>
                <w:sz w:val="20"/>
                <w:szCs w:val="20"/>
                <w:color w:val="auto"/>
              </w:rPr>
            </w:pPr>
            <w:r>
              <w:rPr>
                <w:rFonts w:ascii="Calibri" w:cs="Calibri" w:eastAsia="Calibri" w:hAnsi="Calibri"/>
                <w:sz w:val="18"/>
                <w:szCs w:val="18"/>
                <w:color w:val="auto"/>
              </w:rPr>
              <w:t>2,386</w:t>
            </w:r>
          </w:p>
        </w:tc>
        <w:tc>
          <w:tcPr>
            <w:tcW w:w="240" w:type="dxa"/>
            <w:vAlign w:val="bottom"/>
          </w:tcPr>
          <w:p>
            <w:pPr>
              <w:spacing w:after="0"/>
              <w:rPr>
                <w:sz w:val="18"/>
                <w:szCs w:val="18"/>
                <w:color w:val="auto"/>
              </w:rPr>
            </w:pPr>
          </w:p>
        </w:tc>
        <w:tc>
          <w:tcPr>
            <w:tcW w:w="18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588</w:t>
            </w:r>
          </w:p>
        </w:tc>
        <w:tc>
          <w:tcPr>
            <w:tcW w:w="240" w:type="dxa"/>
            <w:vAlign w:val="bottom"/>
          </w:tcPr>
          <w:p>
            <w:pPr>
              <w:spacing w:after="0"/>
              <w:rPr>
                <w:sz w:val="18"/>
                <w:szCs w:val="18"/>
                <w:color w:val="auto"/>
              </w:rPr>
            </w:pPr>
          </w:p>
        </w:tc>
        <w:tc>
          <w:tcPr>
            <w:tcW w:w="260" w:type="dxa"/>
            <w:vAlign w:val="bottom"/>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880" w:type="dxa"/>
            <w:vAlign w:val="bottom"/>
          </w:tcPr>
          <w:p>
            <w:pPr>
              <w:jc w:val="right"/>
              <w:spacing w:after="0" w:line="215" w:lineRule="exact"/>
              <w:rPr>
                <w:sz w:val="20"/>
                <w:szCs w:val="20"/>
                <w:color w:val="auto"/>
              </w:rPr>
            </w:pPr>
            <w:r>
              <w:rPr>
                <w:rFonts w:ascii="Calibri" w:cs="Calibri" w:eastAsia="Calibri" w:hAnsi="Calibri"/>
                <w:sz w:val="18"/>
                <w:szCs w:val="18"/>
                <w:color w:val="auto"/>
              </w:rPr>
              <w:t>2,482</w:t>
            </w:r>
          </w:p>
        </w:tc>
        <w:tc>
          <w:tcPr>
            <w:tcW w:w="240" w:type="dxa"/>
            <w:vAlign w:val="bottom"/>
          </w:tcPr>
          <w:p>
            <w:pPr>
              <w:spacing w:after="0"/>
              <w:rPr>
                <w:sz w:val="18"/>
                <w:szCs w:val="18"/>
                <w:color w:val="auto"/>
              </w:rPr>
            </w:pPr>
          </w:p>
        </w:tc>
        <w:tc>
          <w:tcPr>
            <w:tcW w:w="18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577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820" w:type="dxa"/>
            <w:vAlign w:val="bottom"/>
            <w:shd w:val="clear" w:color="auto" w:fill="CFF0FC"/>
          </w:tcPr>
          <w:p>
            <w:pPr>
              <w:ind w:left="200"/>
              <w:spacing w:after="0" w:line="216" w:lineRule="exact"/>
              <w:rPr>
                <w:sz w:val="20"/>
                <w:szCs w:val="20"/>
                <w:color w:val="auto"/>
              </w:rPr>
            </w:pPr>
            <w:r>
              <w:rPr>
                <w:rFonts w:ascii="Calibri" w:cs="Calibri" w:eastAsia="Calibri" w:hAnsi="Calibri"/>
                <w:sz w:val="18"/>
                <w:szCs w:val="18"/>
                <w:color w:val="auto"/>
              </w:rPr>
              <w:t>Service cost</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13</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13</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20" w:type="dxa"/>
            <w:vAlign w:val="bottom"/>
          </w:tcPr>
          <w:p>
            <w:pPr>
              <w:ind w:left="200"/>
              <w:spacing w:after="0" w:line="215" w:lineRule="exact"/>
              <w:rPr>
                <w:sz w:val="20"/>
                <w:szCs w:val="20"/>
                <w:color w:val="auto"/>
              </w:rPr>
            </w:pPr>
            <w:r>
              <w:rPr>
                <w:rFonts w:ascii="Calibri" w:cs="Calibri" w:eastAsia="Calibri" w:hAnsi="Calibri"/>
                <w:sz w:val="18"/>
                <w:szCs w:val="18"/>
                <w:color w:val="auto"/>
              </w:rPr>
              <w:t>Interest cost</w:t>
            </w:r>
          </w:p>
        </w:tc>
        <w:tc>
          <w:tcPr>
            <w:tcW w:w="260" w:type="dxa"/>
            <w:vAlign w:val="bottom"/>
          </w:tcPr>
          <w:p>
            <w:pPr>
              <w:spacing w:after="0"/>
              <w:rPr>
                <w:sz w:val="18"/>
                <w:szCs w:val="18"/>
                <w:color w:val="auto"/>
              </w:rPr>
            </w:pPr>
          </w:p>
        </w:tc>
        <w:tc>
          <w:tcPr>
            <w:tcW w:w="880" w:type="dxa"/>
            <w:vAlign w:val="bottom"/>
          </w:tcPr>
          <w:p>
            <w:pPr>
              <w:jc w:val="right"/>
              <w:spacing w:after="0" w:line="215" w:lineRule="exact"/>
              <w:rPr>
                <w:sz w:val="20"/>
                <w:szCs w:val="20"/>
                <w:color w:val="auto"/>
              </w:rPr>
            </w:pPr>
            <w:r>
              <w:rPr>
                <w:rFonts w:ascii="Calibri" w:cs="Calibri" w:eastAsia="Calibri" w:hAnsi="Calibri"/>
                <w:sz w:val="18"/>
                <w:szCs w:val="18"/>
                <w:color w:val="auto"/>
              </w:rPr>
              <w:t>109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18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line="215" w:lineRule="exact"/>
              <w:rPr>
                <w:sz w:val="20"/>
                <w:szCs w:val="20"/>
                <w:color w:val="auto"/>
              </w:rPr>
            </w:pPr>
            <w:r>
              <w:rPr>
                <w:rFonts w:ascii="Calibri" w:cs="Calibri" w:eastAsia="Calibri" w:hAnsi="Calibri"/>
                <w:sz w:val="18"/>
                <w:szCs w:val="18"/>
                <w:color w:val="auto"/>
              </w:rPr>
              <w:t>117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820" w:type="dxa"/>
            <w:vAlign w:val="bottom"/>
            <w:shd w:val="clear" w:color="auto" w:fill="CFF0FC"/>
          </w:tcPr>
          <w:p>
            <w:pPr>
              <w:ind w:left="200"/>
              <w:spacing w:after="0" w:line="216" w:lineRule="exact"/>
              <w:rPr>
                <w:sz w:val="20"/>
                <w:szCs w:val="20"/>
                <w:color w:val="auto"/>
              </w:rPr>
            </w:pPr>
            <w:r>
              <w:rPr>
                <w:rFonts w:ascii="Calibri" w:cs="Calibri" w:eastAsia="Calibri" w:hAnsi="Calibri"/>
                <w:sz w:val="18"/>
                <w:szCs w:val="18"/>
                <w:color w:val="auto"/>
              </w:rPr>
              <w:t>Beneft payments</w:t>
            </w: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80"/>
              <w:spacing w:after="0" w:line="216" w:lineRule="exact"/>
              <w:rPr>
                <w:sz w:val="20"/>
                <w:szCs w:val="20"/>
                <w:color w:val="auto"/>
              </w:rPr>
            </w:pPr>
            <w:r>
              <w:rPr>
                <w:rFonts w:ascii="Calibri" w:cs="Calibri" w:eastAsia="Calibri" w:hAnsi="Calibri"/>
                <w:sz w:val="18"/>
                <w:szCs w:val="18"/>
                <w:color w:val="auto"/>
              </w:rPr>
              <w:t>(269 )</w:t>
            </w:r>
          </w:p>
        </w:tc>
        <w:tc>
          <w:tcPr>
            <w:tcW w:w="1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80"/>
              <w:spacing w:after="0" w:line="216" w:lineRule="exact"/>
              <w:rPr>
                <w:sz w:val="20"/>
                <w:szCs w:val="20"/>
                <w:color w:val="auto"/>
              </w:rPr>
            </w:pPr>
            <w:r>
              <w:rPr>
                <w:rFonts w:ascii="Calibri" w:cs="Calibri" w:eastAsia="Calibri" w:hAnsi="Calibri"/>
                <w:sz w:val="18"/>
                <w:szCs w:val="18"/>
                <w:color w:val="auto"/>
              </w:rPr>
              <w:t>(41 )</w:t>
            </w: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80"/>
              <w:spacing w:after="0" w:line="216" w:lineRule="exact"/>
              <w:rPr>
                <w:sz w:val="20"/>
                <w:szCs w:val="20"/>
                <w:color w:val="auto"/>
              </w:rPr>
            </w:pPr>
            <w:r>
              <w:rPr>
                <w:rFonts w:ascii="Calibri" w:cs="Calibri" w:eastAsia="Calibri" w:hAnsi="Calibri"/>
                <w:sz w:val="18"/>
                <w:szCs w:val="18"/>
                <w:color w:val="auto"/>
              </w:rPr>
              <w:t>(283 )</w:t>
            </w:r>
          </w:p>
        </w:tc>
        <w:tc>
          <w:tcPr>
            <w:tcW w:w="1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line="216" w:lineRule="exact"/>
              <w:rPr>
                <w:sz w:val="20"/>
                <w:szCs w:val="20"/>
                <w:color w:val="auto"/>
              </w:rPr>
            </w:pPr>
            <w:r>
              <w:rPr>
                <w:rFonts w:ascii="Calibri" w:cs="Calibri" w:eastAsia="Calibri" w:hAnsi="Calibri"/>
                <w:sz w:val="18"/>
                <w:szCs w:val="18"/>
                <w:color w:val="auto"/>
              </w:rPr>
              <w:t>(43 )</w:t>
            </w:r>
          </w:p>
        </w:tc>
        <w:tc>
          <w:tcPr>
            <w:tcW w:w="0" w:type="dxa"/>
            <w:vAlign w:val="bottom"/>
          </w:tcPr>
          <w:p>
            <w:pPr>
              <w:spacing w:after="0"/>
              <w:rPr>
                <w:sz w:val="1"/>
                <w:szCs w:val="1"/>
                <w:color w:val="auto"/>
              </w:rPr>
            </w:pPr>
          </w:p>
        </w:tc>
      </w:tr>
      <w:tr>
        <w:trPr>
          <w:trHeight w:val="215"/>
        </w:trPr>
        <w:tc>
          <w:tcPr>
            <w:tcW w:w="5820" w:type="dxa"/>
            <w:vAlign w:val="bottom"/>
          </w:tcPr>
          <w:p>
            <w:pPr>
              <w:ind w:left="200"/>
              <w:spacing w:after="0" w:line="215" w:lineRule="exact"/>
              <w:rPr>
                <w:sz w:val="20"/>
                <w:szCs w:val="20"/>
                <w:color w:val="auto"/>
              </w:rPr>
            </w:pPr>
            <w:r>
              <w:rPr>
                <w:rFonts w:ascii="Calibri" w:cs="Calibri" w:eastAsia="Calibri" w:hAnsi="Calibri"/>
                <w:sz w:val="18"/>
                <w:szCs w:val="18"/>
                <w:color w:val="auto"/>
              </w:rPr>
              <w:t>Plan Amendments</w:t>
            </w:r>
          </w:p>
        </w:tc>
        <w:tc>
          <w:tcPr>
            <w:tcW w:w="260" w:type="dxa"/>
            <w:vAlign w:val="bottom"/>
          </w:tcPr>
          <w:p>
            <w:pPr>
              <w:spacing w:after="0"/>
              <w:rPr>
                <w:sz w:val="18"/>
                <w:szCs w:val="18"/>
                <w:color w:val="auto"/>
              </w:rPr>
            </w:pPr>
          </w:p>
        </w:tc>
        <w:tc>
          <w:tcPr>
            <w:tcW w:w="112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180" w:type="dxa"/>
            <w:vAlign w:val="bottom"/>
          </w:tcPr>
          <w:p>
            <w:pPr>
              <w:spacing w:after="0"/>
              <w:rPr>
                <w:sz w:val="18"/>
                <w:szCs w:val="18"/>
                <w:color w:val="auto"/>
              </w:rPr>
            </w:pPr>
          </w:p>
        </w:tc>
        <w:tc>
          <w:tcPr>
            <w:tcW w:w="1220" w:type="dxa"/>
            <w:vAlign w:val="bottom"/>
            <w:gridSpan w:val="2"/>
          </w:tcPr>
          <w:p>
            <w:pPr>
              <w:jc w:val="right"/>
              <w:ind w:right="260"/>
              <w:spacing w:after="0" w:line="215" w:lineRule="exact"/>
              <w:rPr>
                <w:sz w:val="20"/>
                <w:szCs w:val="20"/>
                <w:color w:val="auto"/>
              </w:rPr>
            </w:pPr>
            <w:r>
              <w:rPr>
                <w:rFonts w:ascii="Calibri" w:cs="Calibri" w:eastAsia="Calibri" w:hAnsi="Calibri"/>
                <w:sz w:val="18"/>
                <w:szCs w:val="18"/>
                <w:color w:val="auto"/>
              </w:rPr>
              <w:t>—</w:t>
            </w:r>
          </w:p>
        </w:tc>
        <w:tc>
          <w:tcPr>
            <w:tcW w:w="260" w:type="dxa"/>
            <w:vAlign w:val="bottom"/>
          </w:tcPr>
          <w:p>
            <w:pPr>
              <w:spacing w:after="0"/>
              <w:rPr>
                <w:sz w:val="18"/>
                <w:szCs w:val="18"/>
                <w:color w:val="auto"/>
              </w:rPr>
            </w:pPr>
          </w:p>
        </w:tc>
        <w:tc>
          <w:tcPr>
            <w:tcW w:w="880" w:type="dxa"/>
            <w:vAlign w:val="bottom"/>
          </w:tcPr>
          <w:p>
            <w:pPr>
              <w:jc w:val="right"/>
              <w:spacing w:after="0" w:line="215" w:lineRule="exact"/>
              <w:rPr>
                <w:sz w:val="20"/>
                <w:szCs w:val="20"/>
                <w:color w:val="auto"/>
              </w:rPr>
            </w:pPr>
            <w:r>
              <w:rPr>
                <w:rFonts w:ascii="Calibri" w:cs="Calibri" w:eastAsia="Calibri" w:hAnsi="Calibri"/>
                <w:sz w:val="18"/>
                <w:szCs w:val="18"/>
                <w:color w:val="auto"/>
              </w:rPr>
              <w:t>29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17"/>
        </w:trPr>
        <w:tc>
          <w:tcPr>
            <w:tcW w:w="5820" w:type="dxa"/>
            <w:vAlign w:val="bottom"/>
            <w:shd w:val="clear" w:color="auto" w:fill="CFF0FC"/>
          </w:tcPr>
          <w:p>
            <w:pPr>
              <w:ind w:left="200"/>
              <w:spacing w:after="0" w:line="216" w:lineRule="exact"/>
              <w:rPr>
                <w:sz w:val="20"/>
                <w:szCs w:val="20"/>
                <w:color w:val="auto"/>
              </w:rPr>
            </w:pPr>
            <w:r>
              <w:rPr>
                <w:rFonts w:ascii="Calibri" w:cs="Calibri" w:eastAsia="Calibri" w:hAnsi="Calibri"/>
                <w:sz w:val="18"/>
                <w:szCs w:val="18"/>
                <w:color w:val="auto"/>
              </w:rPr>
              <w:t>Actuarial (gain) loss</w:t>
            </w: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80"/>
              <w:spacing w:after="0" w:line="216" w:lineRule="exact"/>
              <w:rPr>
                <w:sz w:val="20"/>
                <w:szCs w:val="20"/>
                <w:color w:val="auto"/>
              </w:rPr>
            </w:pPr>
            <w:r>
              <w:rPr>
                <w:rFonts w:ascii="Calibri" w:cs="Calibri" w:eastAsia="Calibri" w:hAnsi="Calibri"/>
                <w:sz w:val="18"/>
                <w:szCs w:val="18"/>
                <w:color w:val="auto"/>
              </w:rPr>
              <w:t>(56 )</w:t>
            </w:r>
          </w:p>
        </w:tc>
        <w:tc>
          <w:tcPr>
            <w:tcW w:w="1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80"/>
              <w:spacing w:after="0" w:line="216" w:lineRule="exact"/>
              <w:rPr>
                <w:sz w:val="20"/>
                <w:szCs w:val="20"/>
                <w:color w:val="auto"/>
              </w:rPr>
            </w:pPr>
            <w:r>
              <w:rPr>
                <w:rFonts w:ascii="Calibri" w:cs="Calibri" w:eastAsia="Calibri" w:hAnsi="Calibri"/>
                <w:sz w:val="18"/>
                <w:szCs w:val="18"/>
                <w:color w:val="auto"/>
              </w:rPr>
              <w:t>(12 )</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28</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20" w:type="dxa"/>
            <w:vAlign w:val="bottom"/>
          </w:tcPr>
          <w:p>
            <w:pPr>
              <w:ind w:left="200"/>
              <w:spacing w:after="0" w:line="215" w:lineRule="exact"/>
              <w:rPr>
                <w:sz w:val="20"/>
                <w:szCs w:val="20"/>
                <w:color w:val="auto"/>
              </w:rPr>
            </w:pPr>
            <w:r>
              <w:rPr>
                <w:rFonts w:ascii="Calibri" w:cs="Calibri" w:eastAsia="Calibri" w:hAnsi="Calibri"/>
                <w:sz w:val="18"/>
                <w:szCs w:val="18"/>
                <w:color w:val="auto"/>
              </w:rPr>
              <w:t>Special terminaton benefts</w:t>
            </w:r>
          </w:p>
        </w:tc>
        <w:tc>
          <w:tcPr>
            <w:tcW w:w="260" w:type="dxa"/>
            <w:vAlign w:val="bottom"/>
          </w:tcPr>
          <w:p>
            <w:pPr>
              <w:spacing w:after="0"/>
              <w:rPr>
                <w:sz w:val="18"/>
                <w:szCs w:val="18"/>
                <w:color w:val="auto"/>
              </w:rPr>
            </w:pPr>
          </w:p>
        </w:tc>
        <w:tc>
          <w:tcPr>
            <w:tcW w:w="880" w:type="dxa"/>
            <w:vAlign w:val="bottom"/>
          </w:tcPr>
          <w:p>
            <w:pPr>
              <w:jc w:val="right"/>
              <w:spacing w:after="0" w:line="215" w:lineRule="exact"/>
              <w:rPr>
                <w:sz w:val="20"/>
                <w:szCs w:val="20"/>
                <w:color w:val="auto"/>
              </w:rPr>
            </w:pPr>
            <w:r>
              <w:rPr>
                <w:rFonts w:ascii="Calibri" w:cs="Calibri" w:eastAsia="Calibri" w:hAnsi="Calibri"/>
                <w:sz w:val="18"/>
                <w:szCs w:val="18"/>
                <w:color w:val="auto"/>
              </w:rPr>
              <w:t>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60"/>
              <w:spacing w:after="0" w:line="215" w:lineRule="exact"/>
              <w:rPr>
                <w:sz w:val="20"/>
                <w:szCs w:val="20"/>
                <w:color w:val="auto"/>
              </w:rPr>
            </w:pPr>
            <w:r>
              <w:rPr>
                <w:rFonts w:ascii="Calibri" w:cs="Calibri" w:eastAsia="Calibri" w:hAnsi="Calibri"/>
                <w:sz w:val="18"/>
                <w:szCs w:val="18"/>
                <w:color w:val="auto"/>
              </w:rPr>
              <w:t>—</w:t>
            </w:r>
          </w:p>
        </w:tc>
        <w:tc>
          <w:tcPr>
            <w:tcW w:w="260" w:type="dxa"/>
            <w:vAlign w:val="bottom"/>
          </w:tcPr>
          <w:p>
            <w:pPr>
              <w:spacing w:after="0"/>
              <w:rPr>
                <w:sz w:val="18"/>
                <w:szCs w:val="18"/>
                <w:color w:val="auto"/>
              </w:rPr>
            </w:pPr>
          </w:p>
        </w:tc>
        <w:tc>
          <w:tcPr>
            <w:tcW w:w="112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180" w:type="dxa"/>
            <w:vAlign w:val="bottom"/>
          </w:tcPr>
          <w:p>
            <w:pPr>
              <w:spacing w:after="0"/>
              <w:rPr>
                <w:sz w:val="18"/>
                <w:szCs w:val="18"/>
                <w:color w:val="auto"/>
              </w:rPr>
            </w:pPr>
          </w:p>
        </w:tc>
        <w:tc>
          <w:tcPr>
            <w:tcW w:w="108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200"/>
              <w:spacing w:after="0" w:line="216" w:lineRule="exact"/>
              <w:rPr>
                <w:sz w:val="20"/>
                <w:szCs w:val="20"/>
                <w:color w:val="auto"/>
              </w:rPr>
            </w:pPr>
            <w:r>
              <w:rPr>
                <w:rFonts w:ascii="Calibri" w:cs="Calibri" w:eastAsia="Calibri" w:hAnsi="Calibri"/>
                <w:sz w:val="18"/>
                <w:szCs w:val="18"/>
                <w:color w:val="auto"/>
              </w:rPr>
              <w:t>Currency adjustments</w:t>
            </w: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line="216" w:lineRule="exact"/>
              <w:rPr>
                <w:sz w:val="20"/>
                <w:szCs w:val="20"/>
                <w:color w:val="auto"/>
              </w:rPr>
            </w:pPr>
            <w:r>
              <w:rPr>
                <w:rFonts w:ascii="Calibri" w:cs="Calibri" w:eastAsia="Calibri" w:hAnsi="Calibri"/>
                <w:sz w:val="18"/>
                <w:szCs w:val="18"/>
                <w:color w:val="auto"/>
              </w:rPr>
              <w:t>—</w:t>
            </w:r>
          </w:p>
        </w:tc>
        <w:tc>
          <w:tcPr>
            <w:tcW w:w="1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80"/>
              <w:spacing w:after="0" w:line="216" w:lineRule="exact"/>
              <w:rPr>
                <w:sz w:val="20"/>
                <w:szCs w:val="20"/>
                <w:color w:val="auto"/>
              </w:rPr>
            </w:pPr>
            <w:r>
              <w:rPr>
                <w:rFonts w:ascii="Calibri" w:cs="Calibri" w:eastAsia="Calibri" w:hAnsi="Calibri"/>
                <w:sz w:val="18"/>
                <w:szCs w:val="18"/>
                <w:color w:val="auto"/>
              </w:rPr>
              <w:t>(9 )</w:t>
            </w: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line="216" w:lineRule="exact"/>
              <w:rPr>
                <w:sz w:val="20"/>
                <w:szCs w:val="20"/>
                <w:color w:val="auto"/>
              </w:rPr>
            </w:pPr>
            <w:r>
              <w:rPr>
                <w:rFonts w:ascii="Calibri" w:cs="Calibri" w:eastAsia="Calibri" w:hAnsi="Calibri"/>
                <w:sz w:val="18"/>
                <w:szCs w:val="18"/>
                <w:color w:val="auto"/>
              </w:rPr>
              <w:t>—</w:t>
            </w: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20" w:type="dxa"/>
            <w:vAlign w:val="bottom"/>
            <w:tcBorders>
              <w:top w:val="single" w:sz="8" w:color="CFF0FC"/>
            </w:tcBorders>
          </w:tcPr>
          <w:p>
            <w:pPr>
              <w:ind w:left="20"/>
              <w:spacing w:after="0" w:line="210" w:lineRule="exact"/>
              <w:rPr>
                <w:sz w:val="20"/>
                <w:szCs w:val="20"/>
                <w:color w:val="auto"/>
              </w:rPr>
            </w:pPr>
            <w:r>
              <w:rPr>
                <w:rFonts w:ascii="Calibri" w:cs="Calibri" w:eastAsia="Calibri" w:hAnsi="Calibri"/>
                <w:sz w:val="18"/>
                <w:szCs w:val="18"/>
                <w:color w:val="auto"/>
              </w:rPr>
              <w:t>Projected beneft obligaton at end of period</w:t>
            </w:r>
          </w:p>
        </w:tc>
        <w:tc>
          <w:tcPr>
            <w:tcW w:w="260" w:type="dxa"/>
            <w:vAlign w:val="bottom"/>
            <w:tcBorders>
              <w:top w:val="single" w:sz="8" w:color="auto"/>
              <w:bottom w:val="single" w:sz="8" w:color="auto"/>
            </w:tcBorders>
          </w:tcPr>
          <w:p>
            <w:pPr>
              <w:jc w:val="right"/>
              <w:ind w:right="70"/>
              <w:spacing w:after="0" w:line="210" w:lineRule="exact"/>
              <w:rPr>
                <w:sz w:val="20"/>
                <w:szCs w:val="20"/>
                <w:color w:val="auto"/>
              </w:rPr>
            </w:pPr>
            <w:r>
              <w:rPr>
                <w:rFonts w:ascii="Calibri" w:cs="Calibri" w:eastAsia="Calibri" w:hAnsi="Calibri"/>
                <w:sz w:val="18"/>
                <w:szCs w:val="18"/>
                <w:color w:val="auto"/>
                <w:w w:val="87"/>
              </w:rPr>
              <w:t>$</w:t>
            </w:r>
          </w:p>
        </w:tc>
        <w:tc>
          <w:tcPr>
            <w:tcW w:w="880" w:type="dxa"/>
            <w:vAlign w:val="bottom"/>
            <w:tcBorders>
              <w:top w:val="single" w:sz="8" w:color="auto"/>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2,184</w:t>
            </w:r>
          </w:p>
        </w:tc>
        <w:tc>
          <w:tcPr>
            <w:tcW w:w="24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980" w:type="dxa"/>
            <w:vAlign w:val="bottom"/>
            <w:tcBorders>
              <w:top w:val="single" w:sz="8" w:color="auto"/>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546</w:t>
            </w:r>
          </w:p>
        </w:tc>
        <w:tc>
          <w:tcPr>
            <w:tcW w:w="24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line="210" w:lineRule="exact"/>
              <w:rPr>
                <w:sz w:val="20"/>
                <w:szCs w:val="20"/>
                <w:color w:val="auto"/>
              </w:rPr>
            </w:pPr>
            <w:r>
              <w:rPr>
                <w:rFonts w:ascii="Calibri" w:cs="Calibri" w:eastAsia="Calibri" w:hAnsi="Calibri"/>
                <w:sz w:val="18"/>
                <w:szCs w:val="18"/>
                <w:color w:val="auto"/>
                <w:w w:val="87"/>
              </w:rPr>
              <w:t>$</w:t>
            </w:r>
          </w:p>
        </w:tc>
        <w:tc>
          <w:tcPr>
            <w:tcW w:w="880" w:type="dxa"/>
            <w:vAlign w:val="bottom"/>
            <w:tcBorders>
              <w:top w:val="single" w:sz="8" w:color="auto"/>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2,386</w:t>
            </w:r>
          </w:p>
        </w:tc>
        <w:tc>
          <w:tcPr>
            <w:tcW w:w="24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980" w:type="dxa"/>
            <w:vAlign w:val="bottom"/>
            <w:tcBorders>
              <w:top w:val="single" w:sz="8" w:color="auto"/>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588</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820" w:type="dxa"/>
            <w:vAlign w:val="bottom"/>
          </w:tcPr>
          <w:p>
            <w:pPr>
              <w:ind w:left="20"/>
              <w:spacing w:after="0" w:line="215" w:lineRule="exact"/>
              <w:rPr>
                <w:sz w:val="20"/>
                <w:szCs w:val="20"/>
                <w:color w:val="auto"/>
              </w:rPr>
            </w:pPr>
            <w:r>
              <w:rPr>
                <w:rFonts w:ascii="Calibri" w:cs="Calibri" w:eastAsia="Calibri" w:hAnsi="Calibri"/>
                <w:sz w:val="18"/>
                <w:szCs w:val="18"/>
                <w:color w:val="auto"/>
              </w:rPr>
              <w:t>Change in Plan Assets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82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Fair value of plan assets at beginning of period</w:t>
            </w:r>
          </w:p>
        </w:tc>
        <w:tc>
          <w:tcPr>
            <w:tcW w:w="260" w:type="dxa"/>
            <w:vAlign w:val="bottom"/>
            <w:shd w:val="clear" w:color="auto" w:fill="CFF0FC"/>
          </w:tcPr>
          <w:p>
            <w:pPr>
              <w:jc w:val="right"/>
              <w:ind w:right="70"/>
              <w:spacing w:after="0" w:line="216" w:lineRule="exact"/>
              <w:rPr>
                <w:sz w:val="20"/>
                <w:szCs w:val="20"/>
                <w:color w:val="auto"/>
              </w:rPr>
            </w:pPr>
            <w:r>
              <w:rPr>
                <w:rFonts w:ascii="Calibri" w:cs="Calibri" w:eastAsia="Calibri" w:hAnsi="Calibri"/>
                <w:sz w:val="18"/>
                <w:szCs w:val="18"/>
                <w:color w:val="auto"/>
                <w:w w:val="87"/>
              </w:rPr>
              <w:t>$</w:t>
            </w:r>
          </w:p>
        </w:tc>
        <w:tc>
          <w:tcPr>
            <w:tcW w:w="8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3,546</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w w:val="87"/>
              </w:rPr>
              <w:t>$</w:t>
            </w:r>
          </w:p>
        </w:tc>
        <w:tc>
          <w:tcPr>
            <w:tcW w:w="9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528</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line="216" w:lineRule="exact"/>
              <w:rPr>
                <w:sz w:val="20"/>
                <w:szCs w:val="20"/>
                <w:color w:val="auto"/>
              </w:rPr>
            </w:pPr>
            <w:r>
              <w:rPr>
                <w:rFonts w:ascii="Calibri" w:cs="Calibri" w:eastAsia="Calibri" w:hAnsi="Calibri"/>
                <w:sz w:val="18"/>
                <w:szCs w:val="18"/>
                <w:color w:val="auto"/>
                <w:w w:val="87"/>
              </w:rPr>
              <w:t>$</w:t>
            </w:r>
          </w:p>
        </w:tc>
        <w:tc>
          <w:tcPr>
            <w:tcW w:w="8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3,659</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w w:val="87"/>
              </w:rPr>
              <w:t>$</w:t>
            </w:r>
          </w:p>
        </w:tc>
        <w:tc>
          <w:tcPr>
            <w:tcW w:w="9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526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20" w:type="dxa"/>
            <w:vAlign w:val="bottom"/>
          </w:tcPr>
          <w:p>
            <w:pPr>
              <w:ind w:left="200"/>
              <w:spacing w:after="0" w:line="215" w:lineRule="exact"/>
              <w:rPr>
                <w:sz w:val="20"/>
                <w:szCs w:val="20"/>
                <w:color w:val="auto"/>
              </w:rPr>
            </w:pPr>
            <w:r>
              <w:rPr>
                <w:rFonts w:ascii="Calibri" w:cs="Calibri" w:eastAsia="Calibri" w:hAnsi="Calibri"/>
                <w:sz w:val="18"/>
                <w:szCs w:val="18"/>
                <w:color w:val="auto"/>
              </w:rPr>
              <w:t>Actual Return on plan assets</w:t>
            </w:r>
          </w:p>
        </w:tc>
        <w:tc>
          <w:tcPr>
            <w:tcW w:w="260" w:type="dxa"/>
            <w:vAlign w:val="bottom"/>
          </w:tcPr>
          <w:p>
            <w:pPr>
              <w:spacing w:after="0"/>
              <w:rPr>
                <w:sz w:val="18"/>
                <w:szCs w:val="18"/>
                <w:color w:val="auto"/>
              </w:rPr>
            </w:pPr>
          </w:p>
        </w:tc>
        <w:tc>
          <w:tcPr>
            <w:tcW w:w="112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(149 )</w:t>
            </w:r>
          </w:p>
        </w:tc>
        <w:tc>
          <w:tcPr>
            <w:tcW w:w="180" w:type="dxa"/>
            <w:vAlign w:val="bottom"/>
          </w:tcPr>
          <w:p>
            <w:pPr>
              <w:spacing w:after="0"/>
              <w:rPr>
                <w:sz w:val="18"/>
                <w:szCs w:val="18"/>
                <w:color w:val="auto"/>
              </w:rPr>
            </w:pP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line="215" w:lineRule="exact"/>
              <w:rPr>
                <w:sz w:val="20"/>
                <w:szCs w:val="20"/>
                <w:color w:val="auto"/>
              </w:rPr>
            </w:pPr>
            <w:r>
              <w:rPr>
                <w:rFonts w:ascii="Calibri" w:cs="Calibri" w:eastAsia="Calibri" w:hAnsi="Calibri"/>
                <w:sz w:val="18"/>
                <w:szCs w:val="18"/>
                <w:color w:val="auto"/>
              </w:rPr>
              <w:t>170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820" w:type="dxa"/>
            <w:vAlign w:val="bottom"/>
            <w:shd w:val="clear" w:color="auto" w:fill="CFF0FC"/>
          </w:tcPr>
          <w:p>
            <w:pPr>
              <w:ind w:left="200"/>
              <w:spacing w:after="0" w:line="216" w:lineRule="exact"/>
              <w:rPr>
                <w:sz w:val="20"/>
                <w:szCs w:val="20"/>
                <w:color w:val="auto"/>
              </w:rPr>
            </w:pPr>
            <w:r>
              <w:rPr>
                <w:rFonts w:ascii="Calibri" w:cs="Calibri" w:eastAsia="Calibri" w:hAnsi="Calibri"/>
                <w:sz w:val="18"/>
                <w:szCs w:val="18"/>
                <w:color w:val="auto"/>
              </w:rPr>
              <w:t>Employer contributons</w:t>
            </w: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line="216" w:lineRule="exact"/>
              <w:rPr>
                <w:sz w:val="20"/>
                <w:szCs w:val="20"/>
                <w:color w:val="auto"/>
              </w:rPr>
            </w:pPr>
            <w:r>
              <w:rPr>
                <w:rFonts w:ascii="Calibri" w:cs="Calibri" w:eastAsia="Calibri" w:hAnsi="Calibri"/>
                <w:sz w:val="18"/>
                <w:szCs w:val="18"/>
                <w:color w:val="auto"/>
              </w:rPr>
              <w:t>—</w:t>
            </w: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5</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line="216" w:lineRule="exact"/>
              <w:rPr>
                <w:sz w:val="20"/>
                <w:szCs w:val="20"/>
                <w:color w:val="auto"/>
              </w:rPr>
            </w:pPr>
            <w:r>
              <w:rPr>
                <w:rFonts w:ascii="Calibri" w:cs="Calibri" w:eastAsia="Calibri" w:hAnsi="Calibri"/>
                <w:sz w:val="18"/>
                <w:szCs w:val="18"/>
                <w:color w:val="auto"/>
              </w:rPr>
              <w:t>—</w:t>
            </w: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20" w:type="dxa"/>
            <w:vAlign w:val="bottom"/>
          </w:tcPr>
          <w:p>
            <w:pPr>
              <w:ind w:left="200"/>
              <w:spacing w:after="0" w:line="215" w:lineRule="exact"/>
              <w:rPr>
                <w:sz w:val="20"/>
                <w:szCs w:val="20"/>
                <w:color w:val="auto"/>
              </w:rPr>
            </w:pPr>
            <w:r>
              <w:rPr>
                <w:rFonts w:ascii="Calibri" w:cs="Calibri" w:eastAsia="Calibri" w:hAnsi="Calibri"/>
                <w:sz w:val="18"/>
                <w:szCs w:val="18"/>
                <w:color w:val="auto"/>
              </w:rPr>
              <w:t>Beneft payments</w:t>
            </w:r>
          </w:p>
        </w:tc>
        <w:tc>
          <w:tcPr>
            <w:tcW w:w="260" w:type="dxa"/>
            <w:vAlign w:val="bottom"/>
          </w:tcPr>
          <w:p>
            <w:pPr>
              <w:spacing w:after="0"/>
              <w:rPr>
                <w:sz w:val="18"/>
                <w:szCs w:val="18"/>
                <w:color w:val="auto"/>
              </w:rPr>
            </w:pPr>
          </w:p>
        </w:tc>
        <w:tc>
          <w:tcPr>
            <w:tcW w:w="112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(269 )</w:t>
            </w:r>
          </w:p>
        </w:tc>
        <w:tc>
          <w:tcPr>
            <w:tcW w:w="180" w:type="dxa"/>
            <w:vAlign w:val="bottom"/>
          </w:tcPr>
          <w:p>
            <w:pPr>
              <w:spacing w:after="0"/>
              <w:rPr>
                <w:sz w:val="18"/>
                <w:szCs w:val="18"/>
                <w:color w:val="auto"/>
              </w:rPr>
            </w:pPr>
          </w:p>
        </w:tc>
        <w:tc>
          <w:tcPr>
            <w:tcW w:w="122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(41 )</w:t>
            </w:r>
          </w:p>
        </w:tc>
        <w:tc>
          <w:tcPr>
            <w:tcW w:w="260" w:type="dxa"/>
            <w:vAlign w:val="bottom"/>
          </w:tcPr>
          <w:p>
            <w:pPr>
              <w:spacing w:after="0"/>
              <w:rPr>
                <w:sz w:val="18"/>
                <w:szCs w:val="18"/>
                <w:color w:val="auto"/>
              </w:rPr>
            </w:pPr>
          </w:p>
        </w:tc>
        <w:tc>
          <w:tcPr>
            <w:tcW w:w="112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(283 )</w:t>
            </w:r>
          </w:p>
        </w:tc>
        <w:tc>
          <w:tcPr>
            <w:tcW w:w="180" w:type="dxa"/>
            <w:vAlign w:val="bottom"/>
          </w:tcPr>
          <w:p>
            <w:pPr>
              <w:spacing w:after="0"/>
              <w:rPr>
                <w:sz w:val="18"/>
                <w:szCs w:val="18"/>
                <w:color w:val="auto"/>
              </w:rPr>
            </w:pPr>
          </w:p>
        </w:tc>
        <w:tc>
          <w:tcPr>
            <w:tcW w:w="108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(43 )</w:t>
            </w: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200"/>
              <w:spacing w:after="0" w:line="216" w:lineRule="exact"/>
              <w:rPr>
                <w:sz w:val="20"/>
                <w:szCs w:val="20"/>
                <w:color w:val="auto"/>
              </w:rPr>
            </w:pPr>
            <w:r>
              <w:rPr>
                <w:rFonts w:ascii="Calibri" w:cs="Calibri" w:eastAsia="Calibri" w:hAnsi="Calibri"/>
                <w:sz w:val="18"/>
                <w:szCs w:val="18"/>
                <w:color w:val="auto"/>
              </w:rPr>
              <w:t>Currency adjustments</w:t>
            </w: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line="216" w:lineRule="exact"/>
              <w:rPr>
                <w:sz w:val="20"/>
                <w:szCs w:val="20"/>
                <w:color w:val="auto"/>
              </w:rPr>
            </w:pPr>
            <w:r>
              <w:rPr>
                <w:rFonts w:ascii="Calibri" w:cs="Calibri" w:eastAsia="Calibri" w:hAnsi="Calibri"/>
                <w:sz w:val="18"/>
                <w:szCs w:val="18"/>
                <w:color w:val="auto"/>
              </w:rPr>
              <w:t>—</w:t>
            </w:r>
          </w:p>
        </w:tc>
        <w:tc>
          <w:tcPr>
            <w:tcW w:w="1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80"/>
              <w:spacing w:after="0" w:line="216" w:lineRule="exact"/>
              <w:rPr>
                <w:sz w:val="20"/>
                <w:szCs w:val="20"/>
                <w:color w:val="auto"/>
              </w:rPr>
            </w:pPr>
            <w:r>
              <w:rPr>
                <w:rFonts w:ascii="Calibri" w:cs="Calibri" w:eastAsia="Calibri" w:hAnsi="Calibri"/>
                <w:sz w:val="18"/>
                <w:szCs w:val="18"/>
                <w:color w:val="auto"/>
              </w:rPr>
              <w:t>(3 )</w:t>
            </w: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line="216" w:lineRule="exact"/>
              <w:rPr>
                <w:sz w:val="20"/>
                <w:szCs w:val="20"/>
                <w:color w:val="auto"/>
              </w:rPr>
            </w:pPr>
            <w:r>
              <w:rPr>
                <w:rFonts w:ascii="Calibri" w:cs="Calibri" w:eastAsia="Calibri" w:hAnsi="Calibri"/>
                <w:sz w:val="18"/>
                <w:szCs w:val="18"/>
                <w:color w:val="auto"/>
              </w:rPr>
              <w:t>—</w:t>
            </w: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20" w:type="dxa"/>
            <w:vAlign w:val="bottom"/>
            <w:tcBorders>
              <w:top w:val="single" w:sz="8" w:color="CFF0FC"/>
            </w:tcBorders>
          </w:tcPr>
          <w:p>
            <w:pPr>
              <w:ind w:left="20"/>
              <w:spacing w:after="0" w:line="210" w:lineRule="exact"/>
              <w:rPr>
                <w:sz w:val="20"/>
                <w:szCs w:val="20"/>
                <w:color w:val="auto"/>
              </w:rPr>
            </w:pPr>
            <w:r>
              <w:rPr>
                <w:rFonts w:ascii="Calibri" w:cs="Calibri" w:eastAsia="Calibri" w:hAnsi="Calibri"/>
                <w:sz w:val="18"/>
                <w:szCs w:val="18"/>
                <w:color w:val="auto"/>
              </w:rPr>
              <w:t>Fair value of plan assets at end of period</w:t>
            </w:r>
          </w:p>
        </w:tc>
        <w:tc>
          <w:tcPr>
            <w:tcW w:w="260" w:type="dxa"/>
            <w:vAlign w:val="bottom"/>
            <w:tcBorders>
              <w:top w:val="single" w:sz="8" w:color="auto"/>
              <w:bottom w:val="single" w:sz="8" w:color="auto"/>
            </w:tcBorders>
          </w:tcPr>
          <w:p>
            <w:pPr>
              <w:jc w:val="right"/>
              <w:ind w:right="70"/>
              <w:spacing w:after="0" w:line="210" w:lineRule="exact"/>
              <w:rPr>
                <w:sz w:val="20"/>
                <w:szCs w:val="20"/>
                <w:color w:val="auto"/>
              </w:rPr>
            </w:pPr>
            <w:r>
              <w:rPr>
                <w:rFonts w:ascii="Calibri" w:cs="Calibri" w:eastAsia="Calibri" w:hAnsi="Calibri"/>
                <w:sz w:val="18"/>
                <w:szCs w:val="18"/>
                <w:color w:val="auto"/>
                <w:w w:val="87"/>
              </w:rPr>
              <w:t>$</w:t>
            </w:r>
          </w:p>
        </w:tc>
        <w:tc>
          <w:tcPr>
            <w:tcW w:w="880" w:type="dxa"/>
            <w:vAlign w:val="bottom"/>
            <w:tcBorders>
              <w:top w:val="single" w:sz="8" w:color="auto"/>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3,128</w:t>
            </w:r>
          </w:p>
        </w:tc>
        <w:tc>
          <w:tcPr>
            <w:tcW w:w="24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980" w:type="dxa"/>
            <w:vAlign w:val="bottom"/>
            <w:tcBorders>
              <w:top w:val="single" w:sz="8" w:color="auto"/>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494</w:t>
            </w:r>
          </w:p>
        </w:tc>
        <w:tc>
          <w:tcPr>
            <w:tcW w:w="24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line="210" w:lineRule="exact"/>
              <w:rPr>
                <w:sz w:val="20"/>
                <w:szCs w:val="20"/>
                <w:color w:val="auto"/>
              </w:rPr>
            </w:pPr>
            <w:r>
              <w:rPr>
                <w:rFonts w:ascii="Calibri" w:cs="Calibri" w:eastAsia="Calibri" w:hAnsi="Calibri"/>
                <w:sz w:val="18"/>
                <w:szCs w:val="18"/>
                <w:color w:val="auto"/>
                <w:w w:val="87"/>
              </w:rPr>
              <w:t>$</w:t>
            </w:r>
          </w:p>
        </w:tc>
        <w:tc>
          <w:tcPr>
            <w:tcW w:w="880" w:type="dxa"/>
            <w:vAlign w:val="bottom"/>
            <w:tcBorders>
              <w:top w:val="single" w:sz="8" w:color="auto"/>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3,546</w:t>
            </w:r>
          </w:p>
        </w:tc>
        <w:tc>
          <w:tcPr>
            <w:tcW w:w="24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980" w:type="dxa"/>
            <w:vAlign w:val="bottom"/>
            <w:tcBorders>
              <w:top w:val="single" w:sz="8" w:color="auto"/>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528</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820" w:type="dxa"/>
            <w:vAlign w:val="bottom"/>
          </w:tcPr>
          <w:p>
            <w:pPr>
              <w:ind w:left="20"/>
              <w:spacing w:after="0" w:line="209" w:lineRule="exact"/>
              <w:rPr>
                <w:sz w:val="20"/>
                <w:szCs w:val="20"/>
                <w:color w:val="auto"/>
              </w:rPr>
            </w:pPr>
            <w:r>
              <w:rPr>
                <w:rFonts w:ascii="Calibri" w:cs="Calibri" w:eastAsia="Calibri" w:hAnsi="Calibri"/>
                <w:sz w:val="18"/>
                <w:szCs w:val="18"/>
                <w:color w:val="auto"/>
              </w:rPr>
              <w:t>Over (under) funded status at end of period</w:t>
            </w:r>
          </w:p>
        </w:tc>
        <w:tc>
          <w:tcPr>
            <w:tcW w:w="260" w:type="dxa"/>
            <w:vAlign w:val="bottom"/>
          </w:tcPr>
          <w:p>
            <w:pPr>
              <w:jc w:val="right"/>
              <w:ind w:right="70"/>
              <w:spacing w:after="0" w:line="209" w:lineRule="exact"/>
              <w:rPr>
                <w:sz w:val="20"/>
                <w:szCs w:val="20"/>
                <w:color w:val="auto"/>
              </w:rPr>
            </w:pPr>
            <w:r>
              <w:rPr>
                <w:rFonts w:ascii="Calibri" w:cs="Calibri" w:eastAsia="Calibri" w:hAnsi="Calibri"/>
                <w:sz w:val="18"/>
                <w:szCs w:val="18"/>
                <w:color w:val="auto"/>
                <w:w w:val="87"/>
              </w:rPr>
              <w:t>$</w:t>
            </w:r>
          </w:p>
        </w:tc>
        <w:tc>
          <w:tcPr>
            <w:tcW w:w="880" w:type="dxa"/>
            <w:vAlign w:val="bottom"/>
          </w:tcPr>
          <w:p>
            <w:pPr>
              <w:jc w:val="right"/>
              <w:spacing w:after="0" w:line="209" w:lineRule="exact"/>
              <w:rPr>
                <w:sz w:val="20"/>
                <w:szCs w:val="20"/>
                <w:color w:val="auto"/>
              </w:rPr>
            </w:pPr>
            <w:r>
              <w:rPr>
                <w:rFonts w:ascii="Calibri" w:cs="Calibri" w:eastAsia="Calibri" w:hAnsi="Calibri"/>
                <w:sz w:val="18"/>
                <w:szCs w:val="18"/>
                <w:color w:val="auto"/>
              </w:rPr>
              <w:t>944</w:t>
            </w:r>
          </w:p>
        </w:tc>
        <w:tc>
          <w:tcPr>
            <w:tcW w:w="240" w:type="dxa"/>
            <w:vAlign w:val="bottom"/>
          </w:tcPr>
          <w:p>
            <w:pPr>
              <w:spacing w:after="0"/>
              <w:rPr>
                <w:sz w:val="18"/>
                <w:szCs w:val="18"/>
                <w:color w:val="auto"/>
              </w:rPr>
            </w:pPr>
          </w:p>
        </w:tc>
        <w:tc>
          <w:tcPr>
            <w:tcW w:w="180" w:type="dxa"/>
            <w:vAlign w:val="bottom"/>
          </w:tcPr>
          <w:p>
            <w:pPr>
              <w:jc w:val="right"/>
              <w:spacing w:after="0" w:line="209" w:lineRule="exact"/>
              <w:rPr>
                <w:sz w:val="20"/>
                <w:szCs w:val="20"/>
                <w:color w:val="auto"/>
              </w:rPr>
            </w:pPr>
            <w:r>
              <w:rPr>
                <w:rFonts w:ascii="Calibri" w:cs="Calibri" w:eastAsia="Calibri" w:hAnsi="Calibri"/>
                <w:sz w:val="18"/>
                <w:szCs w:val="18"/>
                <w:color w:val="auto"/>
                <w:w w:val="87"/>
              </w:rPr>
              <w:t>$</w:t>
            </w:r>
          </w:p>
        </w:tc>
        <w:tc>
          <w:tcPr>
            <w:tcW w:w="1220" w:type="dxa"/>
            <w:vAlign w:val="bottom"/>
            <w:gridSpan w:val="2"/>
          </w:tcPr>
          <w:p>
            <w:pPr>
              <w:jc w:val="right"/>
              <w:ind w:right="180"/>
              <w:spacing w:after="0" w:line="209" w:lineRule="exact"/>
              <w:rPr>
                <w:sz w:val="20"/>
                <w:szCs w:val="20"/>
                <w:color w:val="auto"/>
              </w:rPr>
            </w:pPr>
            <w:r>
              <w:rPr>
                <w:rFonts w:ascii="Calibri" w:cs="Calibri" w:eastAsia="Calibri" w:hAnsi="Calibri"/>
                <w:sz w:val="18"/>
                <w:szCs w:val="18"/>
                <w:color w:val="auto"/>
              </w:rPr>
              <w:t>(52 )</w:t>
            </w:r>
          </w:p>
        </w:tc>
        <w:tc>
          <w:tcPr>
            <w:tcW w:w="260" w:type="dxa"/>
            <w:vAlign w:val="bottom"/>
          </w:tcPr>
          <w:p>
            <w:pPr>
              <w:jc w:val="right"/>
              <w:ind w:right="70"/>
              <w:spacing w:after="0" w:line="209" w:lineRule="exact"/>
              <w:rPr>
                <w:sz w:val="20"/>
                <w:szCs w:val="20"/>
                <w:color w:val="auto"/>
              </w:rPr>
            </w:pPr>
            <w:r>
              <w:rPr>
                <w:rFonts w:ascii="Calibri" w:cs="Calibri" w:eastAsia="Calibri" w:hAnsi="Calibri"/>
                <w:sz w:val="18"/>
                <w:szCs w:val="18"/>
                <w:color w:val="auto"/>
                <w:w w:val="87"/>
              </w:rPr>
              <w:t>$</w:t>
            </w:r>
          </w:p>
        </w:tc>
        <w:tc>
          <w:tcPr>
            <w:tcW w:w="880" w:type="dxa"/>
            <w:vAlign w:val="bottom"/>
          </w:tcPr>
          <w:p>
            <w:pPr>
              <w:jc w:val="right"/>
              <w:spacing w:after="0" w:line="209" w:lineRule="exact"/>
              <w:rPr>
                <w:sz w:val="20"/>
                <w:szCs w:val="20"/>
                <w:color w:val="auto"/>
              </w:rPr>
            </w:pPr>
            <w:r>
              <w:rPr>
                <w:rFonts w:ascii="Calibri" w:cs="Calibri" w:eastAsia="Calibri" w:hAnsi="Calibri"/>
                <w:sz w:val="18"/>
                <w:szCs w:val="18"/>
                <w:color w:val="auto"/>
              </w:rPr>
              <w:t>1,160</w:t>
            </w:r>
          </w:p>
        </w:tc>
        <w:tc>
          <w:tcPr>
            <w:tcW w:w="240" w:type="dxa"/>
            <w:vAlign w:val="bottom"/>
          </w:tcPr>
          <w:p>
            <w:pPr>
              <w:spacing w:after="0"/>
              <w:rPr>
                <w:sz w:val="18"/>
                <w:szCs w:val="18"/>
                <w:color w:val="auto"/>
              </w:rPr>
            </w:pPr>
          </w:p>
        </w:tc>
        <w:tc>
          <w:tcPr>
            <w:tcW w:w="180" w:type="dxa"/>
            <w:vAlign w:val="bottom"/>
          </w:tcPr>
          <w:p>
            <w:pPr>
              <w:jc w:val="right"/>
              <w:spacing w:after="0" w:line="209" w:lineRule="exact"/>
              <w:rPr>
                <w:sz w:val="20"/>
                <w:szCs w:val="20"/>
                <w:color w:val="auto"/>
              </w:rPr>
            </w:pPr>
            <w:r>
              <w:rPr>
                <w:rFonts w:ascii="Calibri" w:cs="Calibri" w:eastAsia="Calibri" w:hAnsi="Calibri"/>
                <w:sz w:val="18"/>
                <w:szCs w:val="18"/>
                <w:color w:val="auto"/>
                <w:w w:val="87"/>
              </w:rPr>
              <w:t>$</w:t>
            </w:r>
          </w:p>
        </w:tc>
        <w:tc>
          <w:tcPr>
            <w:tcW w:w="1080" w:type="dxa"/>
            <w:vAlign w:val="bottom"/>
            <w:gridSpan w:val="2"/>
          </w:tcPr>
          <w:p>
            <w:pPr>
              <w:jc w:val="right"/>
              <w:ind w:right="40"/>
              <w:spacing w:after="0" w:line="209" w:lineRule="exact"/>
              <w:rPr>
                <w:sz w:val="20"/>
                <w:szCs w:val="20"/>
                <w:color w:val="auto"/>
              </w:rPr>
            </w:pPr>
            <w:r>
              <w:rPr>
                <w:rFonts w:ascii="Calibri" w:cs="Calibri" w:eastAsia="Calibri" w:hAnsi="Calibri"/>
                <w:sz w:val="18"/>
                <w:szCs w:val="18"/>
                <w:color w:val="auto"/>
              </w:rPr>
              <w:t>(60 )</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820" w:type="dxa"/>
            <w:vAlign w:val="bottom"/>
          </w:tcPr>
          <w:p>
            <w:pPr>
              <w:ind w:left="20"/>
              <w:spacing w:after="0" w:line="209" w:lineRule="exact"/>
              <w:rPr>
                <w:sz w:val="20"/>
                <w:szCs w:val="20"/>
                <w:color w:val="auto"/>
              </w:rPr>
            </w:pPr>
            <w:r>
              <w:rPr>
                <w:rFonts w:ascii="Calibri" w:cs="Calibri" w:eastAsia="Calibri" w:hAnsi="Calibri"/>
                <w:sz w:val="18"/>
                <w:szCs w:val="18"/>
                <w:color w:val="auto"/>
              </w:rPr>
              <w:t>Accumulated beneft obligaton at end of period</w:t>
            </w:r>
          </w:p>
        </w:tc>
        <w:tc>
          <w:tcPr>
            <w:tcW w:w="260" w:type="dxa"/>
            <w:vAlign w:val="bottom"/>
            <w:tcBorders>
              <w:bottom w:val="single" w:sz="8" w:color="auto"/>
            </w:tcBorders>
          </w:tcPr>
          <w:p>
            <w:pPr>
              <w:jc w:val="right"/>
              <w:ind w:right="70"/>
              <w:spacing w:after="0" w:line="209" w:lineRule="exact"/>
              <w:rPr>
                <w:sz w:val="20"/>
                <w:szCs w:val="20"/>
                <w:color w:val="auto"/>
              </w:rPr>
            </w:pPr>
            <w:r>
              <w:rPr>
                <w:rFonts w:ascii="Calibri" w:cs="Calibri" w:eastAsia="Calibri" w:hAnsi="Calibri"/>
                <w:sz w:val="18"/>
                <w:szCs w:val="18"/>
                <w:color w:val="auto"/>
                <w:w w:val="87"/>
              </w:rPr>
              <w:t>$</w:t>
            </w:r>
          </w:p>
        </w:tc>
        <w:tc>
          <w:tcPr>
            <w:tcW w:w="88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2,181</w:t>
            </w:r>
          </w:p>
        </w:tc>
        <w:tc>
          <w:tcPr>
            <w:tcW w:w="240" w:type="dxa"/>
            <w:vAlign w:val="bottom"/>
          </w:tcPr>
          <w:p>
            <w:pPr>
              <w:spacing w:after="0"/>
              <w:rPr>
                <w:sz w:val="18"/>
                <w:szCs w:val="18"/>
                <w:color w:val="auto"/>
              </w:rPr>
            </w:pPr>
          </w:p>
        </w:tc>
        <w:tc>
          <w:tcPr>
            <w:tcW w:w="18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w w:val="87"/>
              </w:rPr>
              <w:t>$</w:t>
            </w:r>
          </w:p>
        </w:tc>
        <w:tc>
          <w:tcPr>
            <w:tcW w:w="98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538</w:t>
            </w:r>
          </w:p>
        </w:tc>
        <w:tc>
          <w:tcPr>
            <w:tcW w:w="24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line="209" w:lineRule="exact"/>
              <w:rPr>
                <w:sz w:val="20"/>
                <w:szCs w:val="20"/>
                <w:color w:val="auto"/>
              </w:rPr>
            </w:pPr>
            <w:r>
              <w:rPr>
                <w:rFonts w:ascii="Calibri" w:cs="Calibri" w:eastAsia="Calibri" w:hAnsi="Calibri"/>
                <w:sz w:val="18"/>
                <w:szCs w:val="18"/>
                <w:color w:val="auto"/>
                <w:w w:val="87"/>
              </w:rPr>
              <w:t>$</w:t>
            </w:r>
          </w:p>
        </w:tc>
        <w:tc>
          <w:tcPr>
            <w:tcW w:w="88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2,384</w:t>
            </w:r>
          </w:p>
        </w:tc>
        <w:tc>
          <w:tcPr>
            <w:tcW w:w="240" w:type="dxa"/>
            <w:vAlign w:val="bottom"/>
          </w:tcPr>
          <w:p>
            <w:pPr>
              <w:spacing w:after="0"/>
              <w:rPr>
                <w:sz w:val="18"/>
                <w:szCs w:val="18"/>
                <w:color w:val="auto"/>
              </w:rPr>
            </w:pPr>
          </w:p>
        </w:tc>
        <w:tc>
          <w:tcPr>
            <w:tcW w:w="18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w w:val="87"/>
              </w:rPr>
              <w:t>$</w:t>
            </w:r>
          </w:p>
        </w:tc>
        <w:tc>
          <w:tcPr>
            <w:tcW w:w="98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579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-1919605</wp:posOffset>
            </wp:positionV>
            <wp:extent cx="6858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-1919605</wp:posOffset>
            </wp:positionV>
            <wp:extent cx="6858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-1919605</wp:posOffset>
            </wp:positionV>
            <wp:extent cx="6858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-1919605</wp:posOffset>
            </wp:positionV>
            <wp:extent cx="6858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-788035</wp:posOffset>
            </wp:positionV>
            <wp:extent cx="6858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-788035</wp:posOffset>
            </wp:positionV>
            <wp:extent cx="6858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-788035</wp:posOffset>
            </wp:positionV>
            <wp:extent cx="6858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-788035</wp:posOffset>
            </wp:positionV>
            <wp:extent cx="6858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-479425</wp:posOffset>
            </wp:positionV>
            <wp:extent cx="6858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-479425</wp:posOffset>
            </wp:positionV>
            <wp:extent cx="6858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-479425</wp:posOffset>
            </wp:positionV>
            <wp:extent cx="6858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-479425</wp:posOffset>
            </wp:positionV>
            <wp:extent cx="6858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-170815</wp:posOffset>
            </wp:positionV>
            <wp:extent cx="6858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-170815</wp:posOffset>
            </wp:positionV>
            <wp:extent cx="6858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-170815</wp:posOffset>
            </wp:positionV>
            <wp:extent cx="6858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ind w:right="180"/>
        <w:spacing w:after="0" w:line="235" w:lineRule="auto"/>
        <w:rPr>
          <w:sz w:val="20"/>
          <w:szCs w:val="20"/>
          <w:color w:val="auto"/>
        </w:rPr>
      </w:pPr>
      <w:r>
        <w:rPr>
          <w:rFonts w:ascii="Calibri" w:cs="Calibri" w:eastAsia="Calibri" w:hAnsi="Calibri"/>
          <w:sz w:val="18"/>
          <w:szCs w:val="18"/>
          <w:color w:val="auto"/>
        </w:rPr>
        <w:t>An actuarial gain of $56 million related to the U.S. Plan's projected beneft obligaton ("PBO") was recognized in 2024, primarily driven by an increase in the discount rate ($83 million), partally ofset by a loss associated with unfavorable demographic experience ($22 million), as well as a loss associated with an increase in the cash balance interest creditng rate ($5 million). In 2023, a PBO actuarial loss of $28 million was recognized for the U.S. Plan primarily driven by a decrease in the discount rate ($40 million), partally ofset by a gain associated with favorable mortality experience ($12 million). Additonally, a prior service cost was recognized as a result of a plan amendment ($29 million) in 2023. The Non-U.S. PBO actuarial gain of $12 million recognized in 2024 was driven by lower infaton assumptons ($8 million), increases in discount rates ($1 million) and favorable demographic experience ($3 million). The Non-U.S. PBO actuarial loss of $12 million recognized in 2023 was driven by decreases in discount rates ($20 million) and unfavorable demographic experience ($1 million), partally ofset by gains associated with lower infaton assumptons ($9 million).</w:t>
      </w:r>
    </w:p>
    <w:p>
      <w:pPr>
        <w:spacing w:after="0" w:line="182"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color w:val="auto"/>
        </w:rPr>
        <w:t>The actual return on plan assets for the U.S. Plan was a loss of $149 million for the year ended December 31, 2024, which was driven by the loss on the sale of KRIP Illiquid Assets of $238 million partally ofset by strong performance of debt securites and hedge funds. The actual return on plan assets for the year ended December 31, 2023 was $170 million, which refected strong performance of debt securites and certain hedge fund investments. The total net realized losses from derivatve investments for 2024 and 2023 were approximately $18 million and $1 million, respectvely. Refer to discussion below on derivatve instruments for further informaton.</w:t>
      </w:r>
    </w:p>
    <w:p>
      <w:pPr>
        <w:spacing w:after="0" w:line="188"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93" w:name="page94"/>
    <w:bookmarkEnd w:id="93"/>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160"/>
        <w:spacing w:after="0" w:line="235" w:lineRule="auto"/>
        <w:rPr>
          <w:sz w:val="20"/>
          <w:szCs w:val="20"/>
          <w:color w:val="auto"/>
        </w:rPr>
      </w:pPr>
      <w:r>
        <w:rPr>
          <w:rFonts w:ascii="Calibri" w:cs="Calibri" w:eastAsia="Calibri" w:hAnsi="Calibri"/>
          <w:sz w:val="18"/>
          <w:szCs w:val="18"/>
          <w:color w:val="auto"/>
        </w:rPr>
        <w:t>The weighted-average assumptons used to determine the beneft obligaton amounts for all major funded and unfunded U.S. and Non-U.S. defned beneft plans were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40" w:type="dxa"/>
            <w:vAlign w:val="bottom"/>
            <w:gridSpan w:val="5"/>
          </w:tcPr>
          <w:p>
            <w:pPr>
              <w:jc w:val="center"/>
              <w:ind w:right="240"/>
              <w:spacing w:after="0"/>
              <w:rPr>
                <w:sz w:val="20"/>
                <w:szCs w:val="20"/>
                <w:color w:val="auto"/>
              </w:rPr>
            </w:pPr>
            <w:r>
              <w:rPr>
                <w:rFonts w:ascii="Calibri" w:cs="Calibri" w:eastAsia="Calibri" w:hAnsi="Calibri"/>
                <w:sz w:val="18"/>
                <w:szCs w:val="18"/>
                <w:b w:val="1"/>
                <w:bCs w:val="1"/>
                <w:color w:val="auto"/>
                <w:w w:val="97"/>
              </w:rPr>
              <w:t>As of December 31,</w:t>
            </w: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gridSpan w:val="3"/>
          </w:tcPr>
          <w:p>
            <w:pPr>
              <w:jc w:val="right"/>
              <w:ind w:right="60"/>
              <w:spacing w:after="0" w:line="216" w:lineRule="exact"/>
              <w:rPr>
                <w:sz w:val="20"/>
                <w:szCs w:val="20"/>
                <w:color w:val="auto"/>
              </w:rPr>
            </w:pPr>
            <w:r>
              <w:rPr>
                <w:rFonts w:ascii="Calibri" w:cs="Calibri" w:eastAsia="Calibri" w:hAnsi="Calibri"/>
                <w:sz w:val="18"/>
                <w:szCs w:val="18"/>
                <w:b w:val="1"/>
                <w:bCs w:val="1"/>
                <w:color w:val="auto"/>
              </w:rPr>
              <w:t>2024</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3"/>
          </w:tcPr>
          <w:p>
            <w:pPr>
              <w:jc w:val="right"/>
              <w:ind w:right="60"/>
              <w:spacing w:after="0" w:line="216" w:lineRule="exact"/>
              <w:rPr>
                <w:sz w:val="20"/>
                <w:szCs w:val="20"/>
                <w:color w:val="auto"/>
              </w:rPr>
            </w:pPr>
            <w:r>
              <w:rPr>
                <w:rFonts w:ascii="Calibri" w:cs="Calibri" w:eastAsia="Calibri" w:hAnsi="Calibri"/>
                <w:sz w:val="18"/>
                <w:szCs w:val="18"/>
                <w:b w:val="1"/>
                <w:bCs w:val="1"/>
                <w:color w:val="auto"/>
              </w:rPr>
              <w:t>2023</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3"/>
          </w:tcPr>
          <w:p>
            <w:pPr>
              <w:jc w:val="right"/>
              <w:ind w:right="60"/>
              <w:spacing w:after="0" w:line="216" w:lineRule="exact"/>
              <w:rPr>
                <w:sz w:val="20"/>
                <w:szCs w:val="20"/>
                <w:color w:val="auto"/>
              </w:rPr>
            </w:pPr>
            <w:r>
              <w:rPr>
                <w:rFonts w:ascii="Calibri" w:cs="Calibri" w:eastAsia="Calibri" w:hAnsi="Calibri"/>
                <w:sz w:val="18"/>
                <w:szCs w:val="18"/>
                <w:b w:val="1"/>
                <w:bCs w:val="1"/>
                <w:color w:val="auto"/>
              </w:rPr>
              <w:t>2022</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37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vMerge w:val="restart"/>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vMerge w:val="restart"/>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700" w:type="dxa"/>
            <w:vAlign w:val="bottom"/>
          </w:tcPr>
          <w:p>
            <w:pPr>
              <w:spacing w:after="0"/>
              <w:rPr>
                <w:sz w:val="18"/>
                <w:szCs w:val="18"/>
                <w:color w:val="auto"/>
              </w:rPr>
            </w:pPr>
          </w:p>
        </w:tc>
        <w:tc>
          <w:tcPr>
            <w:tcW w:w="660" w:type="dxa"/>
            <w:vAlign w:val="bottom"/>
            <w:tcBorders>
              <w:bottom w:val="single" w:sz="8" w:color="auto"/>
            </w:tcBorders>
          </w:tcPr>
          <w:p>
            <w:pPr>
              <w:ind w:left="360"/>
              <w:spacing w:after="0" w:line="209" w:lineRule="exact"/>
              <w:rPr>
                <w:sz w:val="20"/>
                <w:szCs w:val="20"/>
                <w:color w:val="auto"/>
              </w:rPr>
            </w:pPr>
            <w:r>
              <w:rPr>
                <w:rFonts w:ascii="Calibri" w:cs="Calibri" w:eastAsia="Calibri" w:hAnsi="Calibri"/>
                <w:sz w:val="18"/>
                <w:szCs w:val="18"/>
                <w:b w:val="1"/>
                <w:bCs w:val="1"/>
                <w:color w:val="auto"/>
                <w:w w:val="93"/>
              </w:rPr>
              <w:t>U.S.</w:t>
            </w:r>
          </w:p>
        </w:tc>
        <w:tc>
          <w:tcPr>
            <w:tcW w:w="34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90"/>
              <w:spacing w:after="0" w:line="209" w:lineRule="exact"/>
              <w:rPr>
                <w:sz w:val="20"/>
                <w:szCs w:val="20"/>
                <w:color w:val="auto"/>
              </w:rPr>
            </w:pPr>
            <w:r>
              <w:rPr>
                <w:rFonts w:ascii="Calibri" w:cs="Calibri" w:eastAsia="Calibri" w:hAnsi="Calibri"/>
                <w:sz w:val="18"/>
                <w:szCs w:val="18"/>
                <w:b w:val="1"/>
                <w:bCs w:val="1"/>
                <w:color w:val="auto"/>
              </w:rPr>
              <w:t>Non-U.S.</w:t>
            </w:r>
          </w:p>
        </w:tc>
        <w:tc>
          <w:tcPr>
            <w:tcW w:w="260" w:type="dxa"/>
            <w:vAlign w:val="bottom"/>
            <w:vMerge w:val="continue"/>
          </w:tcPr>
          <w:p>
            <w:pPr>
              <w:spacing w:after="0"/>
              <w:rPr>
                <w:sz w:val="18"/>
                <w:szCs w:val="18"/>
                <w:color w:val="auto"/>
              </w:rPr>
            </w:pPr>
          </w:p>
        </w:tc>
        <w:tc>
          <w:tcPr>
            <w:tcW w:w="1000" w:type="dxa"/>
            <w:vAlign w:val="bottom"/>
            <w:tcBorders>
              <w:bottom w:val="single" w:sz="8" w:color="auto"/>
            </w:tcBorders>
          </w:tcPr>
          <w:p>
            <w:pPr>
              <w:ind w:left="360"/>
              <w:spacing w:after="0" w:line="209" w:lineRule="exact"/>
              <w:rPr>
                <w:sz w:val="20"/>
                <w:szCs w:val="20"/>
                <w:color w:val="auto"/>
              </w:rPr>
            </w:pPr>
            <w:r>
              <w:rPr>
                <w:rFonts w:ascii="Calibri" w:cs="Calibri" w:eastAsia="Calibri" w:hAnsi="Calibri"/>
                <w:sz w:val="18"/>
                <w:szCs w:val="18"/>
                <w:b w:val="1"/>
                <w:bCs w:val="1"/>
                <w:color w:val="auto"/>
              </w:rPr>
              <w:t>U.S.</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90"/>
              <w:spacing w:after="0" w:line="209" w:lineRule="exact"/>
              <w:rPr>
                <w:sz w:val="20"/>
                <w:szCs w:val="20"/>
                <w:color w:val="auto"/>
              </w:rPr>
            </w:pPr>
            <w:r>
              <w:rPr>
                <w:rFonts w:ascii="Calibri" w:cs="Calibri" w:eastAsia="Calibri" w:hAnsi="Calibri"/>
                <w:sz w:val="18"/>
                <w:szCs w:val="18"/>
                <w:b w:val="1"/>
                <w:bCs w:val="1"/>
                <w:color w:val="auto"/>
              </w:rPr>
              <w:t>Non-U.S.</w:t>
            </w:r>
          </w:p>
        </w:tc>
        <w:tc>
          <w:tcPr>
            <w:tcW w:w="260" w:type="dxa"/>
            <w:vAlign w:val="bottom"/>
            <w:vMerge w:val="continue"/>
          </w:tcPr>
          <w:p>
            <w:pPr>
              <w:spacing w:after="0"/>
              <w:rPr>
                <w:sz w:val="18"/>
                <w:szCs w:val="18"/>
                <w:color w:val="auto"/>
              </w:rPr>
            </w:pPr>
          </w:p>
        </w:tc>
        <w:tc>
          <w:tcPr>
            <w:tcW w:w="1000" w:type="dxa"/>
            <w:vAlign w:val="bottom"/>
            <w:tcBorders>
              <w:bottom w:val="single" w:sz="8" w:color="auto"/>
            </w:tcBorders>
          </w:tcPr>
          <w:p>
            <w:pPr>
              <w:ind w:left="360"/>
              <w:spacing w:after="0" w:line="209" w:lineRule="exact"/>
              <w:rPr>
                <w:sz w:val="20"/>
                <w:szCs w:val="20"/>
                <w:color w:val="auto"/>
              </w:rPr>
            </w:pPr>
            <w:r>
              <w:rPr>
                <w:rFonts w:ascii="Calibri" w:cs="Calibri" w:eastAsia="Calibri" w:hAnsi="Calibri"/>
                <w:sz w:val="18"/>
                <w:szCs w:val="18"/>
                <w:b w:val="1"/>
                <w:bCs w:val="1"/>
                <w:color w:val="auto"/>
              </w:rPr>
              <w:t>U.S.</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90"/>
              <w:spacing w:after="0" w:line="209" w:lineRule="exact"/>
              <w:rPr>
                <w:sz w:val="20"/>
                <w:szCs w:val="20"/>
                <w:color w:val="auto"/>
              </w:rPr>
            </w:pPr>
            <w:r>
              <w:rPr>
                <w:rFonts w:ascii="Calibri" w:cs="Calibri" w:eastAsia="Calibri" w:hAnsi="Calibri"/>
                <w:sz w:val="18"/>
                <w:szCs w:val="18"/>
                <w:b w:val="1"/>
                <w:bCs w:val="1"/>
                <w:color w:val="auto"/>
              </w:rPr>
              <w:t>Non-U.S.</w:t>
            </w: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60" w:type="dxa"/>
            <w:vAlign w:val="bottom"/>
            <w:gridSpan w:val="2"/>
            <w:shd w:val="clear" w:color="auto" w:fill="CFF0FC"/>
          </w:tcPr>
          <w:p>
            <w:pPr>
              <w:ind w:left="20"/>
              <w:spacing w:after="0" w:line="210" w:lineRule="exact"/>
              <w:rPr>
                <w:sz w:val="20"/>
                <w:szCs w:val="20"/>
                <w:color w:val="auto"/>
              </w:rPr>
            </w:pPr>
            <w:r>
              <w:rPr>
                <w:rFonts w:ascii="Calibri" w:cs="Calibri" w:eastAsia="Calibri" w:hAnsi="Calibri"/>
                <w:sz w:val="18"/>
                <w:szCs w:val="18"/>
                <w:color w:val="auto"/>
              </w:rPr>
              <w:t>Discount rate</w:t>
            </w:r>
          </w:p>
        </w:tc>
        <w:tc>
          <w:tcPr>
            <w:tcW w:w="620" w:type="dxa"/>
            <w:vAlign w:val="bottom"/>
            <w:gridSpan w:val="2"/>
            <w:shd w:val="clear" w:color="auto" w:fill="CFF0FC"/>
          </w:tcPr>
          <w:p>
            <w:pPr>
              <w:jc w:val="right"/>
              <w:ind w:right="140"/>
              <w:spacing w:after="0" w:line="210" w:lineRule="exact"/>
              <w:rPr>
                <w:sz w:val="20"/>
                <w:szCs w:val="20"/>
                <w:color w:val="auto"/>
              </w:rPr>
            </w:pPr>
            <w:r>
              <w:rPr>
                <w:rFonts w:ascii="Calibri" w:cs="Calibri" w:eastAsia="Calibri" w:hAnsi="Calibri"/>
                <w:sz w:val="18"/>
                <w:szCs w:val="18"/>
                <w:color w:val="auto"/>
                <w:w w:val="94"/>
              </w:rPr>
              <w:t>5.45 %</w:t>
            </w:r>
          </w:p>
        </w:tc>
        <w:tc>
          <w:tcPr>
            <w:tcW w:w="1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20"/>
              <w:spacing w:after="0" w:line="210" w:lineRule="exact"/>
              <w:rPr>
                <w:sz w:val="20"/>
                <w:szCs w:val="20"/>
                <w:color w:val="auto"/>
              </w:rPr>
            </w:pPr>
            <w:r>
              <w:rPr>
                <w:rFonts w:ascii="Calibri" w:cs="Calibri" w:eastAsia="Calibri" w:hAnsi="Calibri"/>
                <w:sz w:val="18"/>
                <w:szCs w:val="18"/>
                <w:color w:val="auto"/>
              </w:rPr>
              <w:t>3.49 %</w:t>
            </w:r>
          </w:p>
        </w:tc>
        <w:tc>
          <w:tcPr>
            <w:tcW w:w="1280" w:type="dxa"/>
            <w:vAlign w:val="bottom"/>
            <w:gridSpan w:val="2"/>
            <w:shd w:val="clear" w:color="auto" w:fill="CFF0FC"/>
          </w:tcPr>
          <w:p>
            <w:pPr>
              <w:jc w:val="right"/>
              <w:ind w:right="140"/>
              <w:spacing w:after="0" w:line="210" w:lineRule="exact"/>
              <w:rPr>
                <w:sz w:val="20"/>
                <w:szCs w:val="20"/>
                <w:color w:val="auto"/>
              </w:rPr>
            </w:pPr>
            <w:r>
              <w:rPr>
                <w:rFonts w:ascii="Calibri" w:cs="Calibri" w:eastAsia="Calibri" w:hAnsi="Calibri"/>
                <w:sz w:val="18"/>
                <w:szCs w:val="18"/>
                <w:color w:val="auto"/>
              </w:rPr>
              <w:t>4.92 %</w:t>
            </w:r>
          </w:p>
        </w:tc>
        <w:tc>
          <w:tcPr>
            <w:tcW w:w="1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20"/>
              <w:spacing w:after="0" w:line="210" w:lineRule="exact"/>
              <w:rPr>
                <w:sz w:val="20"/>
                <w:szCs w:val="20"/>
                <w:color w:val="auto"/>
              </w:rPr>
            </w:pPr>
            <w:r>
              <w:rPr>
                <w:rFonts w:ascii="Calibri" w:cs="Calibri" w:eastAsia="Calibri" w:hAnsi="Calibri"/>
                <w:sz w:val="18"/>
                <w:szCs w:val="18"/>
                <w:color w:val="auto"/>
              </w:rPr>
              <w:t>3.47 %</w:t>
            </w:r>
          </w:p>
        </w:tc>
        <w:tc>
          <w:tcPr>
            <w:tcW w:w="1280" w:type="dxa"/>
            <w:vAlign w:val="bottom"/>
            <w:gridSpan w:val="2"/>
            <w:shd w:val="clear" w:color="auto" w:fill="CFF0FC"/>
          </w:tcPr>
          <w:p>
            <w:pPr>
              <w:jc w:val="right"/>
              <w:ind w:right="140"/>
              <w:spacing w:after="0" w:line="210" w:lineRule="exact"/>
              <w:rPr>
                <w:sz w:val="20"/>
                <w:szCs w:val="20"/>
                <w:color w:val="auto"/>
              </w:rPr>
            </w:pPr>
            <w:r>
              <w:rPr>
                <w:rFonts w:ascii="Calibri" w:cs="Calibri" w:eastAsia="Calibri" w:hAnsi="Calibri"/>
                <w:sz w:val="18"/>
                <w:szCs w:val="18"/>
                <w:color w:val="auto"/>
              </w:rPr>
              <w:t>5.13 %</w:t>
            </w:r>
          </w:p>
        </w:tc>
        <w:tc>
          <w:tcPr>
            <w:tcW w:w="1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line="210" w:lineRule="exact"/>
              <w:rPr>
                <w:sz w:val="20"/>
                <w:szCs w:val="20"/>
                <w:color w:val="auto"/>
              </w:rPr>
            </w:pPr>
            <w:r>
              <w:rPr>
                <w:rFonts w:ascii="Calibri" w:cs="Calibri" w:eastAsia="Calibri" w:hAnsi="Calibri"/>
                <w:sz w:val="18"/>
                <w:szCs w:val="18"/>
                <w:color w:val="auto"/>
              </w:rPr>
              <w:t>3.93 %</w:t>
            </w:r>
          </w:p>
        </w:tc>
        <w:tc>
          <w:tcPr>
            <w:tcW w:w="0" w:type="dxa"/>
            <w:vAlign w:val="bottom"/>
          </w:tcPr>
          <w:p>
            <w:pPr>
              <w:spacing w:after="0"/>
              <w:rPr>
                <w:sz w:val="1"/>
                <w:szCs w:val="1"/>
                <w:color w:val="auto"/>
              </w:rPr>
            </w:pPr>
          </w:p>
        </w:tc>
      </w:tr>
      <w:tr>
        <w:trPr>
          <w:trHeight w:val="215"/>
        </w:trPr>
        <w:tc>
          <w:tcPr>
            <w:tcW w:w="4360" w:type="dxa"/>
            <w:vAlign w:val="bottom"/>
            <w:gridSpan w:val="2"/>
          </w:tcPr>
          <w:p>
            <w:pPr>
              <w:ind w:left="20"/>
              <w:spacing w:after="0" w:line="215" w:lineRule="exact"/>
              <w:rPr>
                <w:sz w:val="20"/>
                <w:szCs w:val="20"/>
                <w:color w:val="auto"/>
              </w:rPr>
            </w:pPr>
            <w:r>
              <w:rPr>
                <w:rFonts w:ascii="Calibri" w:cs="Calibri" w:eastAsia="Calibri" w:hAnsi="Calibri"/>
                <w:sz w:val="18"/>
                <w:szCs w:val="18"/>
                <w:color w:val="auto"/>
              </w:rPr>
              <w:t>Salary increase rate</w:t>
            </w:r>
          </w:p>
        </w:tc>
        <w:tc>
          <w:tcPr>
            <w:tcW w:w="62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w w:val="94"/>
              </w:rPr>
              <w:t>1.00 %</w:t>
            </w:r>
          </w:p>
        </w:tc>
        <w:tc>
          <w:tcPr>
            <w:tcW w:w="100" w:type="dxa"/>
            <w:vAlign w:val="bottom"/>
          </w:tcPr>
          <w:p>
            <w:pPr>
              <w:spacing w:after="0"/>
              <w:rPr>
                <w:sz w:val="18"/>
                <w:szCs w:val="18"/>
                <w:color w:val="auto"/>
              </w:rPr>
            </w:pPr>
          </w:p>
        </w:tc>
        <w:tc>
          <w:tcPr>
            <w:tcW w:w="116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2.29 %</w:t>
            </w:r>
          </w:p>
        </w:tc>
        <w:tc>
          <w:tcPr>
            <w:tcW w:w="128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1.50 %</w:t>
            </w:r>
          </w:p>
        </w:tc>
        <w:tc>
          <w:tcPr>
            <w:tcW w:w="100" w:type="dxa"/>
            <w:vAlign w:val="bottom"/>
          </w:tcPr>
          <w:p>
            <w:pPr>
              <w:spacing w:after="0"/>
              <w:rPr>
                <w:sz w:val="18"/>
                <w:szCs w:val="18"/>
                <w:color w:val="auto"/>
              </w:rPr>
            </w:pPr>
          </w:p>
        </w:tc>
        <w:tc>
          <w:tcPr>
            <w:tcW w:w="116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2.06 %</w:t>
            </w:r>
          </w:p>
        </w:tc>
        <w:tc>
          <w:tcPr>
            <w:tcW w:w="128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1.00 %</w:t>
            </w:r>
          </w:p>
        </w:tc>
        <w:tc>
          <w:tcPr>
            <w:tcW w:w="120" w:type="dxa"/>
            <w:vAlign w:val="bottom"/>
          </w:tcPr>
          <w:p>
            <w:pPr>
              <w:spacing w:after="0"/>
              <w:rPr>
                <w:sz w:val="18"/>
                <w:szCs w:val="18"/>
                <w:color w:val="auto"/>
              </w:rPr>
            </w:pPr>
          </w:p>
        </w:tc>
        <w:tc>
          <w:tcPr>
            <w:tcW w:w="106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2.71 %</w:t>
            </w:r>
          </w:p>
        </w:tc>
        <w:tc>
          <w:tcPr>
            <w:tcW w:w="0" w:type="dxa"/>
            <w:vAlign w:val="bottom"/>
          </w:tcPr>
          <w:p>
            <w:pPr>
              <w:spacing w:after="0"/>
              <w:rPr>
                <w:sz w:val="1"/>
                <w:szCs w:val="1"/>
                <w:color w:val="auto"/>
              </w:rPr>
            </w:pPr>
          </w:p>
        </w:tc>
      </w:tr>
      <w:tr>
        <w:trPr>
          <w:trHeight w:val="217"/>
        </w:trPr>
        <w:tc>
          <w:tcPr>
            <w:tcW w:w="4360" w:type="dxa"/>
            <w:vAlign w:val="bottom"/>
            <w:gridSpan w:val="2"/>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Interest creditng rate for cash balance plan</w:t>
            </w:r>
          </w:p>
        </w:tc>
        <w:tc>
          <w:tcPr>
            <w:tcW w:w="620" w:type="dxa"/>
            <w:vAlign w:val="bottom"/>
            <w:gridSpan w:val="2"/>
            <w:shd w:val="clear" w:color="auto" w:fill="CFF0FC"/>
          </w:tcPr>
          <w:p>
            <w:pPr>
              <w:jc w:val="right"/>
              <w:ind w:right="140"/>
              <w:spacing w:after="0" w:line="216" w:lineRule="exact"/>
              <w:rPr>
                <w:sz w:val="20"/>
                <w:szCs w:val="20"/>
                <w:color w:val="auto"/>
              </w:rPr>
            </w:pPr>
            <w:r>
              <w:rPr>
                <w:rFonts w:ascii="Calibri" w:cs="Calibri" w:eastAsia="Calibri" w:hAnsi="Calibri"/>
                <w:sz w:val="18"/>
                <w:szCs w:val="18"/>
                <w:color w:val="auto"/>
                <w:w w:val="94"/>
              </w:rPr>
              <w:t>4.75 %</w:t>
            </w:r>
          </w:p>
        </w:tc>
        <w:tc>
          <w:tcPr>
            <w:tcW w:w="1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80"/>
              <w:spacing w:after="0" w:line="216" w:lineRule="exact"/>
              <w:rPr>
                <w:sz w:val="20"/>
                <w:szCs w:val="20"/>
                <w:color w:val="auto"/>
              </w:rPr>
            </w:pPr>
            <w:r>
              <w:rPr>
                <w:rFonts w:ascii="Calibri" w:cs="Calibri" w:eastAsia="Calibri" w:hAnsi="Calibri"/>
                <w:sz w:val="18"/>
                <w:szCs w:val="18"/>
                <w:color w:val="auto"/>
              </w:rPr>
              <w:t>NA</w:t>
            </w:r>
          </w:p>
        </w:tc>
        <w:tc>
          <w:tcPr>
            <w:tcW w:w="1280" w:type="dxa"/>
            <w:vAlign w:val="bottom"/>
            <w:gridSpan w:val="2"/>
            <w:shd w:val="clear" w:color="auto" w:fill="CFF0FC"/>
          </w:tcPr>
          <w:p>
            <w:pPr>
              <w:jc w:val="right"/>
              <w:ind w:right="140"/>
              <w:spacing w:after="0" w:line="216" w:lineRule="exact"/>
              <w:rPr>
                <w:sz w:val="20"/>
                <w:szCs w:val="20"/>
                <w:color w:val="auto"/>
              </w:rPr>
            </w:pPr>
            <w:r>
              <w:rPr>
                <w:rFonts w:ascii="Calibri" w:cs="Calibri" w:eastAsia="Calibri" w:hAnsi="Calibri"/>
                <w:sz w:val="18"/>
                <w:szCs w:val="18"/>
                <w:color w:val="auto"/>
              </w:rPr>
              <w:t>4.00 %</w:t>
            </w:r>
          </w:p>
        </w:tc>
        <w:tc>
          <w:tcPr>
            <w:tcW w:w="1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80"/>
              <w:spacing w:after="0" w:line="216" w:lineRule="exact"/>
              <w:rPr>
                <w:sz w:val="20"/>
                <w:szCs w:val="20"/>
                <w:color w:val="auto"/>
              </w:rPr>
            </w:pPr>
            <w:r>
              <w:rPr>
                <w:rFonts w:ascii="Calibri" w:cs="Calibri" w:eastAsia="Calibri" w:hAnsi="Calibri"/>
                <w:sz w:val="18"/>
                <w:szCs w:val="18"/>
                <w:color w:val="auto"/>
              </w:rPr>
              <w:t>NA</w:t>
            </w:r>
          </w:p>
        </w:tc>
        <w:tc>
          <w:tcPr>
            <w:tcW w:w="1280" w:type="dxa"/>
            <w:vAlign w:val="bottom"/>
            <w:gridSpan w:val="2"/>
            <w:shd w:val="clear" w:color="auto" w:fill="CFF0FC"/>
          </w:tcPr>
          <w:p>
            <w:pPr>
              <w:jc w:val="right"/>
              <w:ind w:right="140"/>
              <w:spacing w:after="0" w:line="216" w:lineRule="exact"/>
              <w:rPr>
                <w:sz w:val="20"/>
                <w:szCs w:val="20"/>
                <w:color w:val="auto"/>
              </w:rPr>
            </w:pPr>
            <w:r>
              <w:rPr>
                <w:rFonts w:ascii="Calibri" w:cs="Calibri" w:eastAsia="Calibri" w:hAnsi="Calibri"/>
                <w:sz w:val="18"/>
                <w:szCs w:val="18"/>
                <w:color w:val="auto"/>
              </w:rPr>
              <w:t>4.00 %</w:t>
            </w:r>
          </w:p>
        </w:tc>
        <w:tc>
          <w:tcPr>
            <w:tcW w:w="1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80"/>
              <w:spacing w:after="0" w:line="216" w:lineRule="exact"/>
              <w:rPr>
                <w:sz w:val="20"/>
                <w:szCs w:val="20"/>
                <w:color w:val="auto"/>
              </w:rPr>
            </w:pPr>
            <w:r>
              <w:rPr>
                <w:rFonts w:ascii="Calibri" w:cs="Calibri" w:eastAsia="Calibri" w:hAnsi="Calibri"/>
                <w:sz w:val="18"/>
                <w:szCs w:val="18"/>
                <w:color w:val="auto"/>
              </w:rPr>
              <w:t>NA</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right="260"/>
        <w:spacing w:after="0" w:line="235" w:lineRule="auto"/>
        <w:rPr>
          <w:sz w:val="20"/>
          <w:szCs w:val="20"/>
          <w:color w:val="auto"/>
        </w:rPr>
      </w:pPr>
      <w:r>
        <w:rPr>
          <w:rFonts w:ascii="Calibri" w:cs="Calibri" w:eastAsia="Calibri" w:hAnsi="Calibri"/>
          <w:sz w:val="18"/>
          <w:szCs w:val="18"/>
          <w:color w:val="auto"/>
        </w:rPr>
        <w:t>Amounts recognized in the Consolidated Statement of Financial Positon for all major funded and unfunded U.S. and Non-U.S. defned beneft plans are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360" w:type="dxa"/>
            <w:vAlign w:val="bottom"/>
            <w:gridSpan w:val="4"/>
          </w:tcPr>
          <w:p>
            <w:pPr>
              <w:jc w:val="right"/>
              <w:ind w:right="470"/>
              <w:spacing w:after="0"/>
              <w:rPr>
                <w:sz w:val="20"/>
                <w:szCs w:val="20"/>
                <w:color w:val="auto"/>
              </w:rPr>
            </w:pPr>
            <w:r>
              <w:rPr>
                <w:rFonts w:ascii="Calibri" w:cs="Calibri" w:eastAsia="Calibri" w:hAnsi="Calibri"/>
                <w:sz w:val="18"/>
                <w:szCs w:val="18"/>
                <w:b w:val="1"/>
                <w:bCs w:val="1"/>
                <w:color w:val="auto"/>
              </w:rPr>
              <w:t>As of December 31,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3"/>
          </w:tcPr>
          <w:p>
            <w:pPr>
              <w:jc w:val="right"/>
              <w:ind w:right="30"/>
              <w:spacing w:after="0" w:line="216" w:lineRule="exact"/>
              <w:rPr>
                <w:sz w:val="20"/>
                <w:szCs w:val="20"/>
                <w:color w:val="auto"/>
              </w:rPr>
            </w:pPr>
            <w:r>
              <w:rPr>
                <w:rFonts w:ascii="Calibri" w:cs="Calibri" w:eastAsia="Calibri" w:hAnsi="Calibri"/>
                <w:sz w:val="18"/>
                <w:szCs w:val="18"/>
                <w:b w:val="1"/>
                <w:bCs w:val="1"/>
                <w:color w:val="auto"/>
              </w:rPr>
              <w:t>2024</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3"/>
          </w:tcPr>
          <w:p>
            <w:pPr>
              <w:jc w:val="right"/>
              <w:ind w:right="30"/>
              <w:spacing w:after="0" w:line="216" w:lineRule="exact"/>
              <w:rPr>
                <w:sz w:val="20"/>
                <w:szCs w:val="20"/>
                <w:color w:val="auto"/>
              </w:rPr>
            </w:pPr>
            <w:r>
              <w:rPr>
                <w:rFonts w:ascii="Calibri" w:cs="Calibri" w:eastAsia="Calibri" w:hAnsi="Calibri"/>
                <w:sz w:val="18"/>
                <w:szCs w:val="18"/>
                <w:b w:val="1"/>
                <w:bCs w:val="1"/>
                <w:color w:val="auto"/>
              </w:rPr>
              <w:t>2023</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58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vMerge w:val="restart"/>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820" w:type="dxa"/>
            <w:vAlign w:val="bottom"/>
          </w:tcPr>
          <w:p>
            <w:pPr>
              <w:ind w:left="20"/>
              <w:spacing w:after="0"/>
              <w:rPr>
                <w:sz w:val="20"/>
                <w:szCs w:val="20"/>
                <w:color w:val="auto"/>
              </w:rPr>
            </w:pPr>
            <w:r>
              <w:rPr>
                <w:rFonts w:ascii="Calibri" w:cs="Calibri" w:eastAsia="Calibri" w:hAnsi="Calibri"/>
                <w:sz w:val="14"/>
                <w:szCs w:val="14"/>
                <w:color w:val="auto"/>
              </w:rPr>
              <w:t>(in millions)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30"/>
              <w:spacing w:after="0" w:line="209" w:lineRule="exact"/>
              <w:rPr>
                <w:sz w:val="20"/>
                <w:szCs w:val="20"/>
                <w:color w:val="auto"/>
              </w:rPr>
            </w:pPr>
            <w:r>
              <w:rPr>
                <w:rFonts w:ascii="Calibri" w:cs="Calibri" w:eastAsia="Calibri" w:hAnsi="Calibri"/>
                <w:sz w:val="18"/>
                <w:szCs w:val="18"/>
                <w:b w:val="1"/>
                <w:bCs w:val="1"/>
                <w:color w:val="auto"/>
              </w:rPr>
              <w:t>U.S.</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70"/>
              <w:spacing w:after="0" w:line="209" w:lineRule="exact"/>
              <w:rPr>
                <w:sz w:val="20"/>
                <w:szCs w:val="20"/>
                <w:color w:val="auto"/>
              </w:rPr>
            </w:pPr>
            <w:r>
              <w:rPr>
                <w:rFonts w:ascii="Calibri" w:cs="Calibri" w:eastAsia="Calibri" w:hAnsi="Calibri"/>
                <w:sz w:val="18"/>
                <w:szCs w:val="18"/>
                <w:b w:val="1"/>
                <w:bCs w:val="1"/>
                <w:color w:val="auto"/>
              </w:rPr>
              <w:t>Non-U.S.</w:t>
            </w:r>
          </w:p>
        </w:tc>
        <w:tc>
          <w:tcPr>
            <w:tcW w:w="240" w:type="dxa"/>
            <w:vAlign w:val="bottom"/>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30"/>
              <w:spacing w:after="0" w:line="209" w:lineRule="exact"/>
              <w:rPr>
                <w:sz w:val="20"/>
                <w:szCs w:val="20"/>
                <w:color w:val="auto"/>
              </w:rPr>
            </w:pPr>
            <w:r>
              <w:rPr>
                <w:rFonts w:ascii="Calibri" w:cs="Calibri" w:eastAsia="Calibri" w:hAnsi="Calibri"/>
                <w:sz w:val="18"/>
                <w:szCs w:val="18"/>
                <w:b w:val="1"/>
                <w:bCs w:val="1"/>
                <w:color w:val="auto"/>
              </w:rPr>
              <w:t>U.S.</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70"/>
              <w:spacing w:after="0" w:line="209" w:lineRule="exact"/>
              <w:rPr>
                <w:sz w:val="20"/>
                <w:szCs w:val="20"/>
                <w:color w:val="auto"/>
              </w:rPr>
            </w:pPr>
            <w:r>
              <w:rPr>
                <w:rFonts w:ascii="Calibri" w:cs="Calibri" w:eastAsia="Calibri" w:hAnsi="Calibri"/>
                <w:sz w:val="18"/>
                <w:szCs w:val="18"/>
                <w:b w:val="1"/>
                <w:bCs w:val="1"/>
                <w:color w:val="auto"/>
              </w:rPr>
              <w:t>Non-U.S.</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20" w:type="dxa"/>
            <w:vAlign w:val="bottom"/>
            <w:shd w:val="clear" w:color="auto" w:fill="CFF0FC"/>
          </w:tcPr>
          <w:p>
            <w:pPr>
              <w:ind w:left="200"/>
              <w:spacing w:after="0" w:line="210" w:lineRule="exact"/>
              <w:rPr>
                <w:sz w:val="20"/>
                <w:szCs w:val="20"/>
                <w:color w:val="auto"/>
              </w:rPr>
            </w:pPr>
            <w:r>
              <w:rPr>
                <w:rFonts w:ascii="Calibri" w:cs="Calibri" w:eastAsia="Calibri" w:hAnsi="Calibri"/>
                <w:sz w:val="18"/>
                <w:szCs w:val="18"/>
                <w:color w:val="auto"/>
              </w:rPr>
              <w:t>Pension and other postretrement assets</w:t>
            </w:r>
          </w:p>
        </w:tc>
        <w:tc>
          <w:tcPr>
            <w:tcW w:w="260" w:type="dxa"/>
            <w:vAlign w:val="bottom"/>
            <w:shd w:val="clear" w:color="auto" w:fill="CFF0FC"/>
          </w:tcPr>
          <w:p>
            <w:pPr>
              <w:jc w:val="right"/>
              <w:ind w:right="70"/>
              <w:spacing w:after="0" w:line="210" w:lineRule="exact"/>
              <w:rPr>
                <w:sz w:val="20"/>
                <w:szCs w:val="20"/>
                <w:color w:val="auto"/>
              </w:rPr>
            </w:pPr>
            <w:r>
              <w:rPr>
                <w:rFonts w:ascii="Calibri" w:cs="Calibri" w:eastAsia="Calibri" w:hAnsi="Calibri"/>
                <w:sz w:val="18"/>
                <w:szCs w:val="18"/>
                <w:color w:val="auto"/>
                <w:w w:val="87"/>
              </w:rPr>
              <w:t>$</w:t>
            </w:r>
          </w:p>
        </w:tc>
        <w:tc>
          <w:tcPr>
            <w:tcW w:w="88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944</w:t>
            </w:r>
          </w:p>
        </w:tc>
        <w:tc>
          <w:tcPr>
            <w:tcW w:w="420" w:type="dxa"/>
            <w:vAlign w:val="bottom"/>
            <w:gridSpan w:val="2"/>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w:t>
            </w:r>
          </w:p>
        </w:tc>
        <w:tc>
          <w:tcPr>
            <w:tcW w:w="98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32</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line="210" w:lineRule="exact"/>
              <w:rPr>
                <w:sz w:val="20"/>
                <w:szCs w:val="20"/>
                <w:color w:val="auto"/>
              </w:rPr>
            </w:pPr>
            <w:r>
              <w:rPr>
                <w:rFonts w:ascii="Calibri" w:cs="Calibri" w:eastAsia="Calibri" w:hAnsi="Calibri"/>
                <w:sz w:val="18"/>
                <w:szCs w:val="18"/>
                <w:color w:val="auto"/>
                <w:w w:val="87"/>
              </w:rPr>
              <w:t>$</w:t>
            </w:r>
          </w:p>
        </w:tc>
        <w:tc>
          <w:tcPr>
            <w:tcW w:w="88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1,160</w:t>
            </w:r>
          </w:p>
        </w:tc>
        <w:tc>
          <w:tcPr>
            <w:tcW w:w="420" w:type="dxa"/>
            <w:vAlign w:val="bottom"/>
            <w:gridSpan w:val="2"/>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w:t>
            </w:r>
          </w:p>
        </w:tc>
        <w:tc>
          <w:tcPr>
            <w:tcW w:w="98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42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20" w:type="dxa"/>
            <w:vAlign w:val="bottom"/>
          </w:tcPr>
          <w:p>
            <w:pPr>
              <w:ind w:left="200"/>
              <w:spacing w:after="0" w:line="215" w:lineRule="exact"/>
              <w:rPr>
                <w:sz w:val="20"/>
                <w:szCs w:val="20"/>
                <w:color w:val="auto"/>
              </w:rPr>
            </w:pPr>
            <w:r>
              <w:rPr>
                <w:rFonts w:ascii="Calibri" w:cs="Calibri" w:eastAsia="Calibri" w:hAnsi="Calibri"/>
                <w:sz w:val="18"/>
                <w:szCs w:val="18"/>
                <w:color w:val="auto"/>
              </w:rPr>
              <w:t>Pension and other postretrement liabilites</w:t>
            </w:r>
          </w:p>
        </w:tc>
        <w:tc>
          <w:tcPr>
            <w:tcW w:w="260" w:type="dxa"/>
            <w:vAlign w:val="bottom"/>
          </w:tcPr>
          <w:p>
            <w:pPr>
              <w:spacing w:after="0"/>
              <w:rPr>
                <w:sz w:val="18"/>
                <w:szCs w:val="18"/>
                <w:color w:val="auto"/>
              </w:rPr>
            </w:pPr>
          </w:p>
        </w:tc>
        <w:tc>
          <w:tcPr>
            <w:tcW w:w="88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90"/>
              <w:spacing w:after="0" w:line="215" w:lineRule="exact"/>
              <w:rPr>
                <w:sz w:val="20"/>
                <w:szCs w:val="20"/>
                <w:color w:val="auto"/>
              </w:rPr>
            </w:pPr>
            <w:r>
              <w:rPr>
                <w:rFonts w:ascii="Calibri" w:cs="Calibri" w:eastAsia="Calibri" w:hAnsi="Calibri"/>
                <w:sz w:val="18"/>
                <w:szCs w:val="18"/>
                <w:color w:val="auto"/>
              </w:rPr>
              <w:t>(84 )</w:t>
            </w:r>
          </w:p>
        </w:tc>
        <w:tc>
          <w:tcPr>
            <w:tcW w:w="260" w:type="dxa"/>
            <w:vAlign w:val="bottom"/>
          </w:tcPr>
          <w:p>
            <w:pPr>
              <w:spacing w:after="0"/>
              <w:rPr>
                <w:sz w:val="18"/>
                <w:szCs w:val="18"/>
                <w:color w:val="auto"/>
              </w:rPr>
            </w:pPr>
          </w:p>
        </w:tc>
        <w:tc>
          <w:tcPr>
            <w:tcW w:w="88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(102 )</w:t>
            </w:r>
          </w:p>
        </w:tc>
        <w:tc>
          <w:tcPr>
            <w:tcW w:w="0" w:type="dxa"/>
            <w:vAlign w:val="bottom"/>
          </w:tcPr>
          <w:p>
            <w:pPr>
              <w:spacing w:after="0"/>
              <w:rPr>
                <w:sz w:val="1"/>
                <w:szCs w:val="1"/>
                <w:color w:val="auto"/>
              </w:rPr>
            </w:pPr>
          </w:p>
        </w:tc>
      </w:tr>
      <w:tr>
        <w:trPr>
          <w:trHeight w:val="250"/>
        </w:trPr>
        <w:tc>
          <w:tcPr>
            <w:tcW w:w="5820" w:type="dxa"/>
            <w:vAlign w:val="bottom"/>
            <w:tcBorders>
              <w:top w:val="single" w:sz="8" w:color="CFF0FC"/>
              <w:bottom w:val="single" w:sz="8" w:color="CFF0FC"/>
            </w:tcBorders>
            <w:shd w:val="clear" w:color="auto" w:fill="CFF0FC"/>
          </w:tcPr>
          <w:p>
            <w:pPr>
              <w:ind w:left="20"/>
              <w:spacing w:after="0" w:line="210" w:lineRule="exact"/>
              <w:rPr>
                <w:sz w:val="20"/>
                <w:szCs w:val="20"/>
                <w:color w:val="auto"/>
              </w:rPr>
            </w:pPr>
            <w:r>
              <w:rPr>
                <w:rFonts w:ascii="Calibri" w:cs="Calibri" w:eastAsia="Calibri" w:hAnsi="Calibri"/>
                <w:sz w:val="18"/>
                <w:szCs w:val="18"/>
                <w:color w:val="auto"/>
              </w:rPr>
              <w:t>Net amount recognized</w:t>
            </w:r>
          </w:p>
        </w:tc>
        <w:tc>
          <w:tcPr>
            <w:tcW w:w="260" w:type="dxa"/>
            <w:vAlign w:val="bottom"/>
            <w:tcBorders>
              <w:top w:val="single" w:sz="8" w:color="auto"/>
              <w:bottom w:val="single" w:sz="8" w:color="auto"/>
            </w:tcBorders>
            <w:shd w:val="clear" w:color="auto" w:fill="CFF0FC"/>
          </w:tcPr>
          <w:p>
            <w:pPr>
              <w:jc w:val="right"/>
              <w:ind w:right="70"/>
              <w:spacing w:after="0" w:line="210" w:lineRule="exact"/>
              <w:rPr>
                <w:sz w:val="20"/>
                <w:szCs w:val="20"/>
                <w:color w:val="auto"/>
              </w:rPr>
            </w:pPr>
            <w:r>
              <w:rPr>
                <w:rFonts w:ascii="Calibri" w:cs="Calibri" w:eastAsia="Calibri" w:hAnsi="Calibri"/>
                <w:sz w:val="18"/>
                <w:szCs w:val="18"/>
                <w:color w:val="auto"/>
                <w:w w:val="87"/>
              </w:rPr>
              <w:t>$</w:t>
            </w:r>
          </w:p>
        </w:tc>
        <w:tc>
          <w:tcPr>
            <w:tcW w:w="880" w:type="dxa"/>
            <w:vAlign w:val="bottom"/>
            <w:tcBorders>
              <w:top w:val="single" w:sz="8" w:color="auto"/>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944</w:t>
            </w:r>
          </w:p>
        </w:tc>
        <w:tc>
          <w:tcPr>
            <w:tcW w:w="240" w:type="dxa"/>
            <w:vAlign w:val="bottom"/>
            <w:tcBorders>
              <w:top w:val="single" w:sz="8" w:color="CFF0FC"/>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980" w:type="dxa"/>
            <w:vAlign w:val="bottom"/>
            <w:tcBorders>
              <w:top w:val="single" w:sz="8" w:color="auto"/>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(52</w:t>
            </w:r>
          </w:p>
        </w:tc>
        <w:tc>
          <w:tcPr>
            <w:tcW w:w="240" w:type="dxa"/>
            <w:vAlign w:val="bottom"/>
            <w:tcBorders>
              <w:top w:val="single" w:sz="8" w:color="CFF0FC"/>
              <w:bottom w:val="single" w:sz="8" w:color="CFF0FC"/>
            </w:tcBorders>
            <w:shd w:val="clear" w:color="auto" w:fill="CFF0FC"/>
          </w:tcPr>
          <w:p>
            <w:pPr>
              <w:jc w:val="right"/>
              <w:ind w:right="90"/>
              <w:spacing w:after="0" w:line="196" w:lineRule="exact"/>
              <w:rPr>
                <w:sz w:val="20"/>
                <w:szCs w:val="20"/>
                <w:color w:val="auto"/>
              </w:rPr>
            </w:pPr>
            <w:r>
              <w:rPr>
                <w:rFonts w:ascii="Calibri" w:cs="Calibri" w:eastAsia="Calibri" w:hAnsi="Calibri"/>
                <w:sz w:val="18"/>
                <w:szCs w:val="18"/>
                <w:color w:val="auto"/>
                <w:w w:val="72"/>
              </w:rPr>
              <w:t>)</w:t>
            </w:r>
          </w:p>
        </w:tc>
        <w:tc>
          <w:tcPr>
            <w:tcW w:w="260" w:type="dxa"/>
            <w:vAlign w:val="bottom"/>
            <w:tcBorders>
              <w:top w:val="single" w:sz="8" w:color="auto"/>
              <w:bottom w:val="single" w:sz="8" w:color="auto"/>
            </w:tcBorders>
            <w:shd w:val="clear" w:color="auto" w:fill="CFF0FC"/>
          </w:tcPr>
          <w:p>
            <w:pPr>
              <w:jc w:val="right"/>
              <w:ind w:right="70"/>
              <w:spacing w:after="0" w:line="210" w:lineRule="exact"/>
              <w:rPr>
                <w:sz w:val="20"/>
                <w:szCs w:val="20"/>
                <w:color w:val="auto"/>
              </w:rPr>
            </w:pPr>
            <w:r>
              <w:rPr>
                <w:rFonts w:ascii="Calibri" w:cs="Calibri" w:eastAsia="Calibri" w:hAnsi="Calibri"/>
                <w:sz w:val="18"/>
                <w:szCs w:val="18"/>
                <w:color w:val="auto"/>
                <w:w w:val="87"/>
              </w:rPr>
              <w:t>$</w:t>
            </w:r>
          </w:p>
        </w:tc>
        <w:tc>
          <w:tcPr>
            <w:tcW w:w="880" w:type="dxa"/>
            <w:vAlign w:val="bottom"/>
            <w:tcBorders>
              <w:top w:val="single" w:sz="8" w:color="auto"/>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1,160</w:t>
            </w:r>
          </w:p>
        </w:tc>
        <w:tc>
          <w:tcPr>
            <w:tcW w:w="240" w:type="dxa"/>
            <w:vAlign w:val="bottom"/>
            <w:tcBorders>
              <w:top w:val="single" w:sz="8" w:color="CFF0FC"/>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980" w:type="dxa"/>
            <w:vAlign w:val="bottom"/>
            <w:tcBorders>
              <w:top w:val="single" w:sz="8" w:color="auto"/>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(60</w:t>
            </w:r>
          </w:p>
        </w:tc>
        <w:tc>
          <w:tcPr>
            <w:tcW w:w="100" w:type="dxa"/>
            <w:vAlign w:val="bottom"/>
            <w:tcBorders>
              <w:top w:val="single" w:sz="8" w:color="CFF0FC"/>
              <w:bottom w:val="single" w:sz="8" w:color="CFF0FC"/>
            </w:tcBorders>
            <w:shd w:val="clear" w:color="auto" w:fill="CFF0FC"/>
          </w:tcPr>
          <w:p>
            <w:pPr>
              <w:jc w:val="right"/>
              <w:spacing w:after="0" w:line="196" w:lineRule="exact"/>
              <w:rPr>
                <w:sz w:val="20"/>
                <w:szCs w:val="20"/>
                <w:color w:val="auto"/>
              </w:rPr>
            </w:pPr>
            <w:r>
              <w:rPr>
                <w:rFonts w:ascii="Calibri" w:cs="Calibri" w:eastAsia="Calibri" w:hAnsi="Calibri"/>
                <w:sz w:val="18"/>
                <w:szCs w:val="18"/>
                <w:color w:val="auto"/>
                <w:w w:val="72"/>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-25400</wp:posOffset>
            </wp:positionV>
            <wp:extent cx="6858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-8255</wp:posOffset>
            </wp:positionV>
            <wp:extent cx="6858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-170815</wp:posOffset>
            </wp:positionV>
            <wp:extent cx="6858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-25400</wp:posOffset>
            </wp:positionV>
            <wp:extent cx="6858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-8255</wp:posOffset>
            </wp:positionV>
            <wp:extent cx="6858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-170815</wp:posOffset>
            </wp:positionV>
            <wp:extent cx="6858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-25400</wp:posOffset>
            </wp:positionV>
            <wp:extent cx="6858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-8255</wp:posOffset>
            </wp:positionV>
            <wp:extent cx="6858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-170815</wp:posOffset>
            </wp:positionV>
            <wp:extent cx="6858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Informaton with respect to the major funded and unfunded U.S. and Non-U.S. defned beneft plans with a PBO in excess of the fair value of plan assets is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60" w:type="dxa"/>
            <w:vAlign w:val="bottom"/>
            <w:gridSpan w:val="3"/>
          </w:tcPr>
          <w:p>
            <w:pPr>
              <w:jc w:val="right"/>
              <w:ind w:right="170"/>
              <w:spacing w:after="0"/>
              <w:rPr>
                <w:sz w:val="20"/>
                <w:szCs w:val="20"/>
                <w:color w:val="auto"/>
              </w:rPr>
            </w:pPr>
            <w:r>
              <w:rPr>
                <w:rFonts w:ascii="Calibri" w:cs="Calibri" w:eastAsia="Calibri" w:hAnsi="Calibri"/>
                <w:sz w:val="18"/>
                <w:szCs w:val="18"/>
                <w:b w:val="1"/>
                <w:bCs w:val="1"/>
                <w:color w:val="auto"/>
              </w:rPr>
              <w:t>As of December 31,</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3"/>
          </w:tcPr>
          <w:p>
            <w:pPr>
              <w:jc w:val="right"/>
              <w:ind w:right="120"/>
              <w:spacing w:after="0" w:line="216" w:lineRule="exact"/>
              <w:rPr>
                <w:sz w:val="20"/>
                <w:szCs w:val="20"/>
                <w:color w:val="auto"/>
              </w:rPr>
            </w:pPr>
            <w:r>
              <w:rPr>
                <w:rFonts w:ascii="Calibri" w:cs="Calibri" w:eastAsia="Calibri" w:hAnsi="Calibri"/>
                <w:sz w:val="18"/>
                <w:szCs w:val="18"/>
                <w:b w:val="1"/>
                <w:bCs w:val="1"/>
                <w:color w:val="auto"/>
              </w:rPr>
              <w:t>2024</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gridSpan w:val="3"/>
          </w:tcPr>
          <w:p>
            <w:pPr>
              <w:jc w:val="right"/>
              <w:ind w:right="120"/>
              <w:spacing w:after="0" w:line="216" w:lineRule="exact"/>
              <w:rPr>
                <w:sz w:val="20"/>
                <w:szCs w:val="20"/>
                <w:color w:val="auto"/>
              </w:rPr>
            </w:pPr>
            <w:r>
              <w:rPr>
                <w:rFonts w:ascii="Calibri" w:cs="Calibri" w:eastAsia="Calibri" w:hAnsi="Calibri"/>
                <w:sz w:val="18"/>
                <w:szCs w:val="18"/>
                <w:b w:val="1"/>
                <w:bCs w:val="1"/>
                <w:color w:val="auto"/>
              </w:rPr>
              <w:t>2023</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58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vMerge w:val="restart"/>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820" w:type="dxa"/>
            <w:vAlign w:val="bottom"/>
          </w:tcPr>
          <w:p>
            <w:pPr>
              <w:ind w:left="20"/>
              <w:spacing w:after="0"/>
              <w:rPr>
                <w:sz w:val="20"/>
                <w:szCs w:val="20"/>
                <w:color w:val="auto"/>
              </w:rPr>
            </w:pPr>
            <w:r>
              <w:rPr>
                <w:rFonts w:ascii="Calibri" w:cs="Calibri" w:eastAsia="Calibri" w:hAnsi="Calibri"/>
                <w:sz w:val="14"/>
                <w:szCs w:val="14"/>
                <w:color w:val="auto"/>
              </w:rPr>
              <w:t>(in millions)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160"/>
              <w:spacing w:after="0" w:line="209" w:lineRule="exact"/>
              <w:rPr>
                <w:sz w:val="20"/>
                <w:szCs w:val="20"/>
                <w:color w:val="auto"/>
              </w:rPr>
            </w:pPr>
            <w:r>
              <w:rPr>
                <w:rFonts w:ascii="Calibri" w:cs="Calibri" w:eastAsia="Calibri" w:hAnsi="Calibri"/>
                <w:sz w:val="18"/>
                <w:szCs w:val="18"/>
                <w:b w:val="1"/>
                <w:bCs w:val="1"/>
                <w:color w:val="auto"/>
              </w:rPr>
              <w:t>U.S.</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70"/>
              <w:spacing w:after="0" w:line="209" w:lineRule="exact"/>
              <w:rPr>
                <w:sz w:val="20"/>
                <w:szCs w:val="20"/>
                <w:color w:val="auto"/>
              </w:rPr>
            </w:pPr>
            <w:r>
              <w:rPr>
                <w:rFonts w:ascii="Calibri" w:cs="Calibri" w:eastAsia="Calibri" w:hAnsi="Calibri"/>
                <w:sz w:val="18"/>
                <w:szCs w:val="18"/>
                <w:b w:val="1"/>
                <w:bCs w:val="1"/>
                <w:color w:val="auto"/>
              </w:rPr>
              <w:t>Non-U.S.</w:t>
            </w:r>
          </w:p>
        </w:tc>
        <w:tc>
          <w:tcPr>
            <w:tcW w:w="240" w:type="dxa"/>
            <w:vAlign w:val="bottom"/>
            <w:vMerge w:val="continue"/>
          </w:tcPr>
          <w:p>
            <w:pPr>
              <w:spacing w:after="0"/>
              <w:rPr>
                <w:sz w:val="18"/>
                <w:szCs w:val="18"/>
                <w:color w:val="auto"/>
              </w:rPr>
            </w:pPr>
          </w:p>
        </w:tc>
        <w:tc>
          <w:tcPr>
            <w:tcW w:w="840" w:type="dxa"/>
            <w:vAlign w:val="bottom"/>
            <w:tcBorders>
              <w:bottom w:val="single" w:sz="8" w:color="auto"/>
            </w:tcBorders>
          </w:tcPr>
          <w:p>
            <w:pPr>
              <w:jc w:val="right"/>
              <w:ind w:right="30"/>
              <w:spacing w:after="0" w:line="209" w:lineRule="exact"/>
              <w:rPr>
                <w:sz w:val="20"/>
                <w:szCs w:val="20"/>
                <w:color w:val="auto"/>
              </w:rPr>
            </w:pPr>
            <w:r>
              <w:rPr>
                <w:rFonts w:ascii="Calibri" w:cs="Calibri" w:eastAsia="Calibri" w:hAnsi="Calibri"/>
                <w:sz w:val="18"/>
                <w:szCs w:val="18"/>
                <w:b w:val="1"/>
                <w:bCs w:val="1"/>
                <w:color w:val="auto"/>
              </w:rPr>
              <w:t>U.S.</w:t>
            </w:r>
          </w:p>
        </w:tc>
        <w:tc>
          <w:tcPr>
            <w:tcW w:w="3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70"/>
              <w:spacing w:after="0" w:line="209" w:lineRule="exact"/>
              <w:rPr>
                <w:sz w:val="20"/>
                <w:szCs w:val="20"/>
                <w:color w:val="auto"/>
              </w:rPr>
            </w:pPr>
            <w:r>
              <w:rPr>
                <w:rFonts w:ascii="Calibri" w:cs="Calibri" w:eastAsia="Calibri" w:hAnsi="Calibri"/>
                <w:sz w:val="18"/>
                <w:szCs w:val="18"/>
                <w:b w:val="1"/>
                <w:bCs w:val="1"/>
                <w:color w:val="auto"/>
              </w:rPr>
              <w:t>Non-U.S.</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2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color w:val="auto"/>
              </w:rPr>
              <w:t>Projected beneft obligaton</w:t>
            </w:r>
          </w:p>
        </w:tc>
        <w:tc>
          <w:tcPr>
            <w:tcW w:w="260" w:type="dxa"/>
            <w:vAlign w:val="bottom"/>
            <w:shd w:val="clear" w:color="auto" w:fill="CFF0FC"/>
          </w:tcPr>
          <w:p>
            <w:pPr>
              <w:jc w:val="right"/>
              <w:ind w:right="70"/>
              <w:spacing w:after="0" w:line="210" w:lineRule="exact"/>
              <w:rPr>
                <w:sz w:val="20"/>
                <w:szCs w:val="20"/>
                <w:color w:val="auto"/>
              </w:rPr>
            </w:pPr>
            <w:r>
              <w:rPr>
                <w:rFonts w:ascii="Calibri" w:cs="Calibri" w:eastAsia="Calibri" w:hAnsi="Calibri"/>
                <w:sz w:val="18"/>
                <w:szCs w:val="18"/>
                <w:color w:val="auto"/>
                <w:w w:val="87"/>
              </w:rPr>
              <w:t>$</w:t>
            </w:r>
          </w:p>
        </w:tc>
        <w:tc>
          <w:tcPr>
            <w:tcW w:w="1300" w:type="dxa"/>
            <w:vAlign w:val="bottom"/>
            <w:gridSpan w:val="3"/>
            <w:shd w:val="clear" w:color="auto" w:fill="CFF0FC"/>
          </w:tcPr>
          <w:p>
            <w:pPr>
              <w:ind w:left="700"/>
              <w:spacing w:after="0" w:line="210" w:lineRule="exact"/>
              <w:rPr>
                <w:sz w:val="20"/>
                <w:szCs w:val="20"/>
                <w:color w:val="auto"/>
              </w:rPr>
            </w:pPr>
            <w:r>
              <w:rPr>
                <w:rFonts w:ascii="Calibri" w:cs="Calibri" w:eastAsia="Calibri" w:hAnsi="Calibri"/>
                <w:sz w:val="18"/>
                <w:szCs w:val="18"/>
                <w:color w:val="auto"/>
              </w:rPr>
              <w:t>—   $</w:t>
            </w:r>
          </w:p>
        </w:tc>
        <w:tc>
          <w:tcPr>
            <w:tcW w:w="98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194</w:t>
            </w:r>
          </w:p>
        </w:tc>
        <w:tc>
          <w:tcPr>
            <w:tcW w:w="1080" w:type="dxa"/>
            <w:vAlign w:val="bottom"/>
            <w:gridSpan w:val="2"/>
            <w:shd w:val="clear" w:color="auto" w:fill="CFF0FC"/>
          </w:tcPr>
          <w:p>
            <w:pPr>
              <w:jc w:val="right"/>
              <w:ind w:right="650"/>
              <w:spacing w:after="0" w:line="210" w:lineRule="exact"/>
              <w:rPr>
                <w:sz w:val="20"/>
                <w:szCs w:val="20"/>
                <w:color w:val="auto"/>
              </w:rPr>
            </w:pPr>
            <w:r>
              <w:rPr>
                <w:rFonts w:ascii="Calibri" w:cs="Calibri" w:eastAsia="Calibri" w:hAnsi="Calibri"/>
                <w:sz w:val="18"/>
                <w:szCs w:val="18"/>
                <w:color w:val="auto"/>
              </w:rPr>
              <w:t>$</w:t>
            </w:r>
          </w:p>
        </w:tc>
        <w:tc>
          <w:tcPr>
            <w:tcW w:w="300" w:type="dxa"/>
            <w:vAlign w:val="bottom"/>
            <w:shd w:val="clear" w:color="auto" w:fill="CFF0FC"/>
          </w:tcPr>
          <w:p>
            <w:pPr>
              <w:ind w:left="120"/>
              <w:spacing w:after="0" w:line="210" w:lineRule="exact"/>
              <w:rPr>
                <w:sz w:val="20"/>
                <w:szCs w:val="20"/>
                <w:color w:val="auto"/>
              </w:rPr>
            </w:pPr>
            <w:r>
              <w:rPr>
                <w:rFonts w:ascii="Calibri" w:cs="Calibri" w:eastAsia="Calibri" w:hAnsi="Calibri"/>
                <w:sz w:val="18"/>
                <w:szCs w:val="18"/>
                <w:color w:val="auto"/>
                <w:w w:val="97"/>
              </w:rPr>
              <w:t>—</w:t>
            </w:r>
          </w:p>
        </w:tc>
        <w:tc>
          <w:tcPr>
            <w:tcW w:w="420" w:type="dxa"/>
            <w:vAlign w:val="bottom"/>
            <w:gridSpan w:val="2"/>
            <w:shd w:val="clear" w:color="auto" w:fill="CFF0FC"/>
          </w:tcPr>
          <w:p>
            <w:pPr>
              <w:jc w:val="right"/>
              <w:ind w:right="80"/>
              <w:spacing w:after="0" w:line="210" w:lineRule="exact"/>
              <w:rPr>
                <w:sz w:val="20"/>
                <w:szCs w:val="20"/>
                <w:color w:val="auto"/>
              </w:rPr>
            </w:pPr>
            <w:r>
              <w:rPr>
                <w:rFonts w:ascii="Calibri" w:cs="Calibri" w:eastAsia="Calibri" w:hAnsi="Calibri"/>
                <w:sz w:val="18"/>
                <w:szCs w:val="18"/>
                <w:color w:val="auto"/>
              </w:rPr>
              <w:t>$</w:t>
            </w:r>
          </w:p>
        </w:tc>
        <w:tc>
          <w:tcPr>
            <w:tcW w:w="98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406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20" w:type="dxa"/>
            <w:vAlign w:val="bottom"/>
          </w:tcPr>
          <w:p>
            <w:pPr>
              <w:ind w:left="20"/>
              <w:spacing w:after="0" w:line="215" w:lineRule="exact"/>
              <w:rPr>
                <w:sz w:val="20"/>
                <w:szCs w:val="20"/>
                <w:color w:val="auto"/>
              </w:rPr>
            </w:pPr>
            <w:r>
              <w:rPr>
                <w:rFonts w:ascii="Calibri" w:cs="Calibri" w:eastAsia="Calibri" w:hAnsi="Calibri"/>
                <w:sz w:val="18"/>
                <w:szCs w:val="18"/>
                <w:color w:val="auto"/>
              </w:rPr>
              <w:t>Fair value of plan assets</w:t>
            </w:r>
          </w:p>
        </w:tc>
        <w:tc>
          <w:tcPr>
            <w:tcW w:w="260" w:type="dxa"/>
            <w:vAlign w:val="bottom"/>
          </w:tcPr>
          <w:p>
            <w:pPr>
              <w:spacing w:after="0"/>
              <w:rPr>
                <w:sz w:val="18"/>
                <w:szCs w:val="18"/>
                <w:color w:val="auto"/>
              </w:rPr>
            </w:pPr>
          </w:p>
        </w:tc>
        <w:tc>
          <w:tcPr>
            <w:tcW w:w="1300" w:type="dxa"/>
            <w:vAlign w:val="bottom"/>
            <w:gridSpan w:val="3"/>
          </w:tcPr>
          <w:p>
            <w:pPr>
              <w:ind w:left="700"/>
              <w:spacing w:after="0" w:line="215" w:lineRule="exact"/>
              <w:rPr>
                <w:sz w:val="20"/>
                <w:szCs w:val="20"/>
                <w:color w:val="auto"/>
              </w:rPr>
            </w:pPr>
            <w:r>
              <w:rPr>
                <w:rFonts w:ascii="Calibri" w:cs="Calibri" w:eastAsia="Calibri" w:hAnsi="Calibri"/>
                <w:sz w:val="18"/>
                <w:szCs w:val="18"/>
                <w:color w:val="auto"/>
              </w:rPr>
              <w:t>—</w:t>
            </w: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110</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ind w:left="120"/>
              <w:spacing w:after="0" w:line="215" w:lineRule="exact"/>
              <w:rPr>
                <w:sz w:val="20"/>
                <w:szCs w:val="20"/>
                <w:color w:val="auto"/>
              </w:rPr>
            </w:pPr>
            <w:r>
              <w:rPr>
                <w:rFonts w:ascii="Calibri" w:cs="Calibri" w:eastAsia="Calibri" w:hAnsi="Calibri"/>
                <w:sz w:val="18"/>
                <w:szCs w:val="18"/>
                <w:color w:val="auto"/>
                <w:w w:val="97"/>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304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jc w:val="both"/>
        <w:ind w:right="100"/>
        <w:spacing w:after="0" w:line="235" w:lineRule="auto"/>
        <w:rPr>
          <w:sz w:val="20"/>
          <w:szCs w:val="20"/>
          <w:color w:val="auto"/>
        </w:rPr>
      </w:pPr>
      <w:r>
        <w:rPr>
          <w:rFonts w:ascii="Calibri" w:cs="Calibri" w:eastAsia="Calibri" w:hAnsi="Calibri"/>
          <w:sz w:val="18"/>
          <w:szCs w:val="18"/>
          <w:color w:val="auto"/>
        </w:rPr>
        <w:t>Informaton with respect to the major funded and unfunded U.S. and Non-U.S. defned beneft plans with an accumulated beneft obligaton in excess of the fair value of plan assets is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60" w:type="dxa"/>
            <w:vAlign w:val="bottom"/>
            <w:gridSpan w:val="3"/>
          </w:tcPr>
          <w:p>
            <w:pPr>
              <w:jc w:val="right"/>
              <w:ind w:right="170"/>
              <w:spacing w:after="0"/>
              <w:rPr>
                <w:sz w:val="20"/>
                <w:szCs w:val="20"/>
                <w:color w:val="auto"/>
              </w:rPr>
            </w:pPr>
            <w:r>
              <w:rPr>
                <w:rFonts w:ascii="Calibri" w:cs="Calibri" w:eastAsia="Calibri" w:hAnsi="Calibri"/>
                <w:sz w:val="18"/>
                <w:szCs w:val="18"/>
                <w:b w:val="1"/>
                <w:bCs w:val="1"/>
                <w:color w:val="auto"/>
              </w:rPr>
              <w:t>As of December 31,</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3"/>
          </w:tcPr>
          <w:p>
            <w:pPr>
              <w:jc w:val="right"/>
              <w:ind w:right="120"/>
              <w:spacing w:after="0" w:line="216" w:lineRule="exact"/>
              <w:rPr>
                <w:sz w:val="20"/>
                <w:szCs w:val="20"/>
                <w:color w:val="auto"/>
              </w:rPr>
            </w:pPr>
            <w:r>
              <w:rPr>
                <w:rFonts w:ascii="Calibri" w:cs="Calibri" w:eastAsia="Calibri" w:hAnsi="Calibri"/>
                <w:sz w:val="18"/>
                <w:szCs w:val="18"/>
                <w:b w:val="1"/>
                <w:bCs w:val="1"/>
                <w:color w:val="auto"/>
              </w:rPr>
              <w:t>2024</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gridSpan w:val="3"/>
          </w:tcPr>
          <w:p>
            <w:pPr>
              <w:jc w:val="right"/>
              <w:ind w:right="120"/>
              <w:spacing w:after="0" w:line="216" w:lineRule="exact"/>
              <w:rPr>
                <w:sz w:val="20"/>
                <w:szCs w:val="20"/>
                <w:color w:val="auto"/>
              </w:rPr>
            </w:pPr>
            <w:r>
              <w:rPr>
                <w:rFonts w:ascii="Calibri" w:cs="Calibri" w:eastAsia="Calibri" w:hAnsi="Calibri"/>
                <w:sz w:val="18"/>
                <w:szCs w:val="18"/>
                <w:b w:val="1"/>
                <w:bCs w:val="1"/>
                <w:color w:val="auto"/>
              </w:rPr>
              <w:t>2023</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58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vMerge w:val="restart"/>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820" w:type="dxa"/>
            <w:vAlign w:val="bottom"/>
          </w:tcPr>
          <w:p>
            <w:pPr>
              <w:ind w:left="20"/>
              <w:spacing w:after="0"/>
              <w:rPr>
                <w:sz w:val="20"/>
                <w:szCs w:val="20"/>
                <w:color w:val="auto"/>
              </w:rPr>
            </w:pPr>
            <w:r>
              <w:rPr>
                <w:rFonts w:ascii="Calibri" w:cs="Calibri" w:eastAsia="Calibri" w:hAnsi="Calibri"/>
                <w:sz w:val="14"/>
                <w:szCs w:val="14"/>
                <w:color w:val="auto"/>
              </w:rPr>
              <w:t>(in millions)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160"/>
              <w:spacing w:after="0" w:line="209" w:lineRule="exact"/>
              <w:rPr>
                <w:sz w:val="20"/>
                <w:szCs w:val="20"/>
                <w:color w:val="auto"/>
              </w:rPr>
            </w:pPr>
            <w:r>
              <w:rPr>
                <w:rFonts w:ascii="Calibri" w:cs="Calibri" w:eastAsia="Calibri" w:hAnsi="Calibri"/>
                <w:sz w:val="18"/>
                <w:szCs w:val="18"/>
                <w:b w:val="1"/>
                <w:bCs w:val="1"/>
                <w:color w:val="auto"/>
              </w:rPr>
              <w:t>U.S.</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70"/>
              <w:spacing w:after="0" w:line="209" w:lineRule="exact"/>
              <w:rPr>
                <w:sz w:val="20"/>
                <w:szCs w:val="20"/>
                <w:color w:val="auto"/>
              </w:rPr>
            </w:pPr>
            <w:r>
              <w:rPr>
                <w:rFonts w:ascii="Calibri" w:cs="Calibri" w:eastAsia="Calibri" w:hAnsi="Calibri"/>
                <w:sz w:val="18"/>
                <w:szCs w:val="18"/>
                <w:b w:val="1"/>
                <w:bCs w:val="1"/>
                <w:color w:val="auto"/>
              </w:rPr>
              <w:t>Non-U.S.</w:t>
            </w:r>
          </w:p>
        </w:tc>
        <w:tc>
          <w:tcPr>
            <w:tcW w:w="240" w:type="dxa"/>
            <w:vAlign w:val="bottom"/>
            <w:vMerge w:val="continue"/>
          </w:tcPr>
          <w:p>
            <w:pPr>
              <w:spacing w:after="0"/>
              <w:rPr>
                <w:sz w:val="18"/>
                <w:szCs w:val="18"/>
                <w:color w:val="auto"/>
              </w:rPr>
            </w:pPr>
          </w:p>
        </w:tc>
        <w:tc>
          <w:tcPr>
            <w:tcW w:w="840" w:type="dxa"/>
            <w:vAlign w:val="bottom"/>
            <w:tcBorders>
              <w:bottom w:val="single" w:sz="8" w:color="auto"/>
            </w:tcBorders>
          </w:tcPr>
          <w:p>
            <w:pPr>
              <w:jc w:val="right"/>
              <w:ind w:right="30"/>
              <w:spacing w:after="0" w:line="209" w:lineRule="exact"/>
              <w:rPr>
                <w:sz w:val="20"/>
                <w:szCs w:val="20"/>
                <w:color w:val="auto"/>
              </w:rPr>
            </w:pPr>
            <w:r>
              <w:rPr>
                <w:rFonts w:ascii="Calibri" w:cs="Calibri" w:eastAsia="Calibri" w:hAnsi="Calibri"/>
                <w:sz w:val="18"/>
                <w:szCs w:val="18"/>
                <w:b w:val="1"/>
                <w:bCs w:val="1"/>
                <w:color w:val="auto"/>
              </w:rPr>
              <w:t>U.S.</w:t>
            </w:r>
          </w:p>
        </w:tc>
        <w:tc>
          <w:tcPr>
            <w:tcW w:w="3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70"/>
              <w:spacing w:after="0" w:line="209" w:lineRule="exact"/>
              <w:rPr>
                <w:sz w:val="20"/>
                <w:szCs w:val="20"/>
                <w:color w:val="auto"/>
              </w:rPr>
            </w:pPr>
            <w:r>
              <w:rPr>
                <w:rFonts w:ascii="Calibri" w:cs="Calibri" w:eastAsia="Calibri" w:hAnsi="Calibri"/>
                <w:sz w:val="18"/>
                <w:szCs w:val="18"/>
                <w:b w:val="1"/>
                <w:bCs w:val="1"/>
                <w:color w:val="auto"/>
              </w:rPr>
              <w:t>Non-U.S.</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2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color w:val="auto"/>
              </w:rPr>
              <w:t>Accumulated beneft obligaton</w:t>
            </w:r>
          </w:p>
        </w:tc>
        <w:tc>
          <w:tcPr>
            <w:tcW w:w="260" w:type="dxa"/>
            <w:vAlign w:val="bottom"/>
            <w:shd w:val="clear" w:color="auto" w:fill="CFF0FC"/>
          </w:tcPr>
          <w:p>
            <w:pPr>
              <w:jc w:val="right"/>
              <w:ind w:right="70"/>
              <w:spacing w:after="0" w:line="210" w:lineRule="exact"/>
              <w:rPr>
                <w:sz w:val="20"/>
                <w:szCs w:val="20"/>
                <w:color w:val="auto"/>
              </w:rPr>
            </w:pPr>
            <w:r>
              <w:rPr>
                <w:rFonts w:ascii="Calibri" w:cs="Calibri" w:eastAsia="Calibri" w:hAnsi="Calibri"/>
                <w:sz w:val="18"/>
                <w:szCs w:val="18"/>
                <w:color w:val="auto"/>
                <w:w w:val="87"/>
              </w:rPr>
              <w:t>$</w:t>
            </w:r>
          </w:p>
        </w:tc>
        <w:tc>
          <w:tcPr>
            <w:tcW w:w="1300" w:type="dxa"/>
            <w:vAlign w:val="bottom"/>
            <w:gridSpan w:val="3"/>
            <w:shd w:val="clear" w:color="auto" w:fill="CFF0FC"/>
          </w:tcPr>
          <w:p>
            <w:pPr>
              <w:ind w:left="700"/>
              <w:spacing w:after="0" w:line="210" w:lineRule="exact"/>
              <w:rPr>
                <w:sz w:val="20"/>
                <w:szCs w:val="20"/>
                <w:color w:val="auto"/>
              </w:rPr>
            </w:pPr>
            <w:r>
              <w:rPr>
                <w:rFonts w:ascii="Calibri" w:cs="Calibri" w:eastAsia="Calibri" w:hAnsi="Calibri"/>
                <w:sz w:val="18"/>
                <w:szCs w:val="18"/>
                <w:color w:val="auto"/>
              </w:rPr>
              <w:t>—   $</w:t>
            </w:r>
          </w:p>
        </w:tc>
        <w:tc>
          <w:tcPr>
            <w:tcW w:w="98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187</w:t>
            </w:r>
          </w:p>
        </w:tc>
        <w:tc>
          <w:tcPr>
            <w:tcW w:w="1080" w:type="dxa"/>
            <w:vAlign w:val="bottom"/>
            <w:gridSpan w:val="2"/>
            <w:shd w:val="clear" w:color="auto" w:fill="CFF0FC"/>
          </w:tcPr>
          <w:p>
            <w:pPr>
              <w:jc w:val="right"/>
              <w:ind w:right="650"/>
              <w:spacing w:after="0" w:line="210" w:lineRule="exact"/>
              <w:rPr>
                <w:sz w:val="20"/>
                <w:szCs w:val="20"/>
                <w:color w:val="auto"/>
              </w:rPr>
            </w:pPr>
            <w:r>
              <w:rPr>
                <w:rFonts w:ascii="Calibri" w:cs="Calibri" w:eastAsia="Calibri" w:hAnsi="Calibri"/>
                <w:sz w:val="18"/>
                <w:szCs w:val="18"/>
                <w:color w:val="auto"/>
              </w:rPr>
              <w:t>$</w:t>
            </w:r>
          </w:p>
        </w:tc>
        <w:tc>
          <w:tcPr>
            <w:tcW w:w="300" w:type="dxa"/>
            <w:vAlign w:val="bottom"/>
            <w:shd w:val="clear" w:color="auto" w:fill="CFF0FC"/>
          </w:tcPr>
          <w:p>
            <w:pPr>
              <w:ind w:left="120"/>
              <w:spacing w:after="0" w:line="210" w:lineRule="exact"/>
              <w:rPr>
                <w:sz w:val="20"/>
                <w:szCs w:val="20"/>
                <w:color w:val="auto"/>
              </w:rPr>
            </w:pPr>
            <w:r>
              <w:rPr>
                <w:rFonts w:ascii="Calibri" w:cs="Calibri" w:eastAsia="Calibri" w:hAnsi="Calibri"/>
                <w:sz w:val="18"/>
                <w:szCs w:val="18"/>
                <w:color w:val="auto"/>
                <w:w w:val="97"/>
              </w:rPr>
              <w:t>—</w:t>
            </w:r>
          </w:p>
        </w:tc>
        <w:tc>
          <w:tcPr>
            <w:tcW w:w="420" w:type="dxa"/>
            <w:vAlign w:val="bottom"/>
            <w:gridSpan w:val="2"/>
            <w:shd w:val="clear" w:color="auto" w:fill="CFF0FC"/>
          </w:tcPr>
          <w:p>
            <w:pPr>
              <w:jc w:val="right"/>
              <w:ind w:right="80"/>
              <w:spacing w:after="0" w:line="210" w:lineRule="exact"/>
              <w:rPr>
                <w:sz w:val="20"/>
                <w:szCs w:val="20"/>
                <w:color w:val="auto"/>
              </w:rPr>
            </w:pPr>
            <w:r>
              <w:rPr>
                <w:rFonts w:ascii="Calibri" w:cs="Calibri" w:eastAsia="Calibri" w:hAnsi="Calibri"/>
                <w:sz w:val="18"/>
                <w:szCs w:val="18"/>
                <w:color w:val="auto"/>
              </w:rPr>
              <w:t>$</w:t>
            </w:r>
          </w:p>
        </w:tc>
        <w:tc>
          <w:tcPr>
            <w:tcW w:w="98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397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20" w:type="dxa"/>
            <w:vAlign w:val="bottom"/>
          </w:tcPr>
          <w:p>
            <w:pPr>
              <w:ind w:left="20"/>
              <w:spacing w:after="0" w:line="215" w:lineRule="exact"/>
              <w:rPr>
                <w:sz w:val="20"/>
                <w:szCs w:val="20"/>
                <w:color w:val="auto"/>
              </w:rPr>
            </w:pPr>
            <w:r>
              <w:rPr>
                <w:rFonts w:ascii="Calibri" w:cs="Calibri" w:eastAsia="Calibri" w:hAnsi="Calibri"/>
                <w:sz w:val="18"/>
                <w:szCs w:val="18"/>
                <w:color w:val="auto"/>
              </w:rPr>
              <w:t>Fair value of plan assets</w:t>
            </w:r>
          </w:p>
        </w:tc>
        <w:tc>
          <w:tcPr>
            <w:tcW w:w="260" w:type="dxa"/>
            <w:vAlign w:val="bottom"/>
          </w:tcPr>
          <w:p>
            <w:pPr>
              <w:spacing w:after="0"/>
              <w:rPr>
                <w:sz w:val="18"/>
                <w:szCs w:val="18"/>
                <w:color w:val="auto"/>
              </w:rPr>
            </w:pPr>
          </w:p>
        </w:tc>
        <w:tc>
          <w:tcPr>
            <w:tcW w:w="1300" w:type="dxa"/>
            <w:vAlign w:val="bottom"/>
            <w:gridSpan w:val="3"/>
          </w:tcPr>
          <w:p>
            <w:pPr>
              <w:ind w:left="700"/>
              <w:spacing w:after="0" w:line="215" w:lineRule="exact"/>
              <w:rPr>
                <w:sz w:val="20"/>
                <w:szCs w:val="20"/>
                <w:color w:val="auto"/>
              </w:rPr>
            </w:pPr>
            <w:r>
              <w:rPr>
                <w:rFonts w:ascii="Calibri" w:cs="Calibri" w:eastAsia="Calibri" w:hAnsi="Calibri"/>
                <w:sz w:val="18"/>
                <w:szCs w:val="18"/>
                <w:color w:val="auto"/>
              </w:rPr>
              <w:t>—</w:t>
            </w: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110</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ind w:left="120"/>
              <w:spacing w:after="0" w:line="215" w:lineRule="exact"/>
              <w:rPr>
                <w:sz w:val="20"/>
                <w:szCs w:val="20"/>
                <w:color w:val="auto"/>
              </w:rPr>
            </w:pPr>
            <w:r>
              <w:rPr>
                <w:rFonts w:ascii="Calibri" w:cs="Calibri" w:eastAsia="Calibri" w:hAnsi="Calibri"/>
                <w:sz w:val="18"/>
                <w:szCs w:val="18"/>
                <w:color w:val="auto"/>
                <w:w w:val="97"/>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304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auto"/>
        </w:rPr>
        <w:t>Amounts recognized in accumulated other comprehensive (loss) income in shareholders’ equity for all major funded and unfunded U.S. and Non-U.S. defned beneft plans consist of:</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6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0" w:type="dxa"/>
            <w:vAlign w:val="bottom"/>
            <w:gridSpan w:val="5"/>
          </w:tcPr>
          <w:p>
            <w:pPr>
              <w:jc w:val="right"/>
              <w:ind w:right="800"/>
              <w:spacing w:after="0"/>
              <w:rPr>
                <w:sz w:val="20"/>
                <w:szCs w:val="20"/>
                <w:color w:val="auto"/>
              </w:rPr>
            </w:pPr>
            <w:r>
              <w:rPr>
                <w:rFonts w:ascii="Calibri" w:cs="Calibri" w:eastAsia="Calibri" w:hAnsi="Calibri"/>
                <w:sz w:val="18"/>
                <w:szCs w:val="18"/>
                <w:b w:val="1"/>
                <w:bCs w:val="1"/>
                <w:color w:val="auto"/>
              </w:rPr>
              <w:t>As of December 31,</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3"/>
          </w:tcPr>
          <w:p>
            <w:pPr>
              <w:jc w:val="right"/>
              <w:ind w:right="30"/>
              <w:spacing w:after="0" w:line="216" w:lineRule="exact"/>
              <w:rPr>
                <w:sz w:val="20"/>
                <w:szCs w:val="20"/>
                <w:color w:val="auto"/>
              </w:rPr>
            </w:pPr>
            <w:r>
              <w:rPr>
                <w:rFonts w:ascii="Calibri" w:cs="Calibri" w:eastAsia="Calibri" w:hAnsi="Calibri"/>
                <w:sz w:val="18"/>
                <w:szCs w:val="18"/>
                <w:b w:val="1"/>
                <w:bCs w:val="1"/>
                <w:color w:val="auto"/>
              </w:rPr>
              <w:t>2024</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3"/>
          </w:tcPr>
          <w:p>
            <w:pPr>
              <w:jc w:val="right"/>
              <w:ind w:right="30"/>
              <w:spacing w:after="0" w:line="216" w:lineRule="exact"/>
              <w:rPr>
                <w:sz w:val="20"/>
                <w:szCs w:val="20"/>
                <w:color w:val="auto"/>
              </w:rPr>
            </w:pPr>
            <w:r>
              <w:rPr>
                <w:rFonts w:ascii="Calibri" w:cs="Calibri" w:eastAsia="Calibri" w:hAnsi="Calibri"/>
                <w:sz w:val="18"/>
                <w:szCs w:val="18"/>
                <w:b w:val="1"/>
                <w:bCs w:val="1"/>
                <w:color w:val="auto"/>
              </w:rPr>
              <w:t>2023</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36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vMerge w:val="restart"/>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660" w:type="dxa"/>
            <w:vAlign w:val="bottom"/>
          </w:tcPr>
          <w:p>
            <w:pPr>
              <w:ind w:left="20"/>
              <w:spacing w:after="0"/>
              <w:rPr>
                <w:sz w:val="20"/>
                <w:szCs w:val="20"/>
                <w:color w:val="auto"/>
              </w:rPr>
            </w:pPr>
            <w:r>
              <w:rPr>
                <w:rFonts w:ascii="Calibri" w:cs="Calibri" w:eastAsia="Calibri" w:hAnsi="Calibri"/>
                <w:sz w:val="14"/>
                <w:szCs w:val="14"/>
                <w:color w:val="auto"/>
              </w:rPr>
              <w:t>(in millions)</w:t>
            </w:r>
          </w:p>
        </w:tc>
        <w:tc>
          <w:tcPr>
            <w:tcW w:w="2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30"/>
              <w:spacing w:after="0" w:line="209" w:lineRule="exact"/>
              <w:rPr>
                <w:sz w:val="20"/>
                <w:szCs w:val="20"/>
                <w:color w:val="auto"/>
              </w:rPr>
            </w:pPr>
            <w:r>
              <w:rPr>
                <w:rFonts w:ascii="Calibri" w:cs="Calibri" w:eastAsia="Calibri" w:hAnsi="Calibri"/>
                <w:sz w:val="18"/>
                <w:szCs w:val="18"/>
                <w:b w:val="1"/>
                <w:bCs w:val="1"/>
                <w:color w:val="auto"/>
              </w:rPr>
              <w:t>U.S.</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70"/>
              <w:spacing w:after="0" w:line="209" w:lineRule="exact"/>
              <w:rPr>
                <w:sz w:val="20"/>
                <w:szCs w:val="20"/>
                <w:color w:val="auto"/>
              </w:rPr>
            </w:pPr>
            <w:r>
              <w:rPr>
                <w:rFonts w:ascii="Calibri" w:cs="Calibri" w:eastAsia="Calibri" w:hAnsi="Calibri"/>
                <w:sz w:val="18"/>
                <w:szCs w:val="18"/>
                <w:b w:val="1"/>
                <w:bCs w:val="1"/>
                <w:color w:val="auto"/>
              </w:rPr>
              <w:t>Non-U.S.</w:t>
            </w:r>
          </w:p>
        </w:tc>
        <w:tc>
          <w:tcPr>
            <w:tcW w:w="240" w:type="dxa"/>
            <w:vAlign w:val="bottom"/>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30"/>
              <w:spacing w:after="0" w:line="209" w:lineRule="exact"/>
              <w:rPr>
                <w:sz w:val="20"/>
                <w:szCs w:val="20"/>
                <w:color w:val="auto"/>
              </w:rPr>
            </w:pPr>
            <w:r>
              <w:rPr>
                <w:rFonts w:ascii="Calibri" w:cs="Calibri" w:eastAsia="Calibri" w:hAnsi="Calibri"/>
                <w:sz w:val="18"/>
                <w:szCs w:val="18"/>
                <w:b w:val="1"/>
                <w:bCs w:val="1"/>
                <w:color w:val="auto"/>
              </w:rPr>
              <w:t>U.S.</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70"/>
              <w:spacing w:after="0" w:line="209" w:lineRule="exact"/>
              <w:rPr>
                <w:sz w:val="20"/>
                <w:szCs w:val="20"/>
                <w:color w:val="auto"/>
              </w:rPr>
            </w:pPr>
            <w:r>
              <w:rPr>
                <w:rFonts w:ascii="Calibri" w:cs="Calibri" w:eastAsia="Calibri" w:hAnsi="Calibri"/>
                <w:sz w:val="18"/>
                <w:szCs w:val="18"/>
                <w:b w:val="1"/>
                <w:bCs w:val="1"/>
                <w:color w:val="auto"/>
              </w:rPr>
              <w:t>Non-U.S.</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6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color w:val="auto"/>
              </w:rPr>
              <w:t>Prior service (cost) credit</w:t>
            </w:r>
          </w:p>
        </w:tc>
        <w:tc>
          <w:tcPr>
            <w:tcW w:w="2420" w:type="dxa"/>
            <w:vAlign w:val="bottom"/>
            <w:gridSpan w:val="2"/>
            <w:shd w:val="clear" w:color="auto" w:fill="CFF0FC"/>
          </w:tcPr>
          <w:p>
            <w:pPr>
              <w:jc w:val="right"/>
              <w:ind w:right="70"/>
              <w:spacing w:after="0" w:line="210" w:lineRule="exact"/>
              <w:rPr>
                <w:sz w:val="20"/>
                <w:szCs w:val="20"/>
                <w:color w:val="auto"/>
              </w:rPr>
            </w:pPr>
            <w:r>
              <w:rPr>
                <w:rFonts w:ascii="Calibri" w:cs="Calibri" w:eastAsia="Calibri" w:hAnsi="Calibri"/>
                <w:sz w:val="18"/>
                <w:szCs w:val="18"/>
                <w:color w:val="auto"/>
              </w:rPr>
              <w:t>$</w:t>
            </w:r>
          </w:p>
        </w:tc>
        <w:tc>
          <w:tcPr>
            <w:tcW w:w="1120" w:type="dxa"/>
            <w:vAlign w:val="bottom"/>
            <w:gridSpan w:val="2"/>
            <w:shd w:val="clear" w:color="auto" w:fill="CFF0FC"/>
          </w:tcPr>
          <w:p>
            <w:pPr>
              <w:jc w:val="right"/>
              <w:ind w:right="180"/>
              <w:spacing w:after="0" w:line="210" w:lineRule="exact"/>
              <w:rPr>
                <w:sz w:val="20"/>
                <w:szCs w:val="20"/>
                <w:color w:val="auto"/>
              </w:rPr>
            </w:pPr>
            <w:r>
              <w:rPr>
                <w:rFonts w:ascii="Calibri" w:cs="Calibri" w:eastAsia="Calibri" w:hAnsi="Calibri"/>
                <w:sz w:val="18"/>
                <w:szCs w:val="18"/>
                <w:color w:val="auto"/>
              </w:rPr>
              <w:t>(33 )</w:t>
            </w:r>
          </w:p>
        </w:tc>
        <w:tc>
          <w:tcPr>
            <w:tcW w:w="18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98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1</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line="210" w:lineRule="exact"/>
              <w:rPr>
                <w:sz w:val="20"/>
                <w:szCs w:val="20"/>
                <w:color w:val="auto"/>
              </w:rPr>
            </w:pPr>
            <w:r>
              <w:rPr>
                <w:rFonts w:ascii="Calibri" w:cs="Calibri" w:eastAsia="Calibri" w:hAnsi="Calibri"/>
                <w:sz w:val="18"/>
                <w:szCs w:val="18"/>
                <w:color w:val="auto"/>
                <w:w w:val="87"/>
              </w:rPr>
              <w:t>$</w:t>
            </w:r>
          </w:p>
        </w:tc>
        <w:tc>
          <w:tcPr>
            <w:tcW w:w="1120" w:type="dxa"/>
            <w:vAlign w:val="bottom"/>
            <w:gridSpan w:val="2"/>
            <w:shd w:val="clear" w:color="auto" w:fill="CFF0FC"/>
          </w:tcPr>
          <w:p>
            <w:pPr>
              <w:jc w:val="right"/>
              <w:ind w:right="180"/>
              <w:spacing w:after="0" w:line="210" w:lineRule="exact"/>
              <w:rPr>
                <w:sz w:val="20"/>
                <w:szCs w:val="20"/>
                <w:color w:val="auto"/>
              </w:rPr>
            </w:pPr>
            <w:r>
              <w:rPr>
                <w:rFonts w:ascii="Calibri" w:cs="Calibri" w:eastAsia="Calibri" w:hAnsi="Calibri"/>
                <w:sz w:val="18"/>
                <w:szCs w:val="18"/>
                <w:color w:val="auto"/>
              </w:rPr>
              <w:t>(45 )</w:t>
            </w:r>
          </w:p>
        </w:tc>
        <w:tc>
          <w:tcPr>
            <w:tcW w:w="18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98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660" w:type="dxa"/>
            <w:vAlign w:val="bottom"/>
          </w:tcPr>
          <w:p>
            <w:pPr>
              <w:ind w:left="20"/>
              <w:spacing w:after="0" w:line="215" w:lineRule="exact"/>
              <w:rPr>
                <w:sz w:val="20"/>
                <w:szCs w:val="20"/>
                <w:color w:val="auto"/>
              </w:rPr>
            </w:pPr>
            <w:r>
              <w:rPr>
                <w:rFonts w:ascii="Calibri" w:cs="Calibri" w:eastAsia="Calibri" w:hAnsi="Calibri"/>
                <w:sz w:val="18"/>
                <w:szCs w:val="18"/>
                <w:color w:val="auto"/>
              </w:rPr>
              <w:t>Net actuarial gain (loss)</w:t>
            </w:r>
          </w:p>
        </w:tc>
        <w:tc>
          <w:tcPr>
            <w:tcW w:w="2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line="215" w:lineRule="exact"/>
              <w:rPr>
                <w:sz w:val="20"/>
                <w:szCs w:val="20"/>
                <w:color w:val="auto"/>
              </w:rPr>
            </w:pPr>
            <w:r>
              <w:rPr>
                <w:rFonts w:ascii="Calibri" w:cs="Calibri" w:eastAsia="Calibri" w:hAnsi="Calibri"/>
                <w:sz w:val="18"/>
                <w:szCs w:val="18"/>
                <w:color w:val="auto"/>
              </w:rPr>
              <w:t>71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(52 )</w:t>
            </w:r>
          </w:p>
        </w:tc>
        <w:tc>
          <w:tcPr>
            <w:tcW w:w="260" w:type="dxa"/>
            <w:vAlign w:val="bottom"/>
          </w:tcPr>
          <w:p>
            <w:pPr>
              <w:spacing w:after="0"/>
              <w:rPr>
                <w:sz w:val="18"/>
                <w:szCs w:val="18"/>
                <w:color w:val="auto"/>
              </w:rPr>
            </w:pPr>
          </w:p>
        </w:tc>
        <w:tc>
          <w:tcPr>
            <w:tcW w:w="880" w:type="dxa"/>
            <w:vAlign w:val="bottom"/>
          </w:tcPr>
          <w:p>
            <w:pPr>
              <w:jc w:val="right"/>
              <w:spacing w:after="0" w:line="215" w:lineRule="exact"/>
              <w:rPr>
                <w:sz w:val="20"/>
                <w:szCs w:val="20"/>
                <w:color w:val="auto"/>
              </w:rPr>
            </w:pPr>
            <w:r>
              <w:rPr>
                <w:rFonts w:ascii="Calibri" w:cs="Calibri" w:eastAsia="Calibri" w:hAnsi="Calibri"/>
                <w:sz w:val="18"/>
                <w:szCs w:val="18"/>
                <w:color w:val="auto"/>
              </w:rPr>
              <w:t>449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(52 )</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shd w:val="clear" w:color="auto" w:fill="CFF0FC"/>
          </w:tcPr>
          <w:p>
            <w:pPr>
              <w:ind w:left="120"/>
              <w:spacing w:after="0" w:line="210" w:lineRule="exact"/>
              <w:rPr>
                <w:sz w:val="20"/>
                <w:szCs w:val="20"/>
                <w:color w:val="auto"/>
              </w:rPr>
            </w:pPr>
            <w:r>
              <w:rPr>
                <w:rFonts w:ascii="Calibri" w:cs="Calibri" w:eastAsia="Calibri" w:hAnsi="Calibri"/>
                <w:sz w:val="18"/>
                <w:szCs w:val="18"/>
                <w:color w:val="auto"/>
              </w:rPr>
              <w:t>Total</w:t>
            </w:r>
          </w:p>
        </w:tc>
        <w:tc>
          <w:tcPr>
            <w:tcW w:w="216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line="210" w:lineRule="exact"/>
              <w:rPr>
                <w:sz w:val="20"/>
                <w:szCs w:val="20"/>
                <w:color w:val="auto"/>
              </w:rPr>
            </w:pPr>
            <w:r>
              <w:rPr>
                <w:rFonts w:ascii="Calibri" w:cs="Calibri" w:eastAsia="Calibri" w:hAnsi="Calibri"/>
                <w:sz w:val="18"/>
                <w:szCs w:val="18"/>
                <w:color w:val="auto"/>
                <w:w w:val="87"/>
              </w:rPr>
              <w:t>$</w:t>
            </w:r>
          </w:p>
        </w:tc>
        <w:tc>
          <w:tcPr>
            <w:tcW w:w="88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38</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1220" w:type="dxa"/>
            <w:vAlign w:val="bottom"/>
            <w:gridSpan w:val="2"/>
            <w:shd w:val="clear" w:color="auto" w:fill="CFF0FC"/>
          </w:tcPr>
          <w:p>
            <w:pPr>
              <w:jc w:val="right"/>
              <w:ind w:right="180"/>
              <w:spacing w:after="0" w:line="210" w:lineRule="exact"/>
              <w:rPr>
                <w:sz w:val="20"/>
                <w:szCs w:val="20"/>
                <w:color w:val="auto"/>
              </w:rPr>
            </w:pPr>
            <w:r>
              <w:rPr>
                <w:rFonts w:ascii="Calibri" w:cs="Calibri" w:eastAsia="Calibri" w:hAnsi="Calibri"/>
                <w:sz w:val="18"/>
                <w:szCs w:val="18"/>
                <w:color w:val="auto"/>
              </w:rPr>
              <w:t>(51 )</w:t>
            </w:r>
          </w:p>
        </w:tc>
        <w:tc>
          <w:tcPr>
            <w:tcW w:w="260" w:type="dxa"/>
            <w:vAlign w:val="bottom"/>
            <w:shd w:val="clear" w:color="auto" w:fill="CFF0FC"/>
          </w:tcPr>
          <w:p>
            <w:pPr>
              <w:jc w:val="right"/>
              <w:ind w:right="70"/>
              <w:spacing w:after="0" w:line="210" w:lineRule="exact"/>
              <w:rPr>
                <w:sz w:val="20"/>
                <w:szCs w:val="20"/>
                <w:color w:val="auto"/>
              </w:rPr>
            </w:pPr>
            <w:r>
              <w:rPr>
                <w:rFonts w:ascii="Calibri" w:cs="Calibri" w:eastAsia="Calibri" w:hAnsi="Calibri"/>
                <w:sz w:val="18"/>
                <w:szCs w:val="18"/>
                <w:color w:val="auto"/>
                <w:w w:val="87"/>
              </w:rPr>
              <w:t>$</w:t>
            </w:r>
          </w:p>
        </w:tc>
        <w:tc>
          <w:tcPr>
            <w:tcW w:w="88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404</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1080" w:type="dxa"/>
            <w:vAlign w:val="bottom"/>
            <w:gridSpan w:val="2"/>
            <w:shd w:val="clear" w:color="auto" w:fill="CFF0FC"/>
          </w:tcPr>
          <w:p>
            <w:pPr>
              <w:jc w:val="right"/>
              <w:ind w:right="40"/>
              <w:spacing w:after="0" w:line="210" w:lineRule="exact"/>
              <w:rPr>
                <w:sz w:val="20"/>
                <w:szCs w:val="20"/>
                <w:color w:val="auto"/>
              </w:rPr>
            </w:pPr>
            <w:r>
              <w:rPr>
                <w:rFonts w:ascii="Calibri" w:cs="Calibri" w:eastAsia="Calibri" w:hAnsi="Calibri"/>
                <w:sz w:val="18"/>
                <w:szCs w:val="18"/>
                <w:color w:val="auto"/>
              </w:rPr>
              <w:t>(50 )</w:t>
            </w:r>
          </w:p>
        </w:tc>
        <w:tc>
          <w:tcPr>
            <w:tcW w:w="0" w:type="dxa"/>
            <w:vAlign w:val="bottom"/>
          </w:tcPr>
          <w:p>
            <w:pPr>
              <w:spacing w:after="0"/>
              <w:rPr>
                <w:sz w:val="1"/>
                <w:szCs w:val="1"/>
                <w:color w:val="auto"/>
              </w:rPr>
            </w:pPr>
          </w:p>
        </w:tc>
      </w:tr>
      <w:tr>
        <w:trPr>
          <w:trHeight w:val="564"/>
        </w:trPr>
        <w:tc>
          <w:tcPr>
            <w:tcW w:w="3660" w:type="dxa"/>
            <w:vAlign w:val="bottom"/>
            <w:tcBorders>
              <w:top w:val="single" w:sz="8" w:color="CFF0FC"/>
            </w:tcBorders>
          </w:tcPr>
          <w:p>
            <w:pPr>
              <w:spacing w:after="0"/>
              <w:rPr>
                <w:sz w:val="24"/>
                <w:szCs w:val="24"/>
                <w:color w:val="auto"/>
              </w:rPr>
            </w:pPr>
          </w:p>
        </w:tc>
        <w:tc>
          <w:tcPr>
            <w:tcW w:w="2160" w:type="dxa"/>
            <w:vAlign w:val="bottom"/>
            <w:tcBorders>
              <w:top w:val="single" w:sz="8" w:color="CFF0FC"/>
            </w:tcBorders>
          </w:tcPr>
          <w:p>
            <w:pPr>
              <w:jc w:val="right"/>
              <w:ind w:right="10"/>
              <w:spacing w:after="0"/>
              <w:rPr>
                <w:sz w:val="20"/>
                <w:szCs w:val="20"/>
                <w:color w:val="auto"/>
              </w:rPr>
            </w:pPr>
            <w:r>
              <w:rPr>
                <w:rFonts w:ascii="Calibri" w:cs="Calibri" w:eastAsia="Calibri" w:hAnsi="Calibri"/>
                <w:sz w:val="18"/>
                <w:szCs w:val="18"/>
                <w:color w:val="auto"/>
              </w:rPr>
              <w:t>94</w:t>
            </w: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530"/>
        </w:trPr>
        <w:tc>
          <w:tcPr>
            <w:tcW w:w="366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-744855</wp:posOffset>
            </wp:positionV>
            <wp:extent cx="6858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-727710</wp:posOffset>
            </wp:positionV>
            <wp:extent cx="6858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-744855</wp:posOffset>
            </wp:positionV>
            <wp:extent cx="6858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-727710</wp:posOffset>
            </wp:positionV>
            <wp:extent cx="6858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-744855</wp:posOffset>
            </wp:positionV>
            <wp:extent cx="6858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-727710</wp:posOffset>
            </wp:positionV>
            <wp:extent cx="6858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-744855</wp:posOffset>
            </wp:positionV>
            <wp:extent cx="6858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-727710</wp:posOffset>
            </wp:positionV>
            <wp:extent cx="6858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94" w:name="page95"/>
    <w:bookmarkEnd w:id="94"/>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alibri" w:cs="Calibri" w:eastAsia="Calibri" w:hAnsi="Calibri"/>
          <w:sz w:val="18"/>
          <w:szCs w:val="18"/>
          <w:color w:val="auto"/>
        </w:rPr>
        <w:t>Other changes in major plan assets and beneft obligatons recognized in Other comprehensive (loss) income are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40" w:type="dxa"/>
            <w:vAlign w:val="bottom"/>
            <w:gridSpan w:val="5"/>
          </w:tcPr>
          <w:p>
            <w:pPr>
              <w:jc w:val="right"/>
              <w:ind w:right="440"/>
              <w:spacing w:after="0"/>
              <w:rPr>
                <w:sz w:val="20"/>
                <w:szCs w:val="20"/>
                <w:color w:val="auto"/>
              </w:rPr>
            </w:pPr>
            <w:r>
              <w:rPr>
                <w:rFonts w:ascii="Calibri" w:cs="Calibri" w:eastAsia="Calibri" w:hAnsi="Calibri"/>
                <w:sz w:val="18"/>
                <w:szCs w:val="18"/>
                <w:b w:val="1"/>
                <w:bCs w:val="1"/>
                <w:color w:val="auto"/>
                <w:w w:val="97"/>
              </w:rPr>
              <w:t>Year Ended December 31,</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3"/>
          </w:tcPr>
          <w:p>
            <w:pPr>
              <w:jc w:val="right"/>
              <w:ind w:right="10"/>
              <w:spacing w:after="0" w:line="216" w:lineRule="exact"/>
              <w:rPr>
                <w:sz w:val="20"/>
                <w:szCs w:val="20"/>
                <w:color w:val="auto"/>
              </w:rPr>
            </w:pPr>
            <w:r>
              <w:rPr>
                <w:rFonts w:ascii="Calibri" w:cs="Calibri" w:eastAsia="Calibri" w:hAnsi="Calibri"/>
                <w:sz w:val="18"/>
                <w:szCs w:val="18"/>
                <w:b w:val="1"/>
                <w:bCs w:val="1"/>
                <w:color w:val="auto"/>
              </w:rPr>
              <w:t>2024</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tcPr>
          <w:p>
            <w:pPr>
              <w:jc w:val="right"/>
              <w:spacing w:after="0" w:line="216" w:lineRule="exact"/>
              <w:rPr>
                <w:sz w:val="20"/>
                <w:szCs w:val="20"/>
                <w:color w:val="auto"/>
              </w:rPr>
            </w:pPr>
            <w:r>
              <w:rPr>
                <w:rFonts w:ascii="Calibri" w:cs="Calibri" w:eastAsia="Calibri" w:hAnsi="Calibri"/>
                <w:sz w:val="18"/>
                <w:szCs w:val="18"/>
                <w:b w:val="1"/>
                <w:bCs w:val="1"/>
                <w:color w:val="auto"/>
              </w:rPr>
              <w:t>2023</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3"/>
          </w:tcPr>
          <w:p>
            <w:pPr>
              <w:jc w:val="right"/>
              <w:ind w:right="30"/>
              <w:spacing w:after="0" w:line="216" w:lineRule="exact"/>
              <w:rPr>
                <w:sz w:val="20"/>
                <w:szCs w:val="20"/>
                <w:color w:val="auto"/>
              </w:rPr>
            </w:pPr>
            <w:r>
              <w:rPr>
                <w:rFonts w:ascii="Calibri" w:cs="Calibri" w:eastAsia="Calibri" w:hAnsi="Calibri"/>
                <w:sz w:val="18"/>
                <w:szCs w:val="18"/>
                <w:b w:val="1"/>
                <w:bCs w:val="1"/>
                <w:color w:val="auto"/>
              </w:rPr>
              <w:t>2022</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38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vMerge w:val="restart"/>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vMerge w:val="restart"/>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860" w:type="dxa"/>
            <w:vAlign w:val="bottom"/>
          </w:tcPr>
          <w:p>
            <w:pPr>
              <w:ind w:left="20"/>
              <w:spacing w:after="0"/>
              <w:rPr>
                <w:sz w:val="20"/>
                <w:szCs w:val="20"/>
                <w:color w:val="auto"/>
              </w:rPr>
            </w:pPr>
            <w:r>
              <w:rPr>
                <w:rFonts w:ascii="Calibri" w:cs="Calibri" w:eastAsia="Calibri" w:hAnsi="Calibri"/>
                <w:sz w:val="14"/>
                <w:szCs w:val="14"/>
                <w:color w:val="auto"/>
              </w:rPr>
              <w:t>(in millions)</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0"/>
              <w:spacing w:after="0" w:line="209" w:lineRule="exact"/>
              <w:rPr>
                <w:sz w:val="20"/>
                <w:szCs w:val="20"/>
                <w:color w:val="auto"/>
              </w:rPr>
            </w:pPr>
            <w:r>
              <w:rPr>
                <w:rFonts w:ascii="Calibri" w:cs="Calibri" w:eastAsia="Calibri" w:hAnsi="Calibri"/>
                <w:sz w:val="18"/>
                <w:szCs w:val="18"/>
                <w:b w:val="1"/>
                <w:bCs w:val="1"/>
                <w:color w:val="auto"/>
              </w:rPr>
              <w:t>U.S.</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90"/>
              <w:spacing w:after="0" w:line="209" w:lineRule="exact"/>
              <w:rPr>
                <w:sz w:val="20"/>
                <w:szCs w:val="20"/>
                <w:color w:val="auto"/>
              </w:rPr>
            </w:pPr>
            <w:r>
              <w:rPr>
                <w:rFonts w:ascii="Calibri" w:cs="Calibri" w:eastAsia="Calibri" w:hAnsi="Calibri"/>
                <w:sz w:val="18"/>
                <w:szCs w:val="18"/>
                <w:b w:val="1"/>
                <w:bCs w:val="1"/>
                <w:color w:val="auto"/>
                <w:w w:val="99"/>
              </w:rPr>
              <w:t>Non-U.S.</w:t>
            </w:r>
          </w:p>
        </w:tc>
        <w:tc>
          <w:tcPr>
            <w:tcW w:w="240" w:type="dxa"/>
            <w:vAlign w:val="bottom"/>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line="209" w:lineRule="exact"/>
              <w:rPr>
                <w:sz w:val="20"/>
                <w:szCs w:val="20"/>
                <w:color w:val="auto"/>
              </w:rPr>
            </w:pPr>
            <w:r>
              <w:rPr>
                <w:rFonts w:ascii="Calibri" w:cs="Calibri" w:eastAsia="Calibri" w:hAnsi="Calibri"/>
                <w:sz w:val="18"/>
                <w:szCs w:val="18"/>
                <w:b w:val="1"/>
                <w:bCs w:val="1"/>
                <w:color w:val="auto"/>
              </w:rPr>
              <w:t>U.S.</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90"/>
              <w:spacing w:after="0" w:line="209" w:lineRule="exact"/>
              <w:rPr>
                <w:sz w:val="20"/>
                <w:szCs w:val="20"/>
                <w:color w:val="auto"/>
              </w:rPr>
            </w:pPr>
            <w:r>
              <w:rPr>
                <w:rFonts w:ascii="Calibri" w:cs="Calibri" w:eastAsia="Calibri" w:hAnsi="Calibri"/>
                <w:sz w:val="18"/>
                <w:szCs w:val="18"/>
                <w:b w:val="1"/>
                <w:bCs w:val="1"/>
                <w:color w:val="auto"/>
                <w:w w:val="99"/>
              </w:rPr>
              <w:t>Non-U.S.</w:t>
            </w:r>
          </w:p>
        </w:tc>
        <w:tc>
          <w:tcPr>
            <w:tcW w:w="240" w:type="dxa"/>
            <w:vAlign w:val="bottom"/>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3"/>
              <w:spacing w:after="0"/>
              <w:rPr>
                <w:sz w:val="20"/>
                <w:szCs w:val="20"/>
                <w:color w:val="auto"/>
              </w:rPr>
            </w:pPr>
            <w:r>
              <w:rPr>
                <w:rFonts w:ascii="Calibri" w:cs="Calibri" w:eastAsia="Calibri" w:hAnsi="Calibri"/>
                <w:sz w:val="14"/>
                <w:szCs w:val="14"/>
                <w:b w:val="1"/>
                <w:bCs w:val="1"/>
                <w:color w:val="auto"/>
              </w:rPr>
              <w:t>U.S.</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53"/>
              <w:spacing w:after="0"/>
              <w:rPr>
                <w:sz w:val="20"/>
                <w:szCs w:val="20"/>
                <w:color w:val="auto"/>
              </w:rPr>
            </w:pPr>
            <w:r>
              <w:rPr>
                <w:rFonts w:ascii="Calibri" w:cs="Calibri" w:eastAsia="Calibri" w:hAnsi="Calibri"/>
                <w:sz w:val="14"/>
                <w:szCs w:val="14"/>
                <w:b w:val="1"/>
                <w:bCs w:val="1"/>
                <w:color w:val="auto"/>
              </w:rPr>
              <w:t>Non-U.S.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6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color w:val="auto"/>
              </w:rPr>
              <w:t>Newly established (loss) gain</w:t>
            </w:r>
          </w:p>
        </w:tc>
        <w:tc>
          <w:tcPr>
            <w:tcW w:w="240" w:type="dxa"/>
            <w:vAlign w:val="bottom"/>
            <w:shd w:val="clear" w:color="auto" w:fill="CFF0FC"/>
          </w:tcPr>
          <w:p>
            <w:pPr>
              <w:jc w:val="right"/>
              <w:ind w:right="30"/>
              <w:spacing w:after="0" w:line="210" w:lineRule="exact"/>
              <w:rPr>
                <w:sz w:val="20"/>
                <w:szCs w:val="20"/>
                <w:color w:val="auto"/>
              </w:rPr>
            </w:pPr>
            <w:r>
              <w:rPr>
                <w:rFonts w:ascii="Calibri" w:cs="Calibri" w:eastAsia="Calibri" w:hAnsi="Calibri"/>
                <w:sz w:val="18"/>
                <w:szCs w:val="18"/>
                <w:color w:val="auto"/>
              </w:rPr>
              <w:t>$</w:t>
            </w:r>
          </w:p>
        </w:tc>
        <w:tc>
          <w:tcPr>
            <w:tcW w:w="1060" w:type="dxa"/>
            <w:vAlign w:val="bottom"/>
            <w:gridSpan w:val="2"/>
            <w:shd w:val="clear" w:color="auto" w:fill="CFF0FC"/>
          </w:tcPr>
          <w:p>
            <w:pPr>
              <w:jc w:val="right"/>
              <w:ind w:right="180"/>
              <w:spacing w:after="0" w:line="210" w:lineRule="exact"/>
              <w:rPr>
                <w:sz w:val="20"/>
                <w:szCs w:val="20"/>
                <w:color w:val="auto"/>
              </w:rPr>
            </w:pPr>
            <w:r>
              <w:rPr>
                <w:rFonts w:ascii="Calibri" w:cs="Calibri" w:eastAsia="Calibri" w:hAnsi="Calibri"/>
                <w:sz w:val="18"/>
                <w:szCs w:val="18"/>
                <w:color w:val="auto"/>
              </w:rPr>
              <w:t>(341 )</w:t>
            </w:r>
          </w:p>
        </w:tc>
        <w:tc>
          <w:tcPr>
            <w:tcW w:w="14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1100" w:type="dxa"/>
            <w:vAlign w:val="bottom"/>
            <w:gridSpan w:val="2"/>
            <w:shd w:val="clear" w:color="auto" w:fill="CFF0FC"/>
          </w:tcPr>
          <w:p>
            <w:pPr>
              <w:jc w:val="right"/>
              <w:ind w:right="160"/>
              <w:spacing w:after="0" w:line="210" w:lineRule="exact"/>
              <w:rPr>
                <w:sz w:val="20"/>
                <w:szCs w:val="20"/>
                <w:color w:val="auto"/>
              </w:rPr>
            </w:pPr>
            <w:r>
              <w:rPr>
                <w:rFonts w:ascii="Calibri" w:cs="Calibri" w:eastAsia="Calibri" w:hAnsi="Calibri"/>
                <w:sz w:val="18"/>
                <w:szCs w:val="18"/>
                <w:color w:val="auto"/>
              </w:rPr>
              <w:t>(2 )</w:t>
            </w:r>
          </w:p>
        </w:tc>
        <w:tc>
          <w:tcPr>
            <w:tcW w:w="14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1100" w:type="dxa"/>
            <w:vAlign w:val="bottom"/>
            <w:gridSpan w:val="2"/>
            <w:shd w:val="clear" w:color="auto" w:fill="CFF0FC"/>
          </w:tcPr>
          <w:p>
            <w:pPr>
              <w:jc w:val="right"/>
              <w:ind w:right="160"/>
              <w:spacing w:after="0" w:line="210" w:lineRule="exact"/>
              <w:rPr>
                <w:sz w:val="20"/>
                <w:szCs w:val="20"/>
                <w:color w:val="auto"/>
              </w:rPr>
            </w:pPr>
            <w:r>
              <w:rPr>
                <w:rFonts w:ascii="Calibri" w:cs="Calibri" w:eastAsia="Calibri" w:hAnsi="Calibri"/>
                <w:sz w:val="18"/>
                <w:szCs w:val="18"/>
                <w:color w:val="auto"/>
              </w:rPr>
              <w:t>(115 )</w:t>
            </w:r>
          </w:p>
        </w:tc>
        <w:tc>
          <w:tcPr>
            <w:tcW w:w="14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1100" w:type="dxa"/>
            <w:vAlign w:val="bottom"/>
            <w:gridSpan w:val="2"/>
            <w:shd w:val="clear" w:color="auto" w:fill="CFF0FC"/>
          </w:tcPr>
          <w:p>
            <w:pPr>
              <w:jc w:val="right"/>
              <w:ind w:right="160"/>
              <w:spacing w:after="0" w:line="210" w:lineRule="exact"/>
              <w:rPr>
                <w:sz w:val="20"/>
                <w:szCs w:val="20"/>
                <w:color w:val="auto"/>
              </w:rPr>
            </w:pPr>
            <w:r>
              <w:rPr>
                <w:rFonts w:ascii="Calibri" w:cs="Calibri" w:eastAsia="Calibri" w:hAnsi="Calibri"/>
                <w:sz w:val="18"/>
                <w:szCs w:val="18"/>
                <w:color w:val="auto"/>
              </w:rPr>
              <w:t>(7 )</w:t>
            </w:r>
          </w:p>
        </w:tc>
        <w:tc>
          <w:tcPr>
            <w:tcW w:w="240" w:type="dxa"/>
            <w:vAlign w:val="bottom"/>
            <w:shd w:val="clear" w:color="auto" w:fill="CFF0FC"/>
          </w:tcPr>
          <w:p>
            <w:pPr>
              <w:jc w:val="right"/>
              <w:ind w:right="50"/>
              <w:spacing w:after="0" w:line="210" w:lineRule="exact"/>
              <w:rPr>
                <w:sz w:val="20"/>
                <w:szCs w:val="20"/>
                <w:color w:val="auto"/>
              </w:rPr>
            </w:pPr>
            <w:r>
              <w:rPr>
                <w:rFonts w:ascii="Calibri" w:cs="Calibri" w:eastAsia="Calibri" w:hAnsi="Calibri"/>
                <w:sz w:val="18"/>
                <w:szCs w:val="18"/>
                <w:color w:val="auto"/>
                <w:w w:val="87"/>
              </w:rPr>
              <w:t>$</w:t>
            </w:r>
          </w:p>
        </w:tc>
        <w:tc>
          <w:tcPr>
            <w:tcW w:w="76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149</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84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120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60" w:type="dxa"/>
            <w:vAlign w:val="bottom"/>
          </w:tcPr>
          <w:p>
            <w:pPr>
              <w:ind w:left="20"/>
              <w:spacing w:after="0" w:line="215" w:lineRule="exact"/>
              <w:rPr>
                <w:sz w:val="20"/>
                <w:szCs w:val="20"/>
                <w:color w:val="auto"/>
              </w:rPr>
            </w:pPr>
            <w:r>
              <w:rPr>
                <w:rFonts w:ascii="Calibri" w:cs="Calibri" w:eastAsia="Calibri" w:hAnsi="Calibri"/>
                <w:sz w:val="18"/>
                <w:szCs w:val="18"/>
                <w:color w:val="auto"/>
              </w:rPr>
              <w:t>Newly established prior service cost</w:t>
            </w:r>
          </w:p>
        </w:tc>
        <w:tc>
          <w:tcPr>
            <w:tcW w:w="240" w:type="dxa"/>
            <w:vAlign w:val="bottom"/>
          </w:tcPr>
          <w:p>
            <w:pPr>
              <w:spacing w:after="0"/>
              <w:rPr>
                <w:sz w:val="18"/>
                <w:szCs w:val="18"/>
                <w:color w:val="auto"/>
              </w:rPr>
            </w:pPr>
          </w:p>
        </w:tc>
        <w:tc>
          <w:tcPr>
            <w:tcW w:w="1060" w:type="dxa"/>
            <w:vAlign w:val="bottom"/>
            <w:gridSpan w:val="2"/>
          </w:tcPr>
          <w:p>
            <w:pPr>
              <w:jc w:val="right"/>
              <w:ind w:right="260"/>
              <w:spacing w:after="0" w:line="215" w:lineRule="exact"/>
              <w:rPr>
                <w:sz w:val="20"/>
                <w:szCs w:val="20"/>
                <w:color w:val="auto"/>
              </w:rPr>
            </w:pPr>
            <w:r>
              <w:rPr>
                <w:rFonts w:ascii="Calibri" w:cs="Calibri" w:eastAsia="Calibri" w:hAnsi="Calibri"/>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(29 )</w:t>
            </w:r>
          </w:p>
        </w:tc>
        <w:tc>
          <w:tcPr>
            <w:tcW w:w="140" w:type="dxa"/>
            <w:vAlign w:val="bottom"/>
          </w:tcPr>
          <w:p>
            <w:pPr>
              <w:spacing w:after="0"/>
              <w:rPr>
                <w:sz w:val="18"/>
                <w:szCs w:val="18"/>
                <w:color w:val="auto"/>
              </w:rPr>
            </w:pPr>
          </w:p>
        </w:tc>
        <w:tc>
          <w:tcPr>
            <w:tcW w:w="110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(28 )</w:t>
            </w:r>
          </w:p>
        </w:tc>
        <w:tc>
          <w:tcPr>
            <w:tcW w:w="180" w:type="dxa"/>
            <w:vAlign w:val="bottom"/>
          </w:tcPr>
          <w:p>
            <w:pPr>
              <w:spacing w:after="0"/>
              <w:rPr>
                <w:sz w:val="18"/>
                <w:szCs w:val="18"/>
                <w:color w:val="auto"/>
              </w:rPr>
            </w:pPr>
          </w:p>
        </w:tc>
        <w:tc>
          <w:tcPr>
            <w:tcW w:w="94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17"/>
        </w:trPr>
        <w:tc>
          <w:tcPr>
            <w:tcW w:w="386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Amortzaton of:</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60" w:type="dxa"/>
            <w:vAlign w:val="bottom"/>
          </w:tcPr>
          <w:p>
            <w:pPr>
              <w:ind w:left="200"/>
              <w:spacing w:after="0" w:line="215" w:lineRule="exact"/>
              <w:rPr>
                <w:sz w:val="20"/>
                <w:szCs w:val="20"/>
                <w:color w:val="auto"/>
              </w:rPr>
            </w:pPr>
            <w:r>
              <w:rPr>
                <w:rFonts w:ascii="Calibri" w:cs="Calibri" w:eastAsia="Calibri" w:hAnsi="Calibri"/>
                <w:sz w:val="18"/>
                <w:szCs w:val="18"/>
                <w:color w:val="auto"/>
              </w:rPr>
              <w:t>Prior service cost (credit)</w:t>
            </w:r>
          </w:p>
        </w:tc>
        <w:tc>
          <w:tcPr>
            <w:tcW w:w="240" w:type="dxa"/>
            <w:vAlign w:val="bottom"/>
          </w:tcPr>
          <w:p>
            <w:pPr>
              <w:spacing w:after="0"/>
              <w:rPr>
                <w:sz w:val="18"/>
                <w:szCs w:val="18"/>
                <w:color w:val="auto"/>
              </w:rPr>
            </w:pPr>
          </w:p>
        </w:tc>
        <w:tc>
          <w:tcPr>
            <w:tcW w:w="800" w:type="dxa"/>
            <w:vAlign w:val="bottom"/>
          </w:tcPr>
          <w:p>
            <w:pPr>
              <w:jc w:val="right"/>
              <w:spacing w:after="0" w:line="215" w:lineRule="exact"/>
              <w:rPr>
                <w:sz w:val="20"/>
                <w:szCs w:val="20"/>
                <w:color w:val="auto"/>
              </w:rPr>
            </w:pPr>
            <w:r>
              <w:rPr>
                <w:rFonts w:ascii="Calibri" w:cs="Calibri" w:eastAsia="Calibri" w:hAnsi="Calibri"/>
                <w:sz w:val="18"/>
                <w:szCs w:val="18"/>
                <w:color w:val="auto"/>
              </w:rPr>
              <w:t>12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140" w:type="dxa"/>
            <w:vAlign w:val="bottom"/>
          </w:tcPr>
          <w:p>
            <w:pPr>
              <w:spacing w:after="0"/>
              <w:rPr>
                <w:sz w:val="18"/>
                <w:szCs w:val="18"/>
                <w:color w:val="auto"/>
              </w:rPr>
            </w:pP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(3 )</w:t>
            </w:r>
          </w:p>
        </w:tc>
        <w:tc>
          <w:tcPr>
            <w:tcW w:w="180" w:type="dxa"/>
            <w:vAlign w:val="bottom"/>
          </w:tcPr>
          <w:p>
            <w:pPr>
              <w:spacing w:after="0"/>
              <w:rPr>
                <w:sz w:val="18"/>
                <w:szCs w:val="18"/>
                <w:color w:val="auto"/>
              </w:rPr>
            </w:pPr>
          </w:p>
        </w:tc>
        <w:tc>
          <w:tcPr>
            <w:tcW w:w="94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shd w:val="clear" w:color="auto" w:fill="CFF0FC"/>
          </w:tcPr>
          <w:p>
            <w:pPr>
              <w:ind w:left="200"/>
              <w:spacing w:after="0" w:line="216" w:lineRule="exact"/>
              <w:rPr>
                <w:sz w:val="20"/>
                <w:szCs w:val="20"/>
                <w:color w:val="auto"/>
              </w:rPr>
            </w:pPr>
            <w:r>
              <w:rPr>
                <w:rFonts w:ascii="Calibri" w:cs="Calibri" w:eastAsia="Calibri" w:hAnsi="Calibri"/>
                <w:sz w:val="18"/>
                <w:szCs w:val="18"/>
                <w:color w:val="auto"/>
              </w:rPr>
              <w:t>Net actuarial (gain) loss</w:t>
            </w: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80"/>
              <w:spacing w:after="0" w:line="216" w:lineRule="exact"/>
              <w:rPr>
                <w:sz w:val="20"/>
                <w:szCs w:val="20"/>
                <w:color w:val="auto"/>
              </w:rPr>
            </w:pPr>
            <w:r>
              <w:rPr>
                <w:rFonts w:ascii="Calibri" w:cs="Calibri" w:eastAsia="Calibri" w:hAnsi="Calibri"/>
                <w:sz w:val="18"/>
                <w:szCs w:val="18"/>
                <w:color w:val="auto"/>
              </w:rPr>
              <w:t>(37 )</w:t>
            </w: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60"/>
              <w:spacing w:after="0" w:line="216" w:lineRule="exact"/>
              <w:rPr>
                <w:sz w:val="20"/>
                <w:szCs w:val="20"/>
                <w:color w:val="auto"/>
              </w:rPr>
            </w:pPr>
            <w:r>
              <w:rPr>
                <w:rFonts w:ascii="Calibri" w:cs="Calibri" w:eastAsia="Calibri" w:hAnsi="Calibri"/>
                <w:sz w:val="18"/>
                <w:szCs w:val="18"/>
                <w:color w:val="auto"/>
              </w:rPr>
              <w:t>(30 )</w:t>
            </w: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40"/>
              <w:spacing w:after="0" w:line="216" w:lineRule="exact"/>
              <w:rPr>
                <w:sz w:val="20"/>
                <w:szCs w:val="20"/>
                <w:color w:val="auto"/>
              </w:rPr>
            </w:pPr>
            <w:r>
              <w:rPr>
                <w:rFonts w:ascii="Calibri" w:cs="Calibri" w:eastAsia="Calibri" w:hAnsi="Calibri"/>
                <w:sz w:val="18"/>
                <w:szCs w:val="18"/>
                <w:color w:val="auto"/>
              </w:rPr>
              <w:t>—</w:t>
            </w: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860" w:type="dxa"/>
            <w:vAlign w:val="bottom"/>
          </w:tcPr>
          <w:p>
            <w:pPr>
              <w:ind w:left="20"/>
              <w:spacing w:after="0" w:line="187" w:lineRule="exact"/>
              <w:rPr>
                <w:sz w:val="20"/>
                <w:szCs w:val="20"/>
                <w:color w:val="auto"/>
              </w:rPr>
            </w:pPr>
            <w:r>
              <w:rPr>
                <w:rFonts w:ascii="Calibri" w:cs="Calibri" w:eastAsia="Calibri" w:hAnsi="Calibri"/>
                <w:sz w:val="18"/>
                <w:szCs w:val="18"/>
                <w:color w:val="auto"/>
              </w:rPr>
              <w:t>Total (loss) income recognized in Other</w:t>
            </w:r>
          </w:p>
        </w:tc>
        <w:tc>
          <w:tcPr>
            <w:tcW w:w="240" w:type="dxa"/>
            <w:vAlign w:val="bottom"/>
            <w:vMerge w:val="restart"/>
          </w:tcPr>
          <w:p>
            <w:pPr>
              <w:jc w:val="right"/>
              <w:ind w:right="30"/>
              <w:spacing w:after="0"/>
              <w:rPr>
                <w:sz w:val="20"/>
                <w:szCs w:val="20"/>
                <w:color w:val="auto"/>
              </w:rPr>
            </w:pPr>
            <w:r>
              <w:rPr>
                <w:rFonts w:ascii="Calibri" w:cs="Calibri" w:eastAsia="Calibri" w:hAnsi="Calibri"/>
                <w:sz w:val="18"/>
                <w:szCs w:val="18"/>
                <w:color w:val="auto"/>
              </w:rPr>
              <w:t>$</w:t>
            </w:r>
          </w:p>
        </w:tc>
        <w:tc>
          <w:tcPr>
            <w:tcW w:w="1060" w:type="dxa"/>
            <w:vAlign w:val="bottom"/>
            <w:gridSpan w:val="2"/>
            <w:vMerge w:val="restart"/>
          </w:tcPr>
          <w:p>
            <w:pPr>
              <w:jc w:val="right"/>
              <w:ind w:right="180"/>
              <w:spacing w:after="0"/>
              <w:rPr>
                <w:sz w:val="20"/>
                <w:szCs w:val="20"/>
                <w:color w:val="auto"/>
              </w:rPr>
            </w:pPr>
            <w:r>
              <w:rPr>
                <w:rFonts w:ascii="Calibri" w:cs="Calibri" w:eastAsia="Calibri" w:hAnsi="Calibri"/>
                <w:sz w:val="18"/>
                <w:szCs w:val="18"/>
                <w:color w:val="auto"/>
              </w:rPr>
              <w:t>(366 )</w:t>
            </w:r>
          </w:p>
        </w:tc>
        <w:tc>
          <w:tcPr>
            <w:tcW w:w="140" w:type="dxa"/>
            <w:vAlign w:val="bottom"/>
            <w:vMerge w:val="restart"/>
          </w:tcPr>
          <w:p>
            <w:pPr>
              <w:jc w:val="right"/>
              <w:spacing w:after="0"/>
              <w:rPr>
                <w:sz w:val="20"/>
                <w:szCs w:val="20"/>
                <w:color w:val="auto"/>
              </w:rPr>
            </w:pPr>
            <w:r>
              <w:rPr>
                <w:rFonts w:ascii="Calibri" w:cs="Calibri" w:eastAsia="Calibri" w:hAnsi="Calibri"/>
                <w:sz w:val="18"/>
                <w:szCs w:val="18"/>
                <w:color w:val="auto"/>
                <w:w w:val="87"/>
              </w:rPr>
              <w:t>$</w:t>
            </w:r>
          </w:p>
        </w:tc>
        <w:tc>
          <w:tcPr>
            <w:tcW w:w="1100" w:type="dxa"/>
            <w:vAlign w:val="bottom"/>
            <w:gridSpan w:val="2"/>
            <w:vMerge w:val="restart"/>
          </w:tcPr>
          <w:p>
            <w:pPr>
              <w:jc w:val="right"/>
              <w:ind w:right="240"/>
              <w:spacing w:after="0"/>
              <w:rPr>
                <w:sz w:val="20"/>
                <w:szCs w:val="20"/>
                <w:color w:val="auto"/>
              </w:rPr>
            </w:pPr>
            <w:r>
              <w:rPr>
                <w:rFonts w:ascii="Calibri" w:cs="Calibri" w:eastAsia="Calibri" w:hAnsi="Calibri"/>
                <w:sz w:val="18"/>
                <w:szCs w:val="18"/>
                <w:color w:val="auto"/>
              </w:rPr>
              <w:t>—</w:t>
            </w:r>
          </w:p>
        </w:tc>
        <w:tc>
          <w:tcPr>
            <w:tcW w:w="140" w:type="dxa"/>
            <w:vAlign w:val="bottom"/>
            <w:vMerge w:val="restart"/>
          </w:tcPr>
          <w:p>
            <w:pPr>
              <w:jc w:val="right"/>
              <w:spacing w:after="0"/>
              <w:rPr>
                <w:sz w:val="20"/>
                <w:szCs w:val="20"/>
                <w:color w:val="auto"/>
              </w:rPr>
            </w:pPr>
            <w:r>
              <w:rPr>
                <w:rFonts w:ascii="Calibri" w:cs="Calibri" w:eastAsia="Calibri" w:hAnsi="Calibri"/>
                <w:sz w:val="18"/>
                <w:szCs w:val="18"/>
                <w:color w:val="auto"/>
                <w:w w:val="87"/>
              </w:rPr>
              <w:t>$</w:t>
            </w:r>
          </w:p>
        </w:tc>
        <w:tc>
          <w:tcPr>
            <w:tcW w:w="1100" w:type="dxa"/>
            <w:vAlign w:val="bottom"/>
            <w:gridSpan w:val="2"/>
            <w:vMerge w:val="restart"/>
          </w:tcPr>
          <w:p>
            <w:pPr>
              <w:jc w:val="right"/>
              <w:ind w:right="160"/>
              <w:spacing w:after="0"/>
              <w:rPr>
                <w:sz w:val="20"/>
                <w:szCs w:val="20"/>
                <w:color w:val="auto"/>
              </w:rPr>
            </w:pPr>
            <w:r>
              <w:rPr>
                <w:rFonts w:ascii="Calibri" w:cs="Calibri" w:eastAsia="Calibri" w:hAnsi="Calibri"/>
                <w:sz w:val="18"/>
                <w:szCs w:val="18"/>
                <w:color w:val="auto"/>
              </w:rPr>
              <w:t>(165 )</w:t>
            </w:r>
          </w:p>
        </w:tc>
        <w:tc>
          <w:tcPr>
            <w:tcW w:w="140" w:type="dxa"/>
            <w:vAlign w:val="bottom"/>
            <w:vMerge w:val="restart"/>
          </w:tcPr>
          <w:p>
            <w:pPr>
              <w:jc w:val="right"/>
              <w:spacing w:after="0"/>
              <w:rPr>
                <w:sz w:val="20"/>
                <w:szCs w:val="20"/>
                <w:color w:val="auto"/>
              </w:rPr>
            </w:pPr>
            <w:r>
              <w:rPr>
                <w:rFonts w:ascii="Calibri" w:cs="Calibri" w:eastAsia="Calibri" w:hAnsi="Calibri"/>
                <w:sz w:val="18"/>
                <w:szCs w:val="18"/>
                <w:color w:val="auto"/>
                <w:w w:val="87"/>
              </w:rPr>
              <w:t>$</w:t>
            </w:r>
          </w:p>
        </w:tc>
        <w:tc>
          <w:tcPr>
            <w:tcW w:w="1100" w:type="dxa"/>
            <w:vAlign w:val="bottom"/>
            <w:gridSpan w:val="2"/>
            <w:vMerge w:val="restart"/>
          </w:tcPr>
          <w:p>
            <w:pPr>
              <w:jc w:val="right"/>
              <w:ind w:right="160"/>
              <w:spacing w:after="0"/>
              <w:rPr>
                <w:sz w:val="20"/>
                <w:szCs w:val="20"/>
                <w:color w:val="auto"/>
              </w:rPr>
            </w:pPr>
            <w:r>
              <w:rPr>
                <w:rFonts w:ascii="Calibri" w:cs="Calibri" w:eastAsia="Calibri" w:hAnsi="Calibri"/>
                <w:sz w:val="18"/>
                <w:szCs w:val="18"/>
                <w:color w:val="auto"/>
              </w:rPr>
              <w:t>(6 )</w:t>
            </w:r>
          </w:p>
        </w:tc>
        <w:tc>
          <w:tcPr>
            <w:tcW w:w="240" w:type="dxa"/>
            <w:vAlign w:val="bottom"/>
            <w:vMerge w:val="restart"/>
          </w:tcPr>
          <w:p>
            <w:pPr>
              <w:jc w:val="right"/>
              <w:ind w:right="50"/>
              <w:spacing w:after="0"/>
              <w:rPr>
                <w:sz w:val="20"/>
                <w:szCs w:val="20"/>
                <w:color w:val="auto"/>
              </w:rPr>
            </w:pPr>
            <w:r>
              <w:rPr>
                <w:rFonts w:ascii="Calibri" w:cs="Calibri" w:eastAsia="Calibri" w:hAnsi="Calibri"/>
                <w:sz w:val="18"/>
                <w:szCs w:val="18"/>
                <w:color w:val="auto"/>
                <w:w w:val="87"/>
              </w:rPr>
              <w:t>$</w:t>
            </w:r>
          </w:p>
        </w:tc>
        <w:tc>
          <w:tcPr>
            <w:tcW w:w="760" w:type="dxa"/>
            <w:vAlign w:val="bottom"/>
            <w:vMerge w:val="restart"/>
          </w:tcPr>
          <w:p>
            <w:pPr>
              <w:jc w:val="right"/>
              <w:spacing w:after="0"/>
              <w:rPr>
                <w:sz w:val="20"/>
                <w:szCs w:val="20"/>
                <w:color w:val="auto"/>
              </w:rPr>
            </w:pPr>
            <w:r>
              <w:rPr>
                <w:rFonts w:ascii="Calibri" w:cs="Calibri" w:eastAsia="Calibri" w:hAnsi="Calibri"/>
                <w:sz w:val="18"/>
                <w:szCs w:val="18"/>
                <w:color w:val="auto"/>
              </w:rPr>
              <w:t>118</w:t>
            </w:r>
          </w:p>
        </w:tc>
        <w:tc>
          <w:tcPr>
            <w:tcW w:w="240" w:type="dxa"/>
            <w:vAlign w:val="bottom"/>
          </w:tcPr>
          <w:p>
            <w:pPr>
              <w:spacing w:after="0"/>
              <w:rPr>
                <w:sz w:val="16"/>
                <w:szCs w:val="16"/>
                <w:color w:val="auto"/>
              </w:rPr>
            </w:pPr>
          </w:p>
        </w:tc>
        <w:tc>
          <w:tcPr>
            <w:tcW w:w="180" w:type="dxa"/>
            <w:vAlign w:val="bottom"/>
            <w:vMerge w:val="restart"/>
          </w:tcPr>
          <w:p>
            <w:pPr>
              <w:jc w:val="right"/>
              <w:spacing w:after="0"/>
              <w:rPr>
                <w:sz w:val="20"/>
                <w:szCs w:val="20"/>
                <w:color w:val="auto"/>
              </w:rPr>
            </w:pPr>
            <w:r>
              <w:rPr>
                <w:rFonts w:ascii="Calibri" w:cs="Calibri" w:eastAsia="Calibri" w:hAnsi="Calibri"/>
                <w:sz w:val="18"/>
                <w:szCs w:val="18"/>
                <w:color w:val="auto"/>
                <w:w w:val="87"/>
              </w:rPr>
              <w:t>$</w:t>
            </w:r>
          </w:p>
        </w:tc>
        <w:tc>
          <w:tcPr>
            <w:tcW w:w="840" w:type="dxa"/>
            <w:vAlign w:val="bottom"/>
            <w:vMerge w:val="restart"/>
          </w:tcPr>
          <w:p>
            <w:pPr>
              <w:jc w:val="right"/>
              <w:spacing w:after="0"/>
              <w:rPr>
                <w:sz w:val="20"/>
                <w:szCs w:val="20"/>
                <w:color w:val="auto"/>
              </w:rPr>
            </w:pPr>
            <w:r>
              <w:rPr>
                <w:rFonts w:ascii="Calibri" w:cs="Calibri" w:eastAsia="Calibri" w:hAnsi="Calibri"/>
                <w:sz w:val="18"/>
                <w:szCs w:val="18"/>
                <w:color w:val="auto"/>
              </w:rPr>
              <w:t>130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860" w:type="dxa"/>
            <w:vAlign w:val="bottom"/>
          </w:tcPr>
          <w:p>
            <w:pPr>
              <w:ind w:left="20"/>
              <w:spacing w:after="0" w:line="198" w:lineRule="exact"/>
              <w:rPr>
                <w:sz w:val="20"/>
                <w:szCs w:val="20"/>
                <w:color w:val="auto"/>
              </w:rPr>
            </w:pPr>
            <w:r>
              <w:rPr>
                <w:rFonts w:ascii="Calibri" w:cs="Calibri" w:eastAsia="Calibri" w:hAnsi="Calibri"/>
                <w:sz w:val="18"/>
                <w:szCs w:val="18"/>
                <w:color w:val="auto"/>
              </w:rPr>
              <w:t>comprehensive (loss) income</w:t>
            </w:r>
          </w:p>
        </w:tc>
        <w:tc>
          <w:tcPr>
            <w:tcW w:w="240" w:type="dxa"/>
            <w:vAlign w:val="bottom"/>
            <w:vMerge w:val="continue"/>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3116580</wp:posOffset>
            </wp:positionH>
            <wp:positionV relativeFrom="paragraph">
              <wp:posOffset>-282575</wp:posOffset>
            </wp:positionV>
            <wp:extent cx="7747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-282575</wp:posOffset>
            </wp:positionV>
            <wp:extent cx="6858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-282575</wp:posOffset>
            </wp:positionV>
            <wp:extent cx="6858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-282575</wp:posOffset>
            </wp:positionV>
            <wp:extent cx="6858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-282575</wp:posOffset>
            </wp:positionV>
            <wp:extent cx="6858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-282575</wp:posOffset>
            </wp:positionV>
            <wp:extent cx="6858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color w:val="auto"/>
        </w:rPr>
        <w:t>For the year ended December 31, 2024, the U.S. loss consisted of the PBO actuarial gain of $56 million and an asset actuarial loss of $397 million as actual asset returns were less than expected returns primarily due to the sale of the KRIP Illiquid Assets as discussed above, and the Non-U.S. loss consisted of the PBO actuarial gain of $12 million ofset by asset actuarial losses of $14 million as actual asset returns were less than expected returns. For the year ended December 31, 2023, the U.S. loss consisted of the PBO actuarial loss of $28 million and an asset actuarial loss of $87 million as actual asset returns were less than expected returns and the Non-U.S. loss consisted of the PBO actuarial loss of $12 million partally ofset by asset actuarial gains of $5 million as actual asset returns exceeded expected returns.</w:t>
      </w:r>
    </w:p>
    <w:p>
      <w:pPr>
        <w:spacing w:after="0" w:line="18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Pension (Income) Expense:</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color w:val="auto"/>
        </w:rPr>
        <w:t>Pension (income) expense for all defned beneft plans included: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40" w:type="dxa"/>
            <w:vAlign w:val="bottom"/>
            <w:gridSpan w:val="5"/>
          </w:tcPr>
          <w:p>
            <w:pPr>
              <w:jc w:val="right"/>
              <w:ind w:right="440"/>
              <w:spacing w:after="0"/>
              <w:rPr>
                <w:sz w:val="20"/>
                <w:szCs w:val="20"/>
                <w:color w:val="auto"/>
              </w:rPr>
            </w:pPr>
            <w:r>
              <w:rPr>
                <w:rFonts w:ascii="Calibri" w:cs="Calibri" w:eastAsia="Calibri" w:hAnsi="Calibri"/>
                <w:sz w:val="18"/>
                <w:szCs w:val="18"/>
                <w:b w:val="1"/>
                <w:bCs w:val="1"/>
                <w:color w:val="auto"/>
                <w:w w:val="97"/>
              </w:rPr>
              <w:t>Year Ended December 31,</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3"/>
          </w:tcPr>
          <w:p>
            <w:pPr>
              <w:jc w:val="right"/>
              <w:ind w:right="10"/>
              <w:spacing w:after="0" w:line="216" w:lineRule="exact"/>
              <w:rPr>
                <w:sz w:val="20"/>
                <w:szCs w:val="20"/>
                <w:color w:val="auto"/>
              </w:rPr>
            </w:pPr>
            <w:r>
              <w:rPr>
                <w:rFonts w:ascii="Calibri" w:cs="Calibri" w:eastAsia="Calibri" w:hAnsi="Calibri"/>
                <w:sz w:val="18"/>
                <w:szCs w:val="18"/>
                <w:b w:val="1"/>
                <w:bCs w:val="1"/>
                <w:color w:val="auto"/>
              </w:rPr>
              <w:t>2024</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tcPr>
          <w:p>
            <w:pPr>
              <w:jc w:val="right"/>
              <w:spacing w:after="0" w:line="216" w:lineRule="exact"/>
              <w:rPr>
                <w:sz w:val="20"/>
                <w:szCs w:val="20"/>
                <w:color w:val="auto"/>
              </w:rPr>
            </w:pPr>
            <w:r>
              <w:rPr>
                <w:rFonts w:ascii="Calibri" w:cs="Calibri" w:eastAsia="Calibri" w:hAnsi="Calibri"/>
                <w:sz w:val="18"/>
                <w:szCs w:val="18"/>
                <w:b w:val="1"/>
                <w:bCs w:val="1"/>
                <w:color w:val="auto"/>
              </w:rPr>
              <w:t>2023</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3"/>
          </w:tcPr>
          <w:p>
            <w:pPr>
              <w:jc w:val="right"/>
              <w:ind w:right="30"/>
              <w:spacing w:after="0" w:line="216" w:lineRule="exact"/>
              <w:rPr>
                <w:sz w:val="20"/>
                <w:szCs w:val="20"/>
                <w:color w:val="auto"/>
              </w:rPr>
            </w:pPr>
            <w:r>
              <w:rPr>
                <w:rFonts w:ascii="Calibri" w:cs="Calibri" w:eastAsia="Calibri" w:hAnsi="Calibri"/>
                <w:sz w:val="18"/>
                <w:szCs w:val="18"/>
                <w:b w:val="1"/>
                <w:bCs w:val="1"/>
                <w:color w:val="auto"/>
              </w:rPr>
              <w:t>2022</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38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vMerge w:val="restart"/>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vMerge w:val="restart"/>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860" w:type="dxa"/>
            <w:vAlign w:val="bottom"/>
          </w:tcPr>
          <w:p>
            <w:pPr>
              <w:ind w:left="20"/>
              <w:spacing w:after="0"/>
              <w:rPr>
                <w:sz w:val="20"/>
                <w:szCs w:val="20"/>
                <w:color w:val="auto"/>
              </w:rPr>
            </w:pPr>
            <w:r>
              <w:rPr>
                <w:rFonts w:ascii="Calibri" w:cs="Calibri" w:eastAsia="Calibri" w:hAnsi="Calibri"/>
                <w:sz w:val="14"/>
                <w:szCs w:val="14"/>
                <w:color w:val="auto"/>
              </w:rPr>
              <w:t>(in millions)</w:t>
            </w:r>
          </w:p>
        </w:tc>
        <w:tc>
          <w:tcPr>
            <w:tcW w:w="240" w:type="dxa"/>
            <w:vAlign w:val="bottom"/>
          </w:tcPr>
          <w:p>
            <w:pPr>
              <w:spacing w:after="0"/>
              <w:rPr>
                <w:sz w:val="18"/>
                <w:szCs w:val="18"/>
                <w:color w:val="auto"/>
              </w:rPr>
            </w:pPr>
          </w:p>
        </w:tc>
        <w:tc>
          <w:tcPr>
            <w:tcW w:w="1060" w:type="dxa"/>
            <w:vAlign w:val="bottom"/>
            <w:gridSpan w:val="2"/>
          </w:tcPr>
          <w:p>
            <w:pPr>
              <w:jc w:val="right"/>
              <w:ind w:right="620"/>
              <w:spacing w:after="0" w:line="209" w:lineRule="exact"/>
              <w:rPr>
                <w:sz w:val="20"/>
                <w:szCs w:val="20"/>
                <w:color w:val="auto"/>
              </w:rPr>
            </w:pPr>
            <w:r>
              <w:rPr>
                <w:rFonts w:ascii="Calibri" w:cs="Calibri" w:eastAsia="Calibri" w:hAnsi="Calibri"/>
                <w:sz w:val="18"/>
                <w:szCs w:val="18"/>
                <w:b w:val="1"/>
                <w:bCs w:val="1"/>
                <w:color w:val="auto"/>
              </w:rPr>
              <w:t>U.S.</w:t>
            </w:r>
          </w:p>
        </w:tc>
        <w:tc>
          <w:tcPr>
            <w:tcW w:w="140" w:type="dxa"/>
            <w:vAlign w:val="bottom"/>
          </w:tcPr>
          <w:p>
            <w:pPr>
              <w:spacing w:after="0"/>
              <w:rPr>
                <w:sz w:val="18"/>
                <w:szCs w:val="18"/>
                <w:color w:val="auto"/>
              </w:rPr>
            </w:pPr>
          </w:p>
        </w:tc>
        <w:tc>
          <w:tcPr>
            <w:tcW w:w="860" w:type="dxa"/>
            <w:vAlign w:val="bottom"/>
          </w:tcPr>
          <w:p>
            <w:pPr>
              <w:jc w:val="right"/>
              <w:ind w:right="90"/>
              <w:spacing w:after="0" w:line="209" w:lineRule="exact"/>
              <w:rPr>
                <w:sz w:val="20"/>
                <w:szCs w:val="20"/>
                <w:color w:val="auto"/>
              </w:rPr>
            </w:pPr>
            <w:r>
              <w:rPr>
                <w:rFonts w:ascii="Calibri" w:cs="Calibri" w:eastAsia="Calibri" w:hAnsi="Calibri"/>
                <w:sz w:val="18"/>
                <w:szCs w:val="18"/>
                <w:b w:val="1"/>
                <w:bCs w:val="1"/>
                <w:color w:val="auto"/>
                <w:w w:val="99"/>
              </w:rPr>
              <w:t>Non-U.S.</w:t>
            </w:r>
          </w:p>
        </w:tc>
        <w:tc>
          <w:tcPr>
            <w:tcW w:w="2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600"/>
              <w:spacing w:after="0" w:line="209" w:lineRule="exact"/>
              <w:rPr>
                <w:sz w:val="20"/>
                <w:szCs w:val="20"/>
                <w:color w:val="auto"/>
              </w:rPr>
            </w:pPr>
            <w:r>
              <w:rPr>
                <w:rFonts w:ascii="Calibri" w:cs="Calibri" w:eastAsia="Calibri" w:hAnsi="Calibri"/>
                <w:sz w:val="18"/>
                <w:szCs w:val="18"/>
                <w:b w:val="1"/>
                <w:bCs w:val="1"/>
                <w:color w:val="auto"/>
              </w:rPr>
              <w:t>U.S.</w:t>
            </w:r>
          </w:p>
        </w:tc>
        <w:tc>
          <w:tcPr>
            <w:tcW w:w="140" w:type="dxa"/>
            <w:vAlign w:val="bottom"/>
          </w:tcPr>
          <w:p>
            <w:pPr>
              <w:spacing w:after="0"/>
              <w:rPr>
                <w:sz w:val="18"/>
                <w:szCs w:val="18"/>
                <w:color w:val="auto"/>
              </w:rPr>
            </w:pPr>
          </w:p>
        </w:tc>
        <w:tc>
          <w:tcPr>
            <w:tcW w:w="860" w:type="dxa"/>
            <w:vAlign w:val="bottom"/>
          </w:tcPr>
          <w:p>
            <w:pPr>
              <w:jc w:val="right"/>
              <w:ind w:right="90"/>
              <w:spacing w:after="0" w:line="209" w:lineRule="exact"/>
              <w:rPr>
                <w:sz w:val="20"/>
                <w:szCs w:val="20"/>
                <w:color w:val="auto"/>
              </w:rPr>
            </w:pPr>
            <w:r>
              <w:rPr>
                <w:rFonts w:ascii="Calibri" w:cs="Calibri" w:eastAsia="Calibri" w:hAnsi="Calibri"/>
                <w:sz w:val="18"/>
                <w:szCs w:val="18"/>
                <w:b w:val="1"/>
                <w:bCs w:val="1"/>
                <w:color w:val="auto"/>
                <w:w w:val="99"/>
              </w:rPr>
              <w:t>Non-U.S.</w:t>
            </w:r>
          </w:p>
        </w:tc>
        <w:tc>
          <w:tcPr>
            <w:tcW w:w="2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620"/>
              <w:spacing w:after="0"/>
              <w:rPr>
                <w:sz w:val="20"/>
                <w:szCs w:val="20"/>
                <w:color w:val="auto"/>
              </w:rPr>
            </w:pPr>
            <w:r>
              <w:rPr>
                <w:rFonts w:ascii="Calibri" w:cs="Calibri" w:eastAsia="Calibri" w:hAnsi="Calibri"/>
                <w:sz w:val="14"/>
                <w:szCs w:val="14"/>
                <w:b w:val="1"/>
                <w:bCs w:val="1"/>
                <w:color w:val="auto"/>
              </w:rPr>
              <w:t>U.S.</w:t>
            </w:r>
          </w:p>
        </w:tc>
        <w:tc>
          <w:tcPr>
            <w:tcW w:w="18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Calibri" w:cs="Calibri" w:eastAsia="Calibri" w:hAnsi="Calibri"/>
                <w:sz w:val="14"/>
                <w:szCs w:val="14"/>
                <w:b w:val="1"/>
                <w:bCs w:val="1"/>
                <w:color w:val="auto"/>
              </w:rPr>
              <w:t>Non-U.S.</w:t>
            </w:r>
          </w:p>
        </w:tc>
        <w:tc>
          <w:tcPr>
            <w:tcW w:w="0" w:type="dxa"/>
            <w:vAlign w:val="bottom"/>
          </w:tcPr>
          <w:p>
            <w:pPr>
              <w:spacing w:after="0"/>
              <w:rPr>
                <w:sz w:val="1"/>
                <w:szCs w:val="1"/>
                <w:color w:val="auto"/>
              </w:rPr>
            </w:pPr>
          </w:p>
        </w:tc>
      </w:tr>
      <w:tr>
        <w:trPr>
          <w:trHeight w:val="210"/>
        </w:trPr>
        <w:tc>
          <w:tcPr>
            <w:tcW w:w="386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color w:val="auto"/>
              </w:rPr>
              <w:t>Major defned beneft plans:</w:t>
            </w:r>
          </w:p>
        </w:tc>
        <w:tc>
          <w:tcPr>
            <w:tcW w:w="2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60" w:type="dxa"/>
            <w:vAlign w:val="bottom"/>
          </w:tcPr>
          <w:p>
            <w:pPr>
              <w:ind w:left="200"/>
              <w:spacing w:after="0" w:line="215" w:lineRule="exact"/>
              <w:rPr>
                <w:sz w:val="20"/>
                <w:szCs w:val="20"/>
                <w:color w:val="auto"/>
              </w:rPr>
            </w:pPr>
            <w:r>
              <w:rPr>
                <w:rFonts w:ascii="Calibri" w:cs="Calibri" w:eastAsia="Calibri" w:hAnsi="Calibri"/>
                <w:sz w:val="18"/>
                <w:szCs w:val="18"/>
                <w:color w:val="auto"/>
              </w:rPr>
              <w:t>Service cost</w:t>
            </w:r>
          </w:p>
        </w:tc>
        <w:tc>
          <w:tcPr>
            <w:tcW w:w="2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800" w:type="dxa"/>
            <w:vAlign w:val="bottom"/>
          </w:tcPr>
          <w:p>
            <w:pPr>
              <w:jc w:val="right"/>
              <w:spacing w:after="0" w:line="215" w:lineRule="exact"/>
              <w:rPr>
                <w:sz w:val="20"/>
                <w:szCs w:val="20"/>
                <w:color w:val="auto"/>
              </w:rPr>
            </w:pPr>
            <w:r>
              <w:rPr>
                <w:rFonts w:ascii="Calibri" w:cs="Calibri" w:eastAsia="Calibri" w:hAnsi="Calibri"/>
                <w:sz w:val="18"/>
                <w:szCs w:val="18"/>
                <w:color w:val="auto"/>
              </w:rPr>
              <w:t>13</w:t>
            </w:r>
          </w:p>
        </w:tc>
        <w:tc>
          <w:tcPr>
            <w:tcW w:w="260" w:type="dxa"/>
            <w:vAlign w:val="bottom"/>
          </w:tcPr>
          <w:p>
            <w:pPr>
              <w:spacing w:after="0"/>
              <w:rPr>
                <w:sz w:val="18"/>
                <w:szCs w:val="18"/>
                <w:color w:val="auto"/>
              </w:rPr>
            </w:pPr>
          </w:p>
        </w:tc>
        <w:tc>
          <w:tcPr>
            <w:tcW w:w="14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2</w:t>
            </w:r>
          </w:p>
        </w:tc>
        <w:tc>
          <w:tcPr>
            <w:tcW w:w="240" w:type="dxa"/>
            <w:vAlign w:val="bottom"/>
          </w:tcPr>
          <w:p>
            <w:pPr>
              <w:spacing w:after="0"/>
              <w:rPr>
                <w:sz w:val="18"/>
                <w:szCs w:val="18"/>
                <w:color w:val="auto"/>
              </w:rPr>
            </w:pPr>
          </w:p>
        </w:tc>
        <w:tc>
          <w:tcPr>
            <w:tcW w:w="14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13</w:t>
            </w:r>
          </w:p>
        </w:tc>
        <w:tc>
          <w:tcPr>
            <w:tcW w:w="240" w:type="dxa"/>
            <w:vAlign w:val="bottom"/>
          </w:tcPr>
          <w:p>
            <w:pPr>
              <w:spacing w:after="0"/>
              <w:rPr>
                <w:sz w:val="18"/>
                <w:szCs w:val="18"/>
                <w:color w:val="auto"/>
              </w:rPr>
            </w:pPr>
          </w:p>
        </w:tc>
        <w:tc>
          <w:tcPr>
            <w:tcW w:w="14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2</w:t>
            </w:r>
          </w:p>
        </w:tc>
        <w:tc>
          <w:tcPr>
            <w:tcW w:w="240" w:type="dxa"/>
            <w:vAlign w:val="bottom"/>
          </w:tcPr>
          <w:p>
            <w:pPr>
              <w:spacing w:after="0"/>
              <w:rPr>
                <w:sz w:val="18"/>
                <w:szCs w:val="18"/>
                <w:color w:val="auto"/>
              </w:rPr>
            </w:pPr>
          </w:p>
        </w:tc>
        <w:tc>
          <w:tcPr>
            <w:tcW w:w="24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13</w:t>
            </w:r>
          </w:p>
        </w:tc>
        <w:tc>
          <w:tcPr>
            <w:tcW w:w="240" w:type="dxa"/>
            <w:vAlign w:val="bottom"/>
          </w:tcPr>
          <w:p>
            <w:pPr>
              <w:spacing w:after="0"/>
              <w:rPr>
                <w:sz w:val="18"/>
                <w:szCs w:val="18"/>
                <w:color w:val="auto"/>
              </w:rPr>
            </w:pPr>
          </w:p>
        </w:tc>
        <w:tc>
          <w:tcPr>
            <w:tcW w:w="18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840" w:type="dxa"/>
            <w:vAlign w:val="bottom"/>
          </w:tcPr>
          <w:p>
            <w:pPr>
              <w:jc w:val="right"/>
              <w:spacing w:after="0" w:line="215" w:lineRule="exact"/>
              <w:rPr>
                <w:sz w:val="20"/>
                <w:szCs w:val="20"/>
                <w:color w:val="auto"/>
              </w:rPr>
            </w:pPr>
            <w:r>
              <w:rPr>
                <w:rFonts w:ascii="Calibri" w:cs="Calibri" w:eastAsia="Calibri" w:hAnsi="Calibri"/>
                <w:sz w:val="18"/>
                <w:szCs w:val="18"/>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60" w:type="dxa"/>
            <w:vAlign w:val="bottom"/>
            <w:shd w:val="clear" w:color="auto" w:fill="CFF0FC"/>
          </w:tcPr>
          <w:p>
            <w:pPr>
              <w:ind w:left="200"/>
              <w:spacing w:after="0" w:line="216" w:lineRule="exact"/>
              <w:rPr>
                <w:sz w:val="20"/>
                <w:szCs w:val="20"/>
                <w:color w:val="auto"/>
              </w:rPr>
            </w:pPr>
            <w:r>
              <w:rPr>
                <w:rFonts w:ascii="Calibri" w:cs="Calibri" w:eastAsia="Calibri" w:hAnsi="Calibri"/>
                <w:sz w:val="18"/>
                <w:szCs w:val="18"/>
                <w:color w:val="auto"/>
              </w:rPr>
              <w:t>Interest cost</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109</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18</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117</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20</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80</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60" w:type="dxa"/>
            <w:vAlign w:val="bottom"/>
          </w:tcPr>
          <w:p>
            <w:pPr>
              <w:ind w:left="200"/>
              <w:spacing w:after="0" w:line="215" w:lineRule="exact"/>
              <w:rPr>
                <w:sz w:val="20"/>
                <w:szCs w:val="20"/>
                <w:color w:val="auto"/>
              </w:rPr>
            </w:pPr>
            <w:r>
              <w:rPr>
                <w:rFonts w:ascii="Calibri" w:cs="Calibri" w:eastAsia="Calibri" w:hAnsi="Calibri"/>
                <w:sz w:val="18"/>
                <w:szCs w:val="18"/>
                <w:color w:val="auto"/>
              </w:rPr>
              <w:t>Expected return on plan assets</w:t>
            </w:r>
          </w:p>
        </w:tc>
        <w:tc>
          <w:tcPr>
            <w:tcW w:w="240" w:type="dxa"/>
            <w:vAlign w:val="bottom"/>
          </w:tcPr>
          <w:p>
            <w:pPr>
              <w:spacing w:after="0"/>
              <w:rPr>
                <w:sz w:val="18"/>
                <w:szCs w:val="18"/>
                <w:color w:val="auto"/>
              </w:rPr>
            </w:pPr>
          </w:p>
        </w:tc>
        <w:tc>
          <w:tcPr>
            <w:tcW w:w="106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(248 )</w:t>
            </w:r>
          </w:p>
        </w:tc>
        <w:tc>
          <w:tcPr>
            <w:tcW w:w="140" w:type="dxa"/>
            <w:vAlign w:val="bottom"/>
          </w:tcPr>
          <w:p>
            <w:pPr>
              <w:spacing w:after="0"/>
              <w:rPr>
                <w:sz w:val="18"/>
                <w:szCs w:val="18"/>
                <w:color w:val="auto"/>
              </w:rPr>
            </w:pPr>
          </w:p>
        </w:tc>
        <w:tc>
          <w:tcPr>
            <w:tcW w:w="110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(19 )</w:t>
            </w:r>
          </w:p>
        </w:tc>
        <w:tc>
          <w:tcPr>
            <w:tcW w:w="140" w:type="dxa"/>
            <w:vAlign w:val="bottom"/>
          </w:tcPr>
          <w:p>
            <w:pPr>
              <w:spacing w:after="0"/>
              <w:rPr>
                <w:sz w:val="18"/>
                <w:szCs w:val="18"/>
                <w:color w:val="auto"/>
              </w:rPr>
            </w:pPr>
          </w:p>
        </w:tc>
        <w:tc>
          <w:tcPr>
            <w:tcW w:w="110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(257 )</w:t>
            </w:r>
          </w:p>
        </w:tc>
        <w:tc>
          <w:tcPr>
            <w:tcW w:w="140" w:type="dxa"/>
            <w:vAlign w:val="bottom"/>
          </w:tcPr>
          <w:p>
            <w:pPr>
              <w:spacing w:after="0"/>
              <w:rPr>
                <w:sz w:val="18"/>
                <w:szCs w:val="18"/>
                <w:color w:val="auto"/>
              </w:rPr>
            </w:pPr>
          </w:p>
        </w:tc>
        <w:tc>
          <w:tcPr>
            <w:tcW w:w="110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(20 )</w:t>
            </w:r>
          </w:p>
        </w:tc>
        <w:tc>
          <w:tcPr>
            <w:tcW w:w="240" w:type="dxa"/>
            <w:vAlign w:val="bottom"/>
          </w:tcPr>
          <w:p>
            <w:pPr>
              <w:spacing w:after="0"/>
              <w:rPr>
                <w:sz w:val="18"/>
                <w:szCs w:val="18"/>
                <w:color w:val="auto"/>
              </w:rPr>
            </w:pPr>
          </w:p>
        </w:tc>
        <w:tc>
          <w:tcPr>
            <w:tcW w:w="100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(178 )</w:t>
            </w:r>
          </w:p>
        </w:tc>
        <w:tc>
          <w:tcPr>
            <w:tcW w:w="180" w:type="dxa"/>
            <w:vAlign w:val="bottom"/>
          </w:tcPr>
          <w:p>
            <w:pPr>
              <w:spacing w:after="0"/>
              <w:rPr>
                <w:sz w:val="18"/>
                <w:szCs w:val="18"/>
                <w:color w:val="auto"/>
              </w:rPr>
            </w:pPr>
          </w:p>
        </w:tc>
        <w:tc>
          <w:tcPr>
            <w:tcW w:w="94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(14 )</w:t>
            </w:r>
          </w:p>
        </w:tc>
        <w:tc>
          <w:tcPr>
            <w:tcW w:w="0" w:type="dxa"/>
            <w:vAlign w:val="bottom"/>
          </w:tcPr>
          <w:p>
            <w:pPr>
              <w:spacing w:after="0"/>
              <w:rPr>
                <w:sz w:val="1"/>
                <w:szCs w:val="1"/>
                <w:color w:val="auto"/>
              </w:rPr>
            </w:pPr>
          </w:p>
        </w:tc>
      </w:tr>
      <w:tr>
        <w:trPr>
          <w:trHeight w:val="217"/>
        </w:trPr>
        <w:tc>
          <w:tcPr>
            <w:tcW w:w="3860" w:type="dxa"/>
            <w:vAlign w:val="bottom"/>
            <w:shd w:val="clear" w:color="auto" w:fill="CFF0FC"/>
          </w:tcPr>
          <w:p>
            <w:pPr>
              <w:ind w:left="200"/>
              <w:spacing w:after="0" w:line="216" w:lineRule="exact"/>
              <w:rPr>
                <w:sz w:val="20"/>
                <w:szCs w:val="20"/>
                <w:color w:val="auto"/>
              </w:rPr>
            </w:pPr>
            <w:r>
              <w:rPr>
                <w:rFonts w:ascii="Calibri" w:cs="Calibri" w:eastAsia="Calibri" w:hAnsi="Calibri"/>
                <w:sz w:val="18"/>
                <w:szCs w:val="18"/>
                <w:color w:val="auto"/>
              </w:rPr>
              <w:t>Amortzaton of:</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60" w:type="dxa"/>
            <w:vAlign w:val="bottom"/>
          </w:tcPr>
          <w:p>
            <w:pPr>
              <w:ind w:left="380"/>
              <w:spacing w:after="0" w:line="215" w:lineRule="exact"/>
              <w:rPr>
                <w:sz w:val="20"/>
                <w:szCs w:val="20"/>
                <w:color w:val="auto"/>
              </w:rPr>
            </w:pPr>
            <w:r>
              <w:rPr>
                <w:rFonts w:ascii="Calibri" w:cs="Calibri" w:eastAsia="Calibri" w:hAnsi="Calibri"/>
                <w:sz w:val="18"/>
                <w:szCs w:val="18"/>
                <w:color w:val="auto"/>
              </w:rPr>
              <w:t>Prior service cost (credit)</w:t>
            </w:r>
          </w:p>
        </w:tc>
        <w:tc>
          <w:tcPr>
            <w:tcW w:w="240" w:type="dxa"/>
            <w:vAlign w:val="bottom"/>
          </w:tcPr>
          <w:p>
            <w:pPr>
              <w:spacing w:after="0"/>
              <w:rPr>
                <w:sz w:val="18"/>
                <w:szCs w:val="18"/>
                <w:color w:val="auto"/>
              </w:rPr>
            </w:pPr>
          </w:p>
        </w:tc>
        <w:tc>
          <w:tcPr>
            <w:tcW w:w="800" w:type="dxa"/>
            <w:vAlign w:val="bottom"/>
          </w:tcPr>
          <w:p>
            <w:pPr>
              <w:jc w:val="right"/>
              <w:spacing w:after="0" w:line="215" w:lineRule="exact"/>
              <w:rPr>
                <w:sz w:val="20"/>
                <w:szCs w:val="20"/>
                <w:color w:val="auto"/>
              </w:rPr>
            </w:pPr>
            <w:r>
              <w:rPr>
                <w:rFonts w:ascii="Calibri" w:cs="Calibri" w:eastAsia="Calibri" w:hAnsi="Calibri"/>
                <w:sz w:val="18"/>
                <w:szCs w:val="18"/>
                <w:color w:val="auto"/>
              </w:rPr>
              <w:t>12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140" w:type="dxa"/>
            <w:vAlign w:val="bottom"/>
          </w:tcPr>
          <w:p>
            <w:pPr>
              <w:spacing w:after="0"/>
              <w:rPr>
                <w:sz w:val="18"/>
                <w:szCs w:val="18"/>
                <w:color w:val="auto"/>
              </w:rPr>
            </w:pP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(3 )</w:t>
            </w:r>
          </w:p>
        </w:tc>
        <w:tc>
          <w:tcPr>
            <w:tcW w:w="180" w:type="dxa"/>
            <w:vAlign w:val="bottom"/>
          </w:tcPr>
          <w:p>
            <w:pPr>
              <w:spacing w:after="0"/>
              <w:rPr>
                <w:sz w:val="18"/>
                <w:szCs w:val="18"/>
                <w:color w:val="auto"/>
              </w:rPr>
            </w:pPr>
          </w:p>
        </w:tc>
        <w:tc>
          <w:tcPr>
            <w:tcW w:w="94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shd w:val="clear" w:color="auto" w:fill="CFF0FC"/>
          </w:tcPr>
          <w:p>
            <w:pPr>
              <w:ind w:left="380"/>
              <w:spacing w:after="0" w:line="216" w:lineRule="exact"/>
              <w:rPr>
                <w:sz w:val="20"/>
                <w:szCs w:val="20"/>
                <w:color w:val="auto"/>
              </w:rPr>
            </w:pPr>
            <w:r>
              <w:rPr>
                <w:rFonts w:ascii="Calibri" w:cs="Calibri" w:eastAsia="Calibri" w:hAnsi="Calibri"/>
                <w:sz w:val="18"/>
                <w:szCs w:val="18"/>
                <w:color w:val="auto"/>
              </w:rPr>
              <w:t>Actuarial (gain) loss</w:t>
            </w: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80"/>
              <w:spacing w:after="0" w:line="216" w:lineRule="exact"/>
              <w:rPr>
                <w:sz w:val="20"/>
                <w:szCs w:val="20"/>
                <w:color w:val="auto"/>
              </w:rPr>
            </w:pPr>
            <w:r>
              <w:rPr>
                <w:rFonts w:ascii="Calibri" w:cs="Calibri" w:eastAsia="Calibri" w:hAnsi="Calibri"/>
                <w:sz w:val="18"/>
                <w:szCs w:val="18"/>
                <w:color w:val="auto"/>
              </w:rPr>
              <w:t>(37 )</w:t>
            </w: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60"/>
              <w:spacing w:after="0" w:line="216" w:lineRule="exact"/>
              <w:rPr>
                <w:sz w:val="20"/>
                <w:szCs w:val="20"/>
                <w:color w:val="auto"/>
              </w:rPr>
            </w:pPr>
            <w:r>
              <w:rPr>
                <w:rFonts w:ascii="Calibri" w:cs="Calibri" w:eastAsia="Calibri" w:hAnsi="Calibri"/>
                <w:sz w:val="18"/>
                <w:szCs w:val="18"/>
                <w:color w:val="auto"/>
              </w:rPr>
              <w:t>(30 )</w:t>
            </w: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40"/>
              <w:spacing w:after="0" w:line="216" w:lineRule="exact"/>
              <w:rPr>
                <w:sz w:val="20"/>
                <w:szCs w:val="20"/>
                <w:color w:val="auto"/>
              </w:rPr>
            </w:pPr>
            <w:r>
              <w:rPr>
                <w:rFonts w:ascii="Calibri" w:cs="Calibri" w:eastAsia="Calibri" w:hAnsi="Calibri"/>
                <w:sz w:val="18"/>
                <w:szCs w:val="18"/>
                <w:color w:val="auto"/>
              </w:rPr>
              <w:t>—</w:t>
            </w: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860" w:type="dxa"/>
            <w:vAlign w:val="bottom"/>
            <w:tcBorders>
              <w:top w:val="single" w:sz="8" w:color="CFF0FC"/>
            </w:tcBorders>
          </w:tcPr>
          <w:p>
            <w:pPr>
              <w:ind w:left="20"/>
              <w:spacing w:after="0" w:line="187" w:lineRule="exact"/>
              <w:rPr>
                <w:sz w:val="20"/>
                <w:szCs w:val="20"/>
                <w:color w:val="auto"/>
              </w:rPr>
            </w:pPr>
            <w:r>
              <w:rPr>
                <w:rFonts w:ascii="Calibri" w:cs="Calibri" w:eastAsia="Calibri" w:hAnsi="Calibri"/>
                <w:sz w:val="18"/>
                <w:szCs w:val="18"/>
                <w:color w:val="auto"/>
              </w:rPr>
              <w:t>Pension (income) expense before special</w:t>
            </w:r>
          </w:p>
        </w:tc>
        <w:tc>
          <w:tcPr>
            <w:tcW w:w="2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60" w:type="dxa"/>
            <w:vAlign w:val="bottom"/>
            <w:tcBorders>
              <w:top w:val="single" w:sz="8" w:color="CFF0FC"/>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860" w:type="dxa"/>
            <w:vAlign w:val="bottom"/>
          </w:tcPr>
          <w:p>
            <w:pPr>
              <w:ind w:left="20"/>
              <w:spacing w:after="0" w:line="215" w:lineRule="exact"/>
              <w:rPr>
                <w:sz w:val="20"/>
                <w:szCs w:val="20"/>
                <w:color w:val="auto"/>
              </w:rPr>
            </w:pPr>
            <w:r>
              <w:rPr>
                <w:rFonts w:ascii="Calibri" w:cs="Calibri" w:eastAsia="Calibri" w:hAnsi="Calibri"/>
                <w:sz w:val="18"/>
                <w:szCs w:val="18"/>
                <w:color w:val="auto"/>
              </w:rPr>
              <w:t>terminaton benefts</w:t>
            </w:r>
          </w:p>
        </w:tc>
        <w:tc>
          <w:tcPr>
            <w:tcW w:w="240" w:type="dxa"/>
            <w:vAlign w:val="bottom"/>
          </w:tcPr>
          <w:p>
            <w:pPr>
              <w:spacing w:after="0"/>
              <w:rPr>
                <w:sz w:val="18"/>
                <w:szCs w:val="18"/>
                <w:color w:val="auto"/>
              </w:rPr>
            </w:pPr>
          </w:p>
        </w:tc>
        <w:tc>
          <w:tcPr>
            <w:tcW w:w="106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(151 )</w:t>
            </w:r>
          </w:p>
        </w:tc>
        <w:tc>
          <w:tcPr>
            <w:tcW w:w="140" w:type="dxa"/>
            <w:vAlign w:val="bottom"/>
          </w:tcPr>
          <w:p>
            <w:pPr>
              <w:spacing w:after="0"/>
              <w:rPr>
                <w:sz w:val="18"/>
                <w:szCs w:val="18"/>
                <w:color w:val="auto"/>
              </w:rPr>
            </w:pP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(148 )</w:t>
            </w:r>
          </w:p>
        </w:tc>
        <w:tc>
          <w:tcPr>
            <w:tcW w:w="140" w:type="dxa"/>
            <w:vAlign w:val="bottom"/>
          </w:tcPr>
          <w:p>
            <w:pPr>
              <w:spacing w:after="0"/>
              <w:rPr>
                <w:sz w:val="18"/>
                <w:szCs w:val="18"/>
                <w:color w:val="auto"/>
              </w:rPr>
            </w:pP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(88 )</w:t>
            </w:r>
          </w:p>
        </w:tc>
        <w:tc>
          <w:tcPr>
            <w:tcW w:w="180" w:type="dxa"/>
            <w:vAlign w:val="bottom"/>
          </w:tcPr>
          <w:p>
            <w:pPr>
              <w:spacing w:after="0"/>
              <w:rPr>
                <w:sz w:val="18"/>
                <w:szCs w:val="18"/>
                <w:color w:val="auto"/>
              </w:rPr>
            </w:pPr>
          </w:p>
        </w:tc>
        <w:tc>
          <w:tcPr>
            <w:tcW w:w="840" w:type="dxa"/>
            <w:vAlign w:val="bottom"/>
          </w:tcPr>
          <w:p>
            <w:pPr>
              <w:jc w:val="right"/>
              <w:spacing w:after="0" w:line="215" w:lineRule="exact"/>
              <w:rPr>
                <w:sz w:val="20"/>
                <w:szCs w:val="20"/>
                <w:color w:val="auto"/>
              </w:rPr>
            </w:pPr>
            <w:r>
              <w:rPr>
                <w:rFonts w:ascii="Calibri" w:cs="Calibri" w:eastAsia="Calibri" w:hAnsi="Calibri"/>
                <w:sz w:val="18"/>
                <w:szCs w:val="18"/>
                <w:color w:val="auto"/>
              </w:rPr>
              <w:t>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3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3860" w:type="dxa"/>
            <w:vAlign w:val="bottom"/>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Special terminaton benefts</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188"/>
        </w:trPr>
        <w:tc>
          <w:tcPr>
            <w:tcW w:w="3860" w:type="dxa"/>
            <w:vAlign w:val="bottom"/>
            <w:tcBorders>
              <w:top w:val="single" w:sz="8" w:color="CFF0FC"/>
            </w:tcBorders>
          </w:tcPr>
          <w:p>
            <w:pPr>
              <w:ind w:left="20"/>
              <w:spacing w:after="0" w:line="187" w:lineRule="exact"/>
              <w:rPr>
                <w:sz w:val="20"/>
                <w:szCs w:val="20"/>
                <w:color w:val="auto"/>
              </w:rPr>
            </w:pPr>
            <w:r>
              <w:rPr>
                <w:rFonts w:ascii="Calibri" w:cs="Calibri" w:eastAsia="Calibri" w:hAnsi="Calibri"/>
                <w:sz w:val="18"/>
                <w:szCs w:val="18"/>
                <w:color w:val="auto"/>
              </w:rPr>
              <w:t>Net pension (income) expense for major defned</w:t>
            </w:r>
          </w:p>
        </w:tc>
        <w:tc>
          <w:tcPr>
            <w:tcW w:w="2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60" w:type="dxa"/>
            <w:vAlign w:val="bottom"/>
            <w:tcBorders>
              <w:top w:val="single" w:sz="8" w:color="CFF0FC"/>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860" w:type="dxa"/>
            <w:vAlign w:val="bottom"/>
          </w:tcPr>
          <w:p>
            <w:pPr>
              <w:ind w:left="20"/>
              <w:spacing w:after="0" w:line="215" w:lineRule="exact"/>
              <w:rPr>
                <w:sz w:val="20"/>
                <w:szCs w:val="20"/>
                <w:color w:val="auto"/>
              </w:rPr>
            </w:pPr>
            <w:r>
              <w:rPr>
                <w:rFonts w:ascii="Calibri" w:cs="Calibri" w:eastAsia="Calibri" w:hAnsi="Calibri"/>
                <w:sz w:val="18"/>
                <w:szCs w:val="18"/>
                <w:color w:val="auto"/>
              </w:rPr>
              <w:t>beneft plans</w:t>
            </w:r>
          </w:p>
        </w:tc>
        <w:tc>
          <w:tcPr>
            <w:tcW w:w="240" w:type="dxa"/>
            <w:vAlign w:val="bottom"/>
          </w:tcPr>
          <w:p>
            <w:pPr>
              <w:spacing w:after="0"/>
              <w:rPr>
                <w:sz w:val="18"/>
                <w:szCs w:val="18"/>
                <w:color w:val="auto"/>
              </w:rPr>
            </w:pPr>
          </w:p>
        </w:tc>
        <w:tc>
          <w:tcPr>
            <w:tcW w:w="106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(150 )</w:t>
            </w:r>
          </w:p>
        </w:tc>
        <w:tc>
          <w:tcPr>
            <w:tcW w:w="140" w:type="dxa"/>
            <w:vAlign w:val="bottom"/>
          </w:tcPr>
          <w:p>
            <w:pPr>
              <w:spacing w:after="0"/>
              <w:rPr>
                <w:sz w:val="18"/>
                <w:szCs w:val="18"/>
                <w:color w:val="auto"/>
              </w:rPr>
            </w:pP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(148 )</w:t>
            </w:r>
          </w:p>
        </w:tc>
        <w:tc>
          <w:tcPr>
            <w:tcW w:w="140" w:type="dxa"/>
            <w:vAlign w:val="bottom"/>
          </w:tcPr>
          <w:p>
            <w:pPr>
              <w:spacing w:after="0"/>
              <w:rPr>
                <w:sz w:val="18"/>
                <w:szCs w:val="18"/>
                <w:color w:val="auto"/>
              </w:rPr>
            </w:pP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(86 )</w:t>
            </w:r>
          </w:p>
        </w:tc>
        <w:tc>
          <w:tcPr>
            <w:tcW w:w="180" w:type="dxa"/>
            <w:vAlign w:val="bottom"/>
          </w:tcPr>
          <w:p>
            <w:pPr>
              <w:spacing w:after="0"/>
              <w:rPr>
                <w:sz w:val="18"/>
                <w:szCs w:val="18"/>
                <w:color w:val="auto"/>
              </w:rPr>
            </w:pPr>
          </w:p>
        </w:tc>
        <w:tc>
          <w:tcPr>
            <w:tcW w:w="840" w:type="dxa"/>
            <w:vAlign w:val="bottom"/>
          </w:tcPr>
          <w:p>
            <w:pPr>
              <w:jc w:val="right"/>
              <w:spacing w:after="0" w:line="215" w:lineRule="exact"/>
              <w:rPr>
                <w:sz w:val="20"/>
                <w:szCs w:val="20"/>
                <w:color w:val="auto"/>
              </w:rPr>
            </w:pPr>
            <w:r>
              <w:rPr>
                <w:rFonts w:ascii="Calibri" w:cs="Calibri" w:eastAsia="Calibri" w:hAnsi="Calibri"/>
                <w:sz w:val="18"/>
                <w:szCs w:val="18"/>
                <w:color w:val="auto"/>
              </w:rPr>
              <w:t>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3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3860" w:type="dxa"/>
            <w:vAlign w:val="bottom"/>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Other plans including unfunded plans</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60"/>
              <w:spacing w:after="0" w:line="215" w:lineRule="exact"/>
              <w:rPr>
                <w:sz w:val="20"/>
                <w:szCs w:val="20"/>
                <w:color w:val="auto"/>
              </w:rPr>
            </w:pPr>
            <w:r>
              <w:rPr>
                <w:rFonts w:ascii="Calibri" w:cs="Calibri" w:eastAsia="Calibri" w:hAnsi="Calibri"/>
                <w:sz w:val="18"/>
                <w:szCs w:val="18"/>
                <w:color w:val="auto"/>
              </w:rPr>
              <w:t>(8 )</w:t>
            </w:r>
          </w:p>
        </w:tc>
        <w:tc>
          <w:tcPr>
            <w:tcW w:w="1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0"/>
        </w:trPr>
        <w:tc>
          <w:tcPr>
            <w:tcW w:w="38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60" w:type="dxa"/>
            <w:vAlign w:val="bottom"/>
          </w:tcPr>
          <w:p>
            <w:pPr>
              <w:ind w:left="20"/>
              <w:spacing w:after="0" w:line="210" w:lineRule="exact"/>
              <w:rPr>
                <w:sz w:val="20"/>
                <w:szCs w:val="20"/>
                <w:color w:val="auto"/>
              </w:rPr>
            </w:pPr>
            <w:r>
              <w:rPr>
                <w:rFonts w:ascii="Calibri" w:cs="Calibri" w:eastAsia="Calibri" w:hAnsi="Calibri"/>
                <w:sz w:val="18"/>
                <w:szCs w:val="18"/>
                <w:color w:val="auto"/>
              </w:rPr>
              <w:t>Net pension (income) expense</w:t>
            </w:r>
          </w:p>
        </w:tc>
        <w:tc>
          <w:tcPr>
            <w:tcW w:w="240" w:type="dxa"/>
            <w:vAlign w:val="bottom"/>
          </w:tcPr>
          <w:p>
            <w:pPr>
              <w:jc w:val="right"/>
              <w:ind w:right="30"/>
              <w:spacing w:after="0" w:line="210" w:lineRule="exact"/>
              <w:rPr>
                <w:sz w:val="20"/>
                <w:szCs w:val="20"/>
                <w:color w:val="auto"/>
              </w:rPr>
            </w:pPr>
            <w:r>
              <w:rPr>
                <w:rFonts w:ascii="Calibri" w:cs="Calibri" w:eastAsia="Calibri" w:hAnsi="Calibri"/>
                <w:sz w:val="18"/>
                <w:szCs w:val="18"/>
                <w:color w:val="auto"/>
              </w:rPr>
              <w:t>$</w:t>
            </w:r>
          </w:p>
        </w:tc>
        <w:tc>
          <w:tcPr>
            <w:tcW w:w="1060" w:type="dxa"/>
            <w:vAlign w:val="bottom"/>
            <w:gridSpan w:val="2"/>
          </w:tcPr>
          <w:p>
            <w:pPr>
              <w:jc w:val="right"/>
              <w:ind w:right="180"/>
              <w:spacing w:after="0" w:line="210" w:lineRule="exact"/>
              <w:rPr>
                <w:sz w:val="20"/>
                <w:szCs w:val="20"/>
                <w:color w:val="auto"/>
              </w:rPr>
            </w:pPr>
            <w:r>
              <w:rPr>
                <w:rFonts w:ascii="Calibri" w:cs="Calibri" w:eastAsia="Calibri" w:hAnsi="Calibri"/>
                <w:sz w:val="18"/>
                <w:szCs w:val="18"/>
                <w:color w:val="auto"/>
              </w:rPr>
              <w:t>(150 )</w:t>
            </w:r>
          </w:p>
        </w:tc>
        <w:tc>
          <w:tcPr>
            <w:tcW w:w="140" w:type="dxa"/>
            <w:vAlign w:val="bottom"/>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1100" w:type="dxa"/>
            <w:vAlign w:val="bottom"/>
            <w:gridSpan w:val="2"/>
          </w:tcPr>
          <w:p>
            <w:pPr>
              <w:jc w:val="right"/>
              <w:ind w:right="160"/>
              <w:spacing w:after="0" w:line="210" w:lineRule="exact"/>
              <w:rPr>
                <w:sz w:val="20"/>
                <w:szCs w:val="20"/>
                <w:color w:val="auto"/>
              </w:rPr>
            </w:pPr>
            <w:r>
              <w:rPr>
                <w:rFonts w:ascii="Calibri" w:cs="Calibri" w:eastAsia="Calibri" w:hAnsi="Calibri"/>
                <w:sz w:val="18"/>
                <w:szCs w:val="18"/>
                <w:color w:val="auto"/>
              </w:rPr>
              <w:t>(5 )</w:t>
            </w:r>
          </w:p>
        </w:tc>
        <w:tc>
          <w:tcPr>
            <w:tcW w:w="140" w:type="dxa"/>
            <w:vAlign w:val="bottom"/>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1100" w:type="dxa"/>
            <w:vAlign w:val="bottom"/>
            <w:gridSpan w:val="2"/>
          </w:tcPr>
          <w:p>
            <w:pPr>
              <w:jc w:val="right"/>
              <w:ind w:right="160"/>
              <w:spacing w:after="0" w:line="210" w:lineRule="exact"/>
              <w:rPr>
                <w:sz w:val="20"/>
                <w:szCs w:val="20"/>
                <w:color w:val="auto"/>
              </w:rPr>
            </w:pPr>
            <w:r>
              <w:rPr>
                <w:rFonts w:ascii="Calibri" w:cs="Calibri" w:eastAsia="Calibri" w:hAnsi="Calibri"/>
                <w:sz w:val="18"/>
                <w:szCs w:val="18"/>
                <w:color w:val="auto"/>
              </w:rPr>
              <w:t>(148 )</w:t>
            </w:r>
          </w:p>
        </w:tc>
        <w:tc>
          <w:tcPr>
            <w:tcW w:w="140" w:type="dxa"/>
            <w:vAlign w:val="bottom"/>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860" w:type="dxa"/>
            <w:vAlign w:val="bottom"/>
          </w:tcPr>
          <w:p>
            <w:pPr>
              <w:jc w:val="right"/>
              <w:spacing w:after="0" w:line="210" w:lineRule="exact"/>
              <w:rPr>
                <w:sz w:val="20"/>
                <w:szCs w:val="20"/>
                <w:color w:val="auto"/>
              </w:rPr>
            </w:pPr>
            <w:r>
              <w:rPr>
                <w:rFonts w:ascii="Calibri" w:cs="Calibri" w:eastAsia="Calibri" w:hAnsi="Calibri"/>
                <w:sz w:val="18"/>
                <w:szCs w:val="18"/>
                <w:color w:val="auto"/>
              </w:rPr>
              <w:t>4</w:t>
            </w:r>
          </w:p>
        </w:tc>
        <w:tc>
          <w:tcPr>
            <w:tcW w:w="240" w:type="dxa"/>
            <w:vAlign w:val="bottom"/>
          </w:tcPr>
          <w:p>
            <w:pPr>
              <w:spacing w:after="0"/>
              <w:rPr>
                <w:sz w:val="18"/>
                <w:szCs w:val="18"/>
                <w:color w:val="auto"/>
              </w:rPr>
            </w:pPr>
          </w:p>
        </w:tc>
        <w:tc>
          <w:tcPr>
            <w:tcW w:w="240" w:type="dxa"/>
            <w:vAlign w:val="bottom"/>
          </w:tcPr>
          <w:p>
            <w:pPr>
              <w:jc w:val="right"/>
              <w:ind w:right="50"/>
              <w:spacing w:after="0" w:line="210" w:lineRule="exact"/>
              <w:rPr>
                <w:sz w:val="20"/>
                <w:szCs w:val="20"/>
                <w:color w:val="auto"/>
              </w:rPr>
            </w:pPr>
            <w:r>
              <w:rPr>
                <w:rFonts w:ascii="Calibri" w:cs="Calibri" w:eastAsia="Calibri" w:hAnsi="Calibri"/>
                <w:sz w:val="18"/>
                <w:szCs w:val="18"/>
                <w:color w:val="auto"/>
                <w:w w:val="87"/>
              </w:rPr>
              <w:t>$</w:t>
            </w:r>
          </w:p>
        </w:tc>
        <w:tc>
          <w:tcPr>
            <w:tcW w:w="1000" w:type="dxa"/>
            <w:vAlign w:val="bottom"/>
            <w:gridSpan w:val="2"/>
          </w:tcPr>
          <w:p>
            <w:pPr>
              <w:jc w:val="right"/>
              <w:ind w:right="160"/>
              <w:spacing w:after="0" w:line="210" w:lineRule="exact"/>
              <w:rPr>
                <w:sz w:val="20"/>
                <w:szCs w:val="20"/>
                <w:color w:val="auto"/>
              </w:rPr>
            </w:pPr>
            <w:r>
              <w:rPr>
                <w:rFonts w:ascii="Calibri" w:cs="Calibri" w:eastAsia="Calibri" w:hAnsi="Calibri"/>
                <w:sz w:val="18"/>
                <w:szCs w:val="18"/>
                <w:color w:val="auto"/>
              </w:rPr>
              <w:t>(86 )</w:t>
            </w:r>
          </w:p>
        </w:tc>
        <w:tc>
          <w:tcPr>
            <w:tcW w:w="180" w:type="dxa"/>
            <w:vAlign w:val="bottom"/>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840" w:type="dxa"/>
            <w:vAlign w:val="bottom"/>
          </w:tcPr>
          <w:p>
            <w:pPr>
              <w:jc w:val="right"/>
              <w:spacing w:after="0" w:line="210" w:lineRule="exact"/>
              <w:rPr>
                <w:sz w:val="20"/>
                <w:szCs w:val="20"/>
                <w:color w:val="auto"/>
              </w:rPr>
            </w:pPr>
            <w:r>
              <w:rPr>
                <w:rFonts w:ascii="Calibri" w:cs="Calibri" w:eastAsia="Calibri" w:hAnsi="Calibri"/>
                <w:sz w:val="18"/>
                <w:szCs w:val="18"/>
                <w:color w:val="auto"/>
              </w:rPr>
              <w:t>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3116580</wp:posOffset>
            </wp:positionH>
            <wp:positionV relativeFrom="paragraph">
              <wp:posOffset>-1010920</wp:posOffset>
            </wp:positionV>
            <wp:extent cx="7747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-1010920</wp:posOffset>
            </wp:positionV>
            <wp:extent cx="6858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-1010920</wp:posOffset>
            </wp:positionV>
            <wp:extent cx="6858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-1010920</wp:posOffset>
            </wp:positionV>
            <wp:extent cx="6858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-1010920</wp:posOffset>
            </wp:positionV>
            <wp:extent cx="6858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-1010920</wp:posOffset>
            </wp:positionV>
            <wp:extent cx="6858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-591185</wp:posOffset>
            </wp:positionV>
            <wp:extent cx="7747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-591185</wp:posOffset>
            </wp:positionV>
            <wp:extent cx="6858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-591185</wp:posOffset>
            </wp:positionV>
            <wp:extent cx="6858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-591185</wp:posOffset>
            </wp:positionV>
            <wp:extent cx="6858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-591185</wp:posOffset>
            </wp:positionV>
            <wp:extent cx="6858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-591185</wp:posOffset>
            </wp:positionV>
            <wp:extent cx="6858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-170815</wp:posOffset>
            </wp:positionV>
            <wp:extent cx="7747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-170815</wp:posOffset>
            </wp:positionV>
            <wp:extent cx="6858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-170815</wp:posOffset>
            </wp:positionV>
            <wp:extent cx="6858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-170815</wp:posOffset>
            </wp:positionV>
            <wp:extent cx="6858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-170815</wp:posOffset>
            </wp:positionV>
            <wp:extent cx="6858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ind w:right="400"/>
        <w:spacing w:after="0" w:line="235" w:lineRule="auto"/>
        <w:rPr>
          <w:sz w:val="20"/>
          <w:szCs w:val="20"/>
          <w:color w:val="auto"/>
        </w:rPr>
      </w:pPr>
      <w:r>
        <w:rPr>
          <w:rFonts w:ascii="Calibri" w:cs="Calibri" w:eastAsia="Calibri" w:hAnsi="Calibri"/>
          <w:sz w:val="18"/>
          <w:szCs w:val="18"/>
          <w:color w:val="auto"/>
        </w:rPr>
        <w:t>The special terminaton benefts were incurred as a result of Kodak’s restructuring actons and, therefore, have been included in Restructuring costs and other in the Consolidated Statement of Operatons for those periods.</w:t>
      </w:r>
    </w:p>
    <w:p>
      <w:pPr>
        <w:spacing w:after="0" w:line="172"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95" w:name="page96"/>
    <w:bookmarkEnd w:id="95"/>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500"/>
        <w:spacing w:after="0" w:line="235" w:lineRule="auto"/>
        <w:rPr>
          <w:sz w:val="20"/>
          <w:szCs w:val="20"/>
          <w:color w:val="auto"/>
        </w:rPr>
      </w:pPr>
      <w:r>
        <w:rPr>
          <w:rFonts w:ascii="Calibri" w:cs="Calibri" w:eastAsia="Calibri" w:hAnsi="Calibri"/>
          <w:sz w:val="18"/>
          <w:szCs w:val="18"/>
          <w:color w:val="auto"/>
        </w:rPr>
        <w:t>The weighted-average assumptons used to determine net pension (income) expense for all the major funded and unfunded U.S. and Non-U.S. defned beneft plans were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40" w:type="dxa"/>
            <w:vAlign w:val="bottom"/>
            <w:gridSpan w:val="5"/>
          </w:tcPr>
          <w:p>
            <w:pPr>
              <w:jc w:val="center"/>
              <w:ind w:right="220"/>
              <w:spacing w:after="0"/>
              <w:rPr>
                <w:sz w:val="20"/>
                <w:szCs w:val="20"/>
                <w:color w:val="auto"/>
              </w:rPr>
            </w:pPr>
            <w:r>
              <w:rPr>
                <w:rFonts w:ascii="Calibri" w:cs="Calibri" w:eastAsia="Calibri" w:hAnsi="Calibri"/>
                <w:sz w:val="18"/>
                <w:szCs w:val="18"/>
                <w:b w:val="1"/>
                <w:bCs w:val="1"/>
                <w:color w:val="auto"/>
                <w:w w:val="97"/>
              </w:rPr>
              <w:t>Year Ended December 31,</w:t>
            </w: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gridSpan w:val="3"/>
          </w:tcPr>
          <w:p>
            <w:pPr>
              <w:jc w:val="right"/>
              <w:ind w:right="60"/>
              <w:spacing w:after="0" w:line="216" w:lineRule="exact"/>
              <w:rPr>
                <w:sz w:val="20"/>
                <w:szCs w:val="20"/>
                <w:color w:val="auto"/>
              </w:rPr>
            </w:pPr>
            <w:r>
              <w:rPr>
                <w:rFonts w:ascii="Calibri" w:cs="Calibri" w:eastAsia="Calibri" w:hAnsi="Calibri"/>
                <w:sz w:val="18"/>
                <w:szCs w:val="18"/>
                <w:b w:val="1"/>
                <w:bCs w:val="1"/>
                <w:color w:val="auto"/>
              </w:rPr>
              <w:t>2024</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3"/>
          </w:tcPr>
          <w:p>
            <w:pPr>
              <w:jc w:val="right"/>
              <w:ind w:right="60"/>
              <w:spacing w:after="0" w:line="216" w:lineRule="exact"/>
              <w:rPr>
                <w:sz w:val="20"/>
                <w:szCs w:val="20"/>
                <w:color w:val="auto"/>
              </w:rPr>
            </w:pPr>
            <w:r>
              <w:rPr>
                <w:rFonts w:ascii="Calibri" w:cs="Calibri" w:eastAsia="Calibri" w:hAnsi="Calibri"/>
                <w:sz w:val="18"/>
                <w:szCs w:val="18"/>
                <w:b w:val="1"/>
                <w:bCs w:val="1"/>
                <w:color w:val="auto"/>
              </w:rPr>
              <w:t>2023</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3"/>
          </w:tcPr>
          <w:p>
            <w:pPr>
              <w:jc w:val="right"/>
              <w:ind w:right="60"/>
              <w:spacing w:after="0" w:line="216" w:lineRule="exact"/>
              <w:rPr>
                <w:sz w:val="20"/>
                <w:szCs w:val="20"/>
                <w:color w:val="auto"/>
              </w:rPr>
            </w:pPr>
            <w:r>
              <w:rPr>
                <w:rFonts w:ascii="Calibri" w:cs="Calibri" w:eastAsia="Calibri" w:hAnsi="Calibri"/>
                <w:sz w:val="18"/>
                <w:szCs w:val="18"/>
                <w:b w:val="1"/>
                <w:bCs w:val="1"/>
                <w:color w:val="auto"/>
              </w:rPr>
              <w:t>2022</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37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vMerge w:val="restart"/>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vMerge w:val="restart"/>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700" w:type="dxa"/>
            <w:vAlign w:val="bottom"/>
          </w:tcPr>
          <w:p>
            <w:pPr>
              <w:spacing w:after="0"/>
              <w:rPr>
                <w:sz w:val="18"/>
                <w:szCs w:val="18"/>
                <w:color w:val="auto"/>
              </w:rPr>
            </w:pPr>
          </w:p>
        </w:tc>
        <w:tc>
          <w:tcPr>
            <w:tcW w:w="660" w:type="dxa"/>
            <w:vAlign w:val="bottom"/>
            <w:tcBorders>
              <w:bottom w:val="single" w:sz="8" w:color="auto"/>
            </w:tcBorders>
          </w:tcPr>
          <w:p>
            <w:pPr>
              <w:ind w:left="360"/>
              <w:spacing w:after="0" w:line="209" w:lineRule="exact"/>
              <w:rPr>
                <w:sz w:val="20"/>
                <w:szCs w:val="20"/>
                <w:color w:val="auto"/>
              </w:rPr>
            </w:pPr>
            <w:r>
              <w:rPr>
                <w:rFonts w:ascii="Calibri" w:cs="Calibri" w:eastAsia="Calibri" w:hAnsi="Calibri"/>
                <w:sz w:val="18"/>
                <w:szCs w:val="18"/>
                <w:b w:val="1"/>
                <w:bCs w:val="1"/>
                <w:color w:val="auto"/>
                <w:w w:val="93"/>
              </w:rPr>
              <w:t>U.S.</w:t>
            </w:r>
          </w:p>
        </w:tc>
        <w:tc>
          <w:tcPr>
            <w:tcW w:w="34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90"/>
              <w:spacing w:after="0" w:line="209" w:lineRule="exact"/>
              <w:rPr>
                <w:sz w:val="20"/>
                <w:szCs w:val="20"/>
                <w:color w:val="auto"/>
              </w:rPr>
            </w:pPr>
            <w:r>
              <w:rPr>
                <w:rFonts w:ascii="Calibri" w:cs="Calibri" w:eastAsia="Calibri" w:hAnsi="Calibri"/>
                <w:sz w:val="18"/>
                <w:szCs w:val="18"/>
                <w:b w:val="1"/>
                <w:bCs w:val="1"/>
                <w:color w:val="auto"/>
              </w:rPr>
              <w:t>Non-U.S.</w:t>
            </w:r>
          </w:p>
        </w:tc>
        <w:tc>
          <w:tcPr>
            <w:tcW w:w="260" w:type="dxa"/>
            <w:vAlign w:val="bottom"/>
            <w:vMerge w:val="continue"/>
          </w:tcPr>
          <w:p>
            <w:pPr>
              <w:spacing w:after="0"/>
              <w:rPr>
                <w:sz w:val="18"/>
                <w:szCs w:val="18"/>
                <w:color w:val="auto"/>
              </w:rPr>
            </w:pPr>
          </w:p>
        </w:tc>
        <w:tc>
          <w:tcPr>
            <w:tcW w:w="1000" w:type="dxa"/>
            <w:vAlign w:val="bottom"/>
            <w:tcBorders>
              <w:bottom w:val="single" w:sz="8" w:color="auto"/>
            </w:tcBorders>
          </w:tcPr>
          <w:p>
            <w:pPr>
              <w:ind w:left="360"/>
              <w:spacing w:after="0" w:line="209" w:lineRule="exact"/>
              <w:rPr>
                <w:sz w:val="20"/>
                <w:szCs w:val="20"/>
                <w:color w:val="auto"/>
              </w:rPr>
            </w:pPr>
            <w:r>
              <w:rPr>
                <w:rFonts w:ascii="Calibri" w:cs="Calibri" w:eastAsia="Calibri" w:hAnsi="Calibri"/>
                <w:sz w:val="18"/>
                <w:szCs w:val="18"/>
                <w:b w:val="1"/>
                <w:bCs w:val="1"/>
                <w:color w:val="auto"/>
              </w:rPr>
              <w:t>U.S.</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90"/>
              <w:spacing w:after="0" w:line="209" w:lineRule="exact"/>
              <w:rPr>
                <w:sz w:val="20"/>
                <w:szCs w:val="20"/>
                <w:color w:val="auto"/>
              </w:rPr>
            </w:pPr>
            <w:r>
              <w:rPr>
                <w:rFonts w:ascii="Calibri" w:cs="Calibri" w:eastAsia="Calibri" w:hAnsi="Calibri"/>
                <w:sz w:val="18"/>
                <w:szCs w:val="18"/>
                <w:b w:val="1"/>
                <w:bCs w:val="1"/>
                <w:color w:val="auto"/>
              </w:rPr>
              <w:t>Non-U.S.</w:t>
            </w:r>
          </w:p>
        </w:tc>
        <w:tc>
          <w:tcPr>
            <w:tcW w:w="260" w:type="dxa"/>
            <w:vAlign w:val="bottom"/>
            <w:vMerge w:val="continue"/>
          </w:tcPr>
          <w:p>
            <w:pPr>
              <w:spacing w:after="0"/>
              <w:rPr>
                <w:sz w:val="18"/>
                <w:szCs w:val="18"/>
                <w:color w:val="auto"/>
              </w:rPr>
            </w:pPr>
          </w:p>
        </w:tc>
        <w:tc>
          <w:tcPr>
            <w:tcW w:w="1000" w:type="dxa"/>
            <w:vAlign w:val="bottom"/>
            <w:tcBorders>
              <w:bottom w:val="single" w:sz="8" w:color="auto"/>
            </w:tcBorders>
          </w:tcPr>
          <w:p>
            <w:pPr>
              <w:ind w:left="360"/>
              <w:spacing w:after="0" w:line="209" w:lineRule="exact"/>
              <w:rPr>
                <w:sz w:val="20"/>
                <w:szCs w:val="20"/>
                <w:color w:val="auto"/>
              </w:rPr>
            </w:pPr>
            <w:r>
              <w:rPr>
                <w:rFonts w:ascii="Calibri" w:cs="Calibri" w:eastAsia="Calibri" w:hAnsi="Calibri"/>
                <w:sz w:val="18"/>
                <w:szCs w:val="18"/>
                <w:b w:val="1"/>
                <w:bCs w:val="1"/>
                <w:color w:val="auto"/>
              </w:rPr>
              <w:t>U.S.</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90"/>
              <w:spacing w:after="0" w:line="209" w:lineRule="exact"/>
              <w:rPr>
                <w:sz w:val="20"/>
                <w:szCs w:val="20"/>
                <w:color w:val="auto"/>
              </w:rPr>
            </w:pPr>
            <w:r>
              <w:rPr>
                <w:rFonts w:ascii="Calibri" w:cs="Calibri" w:eastAsia="Calibri" w:hAnsi="Calibri"/>
                <w:sz w:val="18"/>
                <w:szCs w:val="18"/>
                <w:b w:val="1"/>
                <w:bCs w:val="1"/>
                <w:color w:val="auto"/>
              </w:rPr>
              <w:t>Non-U.S.</w:t>
            </w: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60" w:type="dxa"/>
            <w:vAlign w:val="bottom"/>
            <w:gridSpan w:val="2"/>
            <w:shd w:val="clear" w:color="auto" w:fill="CFF0FC"/>
          </w:tcPr>
          <w:p>
            <w:pPr>
              <w:ind w:left="20"/>
              <w:spacing w:after="0" w:line="210" w:lineRule="exact"/>
              <w:rPr>
                <w:sz w:val="20"/>
                <w:szCs w:val="20"/>
                <w:color w:val="auto"/>
              </w:rPr>
            </w:pPr>
            <w:r>
              <w:rPr>
                <w:rFonts w:ascii="Calibri" w:cs="Calibri" w:eastAsia="Calibri" w:hAnsi="Calibri"/>
                <w:sz w:val="18"/>
                <w:szCs w:val="18"/>
                <w:color w:val="auto"/>
              </w:rPr>
              <w:t>Efectve rate for service cost</w:t>
            </w:r>
          </w:p>
        </w:tc>
        <w:tc>
          <w:tcPr>
            <w:tcW w:w="620" w:type="dxa"/>
            <w:vAlign w:val="bottom"/>
            <w:gridSpan w:val="2"/>
            <w:shd w:val="clear" w:color="auto" w:fill="CFF0FC"/>
          </w:tcPr>
          <w:p>
            <w:pPr>
              <w:jc w:val="right"/>
              <w:ind w:right="140"/>
              <w:spacing w:after="0" w:line="210" w:lineRule="exact"/>
              <w:rPr>
                <w:sz w:val="20"/>
                <w:szCs w:val="20"/>
                <w:color w:val="auto"/>
              </w:rPr>
            </w:pPr>
            <w:r>
              <w:rPr>
                <w:rFonts w:ascii="Calibri" w:cs="Calibri" w:eastAsia="Calibri" w:hAnsi="Calibri"/>
                <w:sz w:val="18"/>
                <w:szCs w:val="18"/>
                <w:color w:val="auto"/>
                <w:w w:val="94"/>
              </w:rPr>
              <w:t>4.88 %</w:t>
            </w:r>
          </w:p>
        </w:tc>
        <w:tc>
          <w:tcPr>
            <w:tcW w:w="1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20"/>
              <w:spacing w:after="0" w:line="210" w:lineRule="exact"/>
              <w:rPr>
                <w:sz w:val="20"/>
                <w:szCs w:val="20"/>
                <w:color w:val="auto"/>
              </w:rPr>
            </w:pPr>
            <w:r>
              <w:rPr>
                <w:rFonts w:ascii="Calibri" w:cs="Calibri" w:eastAsia="Calibri" w:hAnsi="Calibri"/>
                <w:sz w:val="18"/>
                <w:szCs w:val="18"/>
                <w:color w:val="auto"/>
              </w:rPr>
              <w:t>3.11 %</w:t>
            </w:r>
          </w:p>
        </w:tc>
        <w:tc>
          <w:tcPr>
            <w:tcW w:w="1280" w:type="dxa"/>
            <w:vAlign w:val="bottom"/>
            <w:gridSpan w:val="2"/>
            <w:shd w:val="clear" w:color="auto" w:fill="CFF0FC"/>
          </w:tcPr>
          <w:p>
            <w:pPr>
              <w:jc w:val="right"/>
              <w:ind w:right="140"/>
              <w:spacing w:after="0" w:line="210" w:lineRule="exact"/>
              <w:rPr>
                <w:sz w:val="20"/>
                <w:szCs w:val="20"/>
                <w:color w:val="auto"/>
              </w:rPr>
            </w:pPr>
            <w:r>
              <w:rPr>
                <w:rFonts w:ascii="Calibri" w:cs="Calibri" w:eastAsia="Calibri" w:hAnsi="Calibri"/>
                <w:sz w:val="18"/>
                <w:szCs w:val="18"/>
                <w:color w:val="auto"/>
              </w:rPr>
              <w:t>5.04 %</w:t>
            </w:r>
          </w:p>
        </w:tc>
        <w:tc>
          <w:tcPr>
            <w:tcW w:w="1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20"/>
              <w:spacing w:after="0" w:line="210" w:lineRule="exact"/>
              <w:rPr>
                <w:sz w:val="20"/>
                <w:szCs w:val="20"/>
                <w:color w:val="auto"/>
              </w:rPr>
            </w:pPr>
            <w:r>
              <w:rPr>
                <w:rFonts w:ascii="Calibri" w:cs="Calibri" w:eastAsia="Calibri" w:hAnsi="Calibri"/>
                <w:sz w:val="18"/>
                <w:szCs w:val="18"/>
                <w:color w:val="auto"/>
              </w:rPr>
              <w:t>3.44 %</w:t>
            </w:r>
          </w:p>
        </w:tc>
        <w:tc>
          <w:tcPr>
            <w:tcW w:w="1280" w:type="dxa"/>
            <w:vAlign w:val="bottom"/>
            <w:gridSpan w:val="2"/>
            <w:shd w:val="clear" w:color="auto" w:fill="CFF0FC"/>
          </w:tcPr>
          <w:p>
            <w:pPr>
              <w:jc w:val="right"/>
              <w:ind w:right="140"/>
              <w:spacing w:after="0" w:line="210" w:lineRule="exact"/>
              <w:rPr>
                <w:sz w:val="20"/>
                <w:szCs w:val="20"/>
                <w:color w:val="auto"/>
              </w:rPr>
            </w:pPr>
            <w:r>
              <w:rPr>
                <w:rFonts w:ascii="Calibri" w:cs="Calibri" w:eastAsia="Calibri" w:hAnsi="Calibri"/>
                <w:sz w:val="18"/>
                <w:szCs w:val="18"/>
                <w:color w:val="auto"/>
              </w:rPr>
              <w:t>3.45 %</w:t>
            </w:r>
          </w:p>
        </w:tc>
        <w:tc>
          <w:tcPr>
            <w:tcW w:w="1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line="210" w:lineRule="exact"/>
              <w:rPr>
                <w:sz w:val="20"/>
                <w:szCs w:val="20"/>
                <w:color w:val="auto"/>
              </w:rPr>
            </w:pPr>
            <w:r>
              <w:rPr>
                <w:rFonts w:ascii="Calibri" w:cs="Calibri" w:eastAsia="Calibri" w:hAnsi="Calibri"/>
                <w:sz w:val="18"/>
                <w:szCs w:val="18"/>
                <w:color w:val="auto"/>
              </w:rPr>
              <w:t>1.60 %</w:t>
            </w:r>
          </w:p>
        </w:tc>
        <w:tc>
          <w:tcPr>
            <w:tcW w:w="0" w:type="dxa"/>
            <w:vAlign w:val="bottom"/>
          </w:tcPr>
          <w:p>
            <w:pPr>
              <w:spacing w:after="0"/>
              <w:rPr>
                <w:sz w:val="1"/>
                <w:szCs w:val="1"/>
                <w:color w:val="auto"/>
              </w:rPr>
            </w:pPr>
          </w:p>
        </w:tc>
      </w:tr>
      <w:tr>
        <w:trPr>
          <w:trHeight w:val="215"/>
        </w:trPr>
        <w:tc>
          <w:tcPr>
            <w:tcW w:w="4360" w:type="dxa"/>
            <w:vAlign w:val="bottom"/>
            <w:gridSpan w:val="2"/>
          </w:tcPr>
          <w:p>
            <w:pPr>
              <w:ind w:left="20"/>
              <w:spacing w:after="0" w:line="215" w:lineRule="exact"/>
              <w:rPr>
                <w:sz w:val="20"/>
                <w:szCs w:val="20"/>
                <w:color w:val="auto"/>
              </w:rPr>
            </w:pPr>
            <w:r>
              <w:rPr>
                <w:rFonts w:ascii="Calibri" w:cs="Calibri" w:eastAsia="Calibri" w:hAnsi="Calibri"/>
                <w:sz w:val="18"/>
                <w:szCs w:val="18"/>
                <w:color w:val="auto"/>
              </w:rPr>
              <w:t>Efectve rate for interest cost</w:t>
            </w:r>
          </w:p>
        </w:tc>
        <w:tc>
          <w:tcPr>
            <w:tcW w:w="62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w w:val="94"/>
              </w:rPr>
              <w:t>4.85 %</w:t>
            </w:r>
          </w:p>
        </w:tc>
        <w:tc>
          <w:tcPr>
            <w:tcW w:w="100" w:type="dxa"/>
            <w:vAlign w:val="bottom"/>
          </w:tcPr>
          <w:p>
            <w:pPr>
              <w:spacing w:after="0"/>
              <w:rPr>
                <w:sz w:val="18"/>
                <w:szCs w:val="18"/>
                <w:color w:val="auto"/>
              </w:rPr>
            </w:pPr>
          </w:p>
        </w:tc>
        <w:tc>
          <w:tcPr>
            <w:tcW w:w="116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3.43 %</w:t>
            </w:r>
          </w:p>
        </w:tc>
        <w:tc>
          <w:tcPr>
            <w:tcW w:w="128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5.02 %</w:t>
            </w:r>
          </w:p>
        </w:tc>
        <w:tc>
          <w:tcPr>
            <w:tcW w:w="100" w:type="dxa"/>
            <w:vAlign w:val="bottom"/>
          </w:tcPr>
          <w:p>
            <w:pPr>
              <w:spacing w:after="0"/>
              <w:rPr>
                <w:sz w:val="18"/>
                <w:szCs w:val="18"/>
                <w:color w:val="auto"/>
              </w:rPr>
            </w:pPr>
          </w:p>
        </w:tc>
        <w:tc>
          <w:tcPr>
            <w:tcW w:w="116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3.80 %</w:t>
            </w:r>
          </w:p>
        </w:tc>
        <w:tc>
          <w:tcPr>
            <w:tcW w:w="128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2.97 %</w:t>
            </w:r>
          </w:p>
        </w:tc>
        <w:tc>
          <w:tcPr>
            <w:tcW w:w="120" w:type="dxa"/>
            <w:vAlign w:val="bottom"/>
          </w:tcPr>
          <w:p>
            <w:pPr>
              <w:spacing w:after="0"/>
              <w:rPr>
                <w:sz w:val="18"/>
                <w:szCs w:val="18"/>
                <w:color w:val="auto"/>
              </w:rPr>
            </w:pPr>
          </w:p>
        </w:tc>
        <w:tc>
          <w:tcPr>
            <w:tcW w:w="106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1.20 %</w:t>
            </w:r>
          </w:p>
        </w:tc>
        <w:tc>
          <w:tcPr>
            <w:tcW w:w="0" w:type="dxa"/>
            <w:vAlign w:val="bottom"/>
          </w:tcPr>
          <w:p>
            <w:pPr>
              <w:spacing w:after="0"/>
              <w:rPr>
                <w:sz w:val="1"/>
                <w:szCs w:val="1"/>
                <w:color w:val="auto"/>
              </w:rPr>
            </w:pPr>
          </w:p>
        </w:tc>
      </w:tr>
      <w:tr>
        <w:trPr>
          <w:trHeight w:val="217"/>
        </w:trPr>
        <w:tc>
          <w:tcPr>
            <w:tcW w:w="4360" w:type="dxa"/>
            <w:vAlign w:val="bottom"/>
            <w:gridSpan w:val="2"/>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Salary increase rate</w:t>
            </w:r>
          </w:p>
        </w:tc>
        <w:tc>
          <w:tcPr>
            <w:tcW w:w="620" w:type="dxa"/>
            <w:vAlign w:val="bottom"/>
            <w:gridSpan w:val="2"/>
            <w:shd w:val="clear" w:color="auto" w:fill="CFF0FC"/>
          </w:tcPr>
          <w:p>
            <w:pPr>
              <w:jc w:val="right"/>
              <w:ind w:right="140"/>
              <w:spacing w:after="0" w:line="216" w:lineRule="exact"/>
              <w:rPr>
                <w:sz w:val="20"/>
                <w:szCs w:val="20"/>
                <w:color w:val="auto"/>
              </w:rPr>
            </w:pPr>
            <w:r>
              <w:rPr>
                <w:rFonts w:ascii="Calibri" w:cs="Calibri" w:eastAsia="Calibri" w:hAnsi="Calibri"/>
                <w:sz w:val="18"/>
                <w:szCs w:val="18"/>
                <w:color w:val="auto"/>
                <w:w w:val="94"/>
              </w:rPr>
              <w:t>1.50 %</w:t>
            </w:r>
          </w:p>
        </w:tc>
        <w:tc>
          <w:tcPr>
            <w:tcW w:w="1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20"/>
              <w:spacing w:after="0" w:line="216" w:lineRule="exact"/>
              <w:rPr>
                <w:sz w:val="20"/>
                <w:szCs w:val="20"/>
                <w:color w:val="auto"/>
              </w:rPr>
            </w:pPr>
            <w:r>
              <w:rPr>
                <w:rFonts w:ascii="Calibri" w:cs="Calibri" w:eastAsia="Calibri" w:hAnsi="Calibri"/>
                <w:sz w:val="18"/>
                <w:szCs w:val="18"/>
                <w:color w:val="auto"/>
              </w:rPr>
              <w:t>2.46 %</w:t>
            </w:r>
          </w:p>
        </w:tc>
        <w:tc>
          <w:tcPr>
            <w:tcW w:w="1280" w:type="dxa"/>
            <w:vAlign w:val="bottom"/>
            <w:gridSpan w:val="2"/>
            <w:shd w:val="clear" w:color="auto" w:fill="CFF0FC"/>
          </w:tcPr>
          <w:p>
            <w:pPr>
              <w:jc w:val="right"/>
              <w:ind w:right="140"/>
              <w:spacing w:after="0" w:line="216" w:lineRule="exact"/>
              <w:rPr>
                <w:sz w:val="20"/>
                <w:szCs w:val="20"/>
                <w:color w:val="auto"/>
              </w:rPr>
            </w:pPr>
            <w:r>
              <w:rPr>
                <w:rFonts w:ascii="Calibri" w:cs="Calibri" w:eastAsia="Calibri" w:hAnsi="Calibri"/>
                <w:sz w:val="18"/>
                <w:szCs w:val="18"/>
                <w:color w:val="auto"/>
              </w:rPr>
              <w:t>1.00 %</w:t>
            </w:r>
          </w:p>
        </w:tc>
        <w:tc>
          <w:tcPr>
            <w:tcW w:w="1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20"/>
              <w:spacing w:after="0" w:line="216" w:lineRule="exact"/>
              <w:rPr>
                <w:sz w:val="20"/>
                <w:szCs w:val="20"/>
                <w:color w:val="auto"/>
              </w:rPr>
            </w:pPr>
            <w:r>
              <w:rPr>
                <w:rFonts w:ascii="Calibri" w:cs="Calibri" w:eastAsia="Calibri" w:hAnsi="Calibri"/>
                <w:sz w:val="18"/>
                <w:szCs w:val="18"/>
                <w:color w:val="auto"/>
              </w:rPr>
              <w:t>2.71 %</w:t>
            </w:r>
          </w:p>
        </w:tc>
        <w:tc>
          <w:tcPr>
            <w:tcW w:w="1280" w:type="dxa"/>
            <w:vAlign w:val="bottom"/>
            <w:gridSpan w:val="2"/>
            <w:shd w:val="clear" w:color="auto" w:fill="CFF0FC"/>
          </w:tcPr>
          <w:p>
            <w:pPr>
              <w:jc w:val="right"/>
              <w:ind w:right="140"/>
              <w:spacing w:after="0" w:line="216" w:lineRule="exact"/>
              <w:rPr>
                <w:sz w:val="20"/>
                <w:szCs w:val="20"/>
                <w:color w:val="auto"/>
              </w:rPr>
            </w:pPr>
            <w:r>
              <w:rPr>
                <w:rFonts w:ascii="Calibri" w:cs="Calibri" w:eastAsia="Calibri" w:hAnsi="Calibri"/>
                <w:sz w:val="18"/>
                <w:szCs w:val="18"/>
                <w:color w:val="auto"/>
              </w:rPr>
              <w:t>1.00 %</w:t>
            </w:r>
          </w:p>
        </w:tc>
        <w:tc>
          <w:tcPr>
            <w:tcW w:w="1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line="216" w:lineRule="exact"/>
              <w:rPr>
                <w:sz w:val="20"/>
                <w:szCs w:val="20"/>
                <w:color w:val="auto"/>
              </w:rPr>
            </w:pPr>
            <w:r>
              <w:rPr>
                <w:rFonts w:ascii="Calibri" w:cs="Calibri" w:eastAsia="Calibri" w:hAnsi="Calibri"/>
                <w:sz w:val="18"/>
                <w:szCs w:val="18"/>
                <w:color w:val="auto"/>
              </w:rPr>
              <w:t>2.39 %</w:t>
            </w:r>
          </w:p>
        </w:tc>
        <w:tc>
          <w:tcPr>
            <w:tcW w:w="0" w:type="dxa"/>
            <w:vAlign w:val="bottom"/>
          </w:tcPr>
          <w:p>
            <w:pPr>
              <w:spacing w:after="0"/>
              <w:rPr>
                <w:sz w:val="1"/>
                <w:szCs w:val="1"/>
                <w:color w:val="auto"/>
              </w:rPr>
            </w:pPr>
          </w:p>
        </w:tc>
      </w:tr>
      <w:tr>
        <w:trPr>
          <w:trHeight w:val="215"/>
        </w:trPr>
        <w:tc>
          <w:tcPr>
            <w:tcW w:w="4360" w:type="dxa"/>
            <w:vAlign w:val="bottom"/>
            <w:gridSpan w:val="2"/>
          </w:tcPr>
          <w:p>
            <w:pPr>
              <w:ind w:left="20"/>
              <w:spacing w:after="0" w:line="215" w:lineRule="exact"/>
              <w:rPr>
                <w:sz w:val="20"/>
                <w:szCs w:val="20"/>
                <w:color w:val="auto"/>
              </w:rPr>
            </w:pPr>
            <w:r>
              <w:rPr>
                <w:rFonts w:ascii="Calibri" w:cs="Calibri" w:eastAsia="Calibri" w:hAnsi="Calibri"/>
                <w:sz w:val="18"/>
                <w:szCs w:val="18"/>
                <w:color w:val="auto"/>
              </w:rPr>
              <w:t>Expected rate of return on plan assets</w:t>
            </w:r>
          </w:p>
        </w:tc>
        <w:tc>
          <w:tcPr>
            <w:tcW w:w="62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w w:val="94"/>
              </w:rPr>
              <w:t>7.10 %</w:t>
            </w:r>
          </w:p>
        </w:tc>
        <w:tc>
          <w:tcPr>
            <w:tcW w:w="100" w:type="dxa"/>
            <w:vAlign w:val="bottom"/>
          </w:tcPr>
          <w:p>
            <w:pPr>
              <w:spacing w:after="0"/>
              <w:rPr>
                <w:sz w:val="18"/>
                <w:szCs w:val="18"/>
                <w:color w:val="auto"/>
              </w:rPr>
            </w:pPr>
          </w:p>
        </w:tc>
        <w:tc>
          <w:tcPr>
            <w:tcW w:w="116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3.93 %</w:t>
            </w:r>
          </w:p>
        </w:tc>
        <w:tc>
          <w:tcPr>
            <w:tcW w:w="128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7.50 %</w:t>
            </w:r>
          </w:p>
        </w:tc>
        <w:tc>
          <w:tcPr>
            <w:tcW w:w="100" w:type="dxa"/>
            <w:vAlign w:val="bottom"/>
          </w:tcPr>
          <w:p>
            <w:pPr>
              <w:spacing w:after="0"/>
              <w:rPr>
                <w:sz w:val="18"/>
                <w:szCs w:val="18"/>
                <w:color w:val="auto"/>
              </w:rPr>
            </w:pPr>
          </w:p>
        </w:tc>
        <w:tc>
          <w:tcPr>
            <w:tcW w:w="116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4.16 %</w:t>
            </w:r>
          </w:p>
        </w:tc>
        <w:tc>
          <w:tcPr>
            <w:tcW w:w="128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5.30 %</w:t>
            </w:r>
          </w:p>
        </w:tc>
        <w:tc>
          <w:tcPr>
            <w:tcW w:w="120" w:type="dxa"/>
            <w:vAlign w:val="bottom"/>
          </w:tcPr>
          <w:p>
            <w:pPr>
              <w:spacing w:after="0"/>
              <w:rPr>
                <w:sz w:val="18"/>
                <w:szCs w:val="18"/>
                <w:color w:val="auto"/>
              </w:rPr>
            </w:pPr>
          </w:p>
        </w:tc>
        <w:tc>
          <w:tcPr>
            <w:tcW w:w="106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2.67 %</w:t>
            </w:r>
          </w:p>
        </w:tc>
        <w:tc>
          <w:tcPr>
            <w:tcW w:w="0" w:type="dxa"/>
            <w:vAlign w:val="bottom"/>
          </w:tcPr>
          <w:p>
            <w:pPr>
              <w:spacing w:after="0"/>
              <w:rPr>
                <w:sz w:val="1"/>
                <w:szCs w:val="1"/>
                <w:color w:val="auto"/>
              </w:rPr>
            </w:pPr>
          </w:p>
        </w:tc>
      </w:tr>
      <w:tr>
        <w:trPr>
          <w:trHeight w:val="217"/>
        </w:trPr>
        <w:tc>
          <w:tcPr>
            <w:tcW w:w="4360" w:type="dxa"/>
            <w:vAlign w:val="bottom"/>
            <w:gridSpan w:val="2"/>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Interest creditng rate for cash balance plan</w:t>
            </w:r>
          </w:p>
        </w:tc>
        <w:tc>
          <w:tcPr>
            <w:tcW w:w="620" w:type="dxa"/>
            <w:vAlign w:val="bottom"/>
            <w:gridSpan w:val="2"/>
            <w:shd w:val="clear" w:color="auto" w:fill="CFF0FC"/>
          </w:tcPr>
          <w:p>
            <w:pPr>
              <w:jc w:val="right"/>
              <w:ind w:right="140"/>
              <w:spacing w:after="0" w:line="216" w:lineRule="exact"/>
              <w:rPr>
                <w:sz w:val="20"/>
                <w:szCs w:val="20"/>
                <w:color w:val="auto"/>
              </w:rPr>
            </w:pPr>
            <w:r>
              <w:rPr>
                <w:rFonts w:ascii="Calibri" w:cs="Calibri" w:eastAsia="Calibri" w:hAnsi="Calibri"/>
                <w:sz w:val="18"/>
                <w:szCs w:val="18"/>
                <w:color w:val="auto"/>
                <w:w w:val="94"/>
              </w:rPr>
              <w:t>4.00 %</w:t>
            </w:r>
          </w:p>
        </w:tc>
        <w:tc>
          <w:tcPr>
            <w:tcW w:w="1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80"/>
              <w:spacing w:after="0" w:line="216" w:lineRule="exact"/>
              <w:rPr>
                <w:sz w:val="20"/>
                <w:szCs w:val="20"/>
                <w:color w:val="auto"/>
              </w:rPr>
            </w:pPr>
            <w:r>
              <w:rPr>
                <w:rFonts w:ascii="Calibri" w:cs="Calibri" w:eastAsia="Calibri" w:hAnsi="Calibri"/>
                <w:sz w:val="18"/>
                <w:szCs w:val="18"/>
                <w:color w:val="auto"/>
              </w:rPr>
              <w:t>NA</w:t>
            </w:r>
          </w:p>
        </w:tc>
        <w:tc>
          <w:tcPr>
            <w:tcW w:w="1280" w:type="dxa"/>
            <w:vAlign w:val="bottom"/>
            <w:gridSpan w:val="2"/>
            <w:shd w:val="clear" w:color="auto" w:fill="CFF0FC"/>
          </w:tcPr>
          <w:p>
            <w:pPr>
              <w:jc w:val="right"/>
              <w:ind w:right="140"/>
              <w:spacing w:after="0" w:line="216" w:lineRule="exact"/>
              <w:rPr>
                <w:sz w:val="20"/>
                <w:szCs w:val="20"/>
                <w:color w:val="auto"/>
              </w:rPr>
            </w:pPr>
            <w:r>
              <w:rPr>
                <w:rFonts w:ascii="Calibri" w:cs="Calibri" w:eastAsia="Calibri" w:hAnsi="Calibri"/>
                <w:sz w:val="18"/>
                <w:szCs w:val="18"/>
                <w:color w:val="auto"/>
              </w:rPr>
              <w:t>3.85 %</w:t>
            </w:r>
          </w:p>
        </w:tc>
        <w:tc>
          <w:tcPr>
            <w:tcW w:w="1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80"/>
              <w:spacing w:after="0" w:line="216" w:lineRule="exact"/>
              <w:rPr>
                <w:sz w:val="20"/>
                <w:szCs w:val="20"/>
                <w:color w:val="auto"/>
              </w:rPr>
            </w:pPr>
            <w:r>
              <w:rPr>
                <w:rFonts w:ascii="Calibri" w:cs="Calibri" w:eastAsia="Calibri" w:hAnsi="Calibri"/>
                <w:sz w:val="18"/>
                <w:szCs w:val="18"/>
                <w:color w:val="auto"/>
              </w:rPr>
              <w:t>NA</w:t>
            </w:r>
          </w:p>
        </w:tc>
        <w:tc>
          <w:tcPr>
            <w:tcW w:w="1280" w:type="dxa"/>
            <w:vAlign w:val="bottom"/>
            <w:gridSpan w:val="2"/>
            <w:shd w:val="clear" w:color="auto" w:fill="CFF0FC"/>
          </w:tcPr>
          <w:p>
            <w:pPr>
              <w:jc w:val="right"/>
              <w:ind w:right="140"/>
              <w:spacing w:after="0" w:line="216" w:lineRule="exact"/>
              <w:rPr>
                <w:sz w:val="20"/>
                <w:szCs w:val="20"/>
                <w:color w:val="auto"/>
              </w:rPr>
            </w:pPr>
            <w:r>
              <w:rPr>
                <w:rFonts w:ascii="Calibri" w:cs="Calibri" w:eastAsia="Calibri" w:hAnsi="Calibri"/>
                <w:sz w:val="18"/>
                <w:szCs w:val="18"/>
                <w:color w:val="auto"/>
              </w:rPr>
              <w:t>2.58 %</w:t>
            </w:r>
          </w:p>
        </w:tc>
        <w:tc>
          <w:tcPr>
            <w:tcW w:w="1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80"/>
              <w:spacing w:after="0" w:line="216" w:lineRule="exact"/>
              <w:rPr>
                <w:sz w:val="20"/>
                <w:szCs w:val="20"/>
                <w:color w:val="auto"/>
              </w:rPr>
            </w:pPr>
            <w:r>
              <w:rPr>
                <w:rFonts w:ascii="Calibri" w:cs="Calibri" w:eastAsia="Calibri" w:hAnsi="Calibri"/>
                <w:sz w:val="18"/>
                <w:szCs w:val="18"/>
                <w:color w:val="auto"/>
              </w:rPr>
              <w:t>NA</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right="240"/>
        <w:spacing w:after="0" w:line="235" w:lineRule="auto"/>
        <w:rPr>
          <w:sz w:val="20"/>
          <w:szCs w:val="20"/>
          <w:color w:val="auto"/>
        </w:rPr>
      </w:pPr>
      <w:r>
        <w:rPr>
          <w:rFonts w:ascii="Calibri" w:cs="Calibri" w:eastAsia="Calibri" w:hAnsi="Calibri"/>
          <w:sz w:val="18"/>
          <w:szCs w:val="18"/>
          <w:color w:val="auto"/>
        </w:rPr>
        <w:t>The expected return on plan assets (“EROA”) is a long-term rate of return which is based on a combinaton of formal asset and liability studies that include forward-looking return expectatons given the current asset allocaton.</w:t>
      </w:r>
    </w:p>
    <w:p>
      <w:pPr>
        <w:spacing w:after="0" w:line="177" w:lineRule="exact"/>
        <w:rPr>
          <w:sz w:val="20"/>
          <w:szCs w:val="20"/>
          <w:color w:val="auto"/>
        </w:rPr>
      </w:pPr>
    </w:p>
    <w:p>
      <w:pPr>
        <w:ind w:right="760"/>
        <w:spacing w:after="0" w:line="235" w:lineRule="auto"/>
        <w:rPr>
          <w:sz w:val="20"/>
          <w:szCs w:val="20"/>
          <w:color w:val="auto"/>
        </w:rPr>
      </w:pPr>
      <w:r>
        <w:rPr>
          <w:rFonts w:ascii="Calibri" w:cs="Calibri" w:eastAsia="Calibri" w:hAnsi="Calibri"/>
          <w:sz w:val="18"/>
          <w:szCs w:val="18"/>
          <w:color w:val="auto"/>
        </w:rPr>
        <w:t>Kodak uses the spot yield curve approach to estmate the service and interest costs by applying the specifc spot rates along the yield curve used to determine the beneft obligatons to relevant projected cash outlows.</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Plan Asset Investment Strategy</w:t>
      </w:r>
    </w:p>
    <w:p>
      <w:pPr>
        <w:spacing w:after="0" w:line="190" w:lineRule="exact"/>
        <w:rPr>
          <w:sz w:val="20"/>
          <w:szCs w:val="20"/>
          <w:color w:val="auto"/>
        </w:rPr>
      </w:pPr>
    </w:p>
    <w:p>
      <w:pPr>
        <w:ind w:right="20"/>
        <w:spacing w:after="0" w:line="251" w:lineRule="auto"/>
        <w:rPr>
          <w:sz w:val="20"/>
          <w:szCs w:val="20"/>
          <w:color w:val="auto"/>
        </w:rPr>
      </w:pPr>
      <w:r>
        <w:rPr>
          <w:rFonts w:ascii="Calibri" w:cs="Calibri" w:eastAsia="Calibri" w:hAnsi="Calibri"/>
          <w:sz w:val="17"/>
          <w:szCs w:val="17"/>
          <w:color w:val="auto"/>
        </w:rPr>
        <w:t>The investment strategy underlying the asset allocaton for the pension assets is to achieve an optmal return on assets with an acceptable level of risk while providing for the long-term liabilites and maintaining sufcient liquidity to pay current benefts and other cash obligatons of the plans. This is primarily achieved by investng in a broad portolio constructed of various asset classes including equity, debt, real estate, private equity, hedge funds and other assets and instruments. As part of KRIP’s strategy to reduce investment risk and improve the overall liquidity of the plan, KRIP transferred a signifcant porton of its assets to lower risk investments in 2024. In additon, the U.S. Plan uses derivatve investments primarily to hedge liability interest rate risk to U.S. government bonds. As part of the change in investment strategy in 2024, KRIP expanded its interest rate hedging strategy. Other investment objectves include maintaining broad diversifcaton between and within asset classes and investment managers and managing asset volatlity relatve to plan liabilites.</w:t>
      </w:r>
    </w:p>
    <w:p>
      <w:pPr>
        <w:spacing w:after="0" w:line="168" w:lineRule="exact"/>
        <w:rPr>
          <w:sz w:val="20"/>
          <w:szCs w:val="20"/>
          <w:color w:val="auto"/>
        </w:rPr>
      </w:pPr>
    </w:p>
    <w:p>
      <w:pPr>
        <w:jc w:val="both"/>
        <w:ind w:right="180"/>
        <w:spacing w:after="0" w:line="235" w:lineRule="auto"/>
        <w:rPr>
          <w:sz w:val="20"/>
          <w:szCs w:val="20"/>
          <w:color w:val="auto"/>
        </w:rPr>
      </w:pPr>
      <w:r>
        <w:rPr>
          <w:rFonts w:ascii="Calibri" w:cs="Calibri" w:eastAsia="Calibri" w:hAnsi="Calibri"/>
          <w:sz w:val="18"/>
          <w:szCs w:val="18"/>
          <w:color w:val="auto"/>
        </w:rPr>
        <w:t>Every three years, or when market conditons have changed materially, each of Kodak’s major pension plans will undertake an asset allocaton or asset and liability modeling study. The asset allocaton and expected return on the plans’ assets are individually set to provide for benefts and other cash obligatons within each country’s legal investment constraints.</w:t>
      </w:r>
    </w:p>
    <w:p>
      <w:pPr>
        <w:spacing w:after="0" w:line="178" w:lineRule="exact"/>
        <w:rPr>
          <w:sz w:val="20"/>
          <w:szCs w:val="20"/>
          <w:color w:val="auto"/>
        </w:rPr>
      </w:pPr>
    </w:p>
    <w:p>
      <w:pPr>
        <w:ind w:right="180"/>
        <w:spacing w:after="0" w:line="235" w:lineRule="auto"/>
        <w:rPr>
          <w:sz w:val="20"/>
          <w:szCs w:val="20"/>
          <w:color w:val="auto"/>
        </w:rPr>
      </w:pPr>
      <w:r>
        <w:rPr>
          <w:rFonts w:ascii="Calibri" w:cs="Calibri" w:eastAsia="Calibri" w:hAnsi="Calibri"/>
          <w:sz w:val="18"/>
          <w:szCs w:val="18"/>
          <w:color w:val="auto"/>
        </w:rPr>
        <w:t>Actual allocatons may vary from the target asset allocatons due to market value fuctuatons, the length of tme it takes to implement changes in strategy, and the tming of cash contributons and cash requirements of the plans. The asset allocatons are monitored and are rebalanced in accordance with the policy set forth for each plan.</w:t>
      </w:r>
    </w:p>
    <w:p>
      <w:pPr>
        <w:spacing w:after="0" w:line="18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Plan Asset Risk Management</w:t>
      </w:r>
    </w:p>
    <w:p>
      <w:pPr>
        <w:spacing w:after="0" w:line="177"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Kodak evaluates its defned beneft plans’ asset portolios for the existence of signifcant concentratons of risk. Types of concentratons that are evaluated include, but are not limited to, investment concentratons in a single entty, type of industry, foreign country, individual fund and single investment manager. The most signifcant concentratons of risk are with two investment management frms (Loomis Sayles and Income Research + Management) which each managed 14% of plan assets as of December 31, 2024, and 10% of plan assets as of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96" w:name="page97"/>
    <w:bookmarkEnd w:id="96"/>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alibri" w:cs="Calibri" w:eastAsia="Calibri" w:hAnsi="Calibri"/>
          <w:sz w:val="18"/>
          <w:szCs w:val="18"/>
          <w:color w:val="auto"/>
        </w:rPr>
        <w:t>The Company’s weighted-average asset allocatons for its major U.S. defned beneft pension plan by asset category, are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440" w:type="dxa"/>
            <w:vAlign w:val="bottom"/>
          </w:tcPr>
          <w:p>
            <w:pPr>
              <w:spacing w:after="0"/>
              <w:rPr>
                <w:sz w:val="19"/>
                <w:szCs w:val="19"/>
                <w:color w:val="auto"/>
              </w:rPr>
            </w:pPr>
          </w:p>
        </w:tc>
        <w:tc>
          <w:tcPr>
            <w:tcW w:w="2560" w:type="dxa"/>
            <w:vAlign w:val="bottom"/>
            <w:gridSpan w:val="4"/>
          </w:tcPr>
          <w:p>
            <w:pPr>
              <w:jc w:val="right"/>
              <w:ind w:right="380"/>
              <w:spacing w:after="0"/>
              <w:rPr>
                <w:sz w:val="20"/>
                <w:szCs w:val="20"/>
                <w:color w:val="auto"/>
              </w:rPr>
            </w:pPr>
            <w:r>
              <w:rPr>
                <w:rFonts w:ascii="Calibri" w:cs="Calibri" w:eastAsia="Calibri" w:hAnsi="Calibri"/>
                <w:sz w:val="18"/>
                <w:szCs w:val="18"/>
                <w:b w:val="1"/>
                <w:bCs w:val="1"/>
                <w:color w:val="auto"/>
              </w:rPr>
              <w:t>As of December 31,</w:t>
            </w: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16"/>
        </w:trPr>
        <w:tc>
          <w:tcPr>
            <w:tcW w:w="7400" w:type="dxa"/>
            <w:vAlign w:val="bottom"/>
            <w:gridSpan w:val="2"/>
          </w:tcPr>
          <w:p>
            <w:pPr>
              <w:ind w:left="6940"/>
              <w:spacing w:after="0" w:line="216" w:lineRule="exact"/>
              <w:rPr>
                <w:sz w:val="20"/>
                <w:szCs w:val="20"/>
                <w:color w:val="auto"/>
              </w:rPr>
            </w:pPr>
            <w:r>
              <w:rPr>
                <w:rFonts w:ascii="Calibri" w:cs="Calibri" w:eastAsia="Calibri" w:hAnsi="Calibri"/>
                <w:sz w:val="18"/>
                <w:szCs w:val="18"/>
                <w:b w:val="1"/>
                <w:bCs w:val="1"/>
                <w:color w:val="auto"/>
              </w:rPr>
              <w:t>2024</w:t>
            </w:r>
          </w:p>
        </w:tc>
        <w:tc>
          <w:tcPr>
            <w:tcW w:w="1600" w:type="dxa"/>
            <w:vAlign w:val="bottom"/>
            <w:gridSpan w:val="3"/>
          </w:tcPr>
          <w:p>
            <w:pPr>
              <w:jc w:val="right"/>
              <w:ind w:right="100"/>
              <w:spacing w:after="0" w:line="216" w:lineRule="exact"/>
              <w:rPr>
                <w:sz w:val="20"/>
                <w:szCs w:val="20"/>
                <w:color w:val="auto"/>
              </w:rPr>
            </w:pPr>
            <w:r>
              <w:rPr>
                <w:rFonts w:ascii="Calibri" w:cs="Calibri" w:eastAsia="Calibri" w:hAnsi="Calibri"/>
                <w:sz w:val="18"/>
                <w:szCs w:val="18"/>
                <w:b w:val="1"/>
                <w:bCs w:val="1"/>
                <w:color w:val="auto"/>
              </w:rPr>
              <w:t>2023</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ind w:left="280"/>
              <w:spacing w:after="0" w:line="216" w:lineRule="exact"/>
              <w:rPr>
                <w:sz w:val="20"/>
                <w:szCs w:val="20"/>
                <w:color w:val="auto"/>
              </w:rPr>
            </w:pPr>
            <w:r>
              <w:rPr>
                <w:rFonts w:ascii="Calibri" w:cs="Calibri" w:eastAsia="Calibri" w:hAnsi="Calibri"/>
                <w:sz w:val="18"/>
                <w:szCs w:val="18"/>
                <w:b w:val="1"/>
                <w:bCs w:val="1"/>
                <w:color w:val="auto"/>
              </w:rPr>
              <w:t>2024 Target</w:t>
            </w:r>
          </w:p>
        </w:tc>
      </w:tr>
      <w:tr>
        <w:trPr>
          <w:trHeight w:val="23"/>
        </w:trPr>
        <w:tc>
          <w:tcPr>
            <w:tcW w:w="64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0"/>
        </w:trPr>
        <w:tc>
          <w:tcPr>
            <w:tcW w:w="7400" w:type="dxa"/>
            <w:vAlign w:val="bottom"/>
            <w:gridSpan w:val="2"/>
            <w:shd w:val="clear" w:color="auto" w:fill="CFF0FC"/>
          </w:tcPr>
          <w:p>
            <w:pPr>
              <w:ind w:left="20"/>
              <w:spacing w:after="0" w:line="209" w:lineRule="exact"/>
              <w:rPr>
                <w:sz w:val="20"/>
                <w:szCs w:val="20"/>
                <w:color w:val="auto"/>
              </w:rPr>
            </w:pPr>
            <w:r>
              <w:rPr>
                <w:rFonts w:ascii="Calibri" w:cs="Calibri" w:eastAsia="Calibri" w:hAnsi="Calibri"/>
                <w:sz w:val="18"/>
                <w:szCs w:val="18"/>
                <w:b w:val="1"/>
                <w:bCs w:val="1"/>
                <w:color w:val="auto"/>
              </w:rPr>
              <w:t>Asset Category</w:t>
            </w:r>
          </w:p>
        </w:tc>
        <w:tc>
          <w:tcPr>
            <w:tcW w:w="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r>
      <w:tr>
        <w:trPr>
          <w:trHeight w:val="215"/>
        </w:trPr>
        <w:tc>
          <w:tcPr>
            <w:tcW w:w="7400" w:type="dxa"/>
            <w:vAlign w:val="bottom"/>
            <w:gridSpan w:val="2"/>
          </w:tcPr>
          <w:p>
            <w:pPr>
              <w:ind w:left="20"/>
              <w:spacing w:after="0" w:line="215" w:lineRule="exact"/>
              <w:rPr>
                <w:sz w:val="20"/>
                <w:szCs w:val="20"/>
                <w:color w:val="auto"/>
              </w:rPr>
            </w:pPr>
            <w:r>
              <w:rPr>
                <w:rFonts w:ascii="Calibri" w:cs="Calibri" w:eastAsia="Calibri" w:hAnsi="Calibri"/>
                <w:sz w:val="18"/>
                <w:szCs w:val="18"/>
                <w:color w:val="auto"/>
              </w:rPr>
              <w:t>Debt securites</w:t>
            </w:r>
          </w:p>
        </w:tc>
        <w:tc>
          <w:tcPr>
            <w:tcW w:w="66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42 %</w:t>
            </w:r>
          </w:p>
        </w:tc>
        <w:tc>
          <w:tcPr>
            <w:tcW w:w="940" w:type="dxa"/>
            <w:vAlign w:val="bottom"/>
          </w:tcPr>
          <w:p>
            <w:pPr>
              <w:spacing w:after="0"/>
              <w:rPr>
                <w:sz w:val="18"/>
                <w:szCs w:val="18"/>
                <w:color w:val="auto"/>
              </w:rPr>
            </w:pPr>
          </w:p>
        </w:tc>
        <w:tc>
          <w:tcPr>
            <w:tcW w:w="70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20 %</w:t>
            </w:r>
          </w:p>
        </w:tc>
        <w:tc>
          <w:tcPr>
            <w:tcW w:w="1420" w:type="dxa"/>
            <w:vAlign w:val="bottom"/>
          </w:tcPr>
          <w:p>
            <w:pPr>
              <w:jc w:val="center"/>
              <w:spacing w:after="0" w:line="215" w:lineRule="exact"/>
              <w:rPr>
                <w:sz w:val="20"/>
                <w:szCs w:val="20"/>
                <w:color w:val="auto"/>
              </w:rPr>
            </w:pPr>
            <w:r>
              <w:rPr>
                <w:rFonts w:ascii="Calibri" w:cs="Calibri" w:eastAsia="Calibri" w:hAnsi="Calibri"/>
                <w:sz w:val="18"/>
                <w:szCs w:val="18"/>
                <w:color w:val="auto"/>
                <w:w w:val="98"/>
              </w:rPr>
              <w:t>62-82%</w:t>
            </w:r>
          </w:p>
        </w:tc>
      </w:tr>
      <w:tr>
        <w:trPr>
          <w:trHeight w:val="217"/>
        </w:trPr>
        <w:tc>
          <w:tcPr>
            <w:tcW w:w="7400" w:type="dxa"/>
            <w:vAlign w:val="bottom"/>
            <w:gridSpan w:val="2"/>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Real estate</w:t>
            </w:r>
          </w:p>
        </w:tc>
        <w:tc>
          <w:tcPr>
            <w:tcW w:w="660" w:type="dxa"/>
            <w:vAlign w:val="bottom"/>
            <w:gridSpan w:val="2"/>
            <w:shd w:val="clear" w:color="auto" w:fill="CFF0FC"/>
          </w:tcPr>
          <w:p>
            <w:pPr>
              <w:jc w:val="right"/>
              <w:ind w:right="140"/>
              <w:spacing w:after="0" w:line="216" w:lineRule="exact"/>
              <w:rPr>
                <w:sz w:val="20"/>
                <w:szCs w:val="20"/>
                <w:color w:val="auto"/>
              </w:rPr>
            </w:pPr>
            <w:r>
              <w:rPr>
                <w:rFonts w:ascii="Calibri" w:cs="Calibri" w:eastAsia="Calibri" w:hAnsi="Calibri"/>
                <w:sz w:val="18"/>
                <w:szCs w:val="18"/>
                <w:color w:val="auto"/>
              </w:rPr>
              <w:t>0 %</w:t>
            </w:r>
          </w:p>
        </w:tc>
        <w:tc>
          <w:tcPr>
            <w:tcW w:w="94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60"/>
              <w:spacing w:after="0" w:line="216" w:lineRule="exact"/>
              <w:rPr>
                <w:sz w:val="20"/>
                <w:szCs w:val="20"/>
                <w:color w:val="auto"/>
              </w:rPr>
            </w:pPr>
            <w:r>
              <w:rPr>
                <w:rFonts w:ascii="Calibri" w:cs="Calibri" w:eastAsia="Calibri" w:hAnsi="Calibri"/>
                <w:sz w:val="18"/>
                <w:szCs w:val="18"/>
                <w:color w:val="auto"/>
              </w:rPr>
              <w:t>0 %</w:t>
            </w:r>
          </w:p>
        </w:tc>
        <w:tc>
          <w:tcPr>
            <w:tcW w:w="1420" w:type="dxa"/>
            <w:vAlign w:val="bottom"/>
            <w:shd w:val="clear" w:color="auto" w:fill="CFF0FC"/>
          </w:tcPr>
          <w:p>
            <w:pPr>
              <w:jc w:val="center"/>
              <w:spacing w:after="0" w:line="216" w:lineRule="exact"/>
              <w:rPr>
                <w:sz w:val="20"/>
                <w:szCs w:val="20"/>
                <w:color w:val="auto"/>
              </w:rPr>
            </w:pPr>
            <w:r>
              <w:rPr>
                <w:rFonts w:ascii="Calibri" w:cs="Calibri" w:eastAsia="Calibri" w:hAnsi="Calibri"/>
                <w:sz w:val="18"/>
                <w:szCs w:val="18"/>
                <w:color w:val="auto"/>
                <w:w w:val="99"/>
              </w:rPr>
              <w:t>0%</w:t>
            </w:r>
          </w:p>
        </w:tc>
      </w:tr>
      <w:tr>
        <w:trPr>
          <w:trHeight w:val="215"/>
        </w:trPr>
        <w:tc>
          <w:tcPr>
            <w:tcW w:w="7400" w:type="dxa"/>
            <w:vAlign w:val="bottom"/>
            <w:gridSpan w:val="2"/>
          </w:tcPr>
          <w:p>
            <w:pPr>
              <w:ind w:left="20"/>
              <w:spacing w:after="0" w:line="215" w:lineRule="exact"/>
              <w:rPr>
                <w:sz w:val="20"/>
                <w:szCs w:val="20"/>
                <w:color w:val="auto"/>
              </w:rPr>
            </w:pPr>
            <w:r>
              <w:rPr>
                <w:rFonts w:ascii="Calibri" w:cs="Calibri" w:eastAsia="Calibri" w:hAnsi="Calibri"/>
                <w:sz w:val="18"/>
                <w:szCs w:val="18"/>
                <w:color w:val="auto"/>
              </w:rPr>
              <w:t>Cash and cash equivalents</w:t>
            </w:r>
          </w:p>
        </w:tc>
        <w:tc>
          <w:tcPr>
            <w:tcW w:w="66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31 %</w:t>
            </w:r>
          </w:p>
        </w:tc>
        <w:tc>
          <w:tcPr>
            <w:tcW w:w="940" w:type="dxa"/>
            <w:vAlign w:val="bottom"/>
          </w:tcPr>
          <w:p>
            <w:pPr>
              <w:spacing w:after="0"/>
              <w:rPr>
                <w:sz w:val="18"/>
                <w:szCs w:val="18"/>
                <w:color w:val="auto"/>
              </w:rPr>
            </w:pPr>
          </w:p>
        </w:tc>
        <w:tc>
          <w:tcPr>
            <w:tcW w:w="70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5 %</w:t>
            </w:r>
          </w:p>
        </w:tc>
        <w:tc>
          <w:tcPr>
            <w:tcW w:w="1420" w:type="dxa"/>
            <w:vAlign w:val="bottom"/>
          </w:tcPr>
          <w:p>
            <w:pPr>
              <w:jc w:val="center"/>
              <w:spacing w:after="0" w:line="215" w:lineRule="exact"/>
              <w:rPr>
                <w:sz w:val="20"/>
                <w:szCs w:val="20"/>
                <w:color w:val="auto"/>
              </w:rPr>
            </w:pPr>
            <w:r>
              <w:rPr>
                <w:rFonts w:ascii="Calibri" w:cs="Calibri" w:eastAsia="Calibri" w:hAnsi="Calibri"/>
                <w:sz w:val="18"/>
                <w:szCs w:val="18"/>
                <w:color w:val="auto"/>
              </w:rPr>
              <w:t>0-10%</w:t>
            </w:r>
          </w:p>
        </w:tc>
      </w:tr>
      <w:tr>
        <w:trPr>
          <w:trHeight w:val="217"/>
        </w:trPr>
        <w:tc>
          <w:tcPr>
            <w:tcW w:w="7400" w:type="dxa"/>
            <w:vAlign w:val="bottom"/>
            <w:gridSpan w:val="2"/>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Private equity</w:t>
            </w:r>
          </w:p>
        </w:tc>
        <w:tc>
          <w:tcPr>
            <w:tcW w:w="660" w:type="dxa"/>
            <w:vAlign w:val="bottom"/>
            <w:gridSpan w:val="2"/>
            <w:shd w:val="clear" w:color="auto" w:fill="CFF0FC"/>
          </w:tcPr>
          <w:p>
            <w:pPr>
              <w:jc w:val="right"/>
              <w:ind w:right="140"/>
              <w:spacing w:after="0" w:line="216" w:lineRule="exact"/>
              <w:rPr>
                <w:sz w:val="20"/>
                <w:szCs w:val="20"/>
                <w:color w:val="auto"/>
              </w:rPr>
            </w:pPr>
            <w:r>
              <w:rPr>
                <w:rFonts w:ascii="Calibri" w:cs="Calibri" w:eastAsia="Calibri" w:hAnsi="Calibri"/>
                <w:sz w:val="18"/>
                <w:szCs w:val="18"/>
                <w:color w:val="auto"/>
              </w:rPr>
              <w:t>5 %</w:t>
            </w:r>
          </w:p>
        </w:tc>
        <w:tc>
          <w:tcPr>
            <w:tcW w:w="94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60"/>
              <w:spacing w:after="0" w:line="216" w:lineRule="exact"/>
              <w:rPr>
                <w:sz w:val="20"/>
                <w:szCs w:val="20"/>
                <w:color w:val="auto"/>
              </w:rPr>
            </w:pPr>
            <w:r>
              <w:rPr>
                <w:rFonts w:ascii="Calibri" w:cs="Calibri" w:eastAsia="Calibri" w:hAnsi="Calibri"/>
                <w:sz w:val="18"/>
                <w:szCs w:val="18"/>
                <w:color w:val="auto"/>
              </w:rPr>
              <w:t>31 %</w:t>
            </w:r>
          </w:p>
        </w:tc>
        <w:tc>
          <w:tcPr>
            <w:tcW w:w="1420" w:type="dxa"/>
            <w:vAlign w:val="bottom"/>
            <w:shd w:val="clear" w:color="auto" w:fill="CFF0FC"/>
          </w:tcPr>
          <w:p>
            <w:pPr>
              <w:jc w:val="center"/>
              <w:spacing w:after="0" w:line="216" w:lineRule="exact"/>
              <w:rPr>
                <w:sz w:val="20"/>
                <w:szCs w:val="20"/>
                <w:color w:val="auto"/>
              </w:rPr>
            </w:pPr>
            <w:r>
              <w:rPr>
                <w:rFonts w:ascii="Calibri" w:cs="Calibri" w:eastAsia="Calibri" w:hAnsi="Calibri"/>
                <w:sz w:val="18"/>
                <w:szCs w:val="18"/>
                <w:color w:val="auto"/>
              </w:rPr>
              <w:t>0-35%</w:t>
            </w:r>
          </w:p>
        </w:tc>
      </w:tr>
      <w:tr>
        <w:trPr>
          <w:trHeight w:val="215"/>
        </w:trPr>
        <w:tc>
          <w:tcPr>
            <w:tcW w:w="6440" w:type="dxa"/>
            <w:vAlign w:val="bottom"/>
          </w:tcPr>
          <w:p>
            <w:pPr>
              <w:ind w:left="20"/>
              <w:spacing w:after="0" w:line="215" w:lineRule="exact"/>
              <w:rPr>
                <w:sz w:val="20"/>
                <w:szCs w:val="20"/>
                <w:color w:val="auto"/>
              </w:rPr>
            </w:pPr>
            <w:r>
              <w:rPr>
                <w:rFonts w:ascii="Calibri" w:cs="Calibri" w:eastAsia="Calibri" w:hAnsi="Calibri"/>
                <w:sz w:val="18"/>
                <w:szCs w:val="18"/>
                <w:color w:val="auto"/>
              </w:rPr>
              <w:t>Hedge funds</w:t>
            </w:r>
          </w:p>
        </w:tc>
        <w:tc>
          <w:tcPr>
            <w:tcW w:w="960" w:type="dxa"/>
            <w:vAlign w:val="bottom"/>
          </w:tcPr>
          <w:p>
            <w:pPr>
              <w:spacing w:after="0"/>
              <w:rPr>
                <w:sz w:val="18"/>
                <w:szCs w:val="18"/>
                <w:color w:val="auto"/>
              </w:rPr>
            </w:pPr>
          </w:p>
        </w:tc>
        <w:tc>
          <w:tcPr>
            <w:tcW w:w="66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22 %</w:t>
            </w:r>
          </w:p>
        </w:tc>
        <w:tc>
          <w:tcPr>
            <w:tcW w:w="940" w:type="dxa"/>
            <w:vAlign w:val="bottom"/>
          </w:tcPr>
          <w:p>
            <w:pPr>
              <w:spacing w:after="0"/>
              <w:rPr>
                <w:sz w:val="18"/>
                <w:szCs w:val="18"/>
                <w:color w:val="auto"/>
              </w:rPr>
            </w:pPr>
          </w:p>
        </w:tc>
        <w:tc>
          <w:tcPr>
            <w:tcW w:w="70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44 %</w:t>
            </w:r>
          </w:p>
        </w:tc>
        <w:tc>
          <w:tcPr>
            <w:tcW w:w="1420" w:type="dxa"/>
            <w:vAlign w:val="bottom"/>
          </w:tcPr>
          <w:p>
            <w:pPr>
              <w:jc w:val="center"/>
              <w:spacing w:after="0" w:line="215" w:lineRule="exact"/>
              <w:rPr>
                <w:sz w:val="20"/>
                <w:szCs w:val="20"/>
                <w:color w:val="auto"/>
              </w:rPr>
            </w:pPr>
            <w:r>
              <w:rPr>
                <w:rFonts w:ascii="Calibri" w:cs="Calibri" w:eastAsia="Calibri" w:hAnsi="Calibri"/>
                <w:sz w:val="18"/>
                <w:szCs w:val="18"/>
                <w:color w:val="auto"/>
                <w:w w:val="99"/>
              </w:rPr>
              <w:t>0%</w:t>
            </w:r>
          </w:p>
        </w:tc>
      </w:tr>
      <w:tr>
        <w:trPr>
          <w:trHeight w:val="20"/>
        </w:trPr>
        <w:tc>
          <w:tcPr>
            <w:tcW w:w="64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30"/>
        </w:trPr>
        <w:tc>
          <w:tcPr>
            <w:tcW w:w="644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color w:val="auto"/>
              </w:rPr>
              <w:t>Total</w:t>
            </w:r>
          </w:p>
        </w:tc>
        <w:tc>
          <w:tcPr>
            <w:tcW w:w="960" w:type="dxa"/>
            <w:vAlign w:val="bottom"/>
            <w:shd w:val="clear" w:color="auto" w:fill="CFF0FC"/>
          </w:tcPr>
          <w:p>
            <w:pPr>
              <w:spacing w:after="0"/>
              <w:rPr>
                <w:sz w:val="20"/>
                <w:szCs w:val="20"/>
                <w:color w:val="auto"/>
              </w:rPr>
            </w:pPr>
          </w:p>
        </w:tc>
        <w:tc>
          <w:tcPr>
            <w:tcW w:w="660" w:type="dxa"/>
            <w:vAlign w:val="bottom"/>
            <w:gridSpan w:val="2"/>
            <w:shd w:val="clear" w:color="auto" w:fill="CFF0FC"/>
          </w:tcPr>
          <w:p>
            <w:pPr>
              <w:jc w:val="right"/>
              <w:ind w:right="140"/>
              <w:spacing w:after="0" w:line="210" w:lineRule="exact"/>
              <w:rPr>
                <w:sz w:val="20"/>
                <w:szCs w:val="20"/>
                <w:color w:val="auto"/>
              </w:rPr>
            </w:pPr>
            <w:r>
              <w:rPr>
                <w:rFonts w:ascii="Calibri" w:cs="Calibri" w:eastAsia="Calibri" w:hAnsi="Calibri"/>
                <w:sz w:val="18"/>
                <w:szCs w:val="18"/>
                <w:color w:val="auto"/>
              </w:rPr>
              <w:t>100 %</w:t>
            </w:r>
          </w:p>
        </w:tc>
        <w:tc>
          <w:tcPr>
            <w:tcW w:w="94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160"/>
              <w:spacing w:after="0" w:line="210" w:lineRule="exact"/>
              <w:rPr>
                <w:sz w:val="20"/>
                <w:szCs w:val="20"/>
                <w:color w:val="auto"/>
              </w:rPr>
            </w:pPr>
            <w:r>
              <w:rPr>
                <w:rFonts w:ascii="Calibri" w:cs="Calibri" w:eastAsia="Calibri" w:hAnsi="Calibri"/>
                <w:sz w:val="18"/>
                <w:szCs w:val="18"/>
                <w:color w:val="auto"/>
              </w:rPr>
              <w:t>100 %</w:t>
            </w:r>
          </w:p>
        </w:tc>
        <w:tc>
          <w:tcPr>
            <w:tcW w:w="1420" w:type="dxa"/>
            <w:vAlign w:val="bottom"/>
            <w:shd w:val="clear" w:color="auto" w:fill="CFF0FC"/>
          </w:tcPr>
          <w:p>
            <w:pPr>
              <w:spacing w:after="0"/>
              <w:rPr>
                <w:sz w:val="20"/>
                <w:szCs w:val="20"/>
                <w:color w:val="auto"/>
              </w:rPr>
            </w:pPr>
          </w:p>
        </w:tc>
      </w:tr>
      <w:tr>
        <w:trPr>
          <w:trHeight w:val="20"/>
        </w:trPr>
        <w:tc>
          <w:tcPr>
            <w:tcW w:w="644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4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-25400</wp:posOffset>
            </wp:positionV>
            <wp:extent cx="10287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-8255</wp:posOffset>
            </wp:positionV>
            <wp:extent cx="10287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-25400</wp:posOffset>
            </wp:positionV>
            <wp:extent cx="10287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-8255</wp:posOffset>
            </wp:positionV>
            <wp:extent cx="10287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33"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As a result of the change in KRIP’s investment strategy in 2024, the sale of a signifcant porton of KRIP’s Illiquid Assets and the tming of hedge fund redemptons, the debt securites, cash and cash equivalents and hedge funds investment categories at December 31, 2024 were outside of the previously established target allocatons. Due to tming of asset sales and hedge fund redemptons, certain amounts included in the cash and cash equivalents target are recorded as receivables at year-end. The investment allocaton is likely to be further adjusted during 2025 in connecton with the terminaton of KRIP.</w:t>
      </w:r>
    </w:p>
    <w:p>
      <w:pPr>
        <w:spacing w:after="0" w:line="174" w:lineRule="exact"/>
        <w:rPr>
          <w:sz w:val="20"/>
          <w:szCs w:val="20"/>
          <w:color w:val="auto"/>
        </w:rPr>
      </w:pPr>
    </w:p>
    <w:p>
      <w:pPr>
        <w:spacing w:after="0"/>
        <w:rPr>
          <w:sz w:val="20"/>
          <w:szCs w:val="20"/>
          <w:color w:val="auto"/>
        </w:rPr>
      </w:pPr>
      <w:r>
        <w:rPr>
          <w:rFonts w:ascii="Calibri" w:cs="Calibri" w:eastAsia="Calibri" w:hAnsi="Calibri"/>
          <w:sz w:val="18"/>
          <w:szCs w:val="18"/>
          <w:color w:val="auto"/>
        </w:rPr>
        <w:t>Kodak’s weighted-average asset allocatons for its major Non-U.S. defned beneft pension plans by asset category, are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440" w:type="dxa"/>
            <w:vAlign w:val="bottom"/>
          </w:tcPr>
          <w:p>
            <w:pPr>
              <w:spacing w:after="0"/>
              <w:rPr>
                <w:sz w:val="19"/>
                <w:szCs w:val="19"/>
                <w:color w:val="auto"/>
              </w:rPr>
            </w:pPr>
          </w:p>
        </w:tc>
        <w:tc>
          <w:tcPr>
            <w:tcW w:w="2560" w:type="dxa"/>
            <w:vAlign w:val="bottom"/>
            <w:gridSpan w:val="4"/>
          </w:tcPr>
          <w:p>
            <w:pPr>
              <w:jc w:val="right"/>
              <w:ind w:right="380"/>
              <w:spacing w:after="0"/>
              <w:rPr>
                <w:sz w:val="20"/>
                <w:szCs w:val="20"/>
                <w:color w:val="auto"/>
              </w:rPr>
            </w:pPr>
            <w:r>
              <w:rPr>
                <w:rFonts w:ascii="Calibri" w:cs="Calibri" w:eastAsia="Calibri" w:hAnsi="Calibri"/>
                <w:sz w:val="18"/>
                <w:szCs w:val="18"/>
                <w:b w:val="1"/>
                <w:bCs w:val="1"/>
                <w:color w:val="auto"/>
              </w:rPr>
              <w:t>As of December 31,</w:t>
            </w: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16"/>
        </w:trPr>
        <w:tc>
          <w:tcPr>
            <w:tcW w:w="7400" w:type="dxa"/>
            <w:vAlign w:val="bottom"/>
            <w:gridSpan w:val="2"/>
          </w:tcPr>
          <w:p>
            <w:pPr>
              <w:ind w:left="6940"/>
              <w:spacing w:after="0" w:line="216" w:lineRule="exact"/>
              <w:rPr>
                <w:sz w:val="20"/>
                <w:szCs w:val="20"/>
                <w:color w:val="auto"/>
              </w:rPr>
            </w:pPr>
            <w:r>
              <w:rPr>
                <w:rFonts w:ascii="Calibri" w:cs="Calibri" w:eastAsia="Calibri" w:hAnsi="Calibri"/>
                <w:sz w:val="18"/>
                <w:szCs w:val="18"/>
                <w:b w:val="1"/>
                <w:bCs w:val="1"/>
                <w:color w:val="auto"/>
              </w:rPr>
              <w:t>2024</w:t>
            </w:r>
          </w:p>
        </w:tc>
        <w:tc>
          <w:tcPr>
            <w:tcW w:w="1600" w:type="dxa"/>
            <w:vAlign w:val="bottom"/>
            <w:gridSpan w:val="3"/>
          </w:tcPr>
          <w:p>
            <w:pPr>
              <w:jc w:val="right"/>
              <w:ind w:right="100"/>
              <w:spacing w:after="0" w:line="216" w:lineRule="exact"/>
              <w:rPr>
                <w:sz w:val="20"/>
                <w:szCs w:val="20"/>
                <w:color w:val="auto"/>
              </w:rPr>
            </w:pPr>
            <w:r>
              <w:rPr>
                <w:rFonts w:ascii="Calibri" w:cs="Calibri" w:eastAsia="Calibri" w:hAnsi="Calibri"/>
                <w:sz w:val="18"/>
                <w:szCs w:val="18"/>
                <w:b w:val="1"/>
                <w:bCs w:val="1"/>
                <w:color w:val="auto"/>
              </w:rPr>
              <w:t>2023</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ind w:left="280"/>
              <w:spacing w:after="0" w:line="216" w:lineRule="exact"/>
              <w:rPr>
                <w:sz w:val="20"/>
                <w:szCs w:val="20"/>
                <w:color w:val="auto"/>
              </w:rPr>
            </w:pPr>
            <w:r>
              <w:rPr>
                <w:rFonts w:ascii="Calibri" w:cs="Calibri" w:eastAsia="Calibri" w:hAnsi="Calibri"/>
                <w:sz w:val="18"/>
                <w:szCs w:val="18"/>
                <w:b w:val="1"/>
                <w:bCs w:val="1"/>
                <w:color w:val="auto"/>
              </w:rPr>
              <w:t>2024 Target</w:t>
            </w:r>
          </w:p>
        </w:tc>
      </w:tr>
      <w:tr>
        <w:trPr>
          <w:trHeight w:val="23"/>
        </w:trPr>
        <w:tc>
          <w:tcPr>
            <w:tcW w:w="64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0"/>
        </w:trPr>
        <w:tc>
          <w:tcPr>
            <w:tcW w:w="7400" w:type="dxa"/>
            <w:vAlign w:val="bottom"/>
            <w:gridSpan w:val="2"/>
            <w:shd w:val="clear" w:color="auto" w:fill="CFF0FC"/>
          </w:tcPr>
          <w:p>
            <w:pPr>
              <w:ind w:left="20"/>
              <w:spacing w:after="0" w:line="209" w:lineRule="exact"/>
              <w:rPr>
                <w:sz w:val="20"/>
                <w:szCs w:val="20"/>
                <w:color w:val="auto"/>
              </w:rPr>
            </w:pPr>
            <w:r>
              <w:rPr>
                <w:rFonts w:ascii="Calibri" w:cs="Calibri" w:eastAsia="Calibri" w:hAnsi="Calibri"/>
                <w:sz w:val="18"/>
                <w:szCs w:val="18"/>
                <w:b w:val="1"/>
                <w:bCs w:val="1"/>
                <w:color w:val="auto"/>
              </w:rPr>
              <w:t>Asset Category</w:t>
            </w:r>
          </w:p>
        </w:tc>
        <w:tc>
          <w:tcPr>
            <w:tcW w:w="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r>
      <w:tr>
        <w:trPr>
          <w:trHeight w:val="215"/>
        </w:trPr>
        <w:tc>
          <w:tcPr>
            <w:tcW w:w="7400" w:type="dxa"/>
            <w:vAlign w:val="bottom"/>
            <w:gridSpan w:val="2"/>
          </w:tcPr>
          <w:p>
            <w:pPr>
              <w:ind w:left="20"/>
              <w:spacing w:after="0" w:line="215" w:lineRule="exact"/>
              <w:rPr>
                <w:sz w:val="20"/>
                <w:szCs w:val="20"/>
                <w:color w:val="auto"/>
              </w:rPr>
            </w:pPr>
            <w:r>
              <w:rPr>
                <w:rFonts w:ascii="Calibri" w:cs="Calibri" w:eastAsia="Calibri" w:hAnsi="Calibri"/>
                <w:sz w:val="18"/>
                <w:szCs w:val="18"/>
                <w:color w:val="auto"/>
              </w:rPr>
              <w:t>Equity securites</w:t>
            </w:r>
          </w:p>
        </w:tc>
        <w:tc>
          <w:tcPr>
            <w:tcW w:w="66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6 %</w:t>
            </w:r>
          </w:p>
        </w:tc>
        <w:tc>
          <w:tcPr>
            <w:tcW w:w="940" w:type="dxa"/>
            <w:vAlign w:val="bottom"/>
          </w:tcPr>
          <w:p>
            <w:pPr>
              <w:spacing w:after="0"/>
              <w:rPr>
                <w:sz w:val="18"/>
                <w:szCs w:val="18"/>
                <w:color w:val="auto"/>
              </w:rPr>
            </w:pPr>
          </w:p>
        </w:tc>
        <w:tc>
          <w:tcPr>
            <w:tcW w:w="70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6 %</w:t>
            </w:r>
          </w:p>
        </w:tc>
        <w:tc>
          <w:tcPr>
            <w:tcW w:w="1420" w:type="dxa"/>
            <w:vAlign w:val="bottom"/>
          </w:tcPr>
          <w:p>
            <w:pPr>
              <w:jc w:val="center"/>
              <w:spacing w:after="0" w:line="215" w:lineRule="exact"/>
              <w:rPr>
                <w:sz w:val="20"/>
                <w:szCs w:val="20"/>
                <w:color w:val="auto"/>
              </w:rPr>
            </w:pPr>
            <w:r>
              <w:rPr>
                <w:rFonts w:ascii="Calibri" w:cs="Calibri" w:eastAsia="Calibri" w:hAnsi="Calibri"/>
                <w:sz w:val="18"/>
                <w:szCs w:val="18"/>
                <w:color w:val="auto"/>
              </w:rPr>
              <w:t>0-10%</w:t>
            </w:r>
          </w:p>
        </w:tc>
      </w:tr>
      <w:tr>
        <w:trPr>
          <w:trHeight w:val="217"/>
        </w:trPr>
        <w:tc>
          <w:tcPr>
            <w:tcW w:w="7400" w:type="dxa"/>
            <w:vAlign w:val="bottom"/>
            <w:gridSpan w:val="2"/>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Debt securites</w:t>
            </w:r>
          </w:p>
        </w:tc>
        <w:tc>
          <w:tcPr>
            <w:tcW w:w="660" w:type="dxa"/>
            <w:vAlign w:val="bottom"/>
            <w:gridSpan w:val="2"/>
            <w:shd w:val="clear" w:color="auto" w:fill="CFF0FC"/>
          </w:tcPr>
          <w:p>
            <w:pPr>
              <w:jc w:val="right"/>
              <w:ind w:right="140"/>
              <w:spacing w:after="0" w:line="216" w:lineRule="exact"/>
              <w:rPr>
                <w:sz w:val="20"/>
                <w:szCs w:val="20"/>
                <w:color w:val="auto"/>
              </w:rPr>
            </w:pPr>
            <w:r>
              <w:rPr>
                <w:rFonts w:ascii="Calibri" w:cs="Calibri" w:eastAsia="Calibri" w:hAnsi="Calibri"/>
                <w:sz w:val="18"/>
                <w:szCs w:val="18"/>
                <w:color w:val="auto"/>
              </w:rPr>
              <w:t>17 %</w:t>
            </w:r>
          </w:p>
        </w:tc>
        <w:tc>
          <w:tcPr>
            <w:tcW w:w="94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60"/>
              <w:spacing w:after="0" w:line="216" w:lineRule="exact"/>
              <w:rPr>
                <w:sz w:val="20"/>
                <w:szCs w:val="20"/>
                <w:color w:val="auto"/>
              </w:rPr>
            </w:pPr>
            <w:r>
              <w:rPr>
                <w:rFonts w:ascii="Calibri" w:cs="Calibri" w:eastAsia="Calibri" w:hAnsi="Calibri"/>
                <w:sz w:val="18"/>
                <w:szCs w:val="18"/>
                <w:color w:val="auto"/>
              </w:rPr>
              <w:t>16 %</w:t>
            </w:r>
          </w:p>
        </w:tc>
        <w:tc>
          <w:tcPr>
            <w:tcW w:w="1420" w:type="dxa"/>
            <w:vAlign w:val="bottom"/>
            <w:shd w:val="clear" w:color="auto" w:fill="CFF0FC"/>
          </w:tcPr>
          <w:p>
            <w:pPr>
              <w:jc w:val="center"/>
              <w:spacing w:after="0" w:line="216" w:lineRule="exact"/>
              <w:rPr>
                <w:sz w:val="20"/>
                <w:szCs w:val="20"/>
                <w:color w:val="auto"/>
              </w:rPr>
            </w:pPr>
            <w:r>
              <w:rPr>
                <w:rFonts w:ascii="Calibri" w:cs="Calibri" w:eastAsia="Calibri" w:hAnsi="Calibri"/>
                <w:sz w:val="18"/>
                <w:szCs w:val="18"/>
                <w:color w:val="auto"/>
                <w:w w:val="98"/>
              </w:rPr>
              <w:t>15-25%</w:t>
            </w:r>
          </w:p>
        </w:tc>
      </w:tr>
      <w:tr>
        <w:trPr>
          <w:trHeight w:val="215"/>
        </w:trPr>
        <w:tc>
          <w:tcPr>
            <w:tcW w:w="7400" w:type="dxa"/>
            <w:vAlign w:val="bottom"/>
            <w:gridSpan w:val="2"/>
          </w:tcPr>
          <w:p>
            <w:pPr>
              <w:ind w:left="20"/>
              <w:spacing w:after="0" w:line="215" w:lineRule="exact"/>
              <w:rPr>
                <w:sz w:val="20"/>
                <w:szCs w:val="20"/>
                <w:color w:val="auto"/>
              </w:rPr>
            </w:pPr>
            <w:r>
              <w:rPr>
                <w:rFonts w:ascii="Calibri" w:cs="Calibri" w:eastAsia="Calibri" w:hAnsi="Calibri"/>
                <w:sz w:val="18"/>
                <w:szCs w:val="18"/>
                <w:color w:val="auto"/>
              </w:rPr>
              <w:t>Real estate</w:t>
            </w:r>
          </w:p>
        </w:tc>
        <w:tc>
          <w:tcPr>
            <w:tcW w:w="66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2 %</w:t>
            </w:r>
          </w:p>
        </w:tc>
        <w:tc>
          <w:tcPr>
            <w:tcW w:w="940" w:type="dxa"/>
            <w:vAlign w:val="bottom"/>
          </w:tcPr>
          <w:p>
            <w:pPr>
              <w:spacing w:after="0"/>
              <w:rPr>
                <w:sz w:val="18"/>
                <w:szCs w:val="18"/>
                <w:color w:val="auto"/>
              </w:rPr>
            </w:pPr>
          </w:p>
        </w:tc>
        <w:tc>
          <w:tcPr>
            <w:tcW w:w="70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2 %</w:t>
            </w:r>
          </w:p>
        </w:tc>
        <w:tc>
          <w:tcPr>
            <w:tcW w:w="1420" w:type="dxa"/>
            <w:vAlign w:val="bottom"/>
          </w:tcPr>
          <w:p>
            <w:pPr>
              <w:jc w:val="center"/>
              <w:spacing w:after="0" w:line="215" w:lineRule="exact"/>
              <w:rPr>
                <w:sz w:val="20"/>
                <w:szCs w:val="20"/>
                <w:color w:val="auto"/>
              </w:rPr>
            </w:pPr>
            <w:r>
              <w:rPr>
                <w:rFonts w:ascii="Calibri" w:cs="Calibri" w:eastAsia="Calibri" w:hAnsi="Calibri"/>
                <w:sz w:val="18"/>
                <w:szCs w:val="18"/>
                <w:color w:val="auto"/>
                <w:w w:val="98"/>
              </w:rPr>
              <w:t>0-5%</w:t>
            </w:r>
          </w:p>
        </w:tc>
      </w:tr>
      <w:tr>
        <w:trPr>
          <w:trHeight w:val="217"/>
        </w:trPr>
        <w:tc>
          <w:tcPr>
            <w:tcW w:w="7400" w:type="dxa"/>
            <w:vAlign w:val="bottom"/>
            <w:gridSpan w:val="2"/>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Cash and cash equivalents</w:t>
            </w:r>
          </w:p>
        </w:tc>
        <w:tc>
          <w:tcPr>
            <w:tcW w:w="660" w:type="dxa"/>
            <w:vAlign w:val="bottom"/>
            <w:gridSpan w:val="2"/>
            <w:shd w:val="clear" w:color="auto" w:fill="CFF0FC"/>
          </w:tcPr>
          <w:p>
            <w:pPr>
              <w:jc w:val="right"/>
              <w:ind w:right="140"/>
              <w:spacing w:after="0" w:line="216" w:lineRule="exact"/>
              <w:rPr>
                <w:sz w:val="20"/>
                <w:szCs w:val="20"/>
                <w:color w:val="auto"/>
              </w:rPr>
            </w:pPr>
            <w:r>
              <w:rPr>
                <w:rFonts w:ascii="Calibri" w:cs="Calibri" w:eastAsia="Calibri" w:hAnsi="Calibri"/>
                <w:sz w:val="18"/>
                <w:szCs w:val="18"/>
                <w:color w:val="auto"/>
              </w:rPr>
              <w:t>9 %</w:t>
            </w:r>
          </w:p>
        </w:tc>
        <w:tc>
          <w:tcPr>
            <w:tcW w:w="94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60"/>
              <w:spacing w:after="0" w:line="216" w:lineRule="exact"/>
              <w:rPr>
                <w:sz w:val="20"/>
                <w:szCs w:val="20"/>
                <w:color w:val="auto"/>
              </w:rPr>
            </w:pPr>
            <w:r>
              <w:rPr>
                <w:rFonts w:ascii="Calibri" w:cs="Calibri" w:eastAsia="Calibri" w:hAnsi="Calibri"/>
                <w:sz w:val="18"/>
                <w:szCs w:val="18"/>
                <w:color w:val="auto"/>
              </w:rPr>
              <w:t>2 %</w:t>
            </w:r>
          </w:p>
        </w:tc>
        <w:tc>
          <w:tcPr>
            <w:tcW w:w="1420" w:type="dxa"/>
            <w:vAlign w:val="bottom"/>
            <w:shd w:val="clear" w:color="auto" w:fill="CFF0FC"/>
          </w:tcPr>
          <w:p>
            <w:pPr>
              <w:jc w:val="center"/>
              <w:spacing w:after="0" w:line="216" w:lineRule="exact"/>
              <w:rPr>
                <w:sz w:val="20"/>
                <w:szCs w:val="20"/>
                <w:color w:val="auto"/>
              </w:rPr>
            </w:pPr>
            <w:r>
              <w:rPr>
                <w:rFonts w:ascii="Calibri" w:cs="Calibri" w:eastAsia="Calibri" w:hAnsi="Calibri"/>
                <w:sz w:val="18"/>
                <w:szCs w:val="18"/>
                <w:color w:val="auto"/>
                <w:w w:val="98"/>
              </w:rPr>
              <w:t>0-5%</w:t>
            </w:r>
          </w:p>
        </w:tc>
      </w:tr>
      <w:tr>
        <w:trPr>
          <w:trHeight w:val="215"/>
        </w:trPr>
        <w:tc>
          <w:tcPr>
            <w:tcW w:w="7400" w:type="dxa"/>
            <w:vAlign w:val="bottom"/>
            <w:gridSpan w:val="2"/>
          </w:tcPr>
          <w:p>
            <w:pPr>
              <w:ind w:left="20"/>
              <w:spacing w:after="0" w:line="215" w:lineRule="exact"/>
              <w:rPr>
                <w:sz w:val="20"/>
                <w:szCs w:val="20"/>
                <w:color w:val="auto"/>
              </w:rPr>
            </w:pPr>
            <w:r>
              <w:rPr>
                <w:rFonts w:ascii="Calibri" w:cs="Calibri" w:eastAsia="Calibri" w:hAnsi="Calibri"/>
                <w:sz w:val="18"/>
                <w:szCs w:val="18"/>
                <w:color w:val="auto"/>
              </w:rPr>
              <w:t>Hedge Funds</w:t>
            </w:r>
          </w:p>
        </w:tc>
        <w:tc>
          <w:tcPr>
            <w:tcW w:w="66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0 %</w:t>
            </w:r>
          </w:p>
        </w:tc>
        <w:tc>
          <w:tcPr>
            <w:tcW w:w="940" w:type="dxa"/>
            <w:vAlign w:val="bottom"/>
          </w:tcPr>
          <w:p>
            <w:pPr>
              <w:spacing w:after="0"/>
              <w:rPr>
                <w:sz w:val="18"/>
                <w:szCs w:val="18"/>
                <w:color w:val="auto"/>
              </w:rPr>
            </w:pPr>
          </w:p>
        </w:tc>
        <w:tc>
          <w:tcPr>
            <w:tcW w:w="70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6 %</w:t>
            </w:r>
          </w:p>
        </w:tc>
        <w:tc>
          <w:tcPr>
            <w:tcW w:w="1420" w:type="dxa"/>
            <w:vAlign w:val="bottom"/>
          </w:tcPr>
          <w:p>
            <w:pPr>
              <w:jc w:val="center"/>
              <w:spacing w:after="0" w:line="215" w:lineRule="exact"/>
              <w:rPr>
                <w:sz w:val="20"/>
                <w:szCs w:val="20"/>
                <w:color w:val="auto"/>
              </w:rPr>
            </w:pPr>
            <w:r>
              <w:rPr>
                <w:rFonts w:ascii="Calibri" w:cs="Calibri" w:eastAsia="Calibri" w:hAnsi="Calibri"/>
                <w:sz w:val="18"/>
                <w:szCs w:val="18"/>
                <w:color w:val="auto"/>
                <w:w w:val="99"/>
              </w:rPr>
              <w:t>0%</w:t>
            </w:r>
          </w:p>
        </w:tc>
      </w:tr>
      <w:tr>
        <w:trPr>
          <w:trHeight w:val="217"/>
        </w:trPr>
        <w:tc>
          <w:tcPr>
            <w:tcW w:w="7400" w:type="dxa"/>
            <w:vAlign w:val="bottom"/>
            <w:gridSpan w:val="2"/>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Private equity</w:t>
            </w:r>
          </w:p>
        </w:tc>
        <w:tc>
          <w:tcPr>
            <w:tcW w:w="660" w:type="dxa"/>
            <w:vAlign w:val="bottom"/>
            <w:gridSpan w:val="2"/>
            <w:shd w:val="clear" w:color="auto" w:fill="CFF0FC"/>
          </w:tcPr>
          <w:p>
            <w:pPr>
              <w:jc w:val="right"/>
              <w:ind w:right="140"/>
              <w:spacing w:after="0" w:line="216" w:lineRule="exact"/>
              <w:rPr>
                <w:sz w:val="20"/>
                <w:szCs w:val="20"/>
                <w:color w:val="auto"/>
              </w:rPr>
            </w:pPr>
            <w:r>
              <w:rPr>
                <w:rFonts w:ascii="Calibri" w:cs="Calibri" w:eastAsia="Calibri" w:hAnsi="Calibri"/>
                <w:sz w:val="18"/>
                <w:szCs w:val="18"/>
                <w:color w:val="auto"/>
              </w:rPr>
              <w:t>6 %</w:t>
            </w:r>
          </w:p>
        </w:tc>
        <w:tc>
          <w:tcPr>
            <w:tcW w:w="94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60"/>
              <w:spacing w:after="0" w:line="216" w:lineRule="exact"/>
              <w:rPr>
                <w:sz w:val="20"/>
                <w:szCs w:val="20"/>
                <w:color w:val="auto"/>
              </w:rPr>
            </w:pPr>
            <w:r>
              <w:rPr>
                <w:rFonts w:ascii="Calibri" w:cs="Calibri" w:eastAsia="Calibri" w:hAnsi="Calibri"/>
                <w:sz w:val="18"/>
                <w:szCs w:val="18"/>
                <w:color w:val="auto"/>
              </w:rPr>
              <w:t>8 %</w:t>
            </w:r>
          </w:p>
        </w:tc>
        <w:tc>
          <w:tcPr>
            <w:tcW w:w="1420" w:type="dxa"/>
            <w:vAlign w:val="bottom"/>
            <w:shd w:val="clear" w:color="auto" w:fill="CFF0FC"/>
          </w:tcPr>
          <w:p>
            <w:pPr>
              <w:jc w:val="center"/>
              <w:spacing w:after="0" w:line="216" w:lineRule="exact"/>
              <w:rPr>
                <w:sz w:val="20"/>
                <w:szCs w:val="20"/>
                <w:color w:val="auto"/>
              </w:rPr>
            </w:pPr>
            <w:r>
              <w:rPr>
                <w:rFonts w:ascii="Calibri" w:cs="Calibri" w:eastAsia="Calibri" w:hAnsi="Calibri"/>
                <w:sz w:val="18"/>
                <w:szCs w:val="18"/>
                <w:color w:val="auto"/>
              </w:rPr>
              <w:t>0-10%</w:t>
            </w:r>
          </w:p>
        </w:tc>
      </w:tr>
      <w:tr>
        <w:trPr>
          <w:trHeight w:val="215"/>
        </w:trPr>
        <w:tc>
          <w:tcPr>
            <w:tcW w:w="6440" w:type="dxa"/>
            <w:vAlign w:val="bottom"/>
          </w:tcPr>
          <w:p>
            <w:pPr>
              <w:ind w:left="20"/>
              <w:spacing w:after="0" w:line="215" w:lineRule="exact"/>
              <w:rPr>
                <w:sz w:val="20"/>
                <w:szCs w:val="20"/>
                <w:color w:val="auto"/>
              </w:rPr>
            </w:pPr>
            <w:r>
              <w:rPr>
                <w:rFonts w:ascii="Calibri" w:cs="Calibri" w:eastAsia="Calibri" w:hAnsi="Calibri"/>
                <w:sz w:val="18"/>
                <w:szCs w:val="18"/>
                <w:color w:val="auto"/>
              </w:rPr>
              <w:t>Insurance contracts</w:t>
            </w:r>
          </w:p>
        </w:tc>
        <w:tc>
          <w:tcPr>
            <w:tcW w:w="960" w:type="dxa"/>
            <w:vAlign w:val="bottom"/>
          </w:tcPr>
          <w:p>
            <w:pPr>
              <w:spacing w:after="0"/>
              <w:rPr>
                <w:sz w:val="18"/>
                <w:szCs w:val="18"/>
                <w:color w:val="auto"/>
              </w:rPr>
            </w:pPr>
          </w:p>
        </w:tc>
        <w:tc>
          <w:tcPr>
            <w:tcW w:w="66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60 %</w:t>
            </w:r>
          </w:p>
        </w:tc>
        <w:tc>
          <w:tcPr>
            <w:tcW w:w="940" w:type="dxa"/>
            <w:vAlign w:val="bottom"/>
          </w:tcPr>
          <w:p>
            <w:pPr>
              <w:spacing w:after="0"/>
              <w:rPr>
                <w:sz w:val="18"/>
                <w:szCs w:val="18"/>
                <w:color w:val="auto"/>
              </w:rPr>
            </w:pPr>
          </w:p>
        </w:tc>
        <w:tc>
          <w:tcPr>
            <w:tcW w:w="70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60 %</w:t>
            </w:r>
          </w:p>
        </w:tc>
        <w:tc>
          <w:tcPr>
            <w:tcW w:w="1420" w:type="dxa"/>
            <w:vAlign w:val="bottom"/>
          </w:tcPr>
          <w:p>
            <w:pPr>
              <w:jc w:val="center"/>
              <w:spacing w:after="0" w:line="215" w:lineRule="exact"/>
              <w:rPr>
                <w:sz w:val="20"/>
                <w:szCs w:val="20"/>
                <w:color w:val="auto"/>
              </w:rPr>
            </w:pPr>
            <w:r>
              <w:rPr>
                <w:rFonts w:ascii="Calibri" w:cs="Calibri" w:eastAsia="Calibri" w:hAnsi="Calibri"/>
                <w:sz w:val="18"/>
                <w:szCs w:val="18"/>
                <w:color w:val="auto"/>
                <w:w w:val="98"/>
              </w:rPr>
              <w:t>25-75%</w:t>
            </w:r>
          </w:p>
        </w:tc>
      </w:tr>
      <w:tr>
        <w:trPr>
          <w:trHeight w:val="20"/>
        </w:trPr>
        <w:tc>
          <w:tcPr>
            <w:tcW w:w="64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30"/>
        </w:trPr>
        <w:tc>
          <w:tcPr>
            <w:tcW w:w="644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color w:val="auto"/>
              </w:rPr>
              <w:t>Total</w:t>
            </w:r>
          </w:p>
        </w:tc>
        <w:tc>
          <w:tcPr>
            <w:tcW w:w="960" w:type="dxa"/>
            <w:vAlign w:val="bottom"/>
            <w:shd w:val="clear" w:color="auto" w:fill="CFF0FC"/>
          </w:tcPr>
          <w:p>
            <w:pPr>
              <w:spacing w:after="0"/>
              <w:rPr>
                <w:sz w:val="20"/>
                <w:szCs w:val="20"/>
                <w:color w:val="auto"/>
              </w:rPr>
            </w:pPr>
          </w:p>
        </w:tc>
        <w:tc>
          <w:tcPr>
            <w:tcW w:w="660" w:type="dxa"/>
            <w:vAlign w:val="bottom"/>
            <w:gridSpan w:val="2"/>
            <w:shd w:val="clear" w:color="auto" w:fill="CFF0FC"/>
          </w:tcPr>
          <w:p>
            <w:pPr>
              <w:jc w:val="right"/>
              <w:ind w:right="140"/>
              <w:spacing w:after="0" w:line="210" w:lineRule="exact"/>
              <w:rPr>
                <w:sz w:val="20"/>
                <w:szCs w:val="20"/>
                <w:color w:val="auto"/>
              </w:rPr>
            </w:pPr>
            <w:r>
              <w:rPr>
                <w:rFonts w:ascii="Calibri" w:cs="Calibri" w:eastAsia="Calibri" w:hAnsi="Calibri"/>
                <w:sz w:val="18"/>
                <w:szCs w:val="18"/>
                <w:color w:val="auto"/>
              </w:rPr>
              <w:t>100 %</w:t>
            </w:r>
          </w:p>
        </w:tc>
        <w:tc>
          <w:tcPr>
            <w:tcW w:w="94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160"/>
              <w:spacing w:after="0" w:line="210" w:lineRule="exact"/>
              <w:rPr>
                <w:sz w:val="20"/>
                <w:szCs w:val="20"/>
                <w:color w:val="auto"/>
              </w:rPr>
            </w:pPr>
            <w:r>
              <w:rPr>
                <w:rFonts w:ascii="Calibri" w:cs="Calibri" w:eastAsia="Calibri" w:hAnsi="Calibri"/>
                <w:sz w:val="18"/>
                <w:szCs w:val="18"/>
                <w:color w:val="auto"/>
              </w:rPr>
              <w:t>100 %</w:t>
            </w:r>
          </w:p>
        </w:tc>
        <w:tc>
          <w:tcPr>
            <w:tcW w:w="1420" w:type="dxa"/>
            <w:vAlign w:val="bottom"/>
            <w:shd w:val="clear" w:color="auto" w:fill="CFF0FC"/>
          </w:tcPr>
          <w:p>
            <w:pPr>
              <w:spacing w:after="0"/>
              <w:rPr>
                <w:sz w:val="20"/>
                <w:szCs w:val="20"/>
                <w:color w:val="auto"/>
              </w:rPr>
            </w:pPr>
          </w:p>
        </w:tc>
      </w:tr>
      <w:tr>
        <w:trPr>
          <w:trHeight w:val="20"/>
        </w:trPr>
        <w:tc>
          <w:tcPr>
            <w:tcW w:w="644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4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-25400</wp:posOffset>
            </wp:positionV>
            <wp:extent cx="10287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-8255</wp:posOffset>
            </wp:positionV>
            <wp:extent cx="10287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-25400</wp:posOffset>
            </wp:positionV>
            <wp:extent cx="10287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-8255</wp:posOffset>
            </wp:positionV>
            <wp:extent cx="10287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Derivatve Investments</w:t>
      </w:r>
    </w:p>
    <w:p>
      <w:pPr>
        <w:spacing w:after="0" w:line="190"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The U.S. Plan derivatve instruments consist primarily of direct investments in exchange traded futures contracts. Government bond exposure is obtained via U.S. government bond futures. Foreign currency futures contracts are used to partally hedge foreign currency risk.</w:t>
      </w:r>
    </w:p>
    <w:p>
      <w:pPr>
        <w:spacing w:after="0" w:line="177"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As of December 31, 2024 and 2023, the notonal amount for exchange traded futures contracts was approximately $574 million and $384 million, respectvely. Realized gains and losses from these derivatve investments are included in the actual return on plan assets balance. The total fair value of these derivatve instruments at December 31, 2024 and 2023 was $(5) million and $1 million, respectvely, which represents the unrealized losses and gains on these contracts and is included in the derivatve line items in the table of plan assets below. The U.S. defned beneft pension plan is required to maintain cash on deposit to collateralize its obligatons under its futures contracts. As of the years ended December 31, 2024 and 2023, approximately $5 million and $9 million, respectvely, was on deposit in cash and Treasury bills to fulfll these requirements and is included in the cash and cash equivalents asset class in the table below.</w:t>
      </w:r>
    </w:p>
    <w:p>
      <w:pPr>
        <w:spacing w:after="0" w:line="181" w:lineRule="exact"/>
        <w:rPr>
          <w:sz w:val="20"/>
          <w:szCs w:val="20"/>
          <w:color w:val="auto"/>
        </w:rPr>
      </w:pPr>
    </w:p>
    <w:p>
      <w:pPr>
        <w:ind w:right="140"/>
        <w:spacing w:after="0" w:line="235" w:lineRule="auto"/>
        <w:rPr>
          <w:sz w:val="20"/>
          <w:szCs w:val="20"/>
          <w:color w:val="auto"/>
        </w:rPr>
      </w:pPr>
      <w:r>
        <w:rPr>
          <w:rFonts w:ascii="Calibri" w:cs="Calibri" w:eastAsia="Calibri" w:hAnsi="Calibri"/>
          <w:sz w:val="18"/>
          <w:szCs w:val="18"/>
          <w:color w:val="auto"/>
        </w:rPr>
        <w:t>The U.S. Plan has invested in a diversifed portolio of hedge funds that may utlize derivatve instruments to execute their investment strategy. Any gains or losses, as well as changes in the fair value of derivatve investments held by a hedge fund, are included in the hedge fund’s NAV.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97" w:name="page98"/>
    <w:bookmarkEnd w:id="97"/>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Fair Value Measurements</w:t>
      </w:r>
    </w:p>
    <w:p>
      <w:pPr>
        <w:spacing w:after="0" w:line="177"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Kodak’s plan assets are accounted for at fair value and are classifed within the fair value hierarchy based on the lowest level of input that is signifcant to the fair value measurement, with the excepton of investments for which fair value is measured using the NAV per share expedient. Kodak’s assessment of the signifcance of a partcular input to the fair value measurement requires judgment and may afect the valuaton of fair value of assets and their placement within the fair value hierarchy levels.</w:t>
      </w:r>
    </w:p>
    <w:p>
      <w:pPr>
        <w:spacing w:after="0" w:line="238" w:lineRule="auto"/>
        <w:rPr>
          <w:sz w:val="20"/>
          <w:szCs w:val="20"/>
          <w:color w:val="auto"/>
        </w:rPr>
      </w:pPr>
      <w:r>
        <w:rPr>
          <w:rFonts w:ascii="Calibri" w:cs="Calibri" w:eastAsia="Calibri" w:hAnsi="Calibri"/>
          <w:sz w:val="18"/>
          <w:szCs w:val="18"/>
          <w:color w:val="auto"/>
        </w:rPr>
        <w:t>The fair value of Kodak’s U.S. defned beneft pension plan assets at December 31, 2024 and 2023 by asset class is presented in the tables below:</w:t>
      </w:r>
    </w:p>
    <w:p>
      <w:pPr>
        <w:sectPr>
          <w:pgSz w:w="11900" w:h="16838" w:orient="portrait"/>
          <w:cols w:equalWidth="0" w:num="1">
            <w:col w:w="11240"/>
          </w:cols>
          <w:pgMar w:left="320" w:top="112" w:right="339" w:bottom="1440" w:gutter="0" w:footer="0" w:header="0"/>
        </w:sectPr>
      </w:pP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U.S.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Calibri" w:cs="Calibri" w:eastAsia="Calibri" w:hAnsi="Calibri"/>
          <w:sz w:val="14"/>
          <w:szCs w:val="14"/>
          <w:color w:val="auto"/>
        </w:rPr>
        <w:t>(in millions)</w:t>
      </w:r>
    </w:p>
    <w:p>
      <w:pPr>
        <w:ind w:left="20"/>
        <w:spacing w:after="0" w:line="218" w:lineRule="auto"/>
        <w:rPr>
          <w:sz w:val="20"/>
          <w:szCs w:val="20"/>
          <w:color w:val="auto"/>
        </w:rPr>
      </w:pPr>
      <w:r>
        <w:rPr>
          <w:rFonts w:ascii="Calibri" w:cs="Calibri" w:eastAsia="Calibri" w:hAnsi="Calibri"/>
          <w:sz w:val="17"/>
          <w:szCs w:val="17"/>
          <w:color w:val="auto"/>
        </w:rPr>
        <w:t xml:space="preserve">Cash and cash equivalents </w:t>
      </w:r>
      <w:r>
        <w:rPr>
          <w:rFonts w:ascii="Calibri" w:cs="Calibri" w:eastAsia="Calibri" w:hAnsi="Calibri"/>
          <w:sz w:val="23"/>
          <w:szCs w:val="23"/>
          <w:color w:val="auto"/>
          <w:vertAlign w:val="superscript"/>
        </w:rPr>
        <w:t>(1)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ind w:left="2900"/>
        <w:spacing w:after="0"/>
        <w:rPr>
          <w:sz w:val="20"/>
          <w:szCs w:val="20"/>
          <w:color w:val="auto"/>
        </w:rPr>
      </w:pPr>
      <w:r>
        <w:rPr>
          <w:rFonts w:ascii="Calibri" w:cs="Calibri" w:eastAsia="Calibri" w:hAnsi="Calibri"/>
          <w:sz w:val="18"/>
          <w:szCs w:val="18"/>
          <w:b w:val="1"/>
          <w:bCs w:val="1"/>
          <w:color w:val="auto"/>
        </w:rPr>
        <w:t>December 31, 2024</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center"/>
              <w:ind w:right="10"/>
              <w:spacing w:after="0" w:line="207" w:lineRule="exact"/>
              <w:rPr>
                <w:sz w:val="20"/>
                <w:szCs w:val="20"/>
                <w:color w:val="auto"/>
              </w:rPr>
            </w:pPr>
            <w:r>
              <w:rPr>
                <w:rFonts w:ascii="Calibri" w:cs="Calibri" w:eastAsia="Calibri" w:hAnsi="Calibri"/>
                <w:sz w:val="18"/>
                <w:szCs w:val="18"/>
                <w:b w:val="1"/>
                <w:bCs w:val="1"/>
                <w:color w:val="auto"/>
                <w:w w:val="97"/>
              </w:rPr>
              <w:t>Quoted Prices</w:t>
            </w:r>
          </w:p>
        </w:tc>
        <w:tc>
          <w:tcPr>
            <w:tcW w:w="2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1120" w:type="dxa"/>
            <w:vAlign w:val="bottom"/>
          </w:tcPr>
          <w:p>
            <w:pPr>
              <w:jc w:val="center"/>
              <w:ind w:right="30"/>
              <w:spacing w:after="0" w:line="215" w:lineRule="exact"/>
              <w:rPr>
                <w:sz w:val="20"/>
                <w:szCs w:val="20"/>
                <w:color w:val="auto"/>
              </w:rPr>
            </w:pPr>
            <w:r>
              <w:rPr>
                <w:rFonts w:ascii="Calibri" w:cs="Calibri" w:eastAsia="Calibri" w:hAnsi="Calibri"/>
                <w:sz w:val="18"/>
                <w:szCs w:val="18"/>
                <w:b w:val="1"/>
                <w:bCs w:val="1"/>
                <w:color w:val="auto"/>
              </w:rPr>
              <w:t>in Actve</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120" w:type="dxa"/>
            <w:vAlign w:val="bottom"/>
          </w:tcPr>
          <w:p>
            <w:pPr>
              <w:jc w:val="center"/>
              <w:ind w:right="10"/>
              <w:spacing w:after="0" w:line="216" w:lineRule="exact"/>
              <w:rPr>
                <w:sz w:val="20"/>
                <w:szCs w:val="20"/>
                <w:color w:val="auto"/>
              </w:rPr>
            </w:pPr>
            <w:r>
              <w:rPr>
                <w:rFonts w:ascii="Calibri" w:cs="Calibri" w:eastAsia="Calibri" w:hAnsi="Calibri"/>
                <w:sz w:val="18"/>
                <w:szCs w:val="18"/>
                <w:b w:val="1"/>
                <w:bCs w:val="1"/>
                <w:color w:val="auto"/>
                <w:w w:val="97"/>
              </w:rPr>
              <w:t>Markets for</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3"/>
          </w:tcPr>
          <w:p>
            <w:pPr>
              <w:jc w:val="center"/>
              <w:ind w:right="430"/>
              <w:spacing w:after="0" w:line="216" w:lineRule="exact"/>
              <w:rPr>
                <w:sz w:val="20"/>
                <w:szCs w:val="20"/>
                <w:color w:val="auto"/>
              </w:rPr>
            </w:pPr>
            <w:r>
              <w:rPr>
                <w:rFonts w:ascii="Calibri" w:cs="Calibri" w:eastAsia="Calibri" w:hAnsi="Calibri"/>
                <w:sz w:val="18"/>
                <w:szCs w:val="18"/>
                <w:b w:val="1"/>
                <w:bCs w:val="1"/>
                <w:color w:val="auto"/>
              </w:rPr>
              <w:t>Signifcant</w:t>
            </w:r>
          </w:p>
        </w:tc>
        <w:tc>
          <w:tcPr>
            <w:tcW w:w="1580" w:type="dxa"/>
            <w:vAlign w:val="bottom"/>
            <w:gridSpan w:val="3"/>
          </w:tcPr>
          <w:p>
            <w:pPr>
              <w:jc w:val="center"/>
              <w:ind w:right="410"/>
              <w:spacing w:after="0" w:line="216" w:lineRule="exact"/>
              <w:rPr>
                <w:sz w:val="20"/>
                <w:szCs w:val="20"/>
                <w:color w:val="auto"/>
              </w:rPr>
            </w:pPr>
            <w:r>
              <w:rPr>
                <w:rFonts w:ascii="Calibri" w:cs="Calibri" w:eastAsia="Calibri" w:hAnsi="Calibri"/>
                <w:sz w:val="18"/>
                <w:szCs w:val="18"/>
                <w:b w:val="1"/>
                <w:bCs w:val="1"/>
                <w:color w:val="auto"/>
              </w:rPr>
              <w:t>Signifcant</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120" w:type="dxa"/>
            <w:vAlign w:val="bottom"/>
          </w:tcPr>
          <w:p>
            <w:pPr>
              <w:jc w:val="center"/>
              <w:ind w:right="30"/>
              <w:spacing w:after="0" w:line="216" w:lineRule="exact"/>
              <w:rPr>
                <w:sz w:val="20"/>
                <w:szCs w:val="20"/>
                <w:color w:val="auto"/>
              </w:rPr>
            </w:pPr>
            <w:r>
              <w:rPr>
                <w:rFonts w:ascii="Calibri" w:cs="Calibri" w:eastAsia="Calibri" w:hAnsi="Calibri"/>
                <w:sz w:val="18"/>
                <w:szCs w:val="18"/>
                <w:b w:val="1"/>
                <w:bCs w:val="1"/>
                <w:color w:val="auto"/>
              </w:rPr>
              <w:t>Identcal</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3"/>
          </w:tcPr>
          <w:p>
            <w:pPr>
              <w:jc w:val="center"/>
              <w:ind w:right="430"/>
              <w:spacing w:after="0" w:line="216" w:lineRule="exact"/>
              <w:rPr>
                <w:sz w:val="20"/>
                <w:szCs w:val="20"/>
                <w:color w:val="auto"/>
              </w:rPr>
            </w:pPr>
            <w:r>
              <w:rPr>
                <w:rFonts w:ascii="Calibri" w:cs="Calibri" w:eastAsia="Calibri" w:hAnsi="Calibri"/>
                <w:sz w:val="18"/>
                <w:szCs w:val="18"/>
                <w:b w:val="1"/>
                <w:bCs w:val="1"/>
                <w:color w:val="auto"/>
                <w:w w:val="98"/>
              </w:rPr>
              <w:t>Observable</w:t>
            </w:r>
          </w:p>
        </w:tc>
        <w:tc>
          <w:tcPr>
            <w:tcW w:w="1580" w:type="dxa"/>
            <w:vAlign w:val="bottom"/>
            <w:gridSpan w:val="3"/>
          </w:tcPr>
          <w:p>
            <w:pPr>
              <w:jc w:val="center"/>
              <w:ind w:right="390"/>
              <w:spacing w:after="0" w:line="216" w:lineRule="exact"/>
              <w:rPr>
                <w:sz w:val="20"/>
                <w:szCs w:val="20"/>
                <w:color w:val="auto"/>
              </w:rPr>
            </w:pPr>
            <w:r>
              <w:rPr>
                <w:rFonts w:ascii="Calibri" w:cs="Calibri" w:eastAsia="Calibri" w:hAnsi="Calibri"/>
                <w:sz w:val="18"/>
                <w:szCs w:val="18"/>
                <w:b w:val="1"/>
                <w:bCs w:val="1"/>
                <w:color w:val="auto"/>
                <w:w w:val="98"/>
              </w:rPr>
              <w:t>Unobservable</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120" w:type="dxa"/>
            <w:vAlign w:val="bottom"/>
          </w:tcPr>
          <w:p>
            <w:pPr>
              <w:jc w:val="center"/>
              <w:ind w:right="10"/>
              <w:spacing w:after="0" w:line="216" w:lineRule="exact"/>
              <w:rPr>
                <w:sz w:val="20"/>
                <w:szCs w:val="20"/>
                <w:color w:val="auto"/>
              </w:rPr>
            </w:pPr>
            <w:r>
              <w:rPr>
                <w:rFonts w:ascii="Calibri" w:cs="Calibri" w:eastAsia="Calibri" w:hAnsi="Calibri"/>
                <w:sz w:val="18"/>
                <w:szCs w:val="18"/>
                <w:b w:val="1"/>
                <w:bCs w:val="1"/>
                <w:color w:val="auto"/>
                <w:w w:val="96"/>
              </w:rPr>
              <w:t>Assets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3"/>
          </w:tcPr>
          <w:p>
            <w:pPr>
              <w:jc w:val="center"/>
              <w:ind w:right="450"/>
              <w:spacing w:after="0" w:line="216" w:lineRule="exact"/>
              <w:rPr>
                <w:sz w:val="20"/>
                <w:szCs w:val="20"/>
                <w:color w:val="auto"/>
              </w:rPr>
            </w:pPr>
            <w:r>
              <w:rPr>
                <w:rFonts w:ascii="Calibri" w:cs="Calibri" w:eastAsia="Calibri" w:hAnsi="Calibri"/>
                <w:sz w:val="18"/>
                <w:szCs w:val="18"/>
                <w:b w:val="1"/>
                <w:bCs w:val="1"/>
                <w:color w:val="auto"/>
                <w:w w:val="97"/>
              </w:rPr>
              <w:t>Inputs</w:t>
            </w:r>
          </w:p>
        </w:tc>
        <w:tc>
          <w:tcPr>
            <w:tcW w:w="1580" w:type="dxa"/>
            <w:vAlign w:val="bottom"/>
            <w:gridSpan w:val="3"/>
          </w:tcPr>
          <w:p>
            <w:pPr>
              <w:jc w:val="center"/>
              <w:ind w:right="390"/>
              <w:spacing w:after="0" w:line="216" w:lineRule="exact"/>
              <w:rPr>
                <w:sz w:val="20"/>
                <w:szCs w:val="20"/>
                <w:color w:val="auto"/>
              </w:rPr>
            </w:pPr>
            <w:r>
              <w:rPr>
                <w:rFonts w:ascii="Calibri" w:cs="Calibri" w:eastAsia="Calibri" w:hAnsi="Calibri"/>
                <w:sz w:val="18"/>
                <w:szCs w:val="18"/>
                <w:b w:val="1"/>
                <w:bCs w:val="1"/>
                <w:color w:val="auto"/>
                <w:w w:val="97"/>
              </w:rPr>
              <w:t>Inputs</w:t>
            </w:r>
          </w:p>
        </w:tc>
        <w:tc>
          <w:tcPr>
            <w:tcW w:w="1600" w:type="dxa"/>
            <w:vAlign w:val="bottom"/>
            <w:gridSpan w:val="3"/>
          </w:tcPr>
          <w:p>
            <w:pPr>
              <w:jc w:val="center"/>
              <w:ind w:right="530"/>
              <w:spacing w:after="0" w:line="216" w:lineRule="exact"/>
              <w:rPr>
                <w:sz w:val="20"/>
                <w:szCs w:val="20"/>
                <w:color w:val="auto"/>
              </w:rPr>
            </w:pPr>
            <w:r>
              <w:rPr>
                <w:rFonts w:ascii="Calibri" w:cs="Calibri" w:eastAsia="Calibri" w:hAnsi="Calibri"/>
                <w:sz w:val="18"/>
                <w:szCs w:val="18"/>
                <w:b w:val="1"/>
                <w:bCs w:val="1"/>
                <w:color w:val="auto"/>
                <w:w w:val="99"/>
              </w:rPr>
              <w:t>Measured at</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120" w:type="dxa"/>
            <w:vAlign w:val="bottom"/>
          </w:tcPr>
          <w:p>
            <w:pPr>
              <w:jc w:val="center"/>
              <w:ind w:right="10"/>
              <w:spacing w:after="0" w:line="216" w:lineRule="exact"/>
              <w:rPr>
                <w:sz w:val="20"/>
                <w:szCs w:val="20"/>
                <w:color w:val="auto"/>
              </w:rPr>
            </w:pPr>
            <w:r>
              <w:rPr>
                <w:rFonts w:ascii="Calibri" w:cs="Calibri" w:eastAsia="Calibri" w:hAnsi="Calibri"/>
                <w:sz w:val="18"/>
                <w:szCs w:val="18"/>
                <w:b w:val="1"/>
                <w:bCs w:val="1"/>
                <w:color w:val="auto"/>
                <w:w w:val="98"/>
              </w:rPr>
              <w:t>(Level 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3"/>
          </w:tcPr>
          <w:p>
            <w:pPr>
              <w:jc w:val="center"/>
              <w:ind w:right="450"/>
              <w:spacing w:after="0" w:line="216" w:lineRule="exact"/>
              <w:rPr>
                <w:sz w:val="20"/>
                <w:szCs w:val="20"/>
                <w:color w:val="auto"/>
              </w:rPr>
            </w:pPr>
            <w:r>
              <w:rPr>
                <w:rFonts w:ascii="Calibri" w:cs="Calibri" w:eastAsia="Calibri" w:hAnsi="Calibri"/>
                <w:sz w:val="18"/>
                <w:szCs w:val="18"/>
                <w:b w:val="1"/>
                <w:bCs w:val="1"/>
                <w:color w:val="auto"/>
                <w:w w:val="98"/>
              </w:rPr>
              <w:t>(Level 2)</w:t>
            </w:r>
          </w:p>
        </w:tc>
        <w:tc>
          <w:tcPr>
            <w:tcW w:w="1580" w:type="dxa"/>
            <w:vAlign w:val="bottom"/>
            <w:gridSpan w:val="3"/>
          </w:tcPr>
          <w:p>
            <w:pPr>
              <w:jc w:val="center"/>
              <w:ind w:right="390"/>
              <w:spacing w:after="0" w:line="216" w:lineRule="exact"/>
              <w:rPr>
                <w:sz w:val="20"/>
                <w:szCs w:val="20"/>
                <w:color w:val="auto"/>
              </w:rPr>
            </w:pPr>
            <w:r>
              <w:rPr>
                <w:rFonts w:ascii="Calibri" w:cs="Calibri" w:eastAsia="Calibri" w:hAnsi="Calibri"/>
                <w:sz w:val="18"/>
                <w:szCs w:val="18"/>
                <w:b w:val="1"/>
                <w:bCs w:val="1"/>
                <w:color w:val="auto"/>
                <w:w w:val="98"/>
              </w:rPr>
              <w:t>(Level 3)</w:t>
            </w:r>
          </w:p>
        </w:tc>
        <w:tc>
          <w:tcPr>
            <w:tcW w:w="1600" w:type="dxa"/>
            <w:vAlign w:val="bottom"/>
            <w:gridSpan w:val="3"/>
          </w:tcPr>
          <w:p>
            <w:pPr>
              <w:jc w:val="center"/>
              <w:ind w:right="530"/>
              <w:spacing w:after="0" w:line="216" w:lineRule="exact"/>
              <w:rPr>
                <w:sz w:val="20"/>
                <w:szCs w:val="20"/>
                <w:color w:val="auto"/>
              </w:rPr>
            </w:pPr>
            <w:r>
              <w:rPr>
                <w:rFonts w:ascii="Calibri" w:cs="Calibri" w:eastAsia="Calibri" w:hAnsi="Calibri"/>
                <w:sz w:val="18"/>
                <w:szCs w:val="18"/>
                <w:b w:val="1"/>
                <w:bCs w:val="1"/>
                <w:color w:val="auto"/>
              </w:rPr>
              <w:t>NAV</w:t>
            </w:r>
          </w:p>
        </w:tc>
        <w:tc>
          <w:tcPr>
            <w:tcW w:w="960" w:type="dxa"/>
            <w:vAlign w:val="bottom"/>
          </w:tcPr>
          <w:p>
            <w:pPr>
              <w:jc w:val="right"/>
              <w:ind w:right="330"/>
              <w:spacing w:after="0" w:line="216" w:lineRule="exact"/>
              <w:rPr>
                <w:sz w:val="20"/>
                <w:szCs w:val="20"/>
                <w:color w:val="auto"/>
              </w:rPr>
            </w:pPr>
            <w:r>
              <w:rPr>
                <w:rFonts w:ascii="Calibri" w:cs="Calibri" w:eastAsia="Calibri" w:hAnsi="Calibri"/>
                <w:sz w:val="18"/>
                <w:szCs w:val="18"/>
                <w:b w:val="1"/>
                <w:bCs w:val="1"/>
                <w:color w:val="auto"/>
              </w:rPr>
              <w:t>Total</w:t>
            </w:r>
          </w:p>
        </w:tc>
        <w:tc>
          <w:tcPr>
            <w:tcW w:w="0" w:type="dxa"/>
            <w:vAlign w:val="bottom"/>
          </w:tcPr>
          <w:p>
            <w:pPr>
              <w:spacing w:after="0"/>
              <w:rPr>
                <w:sz w:val="1"/>
                <w:szCs w:val="1"/>
                <w:color w:val="auto"/>
              </w:rPr>
            </w:pPr>
          </w:p>
        </w:tc>
      </w:tr>
      <w:tr>
        <w:trPr>
          <w:trHeight w:val="23"/>
        </w:trPr>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vMerge w:val="restart"/>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40" w:type="dxa"/>
            <w:vAlign w:val="bottom"/>
            <w:vMerge w:val="restart"/>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vMerge w:val="restart"/>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vMerge w:val="restart"/>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120" w:type="dxa"/>
            <w:vAlign w:val="bottom"/>
          </w:tcPr>
          <w:p>
            <w:pPr>
              <w:jc w:val="right"/>
              <w:spacing w:after="0" w:line="208" w:lineRule="exact"/>
              <w:rPr>
                <w:sz w:val="20"/>
                <w:szCs w:val="20"/>
                <w:color w:val="auto"/>
              </w:rPr>
            </w:pPr>
            <w:r>
              <w:rPr>
                <w:rFonts w:ascii="Calibri" w:cs="Calibri" w:eastAsia="Calibri" w:hAnsi="Calibri"/>
                <w:sz w:val="18"/>
                <w:szCs w:val="18"/>
                <w:color w:val="auto"/>
                <w:w w:val="87"/>
              </w:rPr>
              <w:t>$</w:t>
            </w:r>
          </w:p>
        </w:tc>
        <w:tc>
          <w:tcPr>
            <w:tcW w:w="1120" w:type="dxa"/>
            <w:vAlign w:val="bottom"/>
          </w:tcPr>
          <w:p>
            <w:pPr>
              <w:jc w:val="right"/>
              <w:spacing w:after="0" w:line="208" w:lineRule="exact"/>
              <w:rPr>
                <w:sz w:val="20"/>
                <w:szCs w:val="20"/>
                <w:color w:val="auto"/>
              </w:rPr>
            </w:pPr>
            <w:r>
              <w:rPr>
                <w:rFonts w:ascii="Calibri" w:cs="Calibri" w:eastAsia="Calibri" w:hAnsi="Calibri"/>
                <w:sz w:val="18"/>
                <w:szCs w:val="18"/>
                <w:color w:val="auto"/>
              </w:rPr>
              <w:t>843</w:t>
            </w:r>
          </w:p>
        </w:tc>
        <w:tc>
          <w:tcPr>
            <w:tcW w:w="240" w:type="dxa"/>
            <w:vAlign w:val="bottom"/>
            <w:vMerge w:val="continue"/>
          </w:tcPr>
          <w:p>
            <w:pPr>
              <w:spacing w:after="0"/>
              <w:rPr>
                <w:sz w:val="18"/>
                <w:szCs w:val="18"/>
                <w:color w:val="auto"/>
              </w:rPr>
            </w:pPr>
          </w:p>
        </w:tc>
        <w:tc>
          <w:tcPr>
            <w:tcW w:w="160" w:type="dxa"/>
            <w:vAlign w:val="bottom"/>
          </w:tcPr>
          <w:p>
            <w:pPr>
              <w:jc w:val="right"/>
              <w:spacing w:after="0" w:line="208" w:lineRule="exact"/>
              <w:rPr>
                <w:sz w:val="20"/>
                <w:szCs w:val="20"/>
                <w:color w:val="auto"/>
              </w:rPr>
            </w:pPr>
            <w:r>
              <w:rPr>
                <w:rFonts w:ascii="Calibri" w:cs="Calibri" w:eastAsia="Calibri" w:hAnsi="Calibri"/>
                <w:sz w:val="18"/>
                <w:szCs w:val="18"/>
                <w:color w:val="auto"/>
              </w:rPr>
              <w:t>$</w:t>
            </w:r>
          </w:p>
        </w:tc>
        <w:tc>
          <w:tcPr>
            <w:tcW w:w="1060" w:type="dxa"/>
            <w:vAlign w:val="bottom"/>
          </w:tcPr>
          <w:p>
            <w:pPr>
              <w:ind w:left="900"/>
              <w:spacing w:after="0" w:line="208" w:lineRule="exact"/>
              <w:rPr>
                <w:sz w:val="20"/>
                <w:szCs w:val="20"/>
                <w:color w:val="auto"/>
              </w:rPr>
            </w:pPr>
            <w:r>
              <w:rPr>
                <w:rFonts w:ascii="Calibri" w:cs="Calibri" w:eastAsia="Calibri" w:hAnsi="Calibri"/>
                <w:sz w:val="18"/>
                <w:szCs w:val="18"/>
                <w:color w:val="auto"/>
                <w:w w:val="85"/>
              </w:rPr>
              <w:t>—</w:t>
            </w:r>
          </w:p>
        </w:tc>
        <w:tc>
          <w:tcPr>
            <w:tcW w:w="240" w:type="dxa"/>
            <w:vAlign w:val="bottom"/>
            <w:vMerge w:val="continue"/>
          </w:tcPr>
          <w:p>
            <w:pPr>
              <w:spacing w:after="0"/>
              <w:rPr>
                <w:sz w:val="18"/>
                <w:szCs w:val="18"/>
                <w:color w:val="auto"/>
              </w:rPr>
            </w:pPr>
          </w:p>
        </w:tc>
        <w:tc>
          <w:tcPr>
            <w:tcW w:w="140" w:type="dxa"/>
            <w:vAlign w:val="bottom"/>
          </w:tcPr>
          <w:p>
            <w:pPr>
              <w:jc w:val="right"/>
              <w:spacing w:after="0" w:line="208" w:lineRule="exact"/>
              <w:rPr>
                <w:sz w:val="20"/>
                <w:szCs w:val="20"/>
                <w:color w:val="auto"/>
              </w:rPr>
            </w:pPr>
            <w:r>
              <w:rPr>
                <w:rFonts w:ascii="Calibri" w:cs="Calibri" w:eastAsia="Calibri" w:hAnsi="Calibri"/>
                <w:sz w:val="18"/>
                <w:szCs w:val="18"/>
                <w:color w:val="auto"/>
              </w:rPr>
              <w:t>$</w:t>
            </w:r>
          </w:p>
        </w:tc>
        <w:tc>
          <w:tcPr>
            <w:tcW w:w="1220" w:type="dxa"/>
            <w:vAlign w:val="bottom"/>
          </w:tcPr>
          <w:p>
            <w:pPr>
              <w:ind w:left="1040"/>
              <w:spacing w:after="0" w:line="208" w:lineRule="exact"/>
              <w:rPr>
                <w:sz w:val="20"/>
                <w:szCs w:val="20"/>
                <w:color w:val="auto"/>
              </w:rPr>
            </w:pPr>
            <w:r>
              <w:rPr>
                <w:rFonts w:ascii="Calibri" w:cs="Calibri" w:eastAsia="Calibri" w:hAnsi="Calibri"/>
                <w:sz w:val="18"/>
                <w:szCs w:val="18"/>
                <w:color w:val="auto"/>
                <w:w w:val="97"/>
              </w:rPr>
              <w:t>—</w:t>
            </w:r>
          </w:p>
        </w:tc>
        <w:tc>
          <w:tcPr>
            <w:tcW w:w="240" w:type="dxa"/>
            <w:vAlign w:val="bottom"/>
            <w:vMerge w:val="continue"/>
          </w:tcPr>
          <w:p>
            <w:pPr>
              <w:spacing w:after="0"/>
              <w:rPr>
                <w:sz w:val="18"/>
                <w:szCs w:val="18"/>
                <w:color w:val="auto"/>
              </w:rPr>
            </w:pPr>
          </w:p>
        </w:tc>
        <w:tc>
          <w:tcPr>
            <w:tcW w:w="120" w:type="dxa"/>
            <w:vAlign w:val="bottom"/>
          </w:tcPr>
          <w:p>
            <w:pPr>
              <w:jc w:val="right"/>
              <w:spacing w:after="0" w:line="208" w:lineRule="exact"/>
              <w:rPr>
                <w:sz w:val="20"/>
                <w:szCs w:val="20"/>
                <w:color w:val="auto"/>
              </w:rPr>
            </w:pPr>
            <w:r>
              <w:rPr>
                <w:rFonts w:ascii="Calibri" w:cs="Calibri" w:eastAsia="Calibri" w:hAnsi="Calibri"/>
                <w:sz w:val="18"/>
                <w:szCs w:val="18"/>
                <w:color w:val="auto"/>
                <w:w w:val="87"/>
              </w:rPr>
              <w:t>$</w:t>
            </w:r>
          </w:p>
        </w:tc>
        <w:tc>
          <w:tcPr>
            <w:tcW w:w="1100" w:type="dxa"/>
            <w:vAlign w:val="bottom"/>
          </w:tcPr>
          <w:p>
            <w:pPr>
              <w:ind w:left="920"/>
              <w:spacing w:after="0" w:line="208" w:lineRule="exact"/>
              <w:rPr>
                <w:sz w:val="20"/>
                <w:szCs w:val="20"/>
                <w:color w:val="auto"/>
              </w:rPr>
            </w:pPr>
            <w:r>
              <w:rPr>
                <w:rFonts w:ascii="Calibri" w:cs="Calibri" w:eastAsia="Calibri" w:hAnsi="Calibri"/>
                <w:sz w:val="18"/>
                <w:szCs w:val="18"/>
                <w:color w:val="auto"/>
                <w:w w:val="97"/>
              </w:rPr>
              <w:t>—</w:t>
            </w:r>
          </w:p>
        </w:tc>
        <w:tc>
          <w:tcPr>
            <w:tcW w:w="240" w:type="dxa"/>
            <w:vAlign w:val="bottom"/>
            <w:vMerge w:val="continue"/>
          </w:tcPr>
          <w:p>
            <w:pPr>
              <w:spacing w:after="0"/>
              <w:rPr>
                <w:sz w:val="18"/>
                <w:szCs w:val="18"/>
                <w:color w:val="auto"/>
              </w:rPr>
            </w:pPr>
          </w:p>
        </w:tc>
        <w:tc>
          <w:tcPr>
            <w:tcW w:w="260" w:type="dxa"/>
            <w:vAlign w:val="bottom"/>
          </w:tcPr>
          <w:p>
            <w:pPr>
              <w:jc w:val="right"/>
              <w:ind w:right="70"/>
              <w:spacing w:after="0" w:line="208" w:lineRule="exact"/>
              <w:rPr>
                <w:sz w:val="20"/>
                <w:szCs w:val="20"/>
                <w:color w:val="auto"/>
              </w:rPr>
            </w:pPr>
            <w:r>
              <w:rPr>
                <w:rFonts w:ascii="Calibri" w:cs="Calibri" w:eastAsia="Calibri" w:hAnsi="Calibri"/>
                <w:sz w:val="18"/>
                <w:szCs w:val="18"/>
                <w:color w:val="auto"/>
                <w:w w:val="87"/>
              </w:rPr>
              <w:t>$</w:t>
            </w:r>
          </w:p>
        </w:tc>
        <w:tc>
          <w:tcPr>
            <w:tcW w:w="960" w:type="dxa"/>
            <w:vAlign w:val="bottom"/>
          </w:tcPr>
          <w:p>
            <w:pPr>
              <w:jc w:val="right"/>
              <w:spacing w:after="0" w:line="208" w:lineRule="exact"/>
              <w:rPr>
                <w:sz w:val="20"/>
                <w:szCs w:val="20"/>
                <w:color w:val="auto"/>
              </w:rPr>
            </w:pPr>
            <w:r>
              <w:rPr>
                <w:rFonts w:ascii="Calibri" w:cs="Calibri" w:eastAsia="Calibri" w:hAnsi="Calibri"/>
                <w:sz w:val="18"/>
                <w:szCs w:val="18"/>
                <w:color w:val="auto"/>
              </w:rPr>
              <w:t>843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-2483485</wp:posOffset>
            </wp:positionH>
            <wp:positionV relativeFrom="paragraph">
              <wp:posOffset>-135890</wp:posOffset>
            </wp:positionV>
            <wp:extent cx="7132320" cy="13716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40" w:lineRule="exact"/>
        <w:rPr>
          <w:sz w:val="20"/>
          <w:szCs w:val="20"/>
          <w:color w:val="auto"/>
        </w:rPr>
      </w:pPr>
    </w:p>
    <w:p>
      <w:pPr>
        <w:sectPr>
          <w:pgSz w:w="11900" w:h="16838" w:orient="portrait"/>
          <w:cols w:equalWidth="0" w:num="2">
            <w:col w:w="3200" w:space="720"/>
            <w:col w:w="7320"/>
          </w:cols>
          <w:pgMar w:left="320" w:top="112" w:right="339" w:bottom="1440" w:gutter="0" w:footer="0" w:header="0"/>
          <w:type w:val="continuous"/>
        </w:sectPr>
      </w:pPr>
    </w:p>
    <w:tbl>
      <w:tblPr>
        <w:tblLayout w:type="fixed"/>
        <w:tblInd w:w="0" w:type="dxa"/>
        <w:tblCellMar>
          <w:top w:w="0" w:type="dxa"/>
          <w:left w:w="0" w:type="dxa"/>
          <w:bottom w:w="0" w:type="dxa"/>
          <w:right w:w="0" w:type="dxa"/>
        </w:tblCellMar>
      </w:tblPr>
      <w:tr>
        <w:trPr>
          <w:trHeight w:val="293"/>
        </w:trPr>
        <w:tc>
          <w:tcPr>
            <w:tcW w:w="4460" w:type="dxa"/>
            <w:vAlign w:val="bottom"/>
            <w:gridSpan w:val="2"/>
          </w:tcPr>
          <w:p>
            <w:pPr>
              <w:ind w:left="20"/>
              <w:spacing w:after="0"/>
              <w:rPr>
                <w:sz w:val="20"/>
                <w:szCs w:val="20"/>
                <w:color w:val="auto"/>
              </w:rPr>
            </w:pPr>
            <w:r>
              <w:rPr>
                <w:rFonts w:ascii="Calibri" w:cs="Calibri" w:eastAsia="Calibri" w:hAnsi="Calibri"/>
                <w:sz w:val="18"/>
                <w:szCs w:val="18"/>
                <w:color w:val="auto"/>
              </w:rPr>
              <w:t xml:space="preserve">Debt Securites: </w:t>
            </w:r>
            <w:r>
              <w:rPr>
                <w:rFonts w:ascii="Calibri" w:cs="Calibri" w:eastAsia="Calibri" w:hAnsi="Calibri"/>
                <w:sz w:val="24"/>
                <w:szCs w:val="24"/>
                <w:color w:val="auto"/>
                <w:vertAlign w:val="superscript"/>
              </w:rPr>
              <w:t>(2)</w:t>
            </w: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Government bonds</w:t>
            </w: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482</w:t>
            </w: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480" w:type="dxa"/>
            <w:vAlign w:val="bottom"/>
            <w:gridSpan w:val="3"/>
            <w:shd w:val="clear" w:color="auto" w:fill="CFF0FC"/>
          </w:tcPr>
          <w:p>
            <w:pPr>
              <w:ind w:left="540"/>
              <w:spacing w:after="0" w:line="215" w:lineRule="exact"/>
              <w:rPr>
                <w:sz w:val="20"/>
                <w:szCs w:val="20"/>
                <w:color w:val="auto"/>
              </w:rPr>
            </w:pPr>
            <w:r>
              <w:rPr>
                <w:rFonts w:ascii="Calibri" w:cs="Calibri" w:eastAsia="Calibri" w:hAnsi="Calibri"/>
                <w:sz w:val="18"/>
                <w:szCs w:val="18"/>
                <w:color w:val="auto"/>
              </w:rPr>
              <w:t>—</w:t>
            </w:r>
          </w:p>
        </w:tc>
        <w:tc>
          <w:tcPr>
            <w:tcW w:w="7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482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60" w:type="dxa"/>
            <w:vAlign w:val="bottom"/>
            <w:gridSpan w:val="2"/>
          </w:tcPr>
          <w:p>
            <w:pPr>
              <w:ind w:left="200"/>
              <w:spacing w:after="0" w:line="215" w:lineRule="exact"/>
              <w:rPr>
                <w:sz w:val="20"/>
                <w:szCs w:val="20"/>
                <w:color w:val="auto"/>
              </w:rPr>
            </w:pPr>
            <w:r>
              <w:rPr>
                <w:rFonts w:ascii="Calibri" w:cs="Calibri" w:eastAsia="Calibri" w:hAnsi="Calibri"/>
                <w:sz w:val="18"/>
                <w:szCs w:val="18"/>
                <w:color w:val="auto"/>
              </w:rPr>
              <w:t>Investment grade bonds</w:t>
            </w:r>
          </w:p>
        </w:tc>
        <w:tc>
          <w:tcPr>
            <w:tcW w:w="94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8"/>
                <w:szCs w:val="18"/>
                <w:color w:val="auto"/>
              </w:rPr>
            </w:pP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836</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80" w:type="dxa"/>
            <w:vAlign w:val="bottom"/>
            <w:gridSpan w:val="3"/>
          </w:tcPr>
          <w:p>
            <w:pPr>
              <w:ind w:left="540"/>
              <w:spacing w:after="0" w:line="215" w:lineRule="exact"/>
              <w:rPr>
                <w:sz w:val="20"/>
                <w:szCs w:val="20"/>
                <w:color w:val="auto"/>
              </w:rPr>
            </w:pPr>
            <w:r>
              <w:rPr>
                <w:rFonts w:ascii="Calibri" w:cs="Calibri" w:eastAsia="Calibri" w:hAnsi="Calibri"/>
                <w:sz w:val="18"/>
                <w:szCs w:val="18"/>
                <w:color w:val="auto"/>
              </w:rPr>
              <w:t>—</w:t>
            </w:r>
          </w:p>
        </w:tc>
        <w:tc>
          <w:tcPr>
            <w:tcW w:w="70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836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Other:</w:t>
            </w: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60" w:type="dxa"/>
            <w:vAlign w:val="bottom"/>
            <w:gridSpan w:val="2"/>
          </w:tcPr>
          <w:p>
            <w:pPr>
              <w:ind w:left="200"/>
              <w:spacing w:after="0" w:line="215" w:lineRule="exact"/>
              <w:rPr>
                <w:sz w:val="20"/>
                <w:szCs w:val="20"/>
                <w:color w:val="auto"/>
              </w:rPr>
            </w:pPr>
            <w:r>
              <w:rPr>
                <w:rFonts w:ascii="Calibri" w:cs="Calibri" w:eastAsia="Calibri" w:hAnsi="Calibri"/>
                <w:sz w:val="18"/>
                <w:szCs w:val="18"/>
                <w:color w:val="auto"/>
              </w:rPr>
              <w:t>Hedge funds</w:t>
            </w:r>
          </w:p>
        </w:tc>
        <w:tc>
          <w:tcPr>
            <w:tcW w:w="94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8"/>
                <w:szCs w:val="18"/>
                <w:color w:val="auto"/>
              </w:rPr>
            </w:pP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80" w:type="dxa"/>
            <w:vAlign w:val="bottom"/>
            <w:gridSpan w:val="3"/>
          </w:tcPr>
          <w:p>
            <w:pPr>
              <w:ind w:left="540"/>
              <w:spacing w:after="0" w:line="215" w:lineRule="exact"/>
              <w:rPr>
                <w:sz w:val="20"/>
                <w:szCs w:val="20"/>
                <w:color w:val="auto"/>
              </w:rPr>
            </w:pPr>
            <w:r>
              <w:rPr>
                <w:rFonts w:ascii="Calibri" w:cs="Calibri" w:eastAsia="Calibri" w:hAnsi="Calibri"/>
                <w:sz w:val="18"/>
                <w:szCs w:val="18"/>
                <w:color w:val="auto"/>
              </w:rPr>
              <w:t>—</w:t>
            </w:r>
          </w:p>
        </w:tc>
        <w:tc>
          <w:tcPr>
            <w:tcW w:w="700" w:type="dxa"/>
            <w:vAlign w:val="bottom"/>
          </w:tcPr>
          <w:p>
            <w:pPr>
              <w:jc w:val="right"/>
              <w:spacing w:after="0" w:line="215" w:lineRule="exact"/>
              <w:rPr>
                <w:sz w:val="20"/>
                <w:szCs w:val="20"/>
                <w:color w:val="auto"/>
              </w:rPr>
            </w:pPr>
            <w:r>
              <w:rPr>
                <w:rFonts w:ascii="Calibri" w:cs="Calibri" w:eastAsia="Calibri" w:hAnsi="Calibri"/>
                <w:sz w:val="18"/>
                <w:szCs w:val="18"/>
                <w:color w:val="auto"/>
              </w:rPr>
              <w:t>689</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689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460" w:type="dxa"/>
            <w:vAlign w:val="bottom"/>
            <w:gridSpan w:val="2"/>
            <w:shd w:val="clear" w:color="auto" w:fill="CFF0FC"/>
          </w:tcPr>
          <w:p>
            <w:pPr>
              <w:ind w:left="200"/>
              <w:spacing w:after="0" w:line="216" w:lineRule="exact"/>
              <w:rPr>
                <w:sz w:val="20"/>
                <w:szCs w:val="20"/>
                <w:color w:val="auto"/>
              </w:rPr>
            </w:pPr>
            <w:r>
              <w:rPr>
                <w:rFonts w:ascii="Calibri" w:cs="Calibri" w:eastAsia="Calibri" w:hAnsi="Calibri"/>
                <w:sz w:val="18"/>
                <w:szCs w:val="18"/>
                <w:color w:val="auto"/>
              </w:rPr>
              <w:t>Private equity</w:t>
            </w:r>
          </w:p>
        </w:tc>
        <w:tc>
          <w:tcPr>
            <w:tcW w:w="940" w:type="dxa"/>
            <w:vAlign w:val="bottom"/>
            <w:gridSpan w:val="2"/>
            <w:shd w:val="clear" w:color="auto" w:fill="CFF0FC"/>
          </w:tcPr>
          <w:p>
            <w:pPr>
              <w:jc w:val="right"/>
              <w:ind w:right="240"/>
              <w:spacing w:after="0" w:line="216" w:lineRule="exact"/>
              <w:rPr>
                <w:sz w:val="20"/>
                <w:szCs w:val="20"/>
                <w:color w:val="auto"/>
              </w:rPr>
            </w:pPr>
            <w:r>
              <w:rPr>
                <w:rFonts w:ascii="Calibri" w:cs="Calibri" w:eastAsia="Calibri" w:hAnsi="Calibri"/>
                <w:sz w:val="18"/>
                <w:szCs w:val="18"/>
                <w:color w:val="auto"/>
              </w:rPr>
              <w:t>—</w:t>
            </w: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w:t>
            </w: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480" w:type="dxa"/>
            <w:vAlign w:val="bottom"/>
            <w:gridSpan w:val="3"/>
            <w:shd w:val="clear" w:color="auto" w:fill="CFF0FC"/>
          </w:tcPr>
          <w:p>
            <w:pPr>
              <w:ind w:left="540"/>
              <w:spacing w:after="0" w:line="216" w:lineRule="exact"/>
              <w:rPr>
                <w:sz w:val="20"/>
                <w:szCs w:val="20"/>
                <w:color w:val="auto"/>
              </w:rPr>
            </w:pPr>
            <w:r>
              <w:rPr>
                <w:rFonts w:ascii="Calibri" w:cs="Calibri" w:eastAsia="Calibri" w:hAnsi="Calibri"/>
                <w:sz w:val="18"/>
                <w:szCs w:val="18"/>
                <w:color w:val="auto"/>
              </w:rPr>
              <w:t>—</w:t>
            </w:r>
          </w:p>
        </w:tc>
        <w:tc>
          <w:tcPr>
            <w:tcW w:w="7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167</w:t>
            </w:r>
          </w:p>
        </w:tc>
        <w:tc>
          <w:tcPr>
            <w:tcW w:w="2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167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920" w:type="dxa"/>
            <w:vAlign w:val="bottom"/>
          </w:tcPr>
          <w:p>
            <w:pPr>
              <w:ind w:left="200"/>
              <w:spacing w:after="0" w:line="215" w:lineRule="exact"/>
              <w:rPr>
                <w:sz w:val="20"/>
                <w:szCs w:val="20"/>
                <w:color w:val="auto"/>
              </w:rPr>
            </w:pPr>
            <w:r>
              <w:rPr>
                <w:rFonts w:ascii="Calibri" w:cs="Calibri" w:eastAsia="Calibri" w:hAnsi="Calibri"/>
                <w:sz w:val="18"/>
                <w:szCs w:val="18"/>
                <w:color w:val="auto"/>
              </w:rPr>
              <w:t>Derivatves with unrealized losses</w:t>
            </w:r>
          </w:p>
        </w:tc>
        <w:tc>
          <w:tcPr>
            <w:tcW w:w="540" w:type="dxa"/>
            <w:vAlign w:val="bottom"/>
          </w:tcPr>
          <w:p>
            <w:pPr>
              <w:spacing w:after="0"/>
              <w:rPr>
                <w:sz w:val="18"/>
                <w:szCs w:val="18"/>
                <w:color w:val="auto"/>
              </w:rPr>
            </w:pPr>
          </w:p>
        </w:tc>
        <w:tc>
          <w:tcPr>
            <w:tcW w:w="94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(5 )</w:t>
            </w:r>
          </w:p>
        </w:tc>
        <w:tc>
          <w:tcPr>
            <w:tcW w:w="120" w:type="dxa"/>
            <w:vAlign w:val="bottom"/>
          </w:tcPr>
          <w:p>
            <w:pPr>
              <w:spacing w:after="0"/>
              <w:rPr>
                <w:sz w:val="18"/>
                <w:szCs w:val="18"/>
                <w:color w:val="auto"/>
              </w:rPr>
            </w:pP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80" w:type="dxa"/>
            <w:vAlign w:val="bottom"/>
            <w:gridSpan w:val="3"/>
          </w:tcPr>
          <w:p>
            <w:pPr>
              <w:ind w:left="540"/>
              <w:spacing w:after="0" w:line="215" w:lineRule="exact"/>
              <w:rPr>
                <w:sz w:val="20"/>
                <w:szCs w:val="20"/>
                <w:color w:val="auto"/>
              </w:rPr>
            </w:pPr>
            <w:r>
              <w:rPr>
                <w:rFonts w:ascii="Calibri" w:cs="Calibri" w:eastAsia="Calibri" w:hAnsi="Calibri"/>
                <w:sz w:val="18"/>
                <w:szCs w:val="18"/>
                <w:color w:val="auto"/>
              </w:rPr>
              <w:t>—</w:t>
            </w:r>
          </w:p>
        </w:tc>
        <w:tc>
          <w:tcPr>
            <w:tcW w:w="70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(5 )</w:t>
            </w:r>
          </w:p>
        </w:tc>
        <w:tc>
          <w:tcPr>
            <w:tcW w:w="0" w:type="dxa"/>
            <w:vAlign w:val="bottom"/>
          </w:tcPr>
          <w:p>
            <w:pPr>
              <w:spacing w:after="0"/>
              <w:rPr>
                <w:sz w:val="1"/>
                <w:szCs w:val="1"/>
                <w:color w:val="auto"/>
              </w:rPr>
            </w:pPr>
          </w:p>
        </w:tc>
      </w:tr>
      <w:tr>
        <w:trPr>
          <w:trHeight w:val="211"/>
        </w:trPr>
        <w:tc>
          <w:tcPr>
            <w:tcW w:w="3920" w:type="dxa"/>
            <w:vAlign w:val="bottom"/>
            <w:vMerge w:val="restart"/>
          </w:tcPr>
          <w:p>
            <w:pPr>
              <w:ind w:left="20"/>
              <w:spacing w:after="0"/>
              <w:rPr>
                <w:sz w:val="20"/>
                <w:szCs w:val="20"/>
                <w:color w:val="auto"/>
              </w:rPr>
            </w:pPr>
            <w:r>
              <w:rPr>
                <w:rFonts w:ascii="Calibri" w:cs="Calibri" w:eastAsia="Calibri" w:hAnsi="Calibri"/>
                <w:sz w:val="18"/>
                <w:szCs w:val="18"/>
                <w:color w:val="auto"/>
              </w:rPr>
              <w:t xml:space="preserve">Net receivables </w:t>
            </w:r>
            <w:r>
              <w:rPr>
                <w:rFonts w:ascii="Calibri" w:cs="Calibri" w:eastAsia="Calibri" w:hAnsi="Calibri"/>
                <w:sz w:val="24"/>
                <w:szCs w:val="24"/>
                <w:color w:val="auto"/>
                <w:vertAlign w:val="superscript"/>
              </w:rPr>
              <w:t>(3)</w:t>
            </w:r>
          </w:p>
        </w:tc>
        <w:tc>
          <w:tcPr>
            <w:tcW w:w="540" w:type="dxa"/>
            <w:vAlign w:val="bottom"/>
            <w:tcBorders>
              <w:top w:val="single" w:sz="8" w:color="auto"/>
              <w:bottom w:val="single" w:sz="8" w:color="auto"/>
            </w:tcBorders>
          </w:tcPr>
          <w:p>
            <w:pPr>
              <w:jc w:val="right"/>
              <w:ind w:right="350"/>
              <w:spacing w:after="0" w:line="210" w:lineRule="exact"/>
              <w:rPr>
                <w:sz w:val="20"/>
                <w:szCs w:val="20"/>
                <w:color w:val="auto"/>
              </w:rPr>
            </w:pPr>
            <w:r>
              <w:rPr>
                <w:rFonts w:ascii="Calibri" w:cs="Calibri" w:eastAsia="Calibri" w:hAnsi="Calibri"/>
                <w:sz w:val="18"/>
                <w:szCs w:val="18"/>
                <w:color w:val="auto"/>
                <w:w w:val="87"/>
              </w:rPr>
              <w:t>$</w:t>
            </w:r>
          </w:p>
        </w:tc>
        <w:tc>
          <w:tcPr>
            <w:tcW w:w="700" w:type="dxa"/>
            <w:vAlign w:val="bottom"/>
            <w:tcBorders>
              <w:top w:val="single" w:sz="8" w:color="auto"/>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838</w:t>
            </w: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w:t>
            </w:r>
          </w:p>
        </w:tc>
        <w:tc>
          <w:tcPr>
            <w:tcW w:w="1100" w:type="dxa"/>
            <w:vAlign w:val="bottom"/>
            <w:tcBorders>
              <w:top w:val="single" w:sz="8" w:color="auto"/>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1,318</w:t>
            </w:r>
          </w:p>
        </w:tc>
        <w:tc>
          <w:tcPr>
            <w:tcW w:w="24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ind w:right="430"/>
              <w:spacing w:after="0" w:line="210" w:lineRule="exact"/>
              <w:rPr>
                <w:sz w:val="20"/>
                <w:szCs w:val="20"/>
                <w:color w:val="auto"/>
              </w:rPr>
            </w:pPr>
            <w:r>
              <w:rPr>
                <w:rFonts w:ascii="Calibri" w:cs="Calibri" w:eastAsia="Calibri" w:hAnsi="Calibri"/>
                <w:sz w:val="18"/>
                <w:szCs w:val="18"/>
                <w:color w:val="auto"/>
              </w:rPr>
              <w:t>$</w:t>
            </w:r>
          </w:p>
        </w:tc>
        <w:tc>
          <w:tcPr>
            <w:tcW w:w="720" w:type="dxa"/>
            <w:vAlign w:val="bottom"/>
            <w:tcBorders>
              <w:top w:val="single" w:sz="8" w:color="auto"/>
              <w:bottom w:val="single" w:sz="8" w:color="auto"/>
            </w:tcBorders>
          </w:tcPr>
          <w:p>
            <w:pPr>
              <w:ind w:left="540"/>
              <w:spacing w:after="0" w:line="210" w:lineRule="exact"/>
              <w:rPr>
                <w:sz w:val="20"/>
                <w:szCs w:val="20"/>
                <w:color w:val="auto"/>
              </w:rPr>
            </w:pPr>
            <w:r>
              <w:rPr>
                <w:rFonts w:ascii="Calibri" w:cs="Calibri" w:eastAsia="Calibri" w:hAnsi="Calibri"/>
                <w:sz w:val="18"/>
                <w:szCs w:val="18"/>
                <w:color w:val="auto"/>
                <w:w w:val="97"/>
              </w:rPr>
              <w:t>—</w:t>
            </w:r>
          </w:p>
        </w:tc>
        <w:tc>
          <w:tcPr>
            <w:tcW w:w="24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30"/>
              <w:spacing w:after="0" w:line="210" w:lineRule="exact"/>
              <w:rPr>
                <w:sz w:val="20"/>
                <w:szCs w:val="20"/>
                <w:color w:val="auto"/>
              </w:rPr>
            </w:pPr>
            <w:r>
              <w:rPr>
                <w:rFonts w:ascii="Calibri" w:cs="Calibri" w:eastAsia="Calibri" w:hAnsi="Calibri"/>
                <w:sz w:val="18"/>
                <w:szCs w:val="18"/>
                <w:color w:val="auto"/>
                <w:w w:val="87"/>
              </w:rPr>
              <w:t>$</w:t>
            </w:r>
          </w:p>
        </w:tc>
        <w:tc>
          <w:tcPr>
            <w:tcW w:w="700" w:type="dxa"/>
            <w:vAlign w:val="bottom"/>
            <w:tcBorders>
              <w:top w:val="single" w:sz="8" w:color="auto"/>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856</w:t>
            </w:r>
          </w:p>
        </w:tc>
        <w:tc>
          <w:tcPr>
            <w:tcW w:w="240" w:type="dxa"/>
            <w:vAlign w:val="bottom"/>
          </w:tcPr>
          <w:p>
            <w:pPr>
              <w:spacing w:after="0"/>
              <w:rPr>
                <w:sz w:val="18"/>
                <w:szCs w:val="18"/>
                <w:color w:val="auto"/>
              </w:rPr>
            </w:pPr>
          </w:p>
        </w:tc>
        <w:tc>
          <w:tcPr>
            <w:tcW w:w="460" w:type="dxa"/>
            <w:vAlign w:val="bottom"/>
            <w:tcBorders>
              <w:top w:val="single" w:sz="8" w:color="auto"/>
            </w:tcBorders>
          </w:tcPr>
          <w:p>
            <w:pPr>
              <w:jc w:val="right"/>
              <w:ind w:right="270"/>
              <w:spacing w:after="0" w:line="210" w:lineRule="exact"/>
              <w:rPr>
                <w:sz w:val="20"/>
                <w:szCs w:val="20"/>
                <w:color w:val="auto"/>
              </w:rPr>
            </w:pPr>
            <w:r>
              <w:rPr>
                <w:rFonts w:ascii="Calibri" w:cs="Calibri" w:eastAsia="Calibri" w:hAnsi="Calibri"/>
                <w:sz w:val="18"/>
                <w:szCs w:val="18"/>
                <w:color w:val="auto"/>
                <w:w w:val="87"/>
              </w:rPr>
              <w:t>$</w:t>
            </w:r>
          </w:p>
        </w:tc>
        <w:tc>
          <w:tcPr>
            <w:tcW w:w="760" w:type="dxa"/>
            <w:vAlign w:val="bottom"/>
            <w:tcBorders>
              <w:top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3,012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vMerge w:val="continue"/>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vMerge w:val="restart"/>
          </w:tcPr>
          <w:p>
            <w:pPr>
              <w:jc w:val="right"/>
              <w:spacing w:after="0" w:line="213" w:lineRule="exact"/>
              <w:rPr>
                <w:sz w:val="20"/>
                <w:szCs w:val="20"/>
                <w:color w:val="auto"/>
              </w:rPr>
            </w:pPr>
            <w:r>
              <w:rPr>
                <w:rFonts w:ascii="Calibri" w:cs="Calibri" w:eastAsia="Calibri" w:hAnsi="Calibri"/>
                <w:sz w:val="18"/>
                <w:szCs w:val="18"/>
                <w:color w:val="auto"/>
              </w:rPr>
              <w:t>116</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2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460" w:type="dxa"/>
            <w:vAlign w:val="bottom"/>
            <w:gridSpan w:val="2"/>
          </w:tcPr>
          <w:p>
            <w:pPr>
              <w:ind w:left="20"/>
              <w:spacing w:after="0" w:line="195" w:lineRule="exact"/>
              <w:rPr>
                <w:sz w:val="20"/>
                <w:szCs w:val="20"/>
                <w:color w:val="auto"/>
              </w:rPr>
            </w:pPr>
            <w:r>
              <w:rPr>
                <w:rFonts w:ascii="Calibri" w:cs="Calibri" w:eastAsia="Calibri" w:hAnsi="Calibri"/>
                <w:sz w:val="18"/>
                <w:szCs w:val="18"/>
                <w:color w:val="auto"/>
              </w:rPr>
              <w:t>Total</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gridSpan w:val="2"/>
          </w:tcPr>
          <w:p>
            <w:pPr>
              <w:jc w:val="right"/>
              <w:ind w:right="270"/>
              <w:spacing w:after="0" w:line="208" w:lineRule="exact"/>
              <w:rPr>
                <w:sz w:val="20"/>
                <w:szCs w:val="20"/>
                <w:color w:val="auto"/>
              </w:rPr>
            </w:pPr>
            <w:r>
              <w:rPr>
                <w:rFonts w:ascii="Calibri" w:cs="Calibri" w:eastAsia="Calibri" w:hAnsi="Calibri"/>
                <w:sz w:val="18"/>
                <w:szCs w:val="18"/>
                <w:color w:val="auto"/>
              </w:rPr>
              <w:t>$</w:t>
            </w:r>
          </w:p>
        </w:tc>
        <w:tc>
          <w:tcPr>
            <w:tcW w:w="760" w:type="dxa"/>
            <w:vAlign w:val="bottom"/>
          </w:tcPr>
          <w:p>
            <w:pPr>
              <w:jc w:val="right"/>
              <w:spacing w:after="0" w:line="208" w:lineRule="exact"/>
              <w:rPr>
                <w:sz w:val="20"/>
                <w:szCs w:val="20"/>
                <w:color w:val="auto"/>
              </w:rPr>
            </w:pPr>
            <w:r>
              <w:rPr>
                <w:rFonts w:ascii="Calibri" w:cs="Calibri" w:eastAsia="Calibri" w:hAnsi="Calibri"/>
                <w:sz w:val="18"/>
                <w:szCs w:val="18"/>
                <w:color w:val="auto"/>
              </w:rPr>
              <w:t>3,128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vMerge w:val="restart"/>
          </w:tcPr>
          <w:p>
            <w:pPr>
              <w:jc w:val="right"/>
              <w:ind w:right="810"/>
              <w:spacing w:after="0"/>
              <w:rPr>
                <w:sz w:val="20"/>
                <w:szCs w:val="20"/>
                <w:color w:val="auto"/>
              </w:rPr>
            </w:pPr>
            <w:r>
              <w:rPr>
                <w:rFonts w:ascii="Calibri" w:cs="Calibri" w:eastAsia="Calibri" w:hAnsi="Calibri"/>
                <w:sz w:val="18"/>
                <w:szCs w:val="18"/>
                <w:color w:val="auto"/>
                <w:w w:val="98"/>
              </w:rPr>
              <w:t>98</w:t>
            </w: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6"/>
        </w:trPr>
        <w:tc>
          <w:tcPr>
            <w:tcW w:w="3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0"/>
        </w:trPr>
        <w:tc>
          <w:tcPr>
            <w:tcW w:w="39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-1028065</wp:posOffset>
            </wp:positionV>
            <wp:extent cx="7132320" cy="14605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98" w:name="page99"/>
    <w:bookmarkEnd w:id="98"/>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U.S.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Calibri" w:cs="Calibri" w:eastAsia="Calibri" w:hAnsi="Calibri"/>
          <w:sz w:val="14"/>
          <w:szCs w:val="14"/>
          <w:color w:val="auto"/>
        </w:rPr>
        <w:t>(in millions)</w:t>
      </w:r>
    </w:p>
    <w:p>
      <w:pPr>
        <w:ind w:left="20"/>
        <w:spacing w:after="0" w:line="218" w:lineRule="auto"/>
        <w:rPr>
          <w:sz w:val="20"/>
          <w:szCs w:val="20"/>
          <w:color w:val="auto"/>
        </w:rPr>
      </w:pPr>
      <w:r>
        <w:rPr>
          <w:rFonts w:ascii="Calibri" w:cs="Calibri" w:eastAsia="Calibri" w:hAnsi="Calibri"/>
          <w:sz w:val="17"/>
          <w:szCs w:val="17"/>
          <w:color w:val="auto"/>
        </w:rPr>
        <w:t xml:space="preserve">Cash and cash equivalents </w:t>
      </w:r>
      <w:r>
        <w:rPr>
          <w:rFonts w:ascii="Calibri" w:cs="Calibri" w:eastAsia="Calibri" w:hAnsi="Calibri"/>
          <w:sz w:val="23"/>
          <w:szCs w:val="23"/>
          <w:color w:val="auto"/>
          <w:vertAlign w:val="superscript"/>
        </w:rPr>
        <w:t>(1)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3380"/>
        <w:spacing w:after="0"/>
        <w:rPr>
          <w:sz w:val="20"/>
          <w:szCs w:val="20"/>
          <w:color w:val="auto"/>
        </w:rPr>
      </w:pPr>
      <w:r>
        <w:rPr>
          <w:rFonts w:ascii="Calibri" w:cs="Calibri" w:eastAsia="Calibri" w:hAnsi="Calibri"/>
          <w:sz w:val="18"/>
          <w:szCs w:val="18"/>
          <w:b w:val="1"/>
          <w:bCs w:val="1"/>
          <w:color w:val="auto"/>
        </w:rPr>
        <w:t>December 31, 2023</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center"/>
              <w:ind w:right="10"/>
              <w:spacing w:after="0" w:line="207" w:lineRule="exact"/>
              <w:rPr>
                <w:sz w:val="20"/>
                <w:szCs w:val="20"/>
                <w:color w:val="auto"/>
              </w:rPr>
            </w:pPr>
            <w:r>
              <w:rPr>
                <w:rFonts w:ascii="Calibri" w:cs="Calibri" w:eastAsia="Calibri" w:hAnsi="Calibri"/>
                <w:sz w:val="18"/>
                <w:szCs w:val="18"/>
                <w:b w:val="1"/>
                <w:bCs w:val="1"/>
                <w:color w:val="auto"/>
                <w:w w:val="99"/>
              </w:rPr>
              <w:t>Quoted Prices</w:t>
            </w:r>
          </w:p>
        </w:tc>
        <w:tc>
          <w:tcPr>
            <w:tcW w:w="2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0" w:type="dxa"/>
            <w:vAlign w:val="bottom"/>
          </w:tcPr>
          <w:p>
            <w:pPr>
              <w:spacing w:after="0"/>
              <w:rPr>
                <w:sz w:val="18"/>
                <w:szCs w:val="18"/>
                <w:color w:val="auto"/>
              </w:rPr>
            </w:pPr>
          </w:p>
        </w:tc>
        <w:tc>
          <w:tcPr>
            <w:tcW w:w="1140" w:type="dxa"/>
            <w:vAlign w:val="bottom"/>
          </w:tcPr>
          <w:p>
            <w:pPr>
              <w:jc w:val="center"/>
              <w:ind w:right="10"/>
              <w:spacing w:after="0" w:line="215" w:lineRule="exact"/>
              <w:rPr>
                <w:sz w:val="20"/>
                <w:szCs w:val="20"/>
                <w:color w:val="auto"/>
              </w:rPr>
            </w:pPr>
            <w:r>
              <w:rPr>
                <w:rFonts w:ascii="Calibri" w:cs="Calibri" w:eastAsia="Calibri" w:hAnsi="Calibri"/>
                <w:sz w:val="18"/>
                <w:szCs w:val="18"/>
                <w:b w:val="1"/>
                <w:bCs w:val="1"/>
                <w:color w:val="auto"/>
              </w:rPr>
              <w:t>in Actve</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140" w:type="dxa"/>
            <w:vAlign w:val="bottom"/>
          </w:tcPr>
          <w:p>
            <w:pPr>
              <w:jc w:val="center"/>
              <w:ind w:right="10"/>
              <w:spacing w:after="0" w:line="216" w:lineRule="exact"/>
              <w:rPr>
                <w:sz w:val="20"/>
                <w:szCs w:val="20"/>
                <w:color w:val="auto"/>
              </w:rPr>
            </w:pPr>
            <w:r>
              <w:rPr>
                <w:rFonts w:ascii="Calibri" w:cs="Calibri" w:eastAsia="Calibri" w:hAnsi="Calibri"/>
                <w:sz w:val="18"/>
                <w:szCs w:val="18"/>
                <w:b w:val="1"/>
                <w:bCs w:val="1"/>
                <w:color w:val="auto"/>
                <w:w w:val="95"/>
              </w:rPr>
              <w:t>Markets for</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3"/>
          </w:tcPr>
          <w:p>
            <w:pPr>
              <w:jc w:val="center"/>
              <w:ind w:right="670"/>
              <w:spacing w:after="0" w:line="216" w:lineRule="exact"/>
              <w:rPr>
                <w:sz w:val="20"/>
                <w:szCs w:val="20"/>
                <w:color w:val="auto"/>
              </w:rPr>
            </w:pPr>
            <w:r>
              <w:rPr>
                <w:rFonts w:ascii="Calibri" w:cs="Calibri" w:eastAsia="Calibri" w:hAnsi="Calibri"/>
                <w:sz w:val="18"/>
                <w:szCs w:val="18"/>
                <w:b w:val="1"/>
                <w:bCs w:val="1"/>
                <w:color w:val="auto"/>
              </w:rPr>
              <w:t>Signifcant</w:t>
            </w:r>
          </w:p>
        </w:tc>
        <w:tc>
          <w:tcPr>
            <w:tcW w:w="2200" w:type="dxa"/>
            <w:vAlign w:val="bottom"/>
            <w:gridSpan w:val="3"/>
          </w:tcPr>
          <w:p>
            <w:pPr>
              <w:jc w:val="center"/>
              <w:ind w:right="630"/>
              <w:spacing w:after="0" w:line="216" w:lineRule="exact"/>
              <w:rPr>
                <w:sz w:val="20"/>
                <w:szCs w:val="20"/>
                <w:color w:val="auto"/>
              </w:rPr>
            </w:pPr>
            <w:r>
              <w:rPr>
                <w:rFonts w:ascii="Calibri" w:cs="Calibri" w:eastAsia="Calibri" w:hAnsi="Calibri"/>
                <w:sz w:val="18"/>
                <w:szCs w:val="18"/>
                <w:b w:val="1"/>
                <w:bCs w:val="1"/>
                <w:color w:val="auto"/>
              </w:rPr>
              <w:t>Signifcant</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140" w:type="dxa"/>
            <w:vAlign w:val="bottom"/>
          </w:tcPr>
          <w:p>
            <w:pPr>
              <w:jc w:val="center"/>
              <w:ind w:right="10"/>
              <w:spacing w:after="0" w:line="216" w:lineRule="exact"/>
              <w:rPr>
                <w:sz w:val="20"/>
                <w:szCs w:val="20"/>
                <w:color w:val="auto"/>
              </w:rPr>
            </w:pPr>
            <w:r>
              <w:rPr>
                <w:rFonts w:ascii="Calibri" w:cs="Calibri" w:eastAsia="Calibri" w:hAnsi="Calibri"/>
                <w:sz w:val="18"/>
                <w:szCs w:val="18"/>
                <w:b w:val="1"/>
                <w:bCs w:val="1"/>
                <w:color w:val="auto"/>
              </w:rPr>
              <w:t>Identcal</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3"/>
          </w:tcPr>
          <w:p>
            <w:pPr>
              <w:jc w:val="center"/>
              <w:ind w:right="650"/>
              <w:spacing w:after="0" w:line="216" w:lineRule="exact"/>
              <w:rPr>
                <w:sz w:val="20"/>
                <w:szCs w:val="20"/>
                <w:color w:val="auto"/>
              </w:rPr>
            </w:pPr>
            <w:r>
              <w:rPr>
                <w:rFonts w:ascii="Calibri" w:cs="Calibri" w:eastAsia="Calibri" w:hAnsi="Calibri"/>
                <w:sz w:val="18"/>
                <w:szCs w:val="18"/>
                <w:b w:val="1"/>
                <w:bCs w:val="1"/>
                <w:color w:val="auto"/>
                <w:w w:val="96"/>
              </w:rPr>
              <w:t>Observable</w:t>
            </w:r>
          </w:p>
        </w:tc>
        <w:tc>
          <w:tcPr>
            <w:tcW w:w="2200" w:type="dxa"/>
            <w:vAlign w:val="bottom"/>
            <w:gridSpan w:val="3"/>
          </w:tcPr>
          <w:p>
            <w:pPr>
              <w:jc w:val="center"/>
              <w:ind w:right="650"/>
              <w:spacing w:after="0" w:line="216" w:lineRule="exact"/>
              <w:rPr>
                <w:sz w:val="20"/>
                <w:szCs w:val="20"/>
                <w:color w:val="auto"/>
              </w:rPr>
            </w:pPr>
            <w:r>
              <w:rPr>
                <w:rFonts w:ascii="Calibri" w:cs="Calibri" w:eastAsia="Calibri" w:hAnsi="Calibri"/>
                <w:sz w:val="18"/>
                <w:szCs w:val="18"/>
                <w:b w:val="1"/>
                <w:bCs w:val="1"/>
                <w:color w:val="auto"/>
                <w:w w:val="98"/>
              </w:rPr>
              <w:t>Unobservable</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140" w:type="dxa"/>
            <w:vAlign w:val="bottom"/>
          </w:tcPr>
          <w:p>
            <w:pPr>
              <w:jc w:val="center"/>
              <w:ind w:right="10"/>
              <w:spacing w:after="0" w:line="216" w:lineRule="exact"/>
              <w:rPr>
                <w:sz w:val="20"/>
                <w:szCs w:val="20"/>
                <w:color w:val="auto"/>
              </w:rPr>
            </w:pPr>
            <w:r>
              <w:rPr>
                <w:rFonts w:ascii="Calibri" w:cs="Calibri" w:eastAsia="Calibri" w:hAnsi="Calibri"/>
                <w:sz w:val="18"/>
                <w:szCs w:val="18"/>
                <w:b w:val="1"/>
                <w:bCs w:val="1"/>
                <w:color w:val="auto"/>
              </w:rPr>
              <w:t>Assets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3"/>
          </w:tcPr>
          <w:p>
            <w:pPr>
              <w:jc w:val="center"/>
              <w:ind w:right="650"/>
              <w:spacing w:after="0" w:line="216" w:lineRule="exact"/>
              <w:rPr>
                <w:sz w:val="20"/>
                <w:szCs w:val="20"/>
                <w:color w:val="auto"/>
              </w:rPr>
            </w:pPr>
            <w:r>
              <w:rPr>
                <w:rFonts w:ascii="Calibri" w:cs="Calibri" w:eastAsia="Calibri" w:hAnsi="Calibri"/>
                <w:sz w:val="18"/>
                <w:szCs w:val="18"/>
                <w:b w:val="1"/>
                <w:bCs w:val="1"/>
                <w:color w:val="auto"/>
                <w:w w:val="97"/>
              </w:rPr>
              <w:t>Inputs</w:t>
            </w:r>
          </w:p>
        </w:tc>
        <w:tc>
          <w:tcPr>
            <w:tcW w:w="2200" w:type="dxa"/>
            <w:vAlign w:val="bottom"/>
            <w:gridSpan w:val="3"/>
          </w:tcPr>
          <w:p>
            <w:pPr>
              <w:jc w:val="center"/>
              <w:ind w:right="650"/>
              <w:spacing w:after="0" w:line="216" w:lineRule="exact"/>
              <w:rPr>
                <w:sz w:val="20"/>
                <w:szCs w:val="20"/>
                <w:color w:val="auto"/>
              </w:rPr>
            </w:pPr>
            <w:r>
              <w:rPr>
                <w:rFonts w:ascii="Calibri" w:cs="Calibri" w:eastAsia="Calibri" w:hAnsi="Calibri"/>
                <w:sz w:val="18"/>
                <w:szCs w:val="18"/>
                <w:b w:val="1"/>
                <w:bCs w:val="1"/>
                <w:color w:val="auto"/>
                <w:w w:val="97"/>
              </w:rPr>
              <w:t>Inputs</w:t>
            </w:r>
          </w:p>
        </w:tc>
        <w:tc>
          <w:tcPr>
            <w:tcW w:w="1640" w:type="dxa"/>
            <w:vAlign w:val="bottom"/>
            <w:gridSpan w:val="3"/>
          </w:tcPr>
          <w:p>
            <w:pPr>
              <w:jc w:val="center"/>
              <w:ind w:right="550"/>
              <w:spacing w:after="0" w:line="216" w:lineRule="exact"/>
              <w:rPr>
                <w:sz w:val="20"/>
                <w:szCs w:val="20"/>
                <w:color w:val="auto"/>
              </w:rPr>
            </w:pPr>
            <w:r>
              <w:rPr>
                <w:rFonts w:ascii="Calibri" w:cs="Calibri" w:eastAsia="Calibri" w:hAnsi="Calibri"/>
                <w:sz w:val="18"/>
                <w:szCs w:val="18"/>
                <w:b w:val="1"/>
                <w:bCs w:val="1"/>
                <w:color w:val="auto"/>
                <w:w w:val="96"/>
              </w:rPr>
              <w:t>Measured at</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140" w:type="dxa"/>
            <w:vAlign w:val="bottom"/>
          </w:tcPr>
          <w:p>
            <w:pPr>
              <w:jc w:val="center"/>
              <w:ind w:right="10"/>
              <w:spacing w:after="0" w:line="216" w:lineRule="exact"/>
              <w:rPr>
                <w:sz w:val="20"/>
                <w:szCs w:val="20"/>
                <w:color w:val="auto"/>
              </w:rPr>
            </w:pPr>
            <w:r>
              <w:rPr>
                <w:rFonts w:ascii="Calibri" w:cs="Calibri" w:eastAsia="Calibri" w:hAnsi="Calibri"/>
                <w:sz w:val="18"/>
                <w:szCs w:val="18"/>
                <w:b w:val="1"/>
                <w:bCs w:val="1"/>
                <w:color w:val="auto"/>
                <w:w w:val="95"/>
              </w:rPr>
              <w:t>(Level 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3"/>
          </w:tcPr>
          <w:p>
            <w:pPr>
              <w:jc w:val="center"/>
              <w:ind w:right="650"/>
              <w:spacing w:after="0" w:line="216" w:lineRule="exact"/>
              <w:rPr>
                <w:sz w:val="20"/>
                <w:szCs w:val="20"/>
                <w:color w:val="auto"/>
              </w:rPr>
            </w:pPr>
            <w:r>
              <w:rPr>
                <w:rFonts w:ascii="Calibri" w:cs="Calibri" w:eastAsia="Calibri" w:hAnsi="Calibri"/>
                <w:sz w:val="18"/>
                <w:szCs w:val="18"/>
                <w:b w:val="1"/>
                <w:bCs w:val="1"/>
                <w:color w:val="auto"/>
                <w:w w:val="98"/>
              </w:rPr>
              <w:t>(Level 2)</w:t>
            </w:r>
          </w:p>
        </w:tc>
        <w:tc>
          <w:tcPr>
            <w:tcW w:w="2200" w:type="dxa"/>
            <w:vAlign w:val="bottom"/>
            <w:gridSpan w:val="3"/>
          </w:tcPr>
          <w:p>
            <w:pPr>
              <w:jc w:val="center"/>
              <w:ind w:right="650"/>
              <w:spacing w:after="0" w:line="216" w:lineRule="exact"/>
              <w:rPr>
                <w:sz w:val="20"/>
                <w:szCs w:val="20"/>
                <w:color w:val="auto"/>
              </w:rPr>
            </w:pPr>
            <w:r>
              <w:rPr>
                <w:rFonts w:ascii="Calibri" w:cs="Calibri" w:eastAsia="Calibri" w:hAnsi="Calibri"/>
                <w:sz w:val="18"/>
                <w:szCs w:val="18"/>
                <w:b w:val="1"/>
                <w:bCs w:val="1"/>
                <w:color w:val="auto"/>
                <w:w w:val="98"/>
              </w:rPr>
              <w:t>(Level 3)</w:t>
            </w:r>
          </w:p>
        </w:tc>
        <w:tc>
          <w:tcPr>
            <w:tcW w:w="1640" w:type="dxa"/>
            <w:vAlign w:val="bottom"/>
            <w:gridSpan w:val="3"/>
          </w:tcPr>
          <w:p>
            <w:pPr>
              <w:jc w:val="center"/>
              <w:ind w:right="570"/>
              <w:spacing w:after="0" w:line="216" w:lineRule="exact"/>
              <w:rPr>
                <w:sz w:val="20"/>
                <w:szCs w:val="20"/>
                <w:color w:val="auto"/>
              </w:rPr>
            </w:pPr>
            <w:r>
              <w:rPr>
                <w:rFonts w:ascii="Calibri" w:cs="Calibri" w:eastAsia="Calibri" w:hAnsi="Calibri"/>
                <w:sz w:val="18"/>
                <w:szCs w:val="18"/>
                <w:b w:val="1"/>
                <w:bCs w:val="1"/>
                <w:color w:val="auto"/>
              </w:rPr>
              <w:t>NAV</w:t>
            </w:r>
          </w:p>
        </w:tc>
        <w:tc>
          <w:tcPr>
            <w:tcW w:w="1000" w:type="dxa"/>
            <w:vAlign w:val="bottom"/>
          </w:tcPr>
          <w:p>
            <w:pPr>
              <w:jc w:val="right"/>
              <w:ind w:right="370"/>
              <w:spacing w:after="0" w:line="216" w:lineRule="exact"/>
              <w:rPr>
                <w:sz w:val="20"/>
                <w:szCs w:val="20"/>
                <w:color w:val="auto"/>
              </w:rPr>
            </w:pPr>
            <w:r>
              <w:rPr>
                <w:rFonts w:ascii="Calibri" w:cs="Calibri" w:eastAsia="Calibri" w:hAnsi="Calibri"/>
                <w:sz w:val="18"/>
                <w:szCs w:val="18"/>
                <w:b w:val="1"/>
                <w:bCs w:val="1"/>
                <w:color w:val="auto"/>
              </w:rPr>
              <w:t>Total</w:t>
            </w:r>
          </w:p>
        </w:tc>
        <w:tc>
          <w:tcPr>
            <w:tcW w:w="0" w:type="dxa"/>
            <w:vAlign w:val="bottom"/>
          </w:tcPr>
          <w:p>
            <w:pPr>
              <w:spacing w:after="0"/>
              <w:rPr>
                <w:sz w:val="1"/>
                <w:szCs w:val="1"/>
                <w:color w:val="auto"/>
              </w:rPr>
            </w:pPr>
          </w:p>
        </w:tc>
      </w:tr>
      <w:tr>
        <w:trPr>
          <w:trHeight w:val="23"/>
        </w:trPr>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vMerge w:val="restart"/>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vMerge w:val="restart"/>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40" w:type="dxa"/>
            <w:vAlign w:val="bottom"/>
            <w:vMerge w:val="restart"/>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vMerge w:val="restart"/>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100" w:type="dxa"/>
            <w:vAlign w:val="bottom"/>
          </w:tcPr>
          <w:p>
            <w:pPr>
              <w:jc w:val="right"/>
              <w:spacing w:after="0" w:line="208" w:lineRule="exact"/>
              <w:rPr>
                <w:sz w:val="20"/>
                <w:szCs w:val="20"/>
                <w:color w:val="auto"/>
              </w:rPr>
            </w:pPr>
            <w:r>
              <w:rPr>
                <w:rFonts w:ascii="Calibri" w:cs="Calibri" w:eastAsia="Calibri" w:hAnsi="Calibri"/>
                <w:sz w:val="18"/>
                <w:szCs w:val="18"/>
                <w:color w:val="auto"/>
                <w:w w:val="87"/>
              </w:rPr>
              <w:t>$</w:t>
            </w:r>
          </w:p>
        </w:tc>
        <w:tc>
          <w:tcPr>
            <w:tcW w:w="1140" w:type="dxa"/>
            <w:vAlign w:val="bottom"/>
          </w:tcPr>
          <w:p>
            <w:pPr>
              <w:jc w:val="right"/>
              <w:spacing w:after="0" w:line="208" w:lineRule="exact"/>
              <w:rPr>
                <w:sz w:val="20"/>
                <w:szCs w:val="20"/>
                <w:color w:val="auto"/>
              </w:rPr>
            </w:pPr>
            <w:r>
              <w:rPr>
                <w:rFonts w:ascii="Calibri" w:cs="Calibri" w:eastAsia="Calibri" w:hAnsi="Calibri"/>
                <w:sz w:val="18"/>
                <w:szCs w:val="18"/>
                <w:color w:val="auto"/>
              </w:rPr>
              <w:t>120</w:t>
            </w:r>
          </w:p>
        </w:tc>
        <w:tc>
          <w:tcPr>
            <w:tcW w:w="240" w:type="dxa"/>
            <w:vAlign w:val="bottom"/>
            <w:vMerge w:val="continue"/>
          </w:tcPr>
          <w:p>
            <w:pPr>
              <w:spacing w:after="0"/>
              <w:rPr>
                <w:sz w:val="18"/>
                <w:szCs w:val="18"/>
                <w:color w:val="auto"/>
              </w:rPr>
            </w:pPr>
          </w:p>
        </w:tc>
        <w:tc>
          <w:tcPr>
            <w:tcW w:w="160" w:type="dxa"/>
            <w:vAlign w:val="bottom"/>
          </w:tcPr>
          <w:p>
            <w:pPr>
              <w:jc w:val="right"/>
              <w:spacing w:after="0" w:line="208" w:lineRule="exact"/>
              <w:rPr>
                <w:sz w:val="20"/>
                <w:szCs w:val="20"/>
                <w:color w:val="auto"/>
              </w:rPr>
            </w:pPr>
            <w:r>
              <w:rPr>
                <w:rFonts w:ascii="Calibri" w:cs="Calibri" w:eastAsia="Calibri" w:hAnsi="Calibri"/>
                <w:sz w:val="18"/>
                <w:szCs w:val="18"/>
                <w:color w:val="auto"/>
                <w:w w:val="87"/>
              </w:rPr>
              <w:t>$</w:t>
            </w:r>
          </w:p>
        </w:tc>
        <w:tc>
          <w:tcPr>
            <w:tcW w:w="1080" w:type="dxa"/>
            <w:vAlign w:val="bottom"/>
          </w:tcPr>
          <w:p>
            <w:pPr>
              <w:ind w:left="920"/>
              <w:spacing w:after="0" w:line="208" w:lineRule="exact"/>
              <w:rPr>
                <w:sz w:val="20"/>
                <w:szCs w:val="20"/>
                <w:color w:val="auto"/>
              </w:rPr>
            </w:pPr>
            <w:r>
              <w:rPr>
                <w:rFonts w:ascii="Calibri" w:cs="Calibri" w:eastAsia="Calibri" w:hAnsi="Calibri"/>
                <w:sz w:val="18"/>
                <w:szCs w:val="18"/>
                <w:color w:val="auto"/>
                <w:w w:val="85"/>
              </w:rPr>
              <w:t>—</w:t>
            </w:r>
          </w:p>
        </w:tc>
        <w:tc>
          <w:tcPr>
            <w:tcW w:w="240" w:type="dxa"/>
            <w:vAlign w:val="bottom"/>
            <w:vMerge w:val="continue"/>
          </w:tcPr>
          <w:p>
            <w:pPr>
              <w:spacing w:after="0"/>
              <w:rPr>
                <w:sz w:val="18"/>
                <w:szCs w:val="18"/>
                <w:color w:val="auto"/>
              </w:rPr>
            </w:pPr>
          </w:p>
        </w:tc>
        <w:tc>
          <w:tcPr>
            <w:tcW w:w="360" w:type="dxa"/>
            <w:vAlign w:val="bottom"/>
          </w:tcPr>
          <w:p>
            <w:pPr>
              <w:jc w:val="right"/>
              <w:ind w:right="150"/>
              <w:spacing w:after="0" w:line="208" w:lineRule="exact"/>
              <w:rPr>
                <w:sz w:val="20"/>
                <w:szCs w:val="20"/>
                <w:color w:val="auto"/>
              </w:rPr>
            </w:pPr>
            <w:r>
              <w:rPr>
                <w:rFonts w:ascii="Calibri" w:cs="Calibri" w:eastAsia="Calibri" w:hAnsi="Calibri"/>
                <w:sz w:val="18"/>
                <w:szCs w:val="18"/>
                <w:color w:val="auto"/>
              </w:rPr>
              <w:t>$</w:t>
            </w:r>
          </w:p>
        </w:tc>
        <w:tc>
          <w:tcPr>
            <w:tcW w:w="1820" w:type="dxa"/>
            <w:vAlign w:val="bottom"/>
          </w:tcPr>
          <w:p>
            <w:pPr>
              <w:ind w:left="1640"/>
              <w:spacing w:after="0" w:line="208" w:lineRule="exact"/>
              <w:rPr>
                <w:sz w:val="20"/>
                <w:szCs w:val="20"/>
                <w:color w:val="auto"/>
              </w:rPr>
            </w:pPr>
            <w:r>
              <w:rPr>
                <w:rFonts w:ascii="Calibri" w:cs="Calibri" w:eastAsia="Calibri" w:hAnsi="Calibri"/>
                <w:sz w:val="18"/>
                <w:szCs w:val="18"/>
                <w:color w:val="auto"/>
                <w:w w:val="97"/>
              </w:rPr>
              <w:t>—</w:t>
            </w:r>
          </w:p>
        </w:tc>
        <w:tc>
          <w:tcPr>
            <w:tcW w:w="240" w:type="dxa"/>
            <w:vAlign w:val="bottom"/>
            <w:vMerge w:val="continue"/>
          </w:tcPr>
          <w:p>
            <w:pPr>
              <w:spacing w:after="0"/>
              <w:rPr>
                <w:sz w:val="18"/>
                <w:szCs w:val="18"/>
                <w:color w:val="auto"/>
              </w:rPr>
            </w:pPr>
          </w:p>
        </w:tc>
        <w:tc>
          <w:tcPr>
            <w:tcW w:w="140" w:type="dxa"/>
            <w:vAlign w:val="bottom"/>
          </w:tcPr>
          <w:p>
            <w:pPr>
              <w:jc w:val="right"/>
              <w:spacing w:after="0" w:line="208" w:lineRule="exact"/>
              <w:rPr>
                <w:sz w:val="20"/>
                <w:szCs w:val="20"/>
                <w:color w:val="auto"/>
              </w:rPr>
            </w:pPr>
            <w:r>
              <w:rPr>
                <w:rFonts w:ascii="Calibri" w:cs="Calibri" w:eastAsia="Calibri" w:hAnsi="Calibri"/>
                <w:sz w:val="18"/>
                <w:szCs w:val="18"/>
                <w:color w:val="auto"/>
                <w:w w:val="87"/>
              </w:rPr>
              <w:t>$</w:t>
            </w:r>
          </w:p>
        </w:tc>
        <w:tc>
          <w:tcPr>
            <w:tcW w:w="1120" w:type="dxa"/>
            <w:vAlign w:val="bottom"/>
          </w:tcPr>
          <w:p>
            <w:pPr>
              <w:ind w:left="940"/>
              <w:spacing w:after="0" w:line="208" w:lineRule="exact"/>
              <w:rPr>
                <w:sz w:val="20"/>
                <w:szCs w:val="20"/>
                <w:color w:val="auto"/>
              </w:rPr>
            </w:pPr>
            <w:r>
              <w:rPr>
                <w:rFonts w:ascii="Calibri" w:cs="Calibri" w:eastAsia="Calibri" w:hAnsi="Calibri"/>
                <w:sz w:val="18"/>
                <w:szCs w:val="18"/>
                <w:color w:val="auto"/>
                <w:w w:val="97"/>
              </w:rPr>
              <w:t>—</w:t>
            </w:r>
          </w:p>
        </w:tc>
        <w:tc>
          <w:tcPr>
            <w:tcW w:w="240" w:type="dxa"/>
            <w:vAlign w:val="bottom"/>
            <w:vMerge w:val="continue"/>
          </w:tcPr>
          <w:p>
            <w:pPr>
              <w:spacing w:after="0"/>
              <w:rPr>
                <w:sz w:val="18"/>
                <w:szCs w:val="18"/>
                <w:color w:val="auto"/>
              </w:rPr>
            </w:pPr>
          </w:p>
        </w:tc>
        <w:tc>
          <w:tcPr>
            <w:tcW w:w="280" w:type="dxa"/>
            <w:vAlign w:val="bottom"/>
          </w:tcPr>
          <w:p>
            <w:pPr>
              <w:jc w:val="right"/>
              <w:ind w:right="90"/>
              <w:spacing w:after="0" w:line="208" w:lineRule="exact"/>
              <w:rPr>
                <w:sz w:val="20"/>
                <w:szCs w:val="20"/>
                <w:color w:val="auto"/>
              </w:rPr>
            </w:pPr>
            <w:r>
              <w:rPr>
                <w:rFonts w:ascii="Calibri" w:cs="Calibri" w:eastAsia="Calibri" w:hAnsi="Calibri"/>
                <w:sz w:val="18"/>
                <w:szCs w:val="18"/>
                <w:color w:val="auto"/>
                <w:w w:val="87"/>
              </w:rPr>
              <w:t>$</w:t>
            </w:r>
          </w:p>
        </w:tc>
        <w:tc>
          <w:tcPr>
            <w:tcW w:w="1000" w:type="dxa"/>
            <w:vAlign w:val="bottom"/>
          </w:tcPr>
          <w:p>
            <w:pPr>
              <w:jc w:val="right"/>
              <w:spacing w:after="0" w:line="208" w:lineRule="exact"/>
              <w:rPr>
                <w:sz w:val="20"/>
                <w:szCs w:val="20"/>
                <w:color w:val="auto"/>
              </w:rPr>
            </w:pPr>
            <w:r>
              <w:rPr>
                <w:rFonts w:ascii="Calibri" w:cs="Calibri" w:eastAsia="Calibri" w:hAnsi="Calibri"/>
                <w:sz w:val="18"/>
                <w:szCs w:val="18"/>
                <w:color w:val="auto"/>
              </w:rPr>
              <w:t>120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-1886585</wp:posOffset>
            </wp:positionH>
            <wp:positionV relativeFrom="paragraph">
              <wp:posOffset>-135890</wp:posOffset>
            </wp:positionV>
            <wp:extent cx="7132320" cy="13716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40" w:lineRule="exact"/>
        <w:rPr>
          <w:sz w:val="20"/>
          <w:szCs w:val="20"/>
          <w:color w:val="auto"/>
        </w:rPr>
      </w:pPr>
    </w:p>
    <w:p>
      <w:pPr>
        <w:sectPr>
          <w:pgSz w:w="11900" w:h="16838" w:orient="portrait"/>
          <w:cols w:equalWidth="0" w:num="2">
            <w:col w:w="2260" w:space="720"/>
            <w:col w:w="8260"/>
          </w:cols>
          <w:pgMar w:left="320" w:top="112" w:right="339" w:bottom="1440" w:gutter="0" w:footer="0" w:header="0"/>
        </w:sectPr>
      </w:pPr>
    </w:p>
    <w:tbl>
      <w:tblPr>
        <w:tblLayout w:type="fixed"/>
        <w:tblInd w:w="0" w:type="dxa"/>
        <w:tblCellMar>
          <w:top w:w="0" w:type="dxa"/>
          <w:left w:w="0" w:type="dxa"/>
          <w:bottom w:w="0" w:type="dxa"/>
          <w:right w:w="0" w:type="dxa"/>
        </w:tblCellMar>
      </w:tblPr>
      <w:tr>
        <w:trPr>
          <w:trHeight w:val="293"/>
        </w:trPr>
        <w:tc>
          <w:tcPr>
            <w:tcW w:w="3520" w:type="dxa"/>
            <w:vAlign w:val="bottom"/>
            <w:gridSpan w:val="2"/>
          </w:tcPr>
          <w:p>
            <w:pPr>
              <w:ind w:left="20"/>
              <w:spacing w:after="0"/>
              <w:rPr>
                <w:sz w:val="20"/>
                <w:szCs w:val="20"/>
                <w:color w:val="auto"/>
              </w:rPr>
            </w:pPr>
            <w:r>
              <w:rPr>
                <w:rFonts w:ascii="Calibri" w:cs="Calibri" w:eastAsia="Calibri" w:hAnsi="Calibri"/>
                <w:sz w:val="18"/>
                <w:szCs w:val="18"/>
                <w:color w:val="auto"/>
              </w:rPr>
              <w:t xml:space="preserve">Debt Securites: </w:t>
            </w:r>
            <w:r>
              <w:rPr>
                <w:rFonts w:ascii="Calibri" w:cs="Calibri" w:eastAsia="Calibri" w:hAnsi="Calibri"/>
                <w:sz w:val="24"/>
                <w:szCs w:val="24"/>
                <w:color w:val="auto"/>
                <w:vertAlign w:val="superscript"/>
              </w:rPr>
              <w:t>(2)</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Government bonds</w:t>
            </w:r>
          </w:p>
        </w:tc>
        <w:tc>
          <w:tcPr>
            <w:tcW w:w="7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32</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520" w:type="dxa"/>
            <w:vAlign w:val="bottom"/>
            <w:gridSpan w:val="2"/>
          </w:tcPr>
          <w:p>
            <w:pPr>
              <w:ind w:left="200"/>
              <w:spacing w:after="0" w:line="215" w:lineRule="exact"/>
              <w:rPr>
                <w:sz w:val="20"/>
                <w:szCs w:val="20"/>
                <w:color w:val="auto"/>
              </w:rPr>
            </w:pPr>
            <w:r>
              <w:rPr>
                <w:rFonts w:ascii="Calibri" w:cs="Calibri" w:eastAsia="Calibri" w:hAnsi="Calibri"/>
                <w:sz w:val="18"/>
                <w:szCs w:val="18"/>
                <w:color w:val="auto"/>
              </w:rPr>
              <w:t>Investment grade bonds</w:t>
            </w:r>
          </w:p>
        </w:tc>
        <w:tc>
          <w:tcPr>
            <w:tcW w:w="70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jc w:val="right"/>
              <w:spacing w:after="0" w:line="215" w:lineRule="exact"/>
              <w:rPr>
                <w:sz w:val="20"/>
                <w:szCs w:val="20"/>
                <w:color w:val="auto"/>
              </w:rPr>
            </w:pPr>
            <w:r>
              <w:rPr>
                <w:rFonts w:ascii="Calibri" w:cs="Calibri" w:eastAsia="Calibri" w:hAnsi="Calibri"/>
                <w:sz w:val="18"/>
                <w:szCs w:val="18"/>
                <w:color w:val="auto"/>
              </w:rPr>
              <w:t>682</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jc w:val="right"/>
              <w:spacing w:after="0" w:line="215" w:lineRule="exact"/>
              <w:rPr>
                <w:sz w:val="20"/>
                <w:szCs w:val="20"/>
                <w:color w:val="auto"/>
              </w:rPr>
            </w:pPr>
            <w:r>
              <w:rPr>
                <w:rFonts w:ascii="Calibri" w:cs="Calibri" w:eastAsia="Calibri" w:hAnsi="Calibri"/>
                <w:sz w:val="18"/>
                <w:szCs w:val="18"/>
                <w:color w:val="auto"/>
              </w:rPr>
              <w:t>682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Real estate</w:t>
            </w:r>
          </w:p>
        </w:tc>
        <w:tc>
          <w:tcPr>
            <w:tcW w:w="7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11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18</w:t>
            </w:r>
          </w:p>
        </w:tc>
        <w:tc>
          <w:tcPr>
            <w:tcW w:w="2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09"/>
        </w:trPr>
        <w:tc>
          <w:tcPr>
            <w:tcW w:w="3520" w:type="dxa"/>
            <w:vAlign w:val="bottom"/>
            <w:gridSpan w:val="2"/>
          </w:tcPr>
          <w:p>
            <w:pPr>
              <w:ind w:left="20"/>
              <w:spacing w:after="0"/>
              <w:rPr>
                <w:sz w:val="20"/>
                <w:szCs w:val="20"/>
                <w:color w:val="auto"/>
              </w:rPr>
            </w:pPr>
            <w:r>
              <w:rPr>
                <w:rFonts w:ascii="Calibri" w:cs="Calibri" w:eastAsia="Calibri" w:hAnsi="Calibri"/>
                <w:sz w:val="18"/>
                <w:szCs w:val="18"/>
                <w:color w:val="auto"/>
              </w:rPr>
              <w:t>Other:</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20" w:type="dxa"/>
            <w:vAlign w:val="bottom"/>
            <w:gridSpan w:val="2"/>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Hedge funds</w:t>
            </w:r>
          </w:p>
        </w:tc>
        <w:tc>
          <w:tcPr>
            <w:tcW w:w="7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11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1,552</w:t>
            </w:r>
          </w:p>
        </w:tc>
        <w:tc>
          <w:tcPr>
            <w:tcW w:w="2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1,552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520" w:type="dxa"/>
            <w:vAlign w:val="bottom"/>
            <w:gridSpan w:val="2"/>
          </w:tcPr>
          <w:p>
            <w:pPr>
              <w:ind w:left="200"/>
              <w:spacing w:after="0" w:line="215" w:lineRule="exact"/>
              <w:rPr>
                <w:sz w:val="20"/>
                <w:szCs w:val="20"/>
                <w:color w:val="auto"/>
              </w:rPr>
            </w:pPr>
            <w:r>
              <w:rPr>
                <w:rFonts w:ascii="Calibri" w:cs="Calibri" w:eastAsia="Calibri" w:hAnsi="Calibri"/>
                <w:sz w:val="18"/>
                <w:szCs w:val="18"/>
                <w:color w:val="auto"/>
              </w:rPr>
              <w:t>Private equity</w:t>
            </w:r>
          </w:p>
        </w:tc>
        <w:tc>
          <w:tcPr>
            <w:tcW w:w="70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1180" w:type="dxa"/>
            <w:vAlign w:val="bottom"/>
          </w:tcPr>
          <w:p>
            <w:pPr>
              <w:spacing w:after="0"/>
              <w:rPr>
                <w:sz w:val="18"/>
                <w:szCs w:val="18"/>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3</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jc w:val="right"/>
              <w:spacing w:after="0" w:line="215" w:lineRule="exact"/>
              <w:rPr>
                <w:sz w:val="20"/>
                <w:szCs w:val="20"/>
                <w:color w:val="auto"/>
              </w:rPr>
            </w:pPr>
            <w:r>
              <w:rPr>
                <w:rFonts w:ascii="Calibri" w:cs="Calibri" w:eastAsia="Calibri" w:hAnsi="Calibri"/>
                <w:sz w:val="18"/>
                <w:szCs w:val="18"/>
                <w:color w:val="auto"/>
              </w:rPr>
              <w:t>1,094</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jc w:val="right"/>
              <w:spacing w:after="0" w:line="215" w:lineRule="exact"/>
              <w:rPr>
                <w:sz w:val="20"/>
                <w:szCs w:val="20"/>
                <w:color w:val="auto"/>
              </w:rPr>
            </w:pPr>
            <w:r>
              <w:rPr>
                <w:rFonts w:ascii="Calibri" w:cs="Calibri" w:eastAsia="Calibri" w:hAnsi="Calibri"/>
                <w:sz w:val="18"/>
                <w:szCs w:val="18"/>
                <w:color w:val="auto"/>
              </w:rPr>
              <w:t>1,097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Borders>
              <w:bottom w:val="single" w:sz="8" w:color="CFF0FC"/>
            </w:tcBorders>
            <w:shd w:val="clear" w:color="auto" w:fill="CFF0FC"/>
          </w:tcPr>
          <w:p>
            <w:pPr>
              <w:ind w:left="200"/>
              <w:spacing w:after="0" w:line="216" w:lineRule="exact"/>
              <w:rPr>
                <w:sz w:val="20"/>
                <w:szCs w:val="20"/>
                <w:color w:val="auto"/>
              </w:rPr>
            </w:pPr>
            <w:r>
              <w:rPr>
                <w:rFonts w:ascii="Calibri" w:cs="Calibri" w:eastAsia="Calibri" w:hAnsi="Calibri"/>
                <w:sz w:val="18"/>
                <w:szCs w:val="18"/>
                <w:color w:val="auto"/>
              </w:rPr>
              <w:t>Derivatves with unrealized gains</w:t>
            </w:r>
          </w:p>
        </w:tc>
        <w:tc>
          <w:tcPr>
            <w:tcW w:w="54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w:t>
            </w:r>
          </w:p>
        </w:tc>
        <w:tc>
          <w:tcPr>
            <w:tcW w:w="10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20" w:type="dxa"/>
            <w:vAlign w:val="bottom"/>
            <w:gridSpan w:val="2"/>
          </w:tcPr>
          <w:p>
            <w:pPr>
              <w:ind w:left="3000"/>
              <w:spacing w:after="0" w:line="210" w:lineRule="exact"/>
              <w:rPr>
                <w:sz w:val="20"/>
                <w:szCs w:val="20"/>
                <w:color w:val="auto"/>
              </w:rPr>
            </w:pPr>
            <w:r>
              <w:rPr>
                <w:rFonts w:ascii="Calibri" w:cs="Calibri" w:eastAsia="Calibri" w:hAnsi="Calibri"/>
                <w:sz w:val="18"/>
                <w:szCs w:val="18"/>
                <w:color w:val="auto"/>
              </w:rPr>
              <w:t>$</w:t>
            </w:r>
          </w:p>
        </w:tc>
        <w:tc>
          <w:tcPr>
            <w:tcW w:w="700" w:type="dxa"/>
            <w:vAlign w:val="bottom"/>
          </w:tcPr>
          <w:p>
            <w:pPr>
              <w:jc w:val="right"/>
              <w:spacing w:after="0" w:line="210" w:lineRule="exact"/>
              <w:rPr>
                <w:sz w:val="20"/>
                <w:szCs w:val="20"/>
                <w:color w:val="auto"/>
              </w:rPr>
            </w:pPr>
            <w:r>
              <w:rPr>
                <w:rFonts w:ascii="Calibri" w:cs="Calibri" w:eastAsia="Calibri" w:hAnsi="Calibri"/>
                <w:sz w:val="18"/>
                <w:szCs w:val="18"/>
                <w:color w:val="auto"/>
              </w:rPr>
              <w:t>121</w:t>
            </w:r>
          </w:p>
        </w:tc>
        <w:tc>
          <w:tcPr>
            <w:tcW w:w="780" w:type="dxa"/>
            <w:vAlign w:val="bottom"/>
            <w:gridSpan w:val="2"/>
          </w:tcPr>
          <w:p>
            <w:pPr>
              <w:jc w:val="right"/>
              <w:ind w:right="440"/>
              <w:spacing w:after="0" w:line="210" w:lineRule="exact"/>
              <w:rPr>
                <w:sz w:val="20"/>
                <w:szCs w:val="20"/>
                <w:color w:val="auto"/>
              </w:rPr>
            </w:pPr>
            <w:r>
              <w:rPr>
                <w:rFonts w:ascii="Calibri" w:cs="Calibri" w:eastAsia="Calibri" w:hAnsi="Calibri"/>
                <w:sz w:val="18"/>
                <w:szCs w:val="18"/>
                <w:color w:val="auto"/>
              </w:rPr>
              <w:t>$</w:t>
            </w:r>
          </w:p>
        </w:tc>
        <w:tc>
          <w:tcPr>
            <w:tcW w:w="700" w:type="dxa"/>
            <w:vAlign w:val="bottom"/>
          </w:tcPr>
          <w:p>
            <w:pPr>
              <w:jc w:val="right"/>
              <w:spacing w:after="0" w:line="210" w:lineRule="exact"/>
              <w:rPr>
                <w:sz w:val="20"/>
                <w:szCs w:val="20"/>
                <w:color w:val="auto"/>
              </w:rPr>
            </w:pPr>
            <w:r>
              <w:rPr>
                <w:rFonts w:ascii="Calibri" w:cs="Calibri" w:eastAsia="Calibri" w:hAnsi="Calibri"/>
                <w:sz w:val="18"/>
                <w:szCs w:val="18"/>
                <w:color w:val="auto"/>
              </w:rPr>
              <w:t>714</w:t>
            </w:r>
          </w:p>
        </w:tc>
        <w:tc>
          <w:tcPr>
            <w:tcW w:w="120" w:type="dxa"/>
            <w:vAlign w:val="bottom"/>
          </w:tcPr>
          <w:p>
            <w:pPr>
              <w:spacing w:after="0"/>
              <w:rPr>
                <w:sz w:val="18"/>
                <w:szCs w:val="18"/>
                <w:color w:val="auto"/>
              </w:rPr>
            </w:pPr>
          </w:p>
        </w:tc>
        <w:tc>
          <w:tcPr>
            <w:tcW w:w="1180" w:type="dxa"/>
            <w:vAlign w:val="bottom"/>
          </w:tcPr>
          <w:p>
            <w:pPr>
              <w:jc w:val="right"/>
              <w:ind w:right="850"/>
              <w:spacing w:after="0" w:line="210" w:lineRule="exact"/>
              <w:rPr>
                <w:sz w:val="20"/>
                <w:szCs w:val="20"/>
                <w:color w:val="auto"/>
              </w:rPr>
            </w:pPr>
            <w:r>
              <w:rPr>
                <w:rFonts w:ascii="Calibri" w:cs="Calibri" w:eastAsia="Calibri" w:hAnsi="Calibri"/>
                <w:sz w:val="18"/>
                <w:szCs w:val="18"/>
                <w:color w:val="auto"/>
              </w:rPr>
              <w:t>$</w:t>
            </w:r>
          </w:p>
        </w:tc>
        <w:tc>
          <w:tcPr>
            <w:tcW w:w="1120" w:type="dxa"/>
            <w:vAlign w:val="bottom"/>
          </w:tcPr>
          <w:p>
            <w:pPr>
              <w:jc w:val="right"/>
              <w:spacing w:after="0" w:line="210" w:lineRule="exact"/>
              <w:rPr>
                <w:sz w:val="20"/>
                <w:szCs w:val="20"/>
                <w:color w:val="auto"/>
              </w:rPr>
            </w:pPr>
            <w:r>
              <w:rPr>
                <w:rFonts w:ascii="Calibri" w:cs="Calibri" w:eastAsia="Calibri" w:hAnsi="Calibri"/>
                <w:sz w:val="18"/>
                <w:szCs w:val="18"/>
                <w:color w:val="auto"/>
              </w:rPr>
              <w:t>3</w:t>
            </w:r>
          </w:p>
        </w:tc>
        <w:tc>
          <w:tcPr>
            <w:tcW w:w="720" w:type="dxa"/>
            <w:vAlign w:val="bottom"/>
            <w:gridSpan w:val="2"/>
          </w:tcPr>
          <w:p>
            <w:pPr>
              <w:jc w:val="right"/>
              <w:ind w:right="380"/>
              <w:spacing w:after="0" w:line="210" w:lineRule="exact"/>
              <w:rPr>
                <w:sz w:val="20"/>
                <w:szCs w:val="20"/>
                <w:color w:val="auto"/>
              </w:rPr>
            </w:pPr>
            <w:r>
              <w:rPr>
                <w:rFonts w:ascii="Calibri" w:cs="Calibri" w:eastAsia="Calibri" w:hAnsi="Calibri"/>
                <w:sz w:val="18"/>
                <w:szCs w:val="18"/>
                <w:color w:val="auto"/>
              </w:rPr>
              <w:t>$</w:t>
            </w:r>
          </w:p>
        </w:tc>
        <w:tc>
          <w:tcPr>
            <w:tcW w:w="780" w:type="dxa"/>
            <w:vAlign w:val="bottom"/>
          </w:tcPr>
          <w:p>
            <w:pPr>
              <w:jc w:val="right"/>
              <w:spacing w:after="0" w:line="210" w:lineRule="exact"/>
              <w:rPr>
                <w:sz w:val="20"/>
                <w:szCs w:val="20"/>
                <w:color w:val="auto"/>
              </w:rPr>
            </w:pPr>
            <w:r>
              <w:rPr>
                <w:rFonts w:ascii="Calibri" w:cs="Calibri" w:eastAsia="Calibri" w:hAnsi="Calibri"/>
                <w:sz w:val="18"/>
                <w:szCs w:val="18"/>
                <w:color w:val="auto"/>
              </w:rPr>
              <w:t>2,664</w:t>
            </w:r>
          </w:p>
        </w:tc>
        <w:tc>
          <w:tcPr>
            <w:tcW w:w="720" w:type="dxa"/>
            <w:vAlign w:val="bottom"/>
            <w:gridSpan w:val="2"/>
          </w:tcPr>
          <w:p>
            <w:pPr>
              <w:jc w:val="right"/>
              <w:ind w:right="380"/>
              <w:spacing w:after="0" w:line="210" w:lineRule="exact"/>
              <w:rPr>
                <w:sz w:val="20"/>
                <w:szCs w:val="20"/>
                <w:color w:val="auto"/>
              </w:rPr>
            </w:pPr>
            <w:r>
              <w:rPr>
                <w:rFonts w:ascii="Calibri" w:cs="Calibri" w:eastAsia="Calibri" w:hAnsi="Calibri"/>
                <w:sz w:val="18"/>
                <w:szCs w:val="18"/>
                <w:color w:val="auto"/>
              </w:rPr>
              <w:t>$</w:t>
            </w:r>
          </w:p>
        </w:tc>
        <w:tc>
          <w:tcPr>
            <w:tcW w:w="800" w:type="dxa"/>
            <w:vAlign w:val="bottom"/>
          </w:tcPr>
          <w:p>
            <w:pPr>
              <w:jc w:val="right"/>
              <w:spacing w:after="0" w:line="210" w:lineRule="exact"/>
              <w:rPr>
                <w:sz w:val="20"/>
                <w:szCs w:val="20"/>
                <w:color w:val="auto"/>
              </w:rPr>
            </w:pPr>
            <w:r>
              <w:rPr>
                <w:rFonts w:ascii="Calibri" w:cs="Calibri" w:eastAsia="Calibri" w:hAnsi="Calibri"/>
                <w:sz w:val="18"/>
                <w:szCs w:val="18"/>
                <w:color w:val="auto"/>
              </w:rPr>
              <w:t>3,502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80" w:type="dxa"/>
            <w:vAlign w:val="bottom"/>
            <w:vMerge w:val="restart"/>
          </w:tcPr>
          <w:p>
            <w:pPr>
              <w:ind w:left="20"/>
              <w:spacing w:after="0" w:line="236" w:lineRule="exact"/>
              <w:rPr>
                <w:sz w:val="20"/>
                <w:szCs w:val="20"/>
                <w:color w:val="auto"/>
              </w:rPr>
            </w:pPr>
            <w:r>
              <w:rPr>
                <w:rFonts w:ascii="Calibri" w:cs="Calibri" w:eastAsia="Calibri" w:hAnsi="Calibri"/>
                <w:sz w:val="18"/>
                <w:szCs w:val="18"/>
                <w:color w:val="auto"/>
              </w:rPr>
              <w:t xml:space="preserve">Net receivables </w:t>
            </w:r>
            <w:r>
              <w:rPr>
                <w:rFonts w:ascii="Calibri" w:cs="Calibri" w:eastAsia="Calibri" w:hAnsi="Calibri"/>
                <w:sz w:val="24"/>
                <w:szCs w:val="24"/>
                <w:color w:val="auto"/>
                <w:vertAlign w:val="superscript"/>
              </w:rPr>
              <w:t>(3)</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vMerge w:val="restart"/>
          </w:tcPr>
          <w:p>
            <w:pPr>
              <w:jc w:val="right"/>
              <w:spacing w:after="0" w:line="213" w:lineRule="exact"/>
              <w:rPr>
                <w:sz w:val="20"/>
                <w:szCs w:val="20"/>
                <w:color w:val="auto"/>
              </w:rPr>
            </w:pPr>
            <w:r>
              <w:rPr>
                <w:rFonts w:ascii="Calibri" w:cs="Calibri" w:eastAsia="Calibri" w:hAnsi="Calibri"/>
                <w:sz w:val="18"/>
                <w:szCs w:val="18"/>
                <w:color w:val="auto"/>
              </w:rPr>
              <w:t>44</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98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520" w:type="dxa"/>
            <w:vAlign w:val="bottom"/>
            <w:gridSpan w:val="2"/>
          </w:tcPr>
          <w:p>
            <w:pPr>
              <w:ind w:left="20"/>
              <w:spacing w:after="0" w:line="195" w:lineRule="exact"/>
              <w:rPr>
                <w:sz w:val="20"/>
                <w:szCs w:val="20"/>
                <w:color w:val="auto"/>
              </w:rPr>
            </w:pPr>
            <w:r>
              <w:rPr>
                <w:rFonts w:ascii="Calibri" w:cs="Calibri" w:eastAsia="Calibri" w:hAnsi="Calibri"/>
                <w:sz w:val="18"/>
                <w:szCs w:val="18"/>
                <w:color w:val="auto"/>
              </w:rPr>
              <w:t>Total</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gridSpan w:val="2"/>
          </w:tcPr>
          <w:p>
            <w:pPr>
              <w:jc w:val="right"/>
              <w:ind w:right="380"/>
              <w:spacing w:after="0" w:line="208" w:lineRule="exact"/>
              <w:rPr>
                <w:sz w:val="20"/>
                <w:szCs w:val="20"/>
                <w:color w:val="auto"/>
              </w:rPr>
            </w:pPr>
            <w:r>
              <w:rPr>
                <w:rFonts w:ascii="Calibri" w:cs="Calibri" w:eastAsia="Calibri" w:hAnsi="Calibri"/>
                <w:sz w:val="18"/>
                <w:szCs w:val="18"/>
                <w:color w:val="auto"/>
              </w:rPr>
              <w:t>$</w:t>
            </w:r>
          </w:p>
        </w:tc>
        <w:tc>
          <w:tcPr>
            <w:tcW w:w="800" w:type="dxa"/>
            <w:vAlign w:val="bottom"/>
          </w:tcPr>
          <w:p>
            <w:pPr>
              <w:jc w:val="right"/>
              <w:spacing w:after="0" w:line="208" w:lineRule="exact"/>
              <w:rPr>
                <w:sz w:val="20"/>
                <w:szCs w:val="20"/>
                <w:color w:val="auto"/>
              </w:rPr>
            </w:pPr>
            <w:r>
              <w:rPr>
                <w:rFonts w:ascii="Calibri" w:cs="Calibri" w:eastAsia="Calibri" w:hAnsi="Calibri"/>
                <w:sz w:val="18"/>
                <w:szCs w:val="18"/>
                <w:color w:val="auto"/>
              </w:rPr>
              <w:t>3,546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gridSpan w:val="2"/>
            <w:vMerge w:val="restart"/>
          </w:tcPr>
          <w:p>
            <w:pPr>
              <w:jc w:val="right"/>
              <w:ind w:right="100"/>
              <w:spacing w:after="0"/>
              <w:rPr>
                <w:sz w:val="20"/>
                <w:szCs w:val="20"/>
                <w:color w:val="auto"/>
              </w:rPr>
            </w:pPr>
            <w:r>
              <w:rPr>
                <w:rFonts w:ascii="Calibri" w:cs="Calibri" w:eastAsia="Calibri" w:hAnsi="Calibri"/>
                <w:sz w:val="18"/>
                <w:szCs w:val="18"/>
                <w:color w:val="auto"/>
              </w:rPr>
              <w:t>99</w:t>
            </w:r>
          </w:p>
        </w:tc>
        <w:tc>
          <w:tcPr>
            <w:tcW w:w="1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9"/>
        </w:trPr>
        <w:tc>
          <w:tcPr>
            <w:tcW w:w="2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gridSpan w:val="2"/>
            <w:vMerge w:val="continue"/>
          </w:tcPr>
          <w:p>
            <w:pPr>
              <w:spacing w:after="0"/>
              <w:rPr>
                <w:sz w:val="24"/>
                <w:szCs w:val="24"/>
                <w:color w:val="auto"/>
              </w:rPr>
            </w:pPr>
          </w:p>
        </w:tc>
        <w:tc>
          <w:tcPr>
            <w:tcW w:w="1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0"/>
        </w:trPr>
        <w:tc>
          <w:tcPr>
            <w:tcW w:w="29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-1207770</wp:posOffset>
            </wp:positionV>
            <wp:extent cx="6858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-1207770</wp:posOffset>
            </wp:positionV>
            <wp:extent cx="6858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-1207770</wp:posOffset>
            </wp:positionV>
            <wp:extent cx="6858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-1207770</wp:posOffset>
            </wp:positionV>
            <wp:extent cx="6858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-1207770</wp:posOffset>
            </wp:positionV>
            <wp:extent cx="6858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-1036320</wp:posOffset>
            </wp:positionV>
            <wp:extent cx="7132320" cy="14541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99" w:name="page100"/>
    <w:bookmarkEnd w:id="99"/>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alibri" w:cs="Calibri" w:eastAsia="Calibri" w:hAnsi="Calibri"/>
          <w:sz w:val="18"/>
          <w:szCs w:val="18"/>
          <w:color w:val="auto"/>
        </w:rPr>
        <w:t>Assets not utlizing the NAV per share expedient are valued as follows:</w:t>
      </w:r>
    </w:p>
    <w:p>
      <w:pPr>
        <w:spacing w:after="0" w:line="190" w:lineRule="exact"/>
        <w:rPr>
          <w:sz w:val="20"/>
          <w:szCs w:val="20"/>
          <w:color w:val="auto"/>
        </w:rPr>
      </w:pPr>
    </w:p>
    <w:p>
      <w:pPr>
        <w:ind w:left="780" w:right="100" w:hanging="259"/>
        <w:spacing w:after="0" w:line="201" w:lineRule="auto"/>
        <w:tabs>
          <w:tab w:leader="none" w:pos="780" w:val="left"/>
        </w:tabs>
        <w:numPr>
          <w:ilvl w:val="0"/>
          <w:numId w:val="42"/>
        </w:numPr>
        <w:rPr>
          <w:rFonts w:ascii="Calibri" w:cs="Calibri" w:eastAsia="Calibri" w:hAnsi="Calibri"/>
          <w:sz w:val="24"/>
          <w:szCs w:val="24"/>
          <w:color w:val="auto"/>
          <w:vertAlign w:val="superscript"/>
        </w:rPr>
      </w:pPr>
      <w:r>
        <w:rPr>
          <w:rFonts w:ascii="Calibri" w:cs="Calibri" w:eastAsia="Calibri" w:hAnsi="Calibri"/>
          <w:sz w:val="18"/>
          <w:szCs w:val="18"/>
          <w:color w:val="auto"/>
        </w:rPr>
        <w:t>Cash and cash equivalents are primarily held in short term investment funds and are used for beneft and fee payments, as well as for margin and liquidity requirements associated with the U.S. Plan’s derivatve instrument contracts.</w:t>
      </w:r>
    </w:p>
    <w:p>
      <w:pPr>
        <w:spacing w:after="0" w:line="178" w:lineRule="exact"/>
        <w:rPr>
          <w:rFonts w:ascii="Calibri" w:cs="Calibri" w:eastAsia="Calibri" w:hAnsi="Calibri"/>
          <w:sz w:val="24"/>
          <w:szCs w:val="24"/>
          <w:color w:val="auto"/>
          <w:vertAlign w:val="superscript"/>
        </w:rPr>
      </w:pPr>
    </w:p>
    <w:p>
      <w:pPr>
        <w:ind w:left="780" w:right="520" w:hanging="259"/>
        <w:spacing w:after="0" w:line="201" w:lineRule="auto"/>
        <w:tabs>
          <w:tab w:leader="none" w:pos="780" w:val="left"/>
        </w:tabs>
        <w:numPr>
          <w:ilvl w:val="0"/>
          <w:numId w:val="42"/>
        </w:numPr>
        <w:rPr>
          <w:rFonts w:ascii="Calibri" w:cs="Calibri" w:eastAsia="Calibri" w:hAnsi="Calibri"/>
          <w:sz w:val="24"/>
          <w:szCs w:val="24"/>
          <w:color w:val="auto"/>
          <w:vertAlign w:val="superscript"/>
        </w:rPr>
      </w:pPr>
      <w:r>
        <w:rPr>
          <w:rFonts w:ascii="Calibri" w:cs="Calibri" w:eastAsia="Calibri" w:hAnsi="Calibri"/>
          <w:sz w:val="18"/>
          <w:szCs w:val="18"/>
          <w:color w:val="auto"/>
        </w:rPr>
        <w:t>Debt securites are valued using a market-based pricing model that utlizes standard valuaton techniques that maximize the use of relevant observable inputs, including market prices for similar assets.</w:t>
      </w:r>
    </w:p>
    <w:p>
      <w:pPr>
        <w:spacing w:after="0" w:line="178" w:lineRule="exact"/>
        <w:rPr>
          <w:rFonts w:ascii="Calibri" w:cs="Calibri" w:eastAsia="Calibri" w:hAnsi="Calibri"/>
          <w:sz w:val="24"/>
          <w:szCs w:val="24"/>
          <w:color w:val="auto"/>
          <w:vertAlign w:val="superscript"/>
        </w:rPr>
      </w:pPr>
    </w:p>
    <w:p>
      <w:pPr>
        <w:ind w:left="780" w:right="160" w:hanging="259"/>
        <w:spacing w:after="0" w:line="211" w:lineRule="auto"/>
        <w:tabs>
          <w:tab w:leader="none" w:pos="780" w:val="left"/>
        </w:tabs>
        <w:numPr>
          <w:ilvl w:val="0"/>
          <w:numId w:val="42"/>
        </w:numPr>
        <w:rPr>
          <w:rFonts w:ascii="Calibri" w:cs="Calibri" w:eastAsia="Calibri" w:hAnsi="Calibri"/>
          <w:sz w:val="23"/>
          <w:szCs w:val="23"/>
          <w:color w:val="auto"/>
          <w:vertAlign w:val="superscript"/>
        </w:rPr>
      </w:pPr>
      <w:r>
        <w:rPr>
          <w:rFonts w:ascii="Calibri" w:cs="Calibri" w:eastAsia="Calibri" w:hAnsi="Calibri"/>
          <w:sz w:val="17"/>
          <w:szCs w:val="17"/>
          <w:color w:val="auto"/>
        </w:rPr>
        <w:t>Net receivables as of December 31, 2024 and 2023 represent amounts associated with redempton of hedge funds net of payables for purchases of investments. As of December 31, 2024, Net receivables also included $16 million of proceeds associated with the sale of KRIP Illiquid Assets.</w:t>
      </w:r>
    </w:p>
    <w:p>
      <w:pPr>
        <w:spacing w:after="0" w:line="18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Investments Valued at NAV</w:t>
      </w:r>
    </w:p>
    <w:p>
      <w:pPr>
        <w:spacing w:after="0" w:line="177"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Kodak performs an investment-by-investment analysis to determine if the investment meets the requirements to be measured at NAV. For investments with lagged pricing, Kodak uses the latest available net asset values and considers expected return and other relevant material events for the year-end valuaton of these investments.</w:t>
      </w:r>
    </w:p>
    <w:p>
      <w:pPr>
        <w:spacing w:after="0" w:line="178" w:lineRule="exact"/>
        <w:rPr>
          <w:sz w:val="20"/>
          <w:szCs w:val="20"/>
          <w:color w:val="auto"/>
        </w:rPr>
      </w:pPr>
    </w:p>
    <w:p>
      <w:pPr>
        <w:spacing w:after="0"/>
        <w:rPr>
          <w:sz w:val="20"/>
          <w:szCs w:val="20"/>
          <w:color w:val="auto"/>
        </w:rPr>
      </w:pPr>
      <w:r>
        <w:rPr>
          <w:rFonts w:ascii="Calibri" w:cs="Calibri" w:eastAsia="Calibri" w:hAnsi="Calibri"/>
          <w:sz w:val="17"/>
          <w:szCs w:val="17"/>
          <w:color w:val="auto"/>
        </w:rPr>
        <w:t>The total fair value, unfunded commitments and redempton provisions for the U.S. defned beneft pension plan’s investments valued at NAV are as follows:</w:t>
      </w:r>
    </w:p>
    <w:p>
      <w:pPr>
        <w:spacing w:after="0" w:line="220"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Investments Valued at NAV at December 31, 2024</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170"/>
              <w:spacing w:after="0" w:line="207" w:lineRule="exact"/>
              <w:rPr>
                <w:sz w:val="20"/>
                <w:szCs w:val="20"/>
                <w:color w:val="auto"/>
              </w:rPr>
            </w:pPr>
            <w:r>
              <w:rPr>
                <w:rFonts w:ascii="Calibri" w:cs="Calibri" w:eastAsia="Calibri" w:hAnsi="Calibri"/>
                <w:sz w:val="18"/>
                <w:szCs w:val="18"/>
                <w:b w:val="1"/>
                <w:bCs w:val="1"/>
                <w:color w:val="auto"/>
              </w:rPr>
              <w:t>Unfunded</w:t>
            </w:r>
          </w:p>
        </w:tc>
        <w:tc>
          <w:tcPr>
            <w:tcW w:w="3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280" w:type="dxa"/>
            <w:vAlign w:val="bottom"/>
            <w:tcBorders>
              <w:top w:val="single" w:sz="8" w:color="auto"/>
            </w:tcBorders>
          </w:tcPr>
          <w:p>
            <w:pPr>
              <w:jc w:val="center"/>
              <w:spacing w:after="0" w:line="207" w:lineRule="exact"/>
              <w:rPr>
                <w:sz w:val="20"/>
                <w:szCs w:val="20"/>
                <w:color w:val="auto"/>
              </w:rPr>
            </w:pPr>
            <w:r>
              <w:rPr>
                <w:rFonts w:ascii="Calibri" w:cs="Calibri" w:eastAsia="Calibri" w:hAnsi="Calibri"/>
                <w:sz w:val="18"/>
                <w:szCs w:val="18"/>
                <w:b w:val="1"/>
                <w:bCs w:val="1"/>
                <w:color w:val="auto"/>
              </w:rPr>
              <w:t>Redempton</w:t>
            </w:r>
          </w:p>
        </w:tc>
        <w:tc>
          <w:tcPr>
            <w:tcW w:w="14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center"/>
              <w:spacing w:after="0" w:line="207" w:lineRule="exact"/>
              <w:rPr>
                <w:sz w:val="20"/>
                <w:szCs w:val="20"/>
                <w:color w:val="auto"/>
              </w:rPr>
            </w:pPr>
            <w:r>
              <w:rPr>
                <w:rFonts w:ascii="Calibri" w:cs="Calibri" w:eastAsia="Calibri" w:hAnsi="Calibri"/>
                <w:sz w:val="18"/>
                <w:szCs w:val="18"/>
                <w:b w:val="1"/>
                <w:bCs w:val="1"/>
                <w:color w:val="auto"/>
              </w:rPr>
              <w:t>Redempton</w:t>
            </w:r>
          </w:p>
        </w:tc>
        <w:tc>
          <w:tcPr>
            <w:tcW w:w="0" w:type="dxa"/>
            <w:vAlign w:val="bottom"/>
          </w:tcPr>
          <w:p>
            <w:pPr>
              <w:spacing w:after="0"/>
              <w:rPr>
                <w:sz w:val="1"/>
                <w:szCs w:val="1"/>
                <w:color w:val="auto"/>
              </w:rPr>
            </w:pPr>
          </w:p>
        </w:tc>
      </w:tr>
      <w:tr>
        <w:trPr>
          <w:trHeight w:val="235"/>
        </w:trPr>
        <w:tc>
          <w:tcPr>
            <w:tcW w:w="3340" w:type="dxa"/>
            <w:vAlign w:val="bottom"/>
          </w:tcPr>
          <w:p>
            <w:pPr>
              <w:ind w:left="20"/>
              <w:spacing w:after="0"/>
              <w:rPr>
                <w:sz w:val="20"/>
                <w:szCs w:val="20"/>
                <w:color w:val="auto"/>
              </w:rPr>
            </w:pPr>
            <w:r>
              <w:rPr>
                <w:rFonts w:ascii="Calibri" w:cs="Calibri" w:eastAsia="Calibri" w:hAnsi="Calibri"/>
                <w:sz w:val="14"/>
                <w:szCs w:val="14"/>
                <w:color w:val="auto"/>
              </w:rPr>
              <w:t>(in millions)</w:t>
            </w: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90"/>
              <w:spacing w:after="0" w:line="215" w:lineRule="exact"/>
              <w:rPr>
                <w:sz w:val="20"/>
                <w:szCs w:val="20"/>
                <w:color w:val="auto"/>
              </w:rPr>
            </w:pPr>
            <w:r>
              <w:rPr>
                <w:rFonts w:ascii="Calibri" w:cs="Calibri" w:eastAsia="Calibri" w:hAnsi="Calibri"/>
                <w:sz w:val="18"/>
                <w:szCs w:val="18"/>
                <w:b w:val="1"/>
                <w:bCs w:val="1"/>
                <w:color w:val="auto"/>
              </w:rPr>
              <w:t>Fair Value</w:t>
            </w:r>
          </w:p>
        </w:tc>
        <w:tc>
          <w:tcPr>
            <w:tcW w:w="240" w:type="dxa"/>
            <w:vAlign w:val="bottom"/>
          </w:tcPr>
          <w:p>
            <w:pPr>
              <w:spacing w:after="0"/>
              <w:rPr>
                <w:sz w:val="20"/>
                <w:szCs w:val="20"/>
                <w:color w:val="auto"/>
              </w:rPr>
            </w:pPr>
          </w:p>
        </w:tc>
        <w:tc>
          <w:tcPr>
            <w:tcW w:w="1580" w:type="dxa"/>
            <w:vAlign w:val="bottom"/>
            <w:tcBorders>
              <w:bottom w:val="single" w:sz="8" w:color="auto"/>
            </w:tcBorders>
          </w:tcPr>
          <w:p>
            <w:pPr>
              <w:jc w:val="right"/>
              <w:ind w:right="10"/>
              <w:spacing w:after="0" w:line="215" w:lineRule="exact"/>
              <w:rPr>
                <w:sz w:val="20"/>
                <w:szCs w:val="20"/>
                <w:color w:val="auto"/>
              </w:rPr>
            </w:pPr>
            <w:r>
              <w:rPr>
                <w:rFonts w:ascii="Calibri" w:cs="Calibri" w:eastAsia="Calibri" w:hAnsi="Calibri"/>
                <w:sz w:val="18"/>
                <w:szCs w:val="18"/>
                <w:b w:val="1"/>
                <w:bCs w:val="1"/>
                <w:color w:val="auto"/>
              </w:rPr>
              <w:t>Commitments</w:t>
            </w:r>
          </w:p>
        </w:tc>
        <w:tc>
          <w:tcPr>
            <w:tcW w:w="3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280" w:type="dxa"/>
            <w:vAlign w:val="bottom"/>
            <w:tcBorders>
              <w:bottom w:val="single" w:sz="8" w:color="auto"/>
            </w:tcBorders>
          </w:tcPr>
          <w:p>
            <w:pPr>
              <w:jc w:val="center"/>
              <w:spacing w:after="0" w:line="215" w:lineRule="exact"/>
              <w:rPr>
                <w:sz w:val="20"/>
                <w:szCs w:val="20"/>
                <w:color w:val="auto"/>
              </w:rPr>
            </w:pPr>
            <w:r>
              <w:rPr>
                <w:rFonts w:ascii="Calibri" w:cs="Calibri" w:eastAsia="Calibri" w:hAnsi="Calibri"/>
                <w:sz w:val="18"/>
                <w:szCs w:val="18"/>
                <w:b w:val="1"/>
                <w:bCs w:val="1"/>
                <w:color w:val="auto"/>
                <w:w w:val="97"/>
              </w:rPr>
              <w:t>Frequency</w:t>
            </w:r>
          </w:p>
        </w:tc>
        <w:tc>
          <w:tcPr>
            <w:tcW w:w="140" w:type="dxa"/>
            <w:vAlign w:val="bottom"/>
          </w:tcPr>
          <w:p>
            <w:pPr>
              <w:spacing w:after="0"/>
              <w:rPr>
                <w:sz w:val="20"/>
                <w:szCs w:val="20"/>
                <w:color w:val="auto"/>
              </w:rPr>
            </w:pPr>
          </w:p>
        </w:tc>
        <w:tc>
          <w:tcPr>
            <w:tcW w:w="1800" w:type="dxa"/>
            <w:vAlign w:val="bottom"/>
            <w:tcBorders>
              <w:bottom w:val="single" w:sz="8" w:color="auto"/>
            </w:tcBorders>
          </w:tcPr>
          <w:p>
            <w:pPr>
              <w:jc w:val="center"/>
              <w:spacing w:after="0" w:line="215" w:lineRule="exact"/>
              <w:rPr>
                <w:sz w:val="20"/>
                <w:szCs w:val="20"/>
                <w:color w:val="auto"/>
              </w:rPr>
            </w:pPr>
            <w:r>
              <w:rPr>
                <w:rFonts w:ascii="Calibri" w:cs="Calibri" w:eastAsia="Calibri" w:hAnsi="Calibri"/>
                <w:sz w:val="18"/>
                <w:szCs w:val="18"/>
                <w:b w:val="1"/>
                <w:bCs w:val="1"/>
                <w:color w:val="auto"/>
              </w:rPr>
              <w:t>Notce Period</w:t>
            </w:r>
          </w:p>
        </w:tc>
        <w:tc>
          <w:tcPr>
            <w:tcW w:w="0" w:type="dxa"/>
            <w:vAlign w:val="bottom"/>
          </w:tcPr>
          <w:p>
            <w:pPr>
              <w:spacing w:after="0"/>
              <w:rPr>
                <w:sz w:val="1"/>
                <w:szCs w:val="1"/>
                <w:color w:val="auto"/>
              </w:rPr>
            </w:pPr>
          </w:p>
        </w:tc>
      </w:tr>
      <w:tr>
        <w:trPr>
          <w:trHeight w:val="213"/>
        </w:trPr>
        <w:tc>
          <w:tcPr>
            <w:tcW w:w="3340" w:type="dxa"/>
            <w:vAlign w:val="bottom"/>
            <w:shd w:val="clear" w:color="auto" w:fill="CFF0FC"/>
          </w:tcPr>
          <w:p>
            <w:pPr>
              <w:ind w:left="20"/>
              <w:spacing w:after="0" w:line="213" w:lineRule="exact"/>
              <w:rPr>
                <w:sz w:val="20"/>
                <w:szCs w:val="20"/>
                <w:color w:val="auto"/>
              </w:rPr>
            </w:pPr>
            <w:r>
              <w:rPr>
                <w:rFonts w:ascii="Calibri" w:cs="Calibri" w:eastAsia="Calibri" w:hAnsi="Calibri"/>
                <w:sz w:val="18"/>
                <w:szCs w:val="18"/>
                <w:color w:val="auto"/>
              </w:rPr>
              <w:t>Private equity</w:t>
            </w:r>
          </w:p>
        </w:tc>
        <w:tc>
          <w:tcPr>
            <w:tcW w:w="200" w:type="dxa"/>
            <w:vAlign w:val="bottom"/>
            <w:shd w:val="clear" w:color="auto" w:fill="CFF0FC"/>
          </w:tcPr>
          <w:p>
            <w:pPr>
              <w:jc w:val="right"/>
              <w:ind w:right="10"/>
              <w:spacing w:after="0" w:line="213" w:lineRule="exact"/>
              <w:rPr>
                <w:sz w:val="20"/>
                <w:szCs w:val="20"/>
                <w:color w:val="auto"/>
              </w:rPr>
            </w:pPr>
            <w:r>
              <w:rPr>
                <w:rFonts w:ascii="Calibri" w:cs="Calibri" w:eastAsia="Calibri" w:hAnsi="Calibri"/>
                <w:sz w:val="18"/>
                <w:szCs w:val="18"/>
                <w:color w:val="auto"/>
                <w:w w:val="87"/>
              </w:rPr>
              <w:t>$</w:t>
            </w:r>
          </w:p>
        </w:tc>
        <w:tc>
          <w:tcPr>
            <w:tcW w:w="1080" w:type="dxa"/>
            <w:vAlign w:val="bottom"/>
            <w:shd w:val="clear" w:color="auto" w:fill="CFF0FC"/>
          </w:tcPr>
          <w:p>
            <w:pPr>
              <w:jc w:val="right"/>
              <w:spacing w:after="0" w:line="213" w:lineRule="exact"/>
              <w:rPr>
                <w:sz w:val="20"/>
                <w:szCs w:val="20"/>
                <w:color w:val="auto"/>
              </w:rPr>
            </w:pPr>
            <w:r>
              <w:rPr>
                <w:rFonts w:ascii="Calibri" w:cs="Calibri" w:eastAsia="Calibri" w:hAnsi="Calibri"/>
                <w:sz w:val="18"/>
                <w:szCs w:val="18"/>
                <w:color w:val="auto"/>
              </w:rPr>
              <w:t>167</w:t>
            </w:r>
          </w:p>
        </w:tc>
        <w:tc>
          <w:tcPr>
            <w:tcW w:w="1820" w:type="dxa"/>
            <w:vAlign w:val="bottom"/>
            <w:gridSpan w:val="2"/>
            <w:shd w:val="clear" w:color="auto" w:fill="CFF0FC"/>
          </w:tcPr>
          <w:p>
            <w:pPr>
              <w:jc w:val="right"/>
              <w:ind w:right="1370"/>
              <w:spacing w:after="0" w:line="213" w:lineRule="exact"/>
              <w:rPr>
                <w:sz w:val="20"/>
                <w:szCs w:val="20"/>
                <w:color w:val="auto"/>
              </w:rPr>
            </w:pPr>
            <w:r>
              <w:rPr>
                <w:rFonts w:ascii="Calibri" w:cs="Calibri" w:eastAsia="Calibri" w:hAnsi="Calibri"/>
                <w:sz w:val="18"/>
                <w:szCs w:val="18"/>
                <w:color w:val="auto"/>
              </w:rPr>
              <w:t>$</w:t>
            </w:r>
          </w:p>
        </w:tc>
        <w:tc>
          <w:tcPr>
            <w:tcW w:w="320" w:type="dxa"/>
            <w:vAlign w:val="bottom"/>
            <w:shd w:val="clear" w:color="auto" w:fill="CFF0FC"/>
          </w:tcPr>
          <w:p>
            <w:pPr>
              <w:jc w:val="right"/>
              <w:spacing w:after="0" w:line="213" w:lineRule="exact"/>
              <w:rPr>
                <w:sz w:val="20"/>
                <w:szCs w:val="20"/>
                <w:color w:val="auto"/>
              </w:rPr>
            </w:pPr>
            <w:r>
              <w:rPr>
                <w:rFonts w:ascii="Calibri" w:cs="Calibri" w:eastAsia="Calibri" w:hAnsi="Calibri"/>
                <w:sz w:val="18"/>
                <w:szCs w:val="18"/>
                <w:color w:val="auto"/>
              </w:rPr>
              <w:t>24</w:t>
            </w:r>
          </w:p>
        </w:tc>
        <w:tc>
          <w:tcPr>
            <w:tcW w:w="260" w:type="dxa"/>
            <w:vAlign w:val="bottom"/>
            <w:shd w:val="clear" w:color="auto" w:fill="CFF0FC"/>
          </w:tcPr>
          <w:p>
            <w:pPr>
              <w:spacing w:after="0"/>
              <w:rPr>
                <w:sz w:val="18"/>
                <w:szCs w:val="18"/>
                <w:color w:val="auto"/>
              </w:rPr>
            </w:pPr>
          </w:p>
        </w:tc>
        <w:tc>
          <w:tcPr>
            <w:tcW w:w="2280" w:type="dxa"/>
            <w:vAlign w:val="bottom"/>
            <w:shd w:val="clear" w:color="auto" w:fill="CFF0FC"/>
          </w:tcPr>
          <w:p>
            <w:pPr>
              <w:jc w:val="center"/>
              <w:spacing w:after="0" w:line="213" w:lineRule="exact"/>
              <w:rPr>
                <w:sz w:val="20"/>
                <w:szCs w:val="20"/>
                <w:color w:val="auto"/>
              </w:rPr>
            </w:pPr>
            <w:r>
              <w:rPr>
                <w:rFonts w:ascii="Calibri" w:cs="Calibri" w:eastAsia="Calibri" w:hAnsi="Calibri"/>
                <w:sz w:val="18"/>
                <w:szCs w:val="18"/>
                <w:color w:val="auto"/>
                <w:w w:val="96"/>
              </w:rPr>
              <w:t>N/A</w:t>
            </w:r>
          </w:p>
        </w:tc>
        <w:tc>
          <w:tcPr>
            <w:tcW w:w="140" w:type="dxa"/>
            <w:vAlign w:val="bottom"/>
            <w:shd w:val="clear" w:color="auto" w:fill="CFF0FC"/>
          </w:tcPr>
          <w:p>
            <w:pPr>
              <w:spacing w:after="0"/>
              <w:rPr>
                <w:sz w:val="18"/>
                <w:szCs w:val="18"/>
                <w:color w:val="auto"/>
              </w:rPr>
            </w:pPr>
          </w:p>
        </w:tc>
        <w:tc>
          <w:tcPr>
            <w:tcW w:w="1800" w:type="dxa"/>
            <w:vAlign w:val="bottom"/>
            <w:shd w:val="clear" w:color="auto" w:fill="CFF0FC"/>
          </w:tcPr>
          <w:p>
            <w:pPr>
              <w:jc w:val="center"/>
              <w:spacing w:after="0" w:line="213" w:lineRule="exact"/>
              <w:rPr>
                <w:sz w:val="20"/>
                <w:szCs w:val="20"/>
                <w:color w:val="auto"/>
              </w:rPr>
            </w:pPr>
            <w:r>
              <w:rPr>
                <w:rFonts w:ascii="Calibri" w:cs="Calibri" w:eastAsia="Calibri" w:hAnsi="Calibri"/>
                <w:sz w:val="18"/>
                <w:szCs w:val="18"/>
                <w:color w:val="auto"/>
                <w:w w:val="96"/>
              </w:rPr>
              <w:t>N/A</w:t>
            </w:r>
          </w:p>
        </w:tc>
        <w:tc>
          <w:tcPr>
            <w:tcW w:w="0" w:type="dxa"/>
            <w:vAlign w:val="bottom"/>
          </w:tcPr>
          <w:p>
            <w:pPr>
              <w:spacing w:after="0"/>
              <w:rPr>
                <w:sz w:val="1"/>
                <w:szCs w:val="1"/>
                <w:color w:val="auto"/>
              </w:rPr>
            </w:pPr>
          </w:p>
        </w:tc>
      </w:tr>
      <w:tr>
        <w:trPr>
          <w:trHeight w:val="194"/>
        </w:trPr>
        <w:tc>
          <w:tcPr>
            <w:tcW w:w="3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80" w:type="dxa"/>
            <w:vAlign w:val="bottom"/>
          </w:tcPr>
          <w:p>
            <w:pPr>
              <w:jc w:val="center"/>
              <w:spacing w:after="0" w:line="194" w:lineRule="exact"/>
              <w:rPr>
                <w:sz w:val="20"/>
                <w:szCs w:val="20"/>
                <w:color w:val="auto"/>
              </w:rPr>
            </w:pPr>
            <w:r>
              <w:rPr>
                <w:rFonts w:ascii="Calibri" w:cs="Calibri" w:eastAsia="Calibri" w:hAnsi="Calibri"/>
                <w:sz w:val="18"/>
                <w:szCs w:val="18"/>
                <w:color w:val="auto"/>
                <w:w w:val="96"/>
              </w:rPr>
              <w:t>Bi-Monthly, Monthly,</w:t>
            </w:r>
          </w:p>
        </w:tc>
        <w:tc>
          <w:tcPr>
            <w:tcW w:w="1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Calibri" w:cs="Calibri" w:eastAsia="Calibri" w:hAnsi="Calibri"/>
                <w:sz w:val="18"/>
                <w:szCs w:val="18"/>
                <w:color w:val="auto"/>
              </w:rPr>
              <w:t>689</w:t>
            </w: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vMerge w:val="restart"/>
          </w:tcPr>
          <w:p>
            <w:pPr>
              <w:jc w:val="right"/>
              <w:spacing w:after="0"/>
              <w:rPr>
                <w:sz w:val="20"/>
                <w:szCs w:val="20"/>
                <w:color w:val="auto"/>
              </w:rPr>
            </w:pPr>
            <w:r>
              <w:rPr>
                <w:rFonts w:ascii="Calibri" w:cs="Calibri" w:eastAsia="Calibri" w:hAnsi="Calibri"/>
                <w:sz w:val="18"/>
                <w:szCs w:val="18"/>
                <w:color w:val="auto"/>
              </w:rPr>
              <w:t>—</w:t>
            </w:r>
          </w:p>
        </w:tc>
        <w:tc>
          <w:tcPr>
            <w:tcW w:w="260" w:type="dxa"/>
            <w:vAlign w:val="bottom"/>
          </w:tcPr>
          <w:p>
            <w:pPr>
              <w:spacing w:after="0"/>
              <w:rPr>
                <w:sz w:val="18"/>
                <w:szCs w:val="18"/>
                <w:color w:val="auto"/>
              </w:rPr>
            </w:pPr>
          </w:p>
        </w:tc>
        <w:tc>
          <w:tcPr>
            <w:tcW w:w="2280" w:type="dxa"/>
            <w:vAlign w:val="bottom"/>
          </w:tcPr>
          <w:p>
            <w:pPr>
              <w:jc w:val="center"/>
              <w:spacing w:after="0" w:line="215" w:lineRule="exact"/>
              <w:rPr>
                <w:sz w:val="20"/>
                <w:szCs w:val="20"/>
                <w:color w:val="auto"/>
              </w:rPr>
            </w:pPr>
            <w:r>
              <w:rPr>
                <w:rFonts w:ascii="Calibri" w:cs="Calibri" w:eastAsia="Calibri" w:hAnsi="Calibri"/>
                <w:sz w:val="18"/>
                <w:szCs w:val="18"/>
                <w:color w:val="auto"/>
                <w:w w:val="96"/>
              </w:rPr>
              <w:t>Quarterly,</w:t>
            </w: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340" w:type="dxa"/>
            <w:vAlign w:val="bottom"/>
          </w:tcPr>
          <w:p>
            <w:pPr>
              <w:ind w:left="20"/>
              <w:spacing w:after="0" w:line="216" w:lineRule="exact"/>
              <w:rPr>
                <w:sz w:val="20"/>
                <w:szCs w:val="20"/>
                <w:color w:val="auto"/>
              </w:rPr>
            </w:pPr>
            <w:r>
              <w:rPr>
                <w:rFonts w:ascii="Calibri" w:cs="Calibri" w:eastAsia="Calibri" w:hAnsi="Calibri"/>
                <w:sz w:val="18"/>
                <w:szCs w:val="18"/>
                <w:color w:val="auto"/>
              </w:rPr>
              <w:t>Hedge Funds</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vMerge w:val="continue"/>
          </w:tcPr>
          <w:p>
            <w:pPr>
              <w:spacing w:after="0"/>
              <w:rPr>
                <w:sz w:val="19"/>
                <w:szCs w:val="19"/>
                <w:color w:val="auto"/>
              </w:rPr>
            </w:pPr>
          </w:p>
        </w:tc>
        <w:tc>
          <w:tcPr>
            <w:tcW w:w="260" w:type="dxa"/>
            <w:vAlign w:val="bottom"/>
          </w:tcPr>
          <w:p>
            <w:pPr>
              <w:spacing w:after="0"/>
              <w:rPr>
                <w:sz w:val="19"/>
                <w:szCs w:val="19"/>
                <w:color w:val="auto"/>
              </w:rPr>
            </w:pPr>
          </w:p>
        </w:tc>
        <w:tc>
          <w:tcPr>
            <w:tcW w:w="2280" w:type="dxa"/>
            <w:vAlign w:val="bottom"/>
          </w:tcPr>
          <w:p>
            <w:pPr>
              <w:jc w:val="center"/>
              <w:spacing w:after="0" w:line="216" w:lineRule="exact"/>
              <w:rPr>
                <w:sz w:val="20"/>
                <w:szCs w:val="20"/>
                <w:color w:val="auto"/>
              </w:rPr>
            </w:pPr>
            <w:r>
              <w:rPr>
                <w:rFonts w:ascii="Calibri" w:cs="Calibri" w:eastAsia="Calibri" w:hAnsi="Calibri"/>
                <w:sz w:val="18"/>
                <w:szCs w:val="18"/>
                <w:color w:val="auto"/>
                <w:w w:val="97"/>
              </w:rPr>
              <w:t>Semi-Annual, and Annual</w:t>
            </w:r>
          </w:p>
        </w:tc>
        <w:tc>
          <w:tcPr>
            <w:tcW w:w="140" w:type="dxa"/>
            <w:vAlign w:val="bottom"/>
          </w:tcPr>
          <w:p>
            <w:pPr>
              <w:spacing w:after="0"/>
              <w:rPr>
                <w:sz w:val="19"/>
                <w:szCs w:val="19"/>
                <w:color w:val="auto"/>
              </w:rPr>
            </w:pPr>
          </w:p>
        </w:tc>
        <w:tc>
          <w:tcPr>
            <w:tcW w:w="1800" w:type="dxa"/>
            <w:vAlign w:val="bottom"/>
          </w:tcPr>
          <w:p>
            <w:pPr>
              <w:jc w:val="center"/>
              <w:spacing w:after="0" w:line="216" w:lineRule="exact"/>
              <w:rPr>
                <w:sz w:val="20"/>
                <w:szCs w:val="20"/>
                <w:color w:val="auto"/>
              </w:rPr>
            </w:pPr>
            <w:r>
              <w:rPr>
                <w:rFonts w:ascii="Calibri" w:cs="Calibri" w:eastAsia="Calibri" w:hAnsi="Calibri"/>
                <w:sz w:val="18"/>
                <w:szCs w:val="18"/>
                <w:color w:val="auto"/>
                <w:w w:val="98"/>
              </w:rPr>
              <w:t>5-365 days</w:t>
            </w:r>
          </w:p>
        </w:tc>
        <w:tc>
          <w:tcPr>
            <w:tcW w:w="0" w:type="dxa"/>
            <w:vAlign w:val="bottom"/>
          </w:tcPr>
          <w:p>
            <w:pPr>
              <w:spacing w:after="0"/>
              <w:rPr>
                <w:sz w:val="1"/>
                <w:szCs w:val="1"/>
                <w:color w:val="auto"/>
              </w:rPr>
            </w:pPr>
          </w:p>
        </w:tc>
      </w:tr>
      <w:tr>
        <w:trPr>
          <w:trHeight w:val="254"/>
        </w:trPr>
        <w:tc>
          <w:tcPr>
            <w:tcW w:w="3340" w:type="dxa"/>
            <w:vAlign w:val="bottom"/>
            <w:shd w:val="clear" w:color="auto" w:fill="CFF0FC"/>
          </w:tcPr>
          <w:p>
            <w:pPr>
              <w:ind w:left="20"/>
              <w:spacing w:after="0" w:line="214" w:lineRule="exact"/>
              <w:rPr>
                <w:sz w:val="20"/>
                <w:szCs w:val="20"/>
                <w:color w:val="auto"/>
              </w:rPr>
            </w:pPr>
            <w:r>
              <w:rPr>
                <w:rFonts w:ascii="Calibri" w:cs="Calibri" w:eastAsia="Calibri" w:hAnsi="Calibri"/>
                <w:sz w:val="18"/>
                <w:szCs w:val="18"/>
                <w:color w:val="auto"/>
              </w:rPr>
              <w:t>Total</w:t>
            </w:r>
          </w:p>
        </w:tc>
        <w:tc>
          <w:tcPr>
            <w:tcW w:w="200" w:type="dxa"/>
            <w:vAlign w:val="bottom"/>
            <w:shd w:val="clear" w:color="auto" w:fill="CFF0FC"/>
          </w:tcPr>
          <w:p>
            <w:pPr>
              <w:jc w:val="right"/>
              <w:ind w:right="10"/>
              <w:spacing w:after="0" w:line="214" w:lineRule="exact"/>
              <w:rPr>
                <w:sz w:val="20"/>
                <w:szCs w:val="20"/>
                <w:color w:val="auto"/>
              </w:rPr>
            </w:pPr>
            <w:r>
              <w:rPr>
                <w:rFonts w:ascii="Calibri" w:cs="Calibri" w:eastAsia="Calibri" w:hAnsi="Calibri"/>
                <w:sz w:val="18"/>
                <w:szCs w:val="18"/>
                <w:color w:val="auto"/>
                <w:w w:val="87"/>
              </w:rPr>
              <w:t>$</w:t>
            </w:r>
          </w:p>
        </w:tc>
        <w:tc>
          <w:tcPr>
            <w:tcW w:w="1080" w:type="dxa"/>
            <w:vAlign w:val="bottom"/>
            <w:shd w:val="clear" w:color="auto" w:fill="CFF0FC"/>
          </w:tcPr>
          <w:p>
            <w:pPr>
              <w:jc w:val="right"/>
              <w:spacing w:after="0" w:line="214" w:lineRule="exact"/>
              <w:rPr>
                <w:sz w:val="20"/>
                <w:szCs w:val="20"/>
                <w:color w:val="auto"/>
              </w:rPr>
            </w:pPr>
            <w:r>
              <w:rPr>
                <w:rFonts w:ascii="Calibri" w:cs="Calibri" w:eastAsia="Calibri" w:hAnsi="Calibri"/>
                <w:sz w:val="18"/>
                <w:szCs w:val="18"/>
                <w:color w:val="auto"/>
              </w:rPr>
              <w:t>856</w:t>
            </w:r>
          </w:p>
        </w:tc>
        <w:tc>
          <w:tcPr>
            <w:tcW w:w="1820" w:type="dxa"/>
            <w:vAlign w:val="bottom"/>
            <w:gridSpan w:val="2"/>
            <w:shd w:val="clear" w:color="auto" w:fill="CFF0FC"/>
          </w:tcPr>
          <w:p>
            <w:pPr>
              <w:jc w:val="right"/>
              <w:ind w:right="1370"/>
              <w:spacing w:after="0" w:line="214" w:lineRule="exact"/>
              <w:rPr>
                <w:sz w:val="20"/>
                <w:szCs w:val="20"/>
                <w:color w:val="auto"/>
              </w:rPr>
            </w:pPr>
            <w:r>
              <w:rPr>
                <w:rFonts w:ascii="Calibri" w:cs="Calibri" w:eastAsia="Calibri" w:hAnsi="Calibri"/>
                <w:sz w:val="18"/>
                <w:szCs w:val="18"/>
                <w:color w:val="auto"/>
              </w:rPr>
              <w:t>$</w:t>
            </w:r>
          </w:p>
        </w:tc>
        <w:tc>
          <w:tcPr>
            <w:tcW w:w="320" w:type="dxa"/>
            <w:vAlign w:val="bottom"/>
            <w:shd w:val="clear" w:color="auto" w:fill="CFF0FC"/>
          </w:tcPr>
          <w:p>
            <w:pPr>
              <w:jc w:val="right"/>
              <w:spacing w:after="0" w:line="214" w:lineRule="exact"/>
              <w:rPr>
                <w:sz w:val="20"/>
                <w:szCs w:val="20"/>
                <w:color w:val="auto"/>
              </w:rPr>
            </w:pPr>
            <w:r>
              <w:rPr>
                <w:rFonts w:ascii="Calibri" w:cs="Calibri" w:eastAsia="Calibri" w:hAnsi="Calibri"/>
                <w:sz w:val="18"/>
                <w:szCs w:val="18"/>
                <w:color w:val="auto"/>
              </w:rPr>
              <w:t>24</w:t>
            </w:r>
          </w:p>
        </w:tc>
        <w:tc>
          <w:tcPr>
            <w:tcW w:w="260" w:type="dxa"/>
            <w:vAlign w:val="bottom"/>
            <w:shd w:val="clear" w:color="auto" w:fill="CFF0FC"/>
          </w:tcPr>
          <w:p>
            <w:pPr>
              <w:spacing w:after="0"/>
              <w:rPr>
                <w:sz w:val="22"/>
                <w:szCs w:val="22"/>
                <w:color w:val="auto"/>
              </w:rPr>
            </w:pPr>
          </w:p>
        </w:tc>
        <w:tc>
          <w:tcPr>
            <w:tcW w:w="22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8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3340" w:type="dxa"/>
            <w:vAlign w:val="bottom"/>
            <w:tcBorders>
              <w:top w:val="single" w:sz="8" w:color="CFF0FC"/>
            </w:tcBorders>
          </w:tcPr>
          <w:p>
            <w:pPr>
              <w:ind w:left="20"/>
              <w:spacing w:after="0" w:line="196" w:lineRule="exact"/>
              <w:rPr>
                <w:sz w:val="20"/>
                <w:szCs w:val="20"/>
                <w:color w:val="auto"/>
              </w:rPr>
            </w:pPr>
            <w:r>
              <w:rPr>
                <w:rFonts w:ascii="Calibri" w:cs="Calibri" w:eastAsia="Calibri" w:hAnsi="Calibri"/>
                <w:sz w:val="18"/>
                <w:szCs w:val="18"/>
                <w:color w:val="auto"/>
              </w:rPr>
              <w:t>Total</w:t>
            </w:r>
          </w:p>
        </w:tc>
        <w:tc>
          <w:tcPr>
            <w:tcW w:w="2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228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8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-161290</wp:posOffset>
            </wp:positionV>
            <wp:extent cx="6858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-144145</wp:posOffset>
            </wp:positionV>
            <wp:extent cx="6858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-161290</wp:posOffset>
            </wp:positionV>
            <wp:extent cx="6858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-144145</wp:posOffset>
            </wp:positionV>
            <wp:extent cx="6858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0"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Investments Valued at NAV at December 31, 2023</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130"/>
              <w:spacing w:after="0" w:line="207" w:lineRule="exact"/>
              <w:rPr>
                <w:sz w:val="20"/>
                <w:szCs w:val="20"/>
                <w:color w:val="auto"/>
              </w:rPr>
            </w:pPr>
            <w:r>
              <w:rPr>
                <w:rFonts w:ascii="Calibri" w:cs="Calibri" w:eastAsia="Calibri" w:hAnsi="Calibri"/>
                <w:sz w:val="18"/>
                <w:szCs w:val="18"/>
                <w:b w:val="1"/>
                <w:bCs w:val="1"/>
                <w:color w:val="auto"/>
              </w:rPr>
              <w:t>Unfunded</w:t>
            </w:r>
          </w:p>
        </w:tc>
        <w:tc>
          <w:tcPr>
            <w:tcW w:w="3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280" w:type="dxa"/>
            <w:vAlign w:val="bottom"/>
            <w:tcBorders>
              <w:top w:val="single" w:sz="8" w:color="auto"/>
            </w:tcBorders>
          </w:tcPr>
          <w:p>
            <w:pPr>
              <w:jc w:val="center"/>
              <w:spacing w:after="0" w:line="207" w:lineRule="exact"/>
              <w:rPr>
                <w:sz w:val="20"/>
                <w:szCs w:val="20"/>
                <w:color w:val="auto"/>
              </w:rPr>
            </w:pPr>
            <w:r>
              <w:rPr>
                <w:rFonts w:ascii="Calibri" w:cs="Calibri" w:eastAsia="Calibri" w:hAnsi="Calibri"/>
                <w:sz w:val="18"/>
                <w:szCs w:val="18"/>
                <w:b w:val="1"/>
                <w:bCs w:val="1"/>
                <w:color w:val="auto"/>
              </w:rPr>
              <w:t>Redempton</w:t>
            </w:r>
          </w:p>
        </w:tc>
        <w:tc>
          <w:tcPr>
            <w:tcW w:w="14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center"/>
              <w:spacing w:after="0" w:line="207" w:lineRule="exact"/>
              <w:rPr>
                <w:sz w:val="20"/>
                <w:szCs w:val="20"/>
                <w:color w:val="auto"/>
              </w:rPr>
            </w:pPr>
            <w:r>
              <w:rPr>
                <w:rFonts w:ascii="Calibri" w:cs="Calibri" w:eastAsia="Calibri" w:hAnsi="Calibri"/>
                <w:sz w:val="18"/>
                <w:szCs w:val="18"/>
                <w:b w:val="1"/>
                <w:bCs w:val="1"/>
                <w:color w:val="auto"/>
              </w:rPr>
              <w:t>Redempton</w:t>
            </w:r>
          </w:p>
        </w:tc>
        <w:tc>
          <w:tcPr>
            <w:tcW w:w="0" w:type="dxa"/>
            <w:vAlign w:val="bottom"/>
          </w:tcPr>
          <w:p>
            <w:pPr>
              <w:spacing w:after="0"/>
              <w:rPr>
                <w:sz w:val="1"/>
                <w:szCs w:val="1"/>
                <w:color w:val="auto"/>
              </w:rPr>
            </w:pPr>
          </w:p>
        </w:tc>
      </w:tr>
      <w:tr>
        <w:trPr>
          <w:trHeight w:val="235"/>
        </w:trPr>
        <w:tc>
          <w:tcPr>
            <w:tcW w:w="3340" w:type="dxa"/>
            <w:vAlign w:val="bottom"/>
          </w:tcPr>
          <w:p>
            <w:pPr>
              <w:ind w:left="20"/>
              <w:spacing w:after="0"/>
              <w:rPr>
                <w:sz w:val="20"/>
                <w:szCs w:val="20"/>
                <w:color w:val="auto"/>
              </w:rPr>
            </w:pPr>
            <w:r>
              <w:rPr>
                <w:rFonts w:ascii="Calibri" w:cs="Calibri" w:eastAsia="Calibri" w:hAnsi="Calibri"/>
                <w:sz w:val="14"/>
                <w:szCs w:val="14"/>
                <w:color w:val="auto"/>
              </w:rPr>
              <w:t>(in millions)</w:t>
            </w: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90"/>
              <w:spacing w:after="0" w:line="215" w:lineRule="exact"/>
              <w:rPr>
                <w:sz w:val="20"/>
                <w:szCs w:val="20"/>
                <w:color w:val="auto"/>
              </w:rPr>
            </w:pPr>
            <w:r>
              <w:rPr>
                <w:rFonts w:ascii="Calibri" w:cs="Calibri" w:eastAsia="Calibri" w:hAnsi="Calibri"/>
                <w:sz w:val="18"/>
                <w:szCs w:val="18"/>
                <w:b w:val="1"/>
                <w:bCs w:val="1"/>
                <w:color w:val="auto"/>
              </w:rPr>
              <w:t>Fair Value</w:t>
            </w:r>
          </w:p>
        </w:tc>
        <w:tc>
          <w:tcPr>
            <w:tcW w:w="240" w:type="dxa"/>
            <w:vAlign w:val="bottom"/>
          </w:tcPr>
          <w:p>
            <w:pPr>
              <w:spacing w:after="0"/>
              <w:rPr>
                <w:sz w:val="20"/>
                <w:szCs w:val="20"/>
                <w:color w:val="auto"/>
              </w:rPr>
            </w:pPr>
          </w:p>
        </w:tc>
        <w:tc>
          <w:tcPr>
            <w:tcW w:w="15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b w:val="1"/>
                <w:bCs w:val="1"/>
                <w:color w:val="auto"/>
              </w:rPr>
              <w:t>Commitments</w:t>
            </w:r>
          </w:p>
        </w:tc>
        <w:tc>
          <w:tcPr>
            <w:tcW w:w="3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280" w:type="dxa"/>
            <w:vAlign w:val="bottom"/>
            <w:tcBorders>
              <w:bottom w:val="single" w:sz="8" w:color="auto"/>
            </w:tcBorders>
          </w:tcPr>
          <w:p>
            <w:pPr>
              <w:jc w:val="center"/>
              <w:spacing w:after="0" w:line="215" w:lineRule="exact"/>
              <w:rPr>
                <w:sz w:val="20"/>
                <w:szCs w:val="20"/>
                <w:color w:val="auto"/>
              </w:rPr>
            </w:pPr>
            <w:r>
              <w:rPr>
                <w:rFonts w:ascii="Calibri" w:cs="Calibri" w:eastAsia="Calibri" w:hAnsi="Calibri"/>
                <w:sz w:val="18"/>
                <w:szCs w:val="18"/>
                <w:b w:val="1"/>
                <w:bCs w:val="1"/>
                <w:color w:val="auto"/>
                <w:w w:val="97"/>
              </w:rPr>
              <w:t>Frequency</w:t>
            </w:r>
          </w:p>
        </w:tc>
        <w:tc>
          <w:tcPr>
            <w:tcW w:w="140" w:type="dxa"/>
            <w:vAlign w:val="bottom"/>
          </w:tcPr>
          <w:p>
            <w:pPr>
              <w:spacing w:after="0"/>
              <w:rPr>
                <w:sz w:val="20"/>
                <w:szCs w:val="20"/>
                <w:color w:val="auto"/>
              </w:rPr>
            </w:pPr>
          </w:p>
        </w:tc>
        <w:tc>
          <w:tcPr>
            <w:tcW w:w="1800" w:type="dxa"/>
            <w:vAlign w:val="bottom"/>
            <w:tcBorders>
              <w:bottom w:val="single" w:sz="8" w:color="auto"/>
            </w:tcBorders>
          </w:tcPr>
          <w:p>
            <w:pPr>
              <w:jc w:val="center"/>
              <w:spacing w:after="0" w:line="215" w:lineRule="exact"/>
              <w:rPr>
                <w:sz w:val="20"/>
                <w:szCs w:val="20"/>
                <w:color w:val="auto"/>
              </w:rPr>
            </w:pPr>
            <w:r>
              <w:rPr>
                <w:rFonts w:ascii="Calibri" w:cs="Calibri" w:eastAsia="Calibri" w:hAnsi="Calibri"/>
                <w:sz w:val="18"/>
                <w:szCs w:val="18"/>
                <w:b w:val="1"/>
                <w:bCs w:val="1"/>
                <w:color w:val="auto"/>
              </w:rPr>
              <w:t>Notce Period</w:t>
            </w:r>
          </w:p>
        </w:tc>
        <w:tc>
          <w:tcPr>
            <w:tcW w:w="0" w:type="dxa"/>
            <w:vAlign w:val="bottom"/>
          </w:tcPr>
          <w:p>
            <w:pPr>
              <w:spacing w:after="0"/>
              <w:rPr>
                <w:sz w:val="1"/>
                <w:szCs w:val="1"/>
                <w:color w:val="auto"/>
              </w:rPr>
            </w:pPr>
          </w:p>
        </w:tc>
      </w:tr>
      <w:tr>
        <w:trPr>
          <w:trHeight w:val="213"/>
        </w:trPr>
        <w:tc>
          <w:tcPr>
            <w:tcW w:w="3340" w:type="dxa"/>
            <w:vAlign w:val="bottom"/>
            <w:shd w:val="clear" w:color="auto" w:fill="CFF0FC"/>
          </w:tcPr>
          <w:p>
            <w:pPr>
              <w:ind w:left="20"/>
              <w:spacing w:after="0" w:line="213" w:lineRule="exact"/>
              <w:rPr>
                <w:sz w:val="20"/>
                <w:szCs w:val="20"/>
                <w:color w:val="auto"/>
              </w:rPr>
            </w:pPr>
            <w:r>
              <w:rPr>
                <w:rFonts w:ascii="Calibri" w:cs="Calibri" w:eastAsia="Calibri" w:hAnsi="Calibri"/>
                <w:sz w:val="18"/>
                <w:szCs w:val="18"/>
                <w:color w:val="auto"/>
              </w:rPr>
              <w:t>Real estate</w:t>
            </w:r>
          </w:p>
        </w:tc>
        <w:tc>
          <w:tcPr>
            <w:tcW w:w="200" w:type="dxa"/>
            <w:vAlign w:val="bottom"/>
            <w:shd w:val="clear" w:color="auto" w:fill="CFF0FC"/>
          </w:tcPr>
          <w:p>
            <w:pPr>
              <w:jc w:val="right"/>
              <w:ind w:right="10"/>
              <w:spacing w:after="0" w:line="213" w:lineRule="exact"/>
              <w:rPr>
                <w:sz w:val="20"/>
                <w:szCs w:val="20"/>
                <w:color w:val="auto"/>
              </w:rPr>
            </w:pPr>
            <w:r>
              <w:rPr>
                <w:rFonts w:ascii="Calibri" w:cs="Calibri" w:eastAsia="Calibri" w:hAnsi="Calibri"/>
                <w:sz w:val="18"/>
                <w:szCs w:val="18"/>
                <w:color w:val="auto"/>
                <w:w w:val="87"/>
              </w:rPr>
              <w:t>$</w:t>
            </w:r>
          </w:p>
        </w:tc>
        <w:tc>
          <w:tcPr>
            <w:tcW w:w="1080" w:type="dxa"/>
            <w:vAlign w:val="bottom"/>
            <w:shd w:val="clear" w:color="auto" w:fill="CFF0FC"/>
          </w:tcPr>
          <w:p>
            <w:pPr>
              <w:jc w:val="right"/>
              <w:spacing w:after="0" w:line="213" w:lineRule="exact"/>
              <w:rPr>
                <w:sz w:val="20"/>
                <w:szCs w:val="20"/>
                <w:color w:val="auto"/>
              </w:rPr>
            </w:pPr>
            <w:r>
              <w:rPr>
                <w:rFonts w:ascii="Calibri" w:cs="Calibri" w:eastAsia="Calibri" w:hAnsi="Calibri"/>
                <w:sz w:val="18"/>
                <w:szCs w:val="18"/>
                <w:color w:val="auto"/>
              </w:rPr>
              <w:t>18</w:t>
            </w:r>
          </w:p>
        </w:tc>
        <w:tc>
          <w:tcPr>
            <w:tcW w:w="1780" w:type="dxa"/>
            <w:vAlign w:val="bottom"/>
            <w:gridSpan w:val="2"/>
            <w:shd w:val="clear" w:color="auto" w:fill="CFF0FC"/>
          </w:tcPr>
          <w:p>
            <w:pPr>
              <w:jc w:val="right"/>
              <w:ind w:right="1330"/>
              <w:spacing w:after="0" w:line="213" w:lineRule="exact"/>
              <w:rPr>
                <w:sz w:val="20"/>
                <w:szCs w:val="20"/>
                <w:color w:val="auto"/>
              </w:rPr>
            </w:pPr>
            <w:r>
              <w:rPr>
                <w:rFonts w:ascii="Calibri" w:cs="Calibri" w:eastAsia="Calibri" w:hAnsi="Calibri"/>
                <w:sz w:val="18"/>
                <w:szCs w:val="18"/>
                <w:color w:val="auto"/>
              </w:rPr>
              <w:t>$</w:t>
            </w:r>
          </w:p>
        </w:tc>
        <w:tc>
          <w:tcPr>
            <w:tcW w:w="360" w:type="dxa"/>
            <w:vAlign w:val="bottom"/>
            <w:shd w:val="clear" w:color="auto" w:fill="CFF0FC"/>
          </w:tcPr>
          <w:p>
            <w:pPr>
              <w:jc w:val="right"/>
              <w:spacing w:after="0" w:line="213" w:lineRule="exact"/>
              <w:rPr>
                <w:sz w:val="20"/>
                <w:szCs w:val="20"/>
                <w:color w:val="auto"/>
              </w:rPr>
            </w:pPr>
            <w:r>
              <w:rPr>
                <w:rFonts w:ascii="Calibri" w:cs="Calibri" w:eastAsia="Calibri" w:hAnsi="Calibri"/>
                <w:sz w:val="18"/>
                <w:szCs w:val="18"/>
                <w:color w:val="auto"/>
              </w:rPr>
              <w:t>—</w:t>
            </w:r>
          </w:p>
        </w:tc>
        <w:tc>
          <w:tcPr>
            <w:tcW w:w="260" w:type="dxa"/>
            <w:vAlign w:val="bottom"/>
            <w:shd w:val="clear" w:color="auto" w:fill="CFF0FC"/>
          </w:tcPr>
          <w:p>
            <w:pPr>
              <w:spacing w:after="0"/>
              <w:rPr>
                <w:sz w:val="18"/>
                <w:szCs w:val="18"/>
                <w:color w:val="auto"/>
              </w:rPr>
            </w:pPr>
          </w:p>
        </w:tc>
        <w:tc>
          <w:tcPr>
            <w:tcW w:w="2280" w:type="dxa"/>
            <w:vAlign w:val="bottom"/>
            <w:shd w:val="clear" w:color="auto" w:fill="CFF0FC"/>
          </w:tcPr>
          <w:p>
            <w:pPr>
              <w:jc w:val="center"/>
              <w:spacing w:after="0" w:line="213" w:lineRule="exact"/>
              <w:rPr>
                <w:sz w:val="20"/>
                <w:szCs w:val="20"/>
                <w:color w:val="auto"/>
              </w:rPr>
            </w:pPr>
            <w:r>
              <w:rPr>
                <w:rFonts w:ascii="Calibri" w:cs="Calibri" w:eastAsia="Calibri" w:hAnsi="Calibri"/>
                <w:sz w:val="18"/>
                <w:szCs w:val="18"/>
                <w:color w:val="auto"/>
                <w:w w:val="96"/>
              </w:rPr>
              <w:t>N/A</w:t>
            </w:r>
          </w:p>
        </w:tc>
        <w:tc>
          <w:tcPr>
            <w:tcW w:w="140" w:type="dxa"/>
            <w:vAlign w:val="bottom"/>
            <w:shd w:val="clear" w:color="auto" w:fill="CFF0FC"/>
          </w:tcPr>
          <w:p>
            <w:pPr>
              <w:spacing w:after="0"/>
              <w:rPr>
                <w:sz w:val="18"/>
                <w:szCs w:val="18"/>
                <w:color w:val="auto"/>
              </w:rPr>
            </w:pPr>
          </w:p>
        </w:tc>
        <w:tc>
          <w:tcPr>
            <w:tcW w:w="1800" w:type="dxa"/>
            <w:vAlign w:val="bottom"/>
            <w:shd w:val="clear" w:color="auto" w:fill="CFF0FC"/>
          </w:tcPr>
          <w:p>
            <w:pPr>
              <w:jc w:val="center"/>
              <w:spacing w:after="0" w:line="213" w:lineRule="exact"/>
              <w:rPr>
                <w:sz w:val="20"/>
                <w:szCs w:val="20"/>
                <w:color w:val="auto"/>
              </w:rPr>
            </w:pPr>
            <w:r>
              <w:rPr>
                <w:rFonts w:ascii="Calibri" w:cs="Calibri" w:eastAsia="Calibri" w:hAnsi="Calibri"/>
                <w:sz w:val="18"/>
                <w:szCs w:val="18"/>
                <w:color w:val="auto"/>
                <w:w w:val="96"/>
              </w:rPr>
              <w:t>N/A</w:t>
            </w:r>
          </w:p>
        </w:tc>
        <w:tc>
          <w:tcPr>
            <w:tcW w:w="0" w:type="dxa"/>
            <w:vAlign w:val="bottom"/>
          </w:tcPr>
          <w:p>
            <w:pPr>
              <w:spacing w:after="0"/>
              <w:rPr>
                <w:sz w:val="1"/>
                <w:szCs w:val="1"/>
                <w:color w:val="auto"/>
              </w:rPr>
            </w:pPr>
          </w:p>
        </w:tc>
      </w:tr>
      <w:tr>
        <w:trPr>
          <w:trHeight w:val="215"/>
        </w:trPr>
        <w:tc>
          <w:tcPr>
            <w:tcW w:w="3340" w:type="dxa"/>
            <w:vAlign w:val="bottom"/>
          </w:tcPr>
          <w:p>
            <w:pPr>
              <w:ind w:left="20"/>
              <w:spacing w:after="0" w:line="215" w:lineRule="exact"/>
              <w:rPr>
                <w:sz w:val="20"/>
                <w:szCs w:val="20"/>
                <w:color w:val="auto"/>
              </w:rPr>
            </w:pPr>
            <w:r>
              <w:rPr>
                <w:rFonts w:ascii="Calibri" w:cs="Calibri" w:eastAsia="Calibri" w:hAnsi="Calibri"/>
                <w:sz w:val="18"/>
                <w:szCs w:val="18"/>
                <w:color w:val="auto"/>
              </w:rPr>
              <w:t>Private equity</w:t>
            </w:r>
          </w:p>
        </w:tc>
        <w:tc>
          <w:tcPr>
            <w:tcW w:w="200" w:type="dxa"/>
            <w:vAlign w:val="bottom"/>
          </w:tcPr>
          <w:p>
            <w:pPr>
              <w:spacing w:after="0"/>
              <w:rPr>
                <w:sz w:val="18"/>
                <w:szCs w:val="18"/>
                <w:color w:val="auto"/>
              </w:rPr>
            </w:pP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1,094</w:t>
            </w: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60" w:type="dxa"/>
            <w:vAlign w:val="bottom"/>
          </w:tcPr>
          <w:p>
            <w:pPr>
              <w:jc w:val="right"/>
              <w:spacing w:after="0" w:line="215" w:lineRule="exact"/>
              <w:rPr>
                <w:sz w:val="20"/>
                <w:szCs w:val="20"/>
                <w:color w:val="auto"/>
              </w:rPr>
            </w:pPr>
            <w:r>
              <w:rPr>
                <w:rFonts w:ascii="Calibri" w:cs="Calibri" w:eastAsia="Calibri" w:hAnsi="Calibri"/>
                <w:sz w:val="18"/>
                <w:szCs w:val="18"/>
                <w:color w:val="auto"/>
              </w:rPr>
              <w:t>172</w:t>
            </w:r>
          </w:p>
        </w:tc>
        <w:tc>
          <w:tcPr>
            <w:tcW w:w="260" w:type="dxa"/>
            <w:vAlign w:val="bottom"/>
          </w:tcPr>
          <w:p>
            <w:pPr>
              <w:spacing w:after="0"/>
              <w:rPr>
                <w:sz w:val="18"/>
                <w:szCs w:val="18"/>
                <w:color w:val="auto"/>
              </w:rPr>
            </w:pPr>
          </w:p>
        </w:tc>
        <w:tc>
          <w:tcPr>
            <w:tcW w:w="2280" w:type="dxa"/>
            <w:vAlign w:val="bottom"/>
          </w:tcPr>
          <w:p>
            <w:pPr>
              <w:jc w:val="center"/>
              <w:spacing w:after="0" w:line="215" w:lineRule="exact"/>
              <w:rPr>
                <w:sz w:val="20"/>
                <w:szCs w:val="20"/>
                <w:color w:val="auto"/>
              </w:rPr>
            </w:pPr>
            <w:r>
              <w:rPr>
                <w:rFonts w:ascii="Calibri" w:cs="Calibri" w:eastAsia="Calibri" w:hAnsi="Calibri"/>
                <w:sz w:val="18"/>
                <w:szCs w:val="18"/>
                <w:color w:val="auto"/>
                <w:w w:val="96"/>
              </w:rPr>
              <w:t>N/A</w:t>
            </w:r>
          </w:p>
        </w:tc>
        <w:tc>
          <w:tcPr>
            <w:tcW w:w="140" w:type="dxa"/>
            <w:vAlign w:val="bottom"/>
          </w:tcPr>
          <w:p>
            <w:pPr>
              <w:spacing w:after="0"/>
              <w:rPr>
                <w:sz w:val="18"/>
                <w:szCs w:val="18"/>
                <w:color w:val="auto"/>
              </w:rPr>
            </w:pPr>
          </w:p>
        </w:tc>
        <w:tc>
          <w:tcPr>
            <w:tcW w:w="1800" w:type="dxa"/>
            <w:vAlign w:val="bottom"/>
          </w:tcPr>
          <w:p>
            <w:pPr>
              <w:jc w:val="center"/>
              <w:spacing w:after="0" w:line="215" w:lineRule="exact"/>
              <w:rPr>
                <w:sz w:val="20"/>
                <w:szCs w:val="20"/>
                <w:color w:val="auto"/>
              </w:rPr>
            </w:pPr>
            <w:r>
              <w:rPr>
                <w:rFonts w:ascii="Calibri" w:cs="Calibri" w:eastAsia="Calibri" w:hAnsi="Calibri"/>
                <w:sz w:val="18"/>
                <w:szCs w:val="18"/>
                <w:color w:val="auto"/>
                <w:w w:val="96"/>
              </w:rPr>
              <w:t>N/A</w:t>
            </w:r>
          </w:p>
        </w:tc>
        <w:tc>
          <w:tcPr>
            <w:tcW w:w="0" w:type="dxa"/>
            <w:vAlign w:val="bottom"/>
          </w:tcPr>
          <w:p>
            <w:pPr>
              <w:spacing w:after="0"/>
              <w:rPr>
                <w:sz w:val="1"/>
                <w:szCs w:val="1"/>
                <w:color w:val="auto"/>
              </w:rPr>
            </w:pPr>
          </w:p>
        </w:tc>
      </w:tr>
      <w:tr>
        <w:trPr>
          <w:trHeight w:val="194"/>
        </w:trPr>
        <w:tc>
          <w:tcPr>
            <w:tcW w:w="33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5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280" w:type="dxa"/>
            <w:vAlign w:val="bottom"/>
            <w:shd w:val="clear" w:color="auto" w:fill="CFF0FC"/>
          </w:tcPr>
          <w:p>
            <w:pPr>
              <w:jc w:val="center"/>
              <w:spacing w:after="0" w:line="194" w:lineRule="exact"/>
              <w:rPr>
                <w:sz w:val="20"/>
                <w:szCs w:val="20"/>
                <w:color w:val="auto"/>
              </w:rPr>
            </w:pPr>
            <w:r>
              <w:rPr>
                <w:rFonts w:ascii="Calibri" w:cs="Calibri" w:eastAsia="Calibri" w:hAnsi="Calibri"/>
                <w:sz w:val="18"/>
                <w:szCs w:val="18"/>
                <w:color w:val="auto"/>
                <w:w w:val="96"/>
              </w:rPr>
              <w:t>Bi-Monthly, Monthly,</w:t>
            </w:r>
          </w:p>
        </w:tc>
        <w:tc>
          <w:tcPr>
            <w:tcW w:w="140" w:type="dxa"/>
            <w:vAlign w:val="bottom"/>
            <w:shd w:val="clear" w:color="auto" w:fill="CFF0FC"/>
          </w:tcPr>
          <w:p>
            <w:pPr>
              <w:spacing w:after="0"/>
              <w:rPr>
                <w:sz w:val="16"/>
                <w:szCs w:val="16"/>
                <w:color w:val="auto"/>
              </w:rPr>
            </w:pPr>
          </w:p>
        </w:tc>
        <w:tc>
          <w:tcPr>
            <w:tcW w:w="18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color w:val="auto"/>
              </w:rPr>
              <w:t>1,552</w:t>
            </w:r>
          </w:p>
        </w:tc>
        <w:tc>
          <w:tcPr>
            <w:tcW w:w="24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36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color w:val="auto"/>
              </w:rPr>
              <w:t>—</w:t>
            </w:r>
          </w:p>
        </w:tc>
        <w:tc>
          <w:tcPr>
            <w:tcW w:w="260" w:type="dxa"/>
            <w:vAlign w:val="bottom"/>
            <w:shd w:val="clear" w:color="auto" w:fill="CFF0FC"/>
          </w:tcPr>
          <w:p>
            <w:pPr>
              <w:spacing w:after="0"/>
              <w:rPr>
                <w:sz w:val="18"/>
                <w:szCs w:val="18"/>
                <w:color w:val="auto"/>
              </w:rPr>
            </w:pPr>
          </w:p>
        </w:tc>
        <w:tc>
          <w:tcPr>
            <w:tcW w:w="2280" w:type="dxa"/>
            <w:vAlign w:val="bottom"/>
            <w:shd w:val="clear" w:color="auto" w:fill="CFF0FC"/>
          </w:tcPr>
          <w:p>
            <w:pPr>
              <w:jc w:val="center"/>
              <w:spacing w:after="0" w:line="215" w:lineRule="exact"/>
              <w:rPr>
                <w:sz w:val="20"/>
                <w:szCs w:val="20"/>
                <w:color w:val="auto"/>
              </w:rPr>
            </w:pPr>
            <w:r>
              <w:rPr>
                <w:rFonts w:ascii="Calibri" w:cs="Calibri" w:eastAsia="Calibri" w:hAnsi="Calibri"/>
                <w:sz w:val="18"/>
                <w:szCs w:val="18"/>
                <w:color w:val="auto"/>
                <w:w w:val="96"/>
              </w:rPr>
              <w:t>Quarterly,</w:t>
            </w:r>
          </w:p>
        </w:tc>
        <w:tc>
          <w:tcPr>
            <w:tcW w:w="140" w:type="dxa"/>
            <w:vAlign w:val="bottom"/>
            <w:shd w:val="clear" w:color="auto" w:fill="CFF0FC"/>
          </w:tcPr>
          <w:p>
            <w:pPr>
              <w:spacing w:after="0"/>
              <w:rPr>
                <w:sz w:val="18"/>
                <w:szCs w:val="18"/>
                <w:color w:val="auto"/>
              </w:rPr>
            </w:pPr>
          </w:p>
        </w:tc>
        <w:tc>
          <w:tcPr>
            <w:tcW w:w="18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340" w:type="dxa"/>
            <w:vAlign w:val="bottom"/>
            <w:tcBorders>
              <w:bottom w:val="single" w:sz="8" w:color="CFF0FC"/>
            </w:tcBorders>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Hedge Funds</w:t>
            </w:r>
          </w:p>
        </w:tc>
        <w:tc>
          <w:tcPr>
            <w:tcW w:w="2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vMerge w:val="continue"/>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vMerge w:val="continue"/>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2280" w:type="dxa"/>
            <w:vAlign w:val="bottom"/>
            <w:tcBorders>
              <w:bottom w:val="single" w:sz="8" w:color="CFF0FC"/>
            </w:tcBorders>
            <w:shd w:val="clear" w:color="auto" w:fill="CFF0FC"/>
          </w:tcPr>
          <w:p>
            <w:pPr>
              <w:jc w:val="center"/>
              <w:spacing w:after="0" w:line="216" w:lineRule="exact"/>
              <w:rPr>
                <w:sz w:val="20"/>
                <w:szCs w:val="20"/>
                <w:color w:val="auto"/>
              </w:rPr>
            </w:pPr>
            <w:r>
              <w:rPr>
                <w:rFonts w:ascii="Calibri" w:cs="Calibri" w:eastAsia="Calibri" w:hAnsi="Calibri"/>
                <w:sz w:val="18"/>
                <w:szCs w:val="18"/>
                <w:color w:val="auto"/>
                <w:w w:val="97"/>
              </w:rPr>
              <w:t>Semi-Annual, and Annual</w:t>
            </w:r>
          </w:p>
        </w:tc>
        <w:tc>
          <w:tcPr>
            <w:tcW w:w="140" w:type="dxa"/>
            <w:vAlign w:val="bottom"/>
            <w:tcBorders>
              <w:bottom w:val="single" w:sz="8" w:color="CFF0FC"/>
            </w:tcBorders>
            <w:shd w:val="clear" w:color="auto" w:fill="CFF0FC"/>
          </w:tcPr>
          <w:p>
            <w:pPr>
              <w:spacing w:after="0"/>
              <w:rPr>
                <w:sz w:val="19"/>
                <w:szCs w:val="19"/>
                <w:color w:val="auto"/>
              </w:rPr>
            </w:pPr>
          </w:p>
        </w:tc>
        <w:tc>
          <w:tcPr>
            <w:tcW w:w="1800" w:type="dxa"/>
            <w:vAlign w:val="bottom"/>
            <w:tcBorders>
              <w:bottom w:val="single" w:sz="8" w:color="CFF0FC"/>
            </w:tcBorders>
            <w:shd w:val="clear" w:color="auto" w:fill="CFF0FC"/>
          </w:tcPr>
          <w:p>
            <w:pPr>
              <w:jc w:val="center"/>
              <w:spacing w:after="0" w:line="216" w:lineRule="exact"/>
              <w:rPr>
                <w:sz w:val="20"/>
                <w:szCs w:val="20"/>
                <w:color w:val="auto"/>
              </w:rPr>
            </w:pPr>
            <w:r>
              <w:rPr>
                <w:rFonts w:ascii="Calibri" w:cs="Calibri" w:eastAsia="Calibri" w:hAnsi="Calibri"/>
                <w:sz w:val="18"/>
                <w:szCs w:val="18"/>
                <w:color w:val="auto"/>
                <w:w w:val="98"/>
              </w:rPr>
              <w:t>5-365 days</w:t>
            </w:r>
          </w:p>
        </w:tc>
        <w:tc>
          <w:tcPr>
            <w:tcW w:w="0" w:type="dxa"/>
            <w:vAlign w:val="bottom"/>
          </w:tcPr>
          <w:p>
            <w:pPr>
              <w:spacing w:after="0"/>
              <w:rPr>
                <w:sz w:val="1"/>
                <w:szCs w:val="1"/>
                <w:color w:val="auto"/>
              </w:rPr>
            </w:pPr>
          </w:p>
        </w:tc>
      </w:tr>
      <w:tr>
        <w:trPr>
          <w:trHeight w:val="214"/>
        </w:trPr>
        <w:tc>
          <w:tcPr>
            <w:tcW w:w="3340" w:type="dxa"/>
            <w:vAlign w:val="bottom"/>
          </w:tcPr>
          <w:p>
            <w:pPr>
              <w:ind w:left="20"/>
              <w:spacing w:after="0" w:line="214" w:lineRule="exact"/>
              <w:rPr>
                <w:sz w:val="20"/>
                <w:szCs w:val="20"/>
                <w:color w:val="auto"/>
              </w:rPr>
            </w:pPr>
            <w:r>
              <w:rPr>
                <w:rFonts w:ascii="Calibri" w:cs="Calibri" w:eastAsia="Calibri" w:hAnsi="Calibri"/>
                <w:sz w:val="18"/>
                <w:szCs w:val="18"/>
                <w:color w:val="auto"/>
              </w:rPr>
              <w:t>Total</w:t>
            </w:r>
          </w:p>
        </w:tc>
        <w:tc>
          <w:tcPr>
            <w:tcW w:w="200" w:type="dxa"/>
            <w:vAlign w:val="bottom"/>
          </w:tcPr>
          <w:p>
            <w:pPr>
              <w:jc w:val="right"/>
              <w:ind w:right="10"/>
              <w:spacing w:after="0" w:line="214" w:lineRule="exact"/>
              <w:rPr>
                <w:sz w:val="20"/>
                <w:szCs w:val="20"/>
                <w:color w:val="auto"/>
              </w:rPr>
            </w:pPr>
            <w:r>
              <w:rPr>
                <w:rFonts w:ascii="Calibri" w:cs="Calibri" w:eastAsia="Calibri" w:hAnsi="Calibri"/>
                <w:sz w:val="18"/>
                <w:szCs w:val="18"/>
                <w:color w:val="auto"/>
                <w:w w:val="87"/>
              </w:rPr>
              <w:t>$</w:t>
            </w:r>
          </w:p>
        </w:tc>
        <w:tc>
          <w:tcPr>
            <w:tcW w:w="1080" w:type="dxa"/>
            <w:vAlign w:val="bottom"/>
          </w:tcPr>
          <w:p>
            <w:pPr>
              <w:jc w:val="right"/>
              <w:spacing w:after="0" w:line="214" w:lineRule="exact"/>
              <w:rPr>
                <w:sz w:val="20"/>
                <w:szCs w:val="20"/>
                <w:color w:val="auto"/>
              </w:rPr>
            </w:pPr>
            <w:r>
              <w:rPr>
                <w:rFonts w:ascii="Calibri" w:cs="Calibri" w:eastAsia="Calibri" w:hAnsi="Calibri"/>
                <w:sz w:val="18"/>
                <w:szCs w:val="18"/>
                <w:color w:val="auto"/>
              </w:rPr>
              <w:t>2,664</w:t>
            </w:r>
          </w:p>
        </w:tc>
        <w:tc>
          <w:tcPr>
            <w:tcW w:w="1780" w:type="dxa"/>
            <w:vAlign w:val="bottom"/>
            <w:gridSpan w:val="2"/>
          </w:tcPr>
          <w:p>
            <w:pPr>
              <w:jc w:val="right"/>
              <w:ind w:right="1330"/>
              <w:spacing w:after="0" w:line="214" w:lineRule="exact"/>
              <w:rPr>
                <w:sz w:val="20"/>
                <w:szCs w:val="20"/>
                <w:color w:val="auto"/>
              </w:rPr>
            </w:pPr>
            <w:r>
              <w:rPr>
                <w:rFonts w:ascii="Calibri" w:cs="Calibri" w:eastAsia="Calibri" w:hAnsi="Calibri"/>
                <w:sz w:val="18"/>
                <w:szCs w:val="18"/>
                <w:color w:val="auto"/>
              </w:rPr>
              <w:t>$</w:t>
            </w:r>
          </w:p>
        </w:tc>
        <w:tc>
          <w:tcPr>
            <w:tcW w:w="360" w:type="dxa"/>
            <w:vAlign w:val="bottom"/>
          </w:tcPr>
          <w:p>
            <w:pPr>
              <w:jc w:val="right"/>
              <w:spacing w:after="0" w:line="214" w:lineRule="exact"/>
              <w:rPr>
                <w:sz w:val="20"/>
                <w:szCs w:val="20"/>
                <w:color w:val="auto"/>
              </w:rPr>
            </w:pPr>
            <w:r>
              <w:rPr>
                <w:rFonts w:ascii="Calibri" w:cs="Calibri" w:eastAsia="Calibri" w:hAnsi="Calibri"/>
                <w:sz w:val="18"/>
                <w:szCs w:val="18"/>
                <w:color w:val="auto"/>
              </w:rPr>
              <w:t>172</w:t>
            </w:r>
          </w:p>
        </w:tc>
        <w:tc>
          <w:tcPr>
            <w:tcW w:w="2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-170815</wp:posOffset>
            </wp:positionV>
            <wp:extent cx="6858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-170815</wp:posOffset>
            </wp:positionV>
            <wp:extent cx="6858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Real estate investments primarily included investments in limited partnerships that invest in ofce, industrial, retail and apartment propertes. Investments were primarily valued by the fund manager based on independent appraisals, discounted cash fow models, cost and comparable market transactons. During 2024, Kodak sold its real estate investments as part of the sale of KRIP’s Illiquid Assets.</w:t>
      </w:r>
    </w:p>
    <w:p>
      <w:pPr>
        <w:spacing w:after="0" w:line="192"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Private equity investments are primarily comprised of direct limited partnerships and fund-of-fund investments that invest in distressed investments, venture capital, leveraged buyouts and special situatons. Private equity investments are valued by the fund manager primarily based on independent appraisals, discounted cash fow models, cost, and comparable market transactons. The term of each fund is typically 10 or more years and the fund’s investors do not have an opton to redeem their interest in the fund. The investors in the fund receive distributons through the liquidaton of the underlying investments in the fund.</w:t>
      </w:r>
    </w:p>
    <w:p>
      <w:pPr>
        <w:spacing w:after="0" w:line="180"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In 2023, the U.S. Plan invested in a portolio of hedge funds to supplement the return generated by its exchange traded futures contracts, as well as in a separate portolio of hedge funds where the objectve was to seek a higher absolute return. Hedge fund investments were made through direct investments in individual hedge funds. The hedge fund investments substantally consisted of a diversifed portolio of hedge funds that use equity, debt, commodity, currency strategies and derivatve instruments. The U.S. defned beneft pension plan evaluated several factors for investng in hedge funds including investment strategy, return, risk, liquidity, correlaton to other funds and the number of funds to achieve a diversifed portolio of hedge funds. Regarding the porton</w:t>
      </w:r>
    </w:p>
    <w:p>
      <w:pPr>
        <w:spacing w:after="0" w:line="176"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00" w:name="page101"/>
    <w:bookmarkEnd w:id="100"/>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200"/>
        <w:spacing w:after="0" w:line="235" w:lineRule="auto"/>
        <w:rPr>
          <w:sz w:val="20"/>
          <w:szCs w:val="20"/>
          <w:color w:val="auto"/>
        </w:rPr>
      </w:pPr>
      <w:r>
        <w:rPr>
          <w:rFonts w:ascii="Calibri" w:cs="Calibri" w:eastAsia="Calibri" w:hAnsi="Calibri"/>
          <w:sz w:val="18"/>
          <w:szCs w:val="18"/>
          <w:color w:val="auto"/>
        </w:rPr>
        <w:t>of hedge funds intended to supplement the return generated by its exchange traded futures contracts, the U.S. Plan maintained cash and Treasury bills as liquidity reserves that served as variaton margin for these futures contracts. Approximately $77 million of cash liquidity reserves associated with these hedge funds as of December 31, 2023 is included in the cash and cash equivalents asset class in the table above.</w:t>
      </w:r>
    </w:p>
    <w:p>
      <w:pPr>
        <w:spacing w:after="0" w:line="178" w:lineRule="exact"/>
        <w:rPr>
          <w:sz w:val="20"/>
          <w:szCs w:val="20"/>
          <w:color w:val="auto"/>
        </w:rPr>
      </w:pPr>
    </w:p>
    <w:p>
      <w:pPr>
        <w:ind w:right="40"/>
        <w:spacing w:after="0" w:line="254" w:lineRule="auto"/>
        <w:rPr>
          <w:sz w:val="20"/>
          <w:szCs w:val="20"/>
          <w:color w:val="auto"/>
        </w:rPr>
      </w:pPr>
      <w:r>
        <w:rPr>
          <w:rFonts w:ascii="Calibri" w:cs="Calibri" w:eastAsia="Calibri" w:hAnsi="Calibri"/>
          <w:sz w:val="17"/>
          <w:szCs w:val="17"/>
          <w:color w:val="auto"/>
        </w:rPr>
        <w:t>In 2024, based on the change in investment strategy designed to preserve and maximize the value of KRIP’s over-funding by reducing investment risk and improving the overall liquidity of KRIP, the U.S. Plan began liquidatng its hedge fund investments. Of the $689 million of hedge fund investments remaining at December 31, 2024, $534 million has been or is expected to be redeemed in 2025. The remainder is required to be redeemed over a fve-year period.</w:t>
      </w:r>
    </w:p>
    <w:p>
      <w:pPr>
        <w:spacing w:after="0" w:line="165" w:lineRule="exact"/>
        <w:rPr>
          <w:sz w:val="20"/>
          <w:szCs w:val="20"/>
          <w:color w:val="auto"/>
        </w:rPr>
      </w:pPr>
    </w:p>
    <w:p>
      <w:pPr>
        <w:ind w:right="500"/>
        <w:spacing w:after="0" w:line="258" w:lineRule="auto"/>
        <w:rPr>
          <w:sz w:val="20"/>
          <w:szCs w:val="20"/>
          <w:color w:val="auto"/>
        </w:rPr>
      </w:pPr>
      <w:r>
        <w:rPr>
          <w:rFonts w:ascii="Calibri" w:cs="Calibri" w:eastAsia="Calibri" w:hAnsi="Calibri"/>
          <w:sz w:val="17"/>
          <w:szCs w:val="17"/>
          <w:color w:val="auto"/>
        </w:rPr>
        <w:t>Hedge funds are typically valued by each fund’s third-party fund administrator based upon the valuaton of the underlying securites and instruments, primarily by applying a market or income valuaton methodology as appropriate depending on the specifc type of security or instrument held.</w:t>
      </w:r>
    </w:p>
    <w:p>
      <w:pPr>
        <w:spacing w:after="0" w:line="170" w:lineRule="exact"/>
        <w:rPr>
          <w:sz w:val="20"/>
          <w:szCs w:val="20"/>
          <w:color w:val="auto"/>
        </w:rPr>
      </w:pPr>
    </w:p>
    <w:p>
      <w:pPr>
        <w:spacing w:after="0"/>
        <w:rPr>
          <w:sz w:val="20"/>
          <w:szCs w:val="20"/>
          <w:color w:val="auto"/>
        </w:rPr>
      </w:pPr>
      <w:r>
        <w:rPr>
          <w:rFonts w:ascii="Calibri" w:cs="Calibri" w:eastAsia="Calibri" w:hAnsi="Calibri"/>
          <w:sz w:val="18"/>
          <w:szCs w:val="18"/>
          <w:color w:val="auto"/>
        </w:rPr>
        <w:t>The tables below summarize Kodak’s U.S. Plan investments in hedge funds by type for those investments valued at NAV:</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U.S. Plan:</w:t>
      </w:r>
    </w:p>
    <w:tbl>
      <w:tblPr>
        <w:tblLayout w:type="fixed"/>
        <w:tblInd w:w="0" w:type="dxa"/>
        <w:tblCellMar>
          <w:top w:w="0" w:type="dxa"/>
          <w:left w:w="0" w:type="dxa"/>
          <w:bottom w:w="0" w:type="dxa"/>
          <w:right w:w="0" w:type="dxa"/>
        </w:tblCellMar>
      </w:tblPr>
      <w:tr>
        <w:trPr>
          <w:trHeight w:val="216"/>
        </w:trPr>
        <w:tc>
          <w:tcPr>
            <w:tcW w:w="5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2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9"/>
              </w:rPr>
              <w:t>Summarized Asset Informaton</w:t>
            </w: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5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2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7"/>
              </w:rPr>
              <w:t>December 31, 2024</w:t>
            </w: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432"/>
        </w:trPr>
        <w:tc>
          <w:tcPr>
            <w:tcW w:w="5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20" w:type="dxa"/>
            <w:vAlign w:val="bottom"/>
          </w:tcPr>
          <w:p>
            <w:pPr>
              <w:jc w:val="center"/>
              <w:spacing w:after="0"/>
              <w:rPr>
                <w:sz w:val="20"/>
                <w:szCs w:val="20"/>
                <w:color w:val="auto"/>
              </w:rPr>
            </w:pPr>
            <w:r>
              <w:rPr>
                <w:rFonts w:ascii="Calibri" w:cs="Calibri" w:eastAsia="Calibri" w:hAnsi="Calibri"/>
                <w:sz w:val="18"/>
                <w:szCs w:val="18"/>
                <w:b w:val="1"/>
                <w:bCs w:val="1"/>
                <w:color w:val="auto"/>
              </w:rPr>
              <w:t>Redempton</w:t>
            </w:r>
          </w:p>
        </w:tc>
        <w:tc>
          <w:tcPr>
            <w:tcW w:w="18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Calibri" w:cs="Calibri" w:eastAsia="Calibri" w:hAnsi="Calibri"/>
                <w:sz w:val="18"/>
                <w:szCs w:val="18"/>
                <w:b w:val="1"/>
                <w:bCs w:val="1"/>
                <w:color w:val="auto"/>
              </w:rPr>
              <w:t>Redempton</w:t>
            </w:r>
          </w:p>
        </w:tc>
      </w:tr>
      <w:tr>
        <w:trPr>
          <w:trHeight w:val="236"/>
        </w:trPr>
        <w:tc>
          <w:tcPr>
            <w:tcW w:w="5280" w:type="dxa"/>
            <w:vAlign w:val="bottom"/>
          </w:tcPr>
          <w:p>
            <w:pPr>
              <w:ind w:left="20"/>
              <w:spacing w:after="0"/>
              <w:rPr>
                <w:sz w:val="20"/>
                <w:szCs w:val="20"/>
                <w:color w:val="auto"/>
              </w:rPr>
            </w:pPr>
            <w:r>
              <w:rPr>
                <w:rFonts w:ascii="Calibri" w:cs="Calibri" w:eastAsia="Calibri" w:hAnsi="Calibri"/>
                <w:sz w:val="14"/>
                <w:szCs w:val="14"/>
                <w:color w:val="auto"/>
              </w:rPr>
              <w:t>(in millions)</w:t>
            </w: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70"/>
              <w:spacing w:after="0" w:line="216" w:lineRule="exact"/>
              <w:rPr>
                <w:sz w:val="20"/>
                <w:szCs w:val="20"/>
                <w:color w:val="auto"/>
              </w:rPr>
            </w:pPr>
            <w:r>
              <w:rPr>
                <w:rFonts w:ascii="Calibri" w:cs="Calibri" w:eastAsia="Calibri" w:hAnsi="Calibri"/>
                <w:sz w:val="18"/>
                <w:szCs w:val="18"/>
                <w:b w:val="1"/>
                <w:bCs w:val="1"/>
                <w:color w:val="auto"/>
                <w:w w:val="97"/>
              </w:rPr>
              <w:t>Net Asset Value</w:t>
            </w:r>
          </w:p>
        </w:tc>
        <w:tc>
          <w:tcPr>
            <w:tcW w:w="280" w:type="dxa"/>
            <w:vAlign w:val="bottom"/>
          </w:tcPr>
          <w:p>
            <w:pPr>
              <w:spacing w:after="0"/>
              <w:rPr>
                <w:sz w:val="20"/>
                <w:szCs w:val="20"/>
                <w:color w:val="auto"/>
              </w:rPr>
            </w:pPr>
          </w:p>
        </w:tc>
        <w:tc>
          <w:tcPr>
            <w:tcW w:w="2320" w:type="dxa"/>
            <w:vAlign w:val="bottom"/>
            <w:tcBorders>
              <w:bottom w:val="single" w:sz="8" w:color="auto"/>
            </w:tcBorders>
          </w:tcPr>
          <w:p>
            <w:pPr>
              <w:jc w:val="center"/>
              <w:spacing w:after="0" w:line="216" w:lineRule="exact"/>
              <w:rPr>
                <w:sz w:val="20"/>
                <w:szCs w:val="20"/>
                <w:color w:val="auto"/>
              </w:rPr>
            </w:pPr>
            <w:r>
              <w:rPr>
                <w:rFonts w:ascii="Calibri" w:cs="Calibri" w:eastAsia="Calibri" w:hAnsi="Calibri"/>
                <w:sz w:val="18"/>
                <w:szCs w:val="18"/>
                <w:b w:val="1"/>
                <w:bCs w:val="1"/>
                <w:color w:val="auto"/>
                <w:w w:val="97"/>
              </w:rPr>
              <w:t>Frequency</w:t>
            </w:r>
          </w:p>
        </w:tc>
        <w:tc>
          <w:tcPr>
            <w:tcW w:w="180" w:type="dxa"/>
            <w:vAlign w:val="bottom"/>
          </w:tcPr>
          <w:p>
            <w:pPr>
              <w:spacing w:after="0"/>
              <w:rPr>
                <w:sz w:val="20"/>
                <w:szCs w:val="20"/>
                <w:color w:val="auto"/>
              </w:rPr>
            </w:pPr>
          </w:p>
        </w:tc>
        <w:tc>
          <w:tcPr>
            <w:tcW w:w="1600" w:type="dxa"/>
            <w:vAlign w:val="bottom"/>
            <w:tcBorders>
              <w:bottom w:val="single" w:sz="8" w:color="auto"/>
            </w:tcBorders>
          </w:tcPr>
          <w:p>
            <w:pPr>
              <w:jc w:val="center"/>
              <w:spacing w:after="0" w:line="216" w:lineRule="exact"/>
              <w:rPr>
                <w:sz w:val="20"/>
                <w:szCs w:val="20"/>
                <w:color w:val="auto"/>
              </w:rPr>
            </w:pPr>
            <w:r>
              <w:rPr>
                <w:rFonts w:ascii="Calibri" w:cs="Calibri" w:eastAsia="Calibri" w:hAnsi="Calibri"/>
                <w:sz w:val="18"/>
                <w:szCs w:val="18"/>
                <w:b w:val="1"/>
                <w:bCs w:val="1"/>
                <w:color w:val="auto"/>
              </w:rPr>
              <w:t>Notce Period</w:t>
            </w:r>
          </w:p>
        </w:tc>
      </w:tr>
      <w:tr>
        <w:trPr>
          <w:trHeight w:val="213"/>
        </w:trPr>
        <w:tc>
          <w:tcPr>
            <w:tcW w:w="5280" w:type="dxa"/>
            <w:vAlign w:val="bottom"/>
            <w:shd w:val="clear" w:color="auto" w:fill="CFF0FC"/>
          </w:tcPr>
          <w:p>
            <w:pPr>
              <w:ind w:left="20"/>
              <w:spacing w:after="0" w:line="213" w:lineRule="exact"/>
              <w:rPr>
                <w:sz w:val="20"/>
                <w:szCs w:val="20"/>
                <w:color w:val="auto"/>
              </w:rPr>
            </w:pPr>
            <w:r>
              <w:rPr>
                <w:rFonts w:ascii="Calibri" w:cs="Calibri" w:eastAsia="Calibri" w:hAnsi="Calibri"/>
                <w:sz w:val="18"/>
                <w:szCs w:val="18"/>
                <w:color w:val="auto"/>
              </w:rPr>
              <w:t>Mult-strategy hedge funds</w:t>
            </w:r>
          </w:p>
        </w:tc>
        <w:tc>
          <w:tcPr>
            <w:tcW w:w="120" w:type="dxa"/>
            <w:vAlign w:val="bottom"/>
            <w:shd w:val="clear" w:color="auto" w:fill="CFF0FC"/>
          </w:tcPr>
          <w:p>
            <w:pPr>
              <w:jc w:val="right"/>
              <w:spacing w:after="0" w:line="213" w:lineRule="exact"/>
              <w:rPr>
                <w:sz w:val="20"/>
                <w:szCs w:val="20"/>
                <w:color w:val="auto"/>
              </w:rPr>
            </w:pPr>
            <w:r>
              <w:rPr>
                <w:rFonts w:ascii="Calibri" w:cs="Calibri" w:eastAsia="Calibri" w:hAnsi="Calibri"/>
                <w:sz w:val="18"/>
                <w:szCs w:val="18"/>
                <w:color w:val="auto"/>
                <w:w w:val="87"/>
              </w:rPr>
              <w:t>$</w:t>
            </w:r>
          </w:p>
        </w:tc>
        <w:tc>
          <w:tcPr>
            <w:tcW w:w="1340" w:type="dxa"/>
            <w:vAlign w:val="bottom"/>
            <w:shd w:val="clear" w:color="auto" w:fill="CFF0FC"/>
          </w:tcPr>
          <w:p>
            <w:pPr>
              <w:jc w:val="right"/>
              <w:spacing w:after="0" w:line="213" w:lineRule="exact"/>
              <w:rPr>
                <w:sz w:val="20"/>
                <w:szCs w:val="20"/>
                <w:color w:val="auto"/>
              </w:rPr>
            </w:pPr>
            <w:r>
              <w:rPr>
                <w:rFonts w:ascii="Calibri" w:cs="Calibri" w:eastAsia="Calibri" w:hAnsi="Calibri"/>
                <w:sz w:val="18"/>
                <w:szCs w:val="18"/>
                <w:color w:val="auto"/>
              </w:rPr>
              <w:t>204</w:t>
            </w:r>
          </w:p>
        </w:tc>
        <w:tc>
          <w:tcPr>
            <w:tcW w:w="280" w:type="dxa"/>
            <w:vAlign w:val="bottom"/>
            <w:shd w:val="clear" w:color="auto" w:fill="CFF0FC"/>
          </w:tcPr>
          <w:p>
            <w:pPr>
              <w:spacing w:after="0"/>
              <w:rPr>
                <w:sz w:val="18"/>
                <w:szCs w:val="18"/>
                <w:color w:val="auto"/>
              </w:rPr>
            </w:pPr>
          </w:p>
        </w:tc>
        <w:tc>
          <w:tcPr>
            <w:tcW w:w="2320" w:type="dxa"/>
            <w:vAlign w:val="bottom"/>
            <w:shd w:val="clear" w:color="auto" w:fill="CFF0FC"/>
          </w:tcPr>
          <w:p>
            <w:pPr>
              <w:jc w:val="center"/>
              <w:spacing w:after="0" w:line="213" w:lineRule="exact"/>
              <w:rPr>
                <w:sz w:val="20"/>
                <w:szCs w:val="20"/>
                <w:color w:val="auto"/>
              </w:rPr>
            </w:pPr>
            <w:r>
              <w:rPr>
                <w:rFonts w:ascii="Calibri" w:cs="Calibri" w:eastAsia="Calibri" w:hAnsi="Calibri"/>
                <w:sz w:val="18"/>
                <w:szCs w:val="18"/>
                <w:color w:val="auto"/>
                <w:w w:val="97"/>
              </w:rPr>
              <w:t>Quarterly</w:t>
            </w:r>
          </w:p>
        </w:tc>
        <w:tc>
          <w:tcPr>
            <w:tcW w:w="180" w:type="dxa"/>
            <w:vAlign w:val="bottom"/>
            <w:shd w:val="clear" w:color="auto" w:fill="CFF0FC"/>
          </w:tcPr>
          <w:p>
            <w:pPr>
              <w:spacing w:after="0"/>
              <w:rPr>
                <w:sz w:val="18"/>
                <w:szCs w:val="18"/>
                <w:color w:val="auto"/>
              </w:rPr>
            </w:pPr>
          </w:p>
        </w:tc>
        <w:tc>
          <w:tcPr>
            <w:tcW w:w="1600" w:type="dxa"/>
            <w:vAlign w:val="bottom"/>
            <w:shd w:val="clear" w:color="auto" w:fill="CFF0FC"/>
          </w:tcPr>
          <w:p>
            <w:pPr>
              <w:jc w:val="center"/>
              <w:spacing w:after="0" w:line="213" w:lineRule="exact"/>
              <w:rPr>
                <w:sz w:val="20"/>
                <w:szCs w:val="20"/>
                <w:color w:val="auto"/>
              </w:rPr>
            </w:pPr>
            <w:r>
              <w:rPr>
                <w:rFonts w:ascii="Calibri" w:cs="Calibri" w:eastAsia="Calibri" w:hAnsi="Calibri"/>
                <w:sz w:val="18"/>
                <w:szCs w:val="18"/>
                <w:color w:val="auto"/>
                <w:w w:val="98"/>
              </w:rPr>
              <w:t>45-90 days</w:t>
            </w:r>
          </w:p>
        </w:tc>
      </w:tr>
      <w:tr>
        <w:trPr>
          <w:trHeight w:val="215"/>
        </w:trPr>
        <w:tc>
          <w:tcPr>
            <w:tcW w:w="5280" w:type="dxa"/>
            <w:vAlign w:val="bottom"/>
          </w:tcPr>
          <w:p>
            <w:pPr>
              <w:ind w:left="20"/>
              <w:spacing w:after="0" w:line="215" w:lineRule="exact"/>
              <w:rPr>
                <w:sz w:val="20"/>
                <w:szCs w:val="20"/>
                <w:color w:val="auto"/>
              </w:rPr>
            </w:pPr>
            <w:r>
              <w:rPr>
                <w:rFonts w:ascii="Calibri" w:cs="Calibri" w:eastAsia="Calibri" w:hAnsi="Calibri"/>
                <w:sz w:val="18"/>
                <w:szCs w:val="18"/>
                <w:color w:val="auto"/>
              </w:rPr>
              <w:t>Relatve value hedge funds</w:t>
            </w:r>
          </w:p>
        </w:tc>
        <w:tc>
          <w:tcPr>
            <w:tcW w:w="120" w:type="dxa"/>
            <w:vAlign w:val="bottom"/>
          </w:tcPr>
          <w:p>
            <w:pPr>
              <w:spacing w:after="0"/>
              <w:rPr>
                <w:sz w:val="18"/>
                <w:szCs w:val="18"/>
                <w:color w:val="auto"/>
              </w:rPr>
            </w:pPr>
          </w:p>
        </w:tc>
        <w:tc>
          <w:tcPr>
            <w:tcW w:w="1340" w:type="dxa"/>
            <w:vAlign w:val="bottom"/>
          </w:tcPr>
          <w:p>
            <w:pPr>
              <w:jc w:val="right"/>
              <w:spacing w:after="0" w:line="215" w:lineRule="exact"/>
              <w:rPr>
                <w:sz w:val="20"/>
                <w:szCs w:val="20"/>
                <w:color w:val="auto"/>
              </w:rPr>
            </w:pPr>
            <w:r>
              <w:rPr>
                <w:rFonts w:ascii="Calibri" w:cs="Calibri" w:eastAsia="Calibri" w:hAnsi="Calibri"/>
                <w:sz w:val="18"/>
                <w:szCs w:val="18"/>
                <w:color w:val="auto"/>
              </w:rPr>
              <w:t>185</w:t>
            </w:r>
          </w:p>
        </w:tc>
        <w:tc>
          <w:tcPr>
            <w:tcW w:w="280" w:type="dxa"/>
            <w:vAlign w:val="bottom"/>
          </w:tcPr>
          <w:p>
            <w:pPr>
              <w:spacing w:after="0"/>
              <w:rPr>
                <w:sz w:val="18"/>
                <w:szCs w:val="18"/>
                <w:color w:val="auto"/>
              </w:rPr>
            </w:pPr>
          </w:p>
        </w:tc>
        <w:tc>
          <w:tcPr>
            <w:tcW w:w="2320" w:type="dxa"/>
            <w:vAlign w:val="bottom"/>
          </w:tcPr>
          <w:p>
            <w:pPr>
              <w:jc w:val="center"/>
              <w:spacing w:after="0" w:line="215" w:lineRule="exact"/>
              <w:rPr>
                <w:sz w:val="20"/>
                <w:szCs w:val="20"/>
                <w:color w:val="auto"/>
              </w:rPr>
            </w:pPr>
            <w:r>
              <w:rPr>
                <w:rFonts w:ascii="Calibri" w:cs="Calibri" w:eastAsia="Calibri" w:hAnsi="Calibri"/>
                <w:sz w:val="18"/>
                <w:szCs w:val="18"/>
                <w:color w:val="auto"/>
                <w:w w:val="98"/>
              </w:rPr>
              <w:t>Bi-monthly, Quarterly</w:t>
            </w:r>
          </w:p>
        </w:tc>
        <w:tc>
          <w:tcPr>
            <w:tcW w:w="180" w:type="dxa"/>
            <w:vAlign w:val="bottom"/>
          </w:tcPr>
          <w:p>
            <w:pPr>
              <w:spacing w:after="0"/>
              <w:rPr>
                <w:sz w:val="18"/>
                <w:szCs w:val="18"/>
                <w:color w:val="auto"/>
              </w:rPr>
            </w:pPr>
          </w:p>
        </w:tc>
        <w:tc>
          <w:tcPr>
            <w:tcW w:w="1600" w:type="dxa"/>
            <w:vAlign w:val="bottom"/>
          </w:tcPr>
          <w:p>
            <w:pPr>
              <w:jc w:val="center"/>
              <w:spacing w:after="0" w:line="215" w:lineRule="exact"/>
              <w:rPr>
                <w:sz w:val="20"/>
                <w:szCs w:val="20"/>
                <w:color w:val="auto"/>
              </w:rPr>
            </w:pPr>
            <w:r>
              <w:rPr>
                <w:rFonts w:ascii="Calibri" w:cs="Calibri" w:eastAsia="Calibri" w:hAnsi="Calibri"/>
                <w:sz w:val="18"/>
                <w:szCs w:val="18"/>
                <w:color w:val="auto"/>
                <w:w w:val="98"/>
              </w:rPr>
              <w:t>6-120 days</w:t>
            </w:r>
          </w:p>
        </w:tc>
      </w:tr>
      <w:tr>
        <w:trPr>
          <w:trHeight w:val="217"/>
        </w:trPr>
        <w:tc>
          <w:tcPr>
            <w:tcW w:w="528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Directonal hedge funds</w:t>
            </w: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52</w:t>
            </w:r>
          </w:p>
        </w:tc>
        <w:tc>
          <w:tcPr>
            <w:tcW w:w="280" w:type="dxa"/>
            <w:vAlign w:val="bottom"/>
            <w:shd w:val="clear" w:color="auto" w:fill="CFF0FC"/>
          </w:tcPr>
          <w:p>
            <w:pPr>
              <w:spacing w:after="0"/>
              <w:rPr>
                <w:sz w:val="18"/>
                <w:szCs w:val="18"/>
                <w:color w:val="auto"/>
              </w:rPr>
            </w:pPr>
          </w:p>
        </w:tc>
        <w:tc>
          <w:tcPr>
            <w:tcW w:w="2320" w:type="dxa"/>
            <w:vAlign w:val="bottom"/>
            <w:shd w:val="clear" w:color="auto" w:fill="CFF0FC"/>
          </w:tcPr>
          <w:p>
            <w:pPr>
              <w:jc w:val="center"/>
              <w:spacing w:after="0" w:line="216" w:lineRule="exact"/>
              <w:rPr>
                <w:sz w:val="20"/>
                <w:szCs w:val="20"/>
                <w:color w:val="auto"/>
              </w:rPr>
            </w:pPr>
            <w:r>
              <w:rPr>
                <w:rFonts w:ascii="Calibri" w:cs="Calibri" w:eastAsia="Calibri" w:hAnsi="Calibri"/>
                <w:sz w:val="18"/>
                <w:szCs w:val="18"/>
                <w:color w:val="auto"/>
                <w:w w:val="96"/>
              </w:rPr>
              <w:t>Monthly</w:t>
            </w:r>
          </w:p>
        </w:tc>
        <w:tc>
          <w:tcPr>
            <w:tcW w:w="180" w:type="dxa"/>
            <w:vAlign w:val="bottom"/>
            <w:shd w:val="clear" w:color="auto" w:fill="CFF0FC"/>
          </w:tcPr>
          <w:p>
            <w:pPr>
              <w:spacing w:after="0"/>
              <w:rPr>
                <w:sz w:val="18"/>
                <w:szCs w:val="18"/>
                <w:color w:val="auto"/>
              </w:rPr>
            </w:pPr>
          </w:p>
        </w:tc>
        <w:tc>
          <w:tcPr>
            <w:tcW w:w="1600" w:type="dxa"/>
            <w:vAlign w:val="bottom"/>
            <w:shd w:val="clear" w:color="auto" w:fill="CFF0FC"/>
          </w:tcPr>
          <w:p>
            <w:pPr>
              <w:jc w:val="center"/>
              <w:spacing w:after="0" w:line="216" w:lineRule="exact"/>
              <w:rPr>
                <w:sz w:val="20"/>
                <w:szCs w:val="20"/>
                <w:color w:val="auto"/>
              </w:rPr>
            </w:pPr>
            <w:r>
              <w:rPr>
                <w:rFonts w:ascii="Calibri" w:cs="Calibri" w:eastAsia="Calibri" w:hAnsi="Calibri"/>
                <w:sz w:val="18"/>
                <w:szCs w:val="18"/>
                <w:color w:val="auto"/>
                <w:w w:val="98"/>
              </w:rPr>
              <w:t>5 days</w:t>
            </w:r>
          </w:p>
        </w:tc>
      </w:tr>
      <w:tr>
        <w:trPr>
          <w:trHeight w:val="215"/>
        </w:trPr>
        <w:tc>
          <w:tcPr>
            <w:tcW w:w="5280" w:type="dxa"/>
            <w:vAlign w:val="bottom"/>
          </w:tcPr>
          <w:p>
            <w:pPr>
              <w:ind w:left="20"/>
              <w:spacing w:after="0" w:line="215" w:lineRule="exact"/>
              <w:rPr>
                <w:sz w:val="20"/>
                <w:szCs w:val="20"/>
                <w:color w:val="auto"/>
              </w:rPr>
            </w:pPr>
            <w:r>
              <w:rPr>
                <w:rFonts w:ascii="Calibri" w:cs="Calibri" w:eastAsia="Calibri" w:hAnsi="Calibri"/>
                <w:sz w:val="18"/>
                <w:szCs w:val="18"/>
                <w:color w:val="auto"/>
              </w:rPr>
              <w:t>Equity long/short hedge funds</w:t>
            </w:r>
          </w:p>
        </w:tc>
        <w:tc>
          <w:tcPr>
            <w:tcW w:w="120" w:type="dxa"/>
            <w:vAlign w:val="bottom"/>
          </w:tcPr>
          <w:p>
            <w:pPr>
              <w:spacing w:after="0"/>
              <w:rPr>
                <w:sz w:val="18"/>
                <w:szCs w:val="18"/>
                <w:color w:val="auto"/>
              </w:rPr>
            </w:pPr>
          </w:p>
        </w:tc>
        <w:tc>
          <w:tcPr>
            <w:tcW w:w="1340" w:type="dxa"/>
            <w:vAlign w:val="bottom"/>
          </w:tcPr>
          <w:p>
            <w:pPr>
              <w:jc w:val="right"/>
              <w:spacing w:after="0" w:line="215" w:lineRule="exact"/>
              <w:rPr>
                <w:sz w:val="20"/>
                <w:szCs w:val="20"/>
                <w:color w:val="auto"/>
              </w:rPr>
            </w:pPr>
            <w:r>
              <w:rPr>
                <w:rFonts w:ascii="Calibri" w:cs="Calibri" w:eastAsia="Calibri" w:hAnsi="Calibri"/>
                <w:sz w:val="18"/>
                <w:szCs w:val="18"/>
                <w:color w:val="auto"/>
              </w:rPr>
              <w:t>125</w:t>
            </w:r>
          </w:p>
        </w:tc>
        <w:tc>
          <w:tcPr>
            <w:tcW w:w="280" w:type="dxa"/>
            <w:vAlign w:val="bottom"/>
          </w:tcPr>
          <w:p>
            <w:pPr>
              <w:spacing w:after="0"/>
              <w:rPr>
                <w:sz w:val="18"/>
                <w:szCs w:val="18"/>
                <w:color w:val="auto"/>
              </w:rPr>
            </w:pPr>
          </w:p>
        </w:tc>
        <w:tc>
          <w:tcPr>
            <w:tcW w:w="2320" w:type="dxa"/>
            <w:vAlign w:val="bottom"/>
          </w:tcPr>
          <w:p>
            <w:pPr>
              <w:jc w:val="center"/>
              <w:spacing w:after="0" w:line="215" w:lineRule="exact"/>
              <w:rPr>
                <w:sz w:val="20"/>
                <w:szCs w:val="20"/>
                <w:color w:val="auto"/>
              </w:rPr>
            </w:pPr>
            <w:r>
              <w:rPr>
                <w:rFonts w:ascii="Calibri" w:cs="Calibri" w:eastAsia="Calibri" w:hAnsi="Calibri"/>
                <w:sz w:val="18"/>
                <w:szCs w:val="18"/>
                <w:color w:val="auto"/>
                <w:w w:val="98"/>
              </w:rPr>
              <w:t>Monthly, Quarterly</w:t>
            </w:r>
          </w:p>
        </w:tc>
        <w:tc>
          <w:tcPr>
            <w:tcW w:w="180" w:type="dxa"/>
            <w:vAlign w:val="bottom"/>
          </w:tcPr>
          <w:p>
            <w:pPr>
              <w:spacing w:after="0"/>
              <w:rPr>
                <w:sz w:val="18"/>
                <w:szCs w:val="18"/>
                <w:color w:val="auto"/>
              </w:rPr>
            </w:pPr>
          </w:p>
        </w:tc>
        <w:tc>
          <w:tcPr>
            <w:tcW w:w="1600" w:type="dxa"/>
            <w:vAlign w:val="bottom"/>
          </w:tcPr>
          <w:p>
            <w:pPr>
              <w:jc w:val="center"/>
              <w:spacing w:after="0" w:line="215" w:lineRule="exact"/>
              <w:rPr>
                <w:sz w:val="20"/>
                <w:szCs w:val="20"/>
                <w:color w:val="auto"/>
              </w:rPr>
            </w:pPr>
            <w:r>
              <w:rPr>
                <w:rFonts w:ascii="Calibri" w:cs="Calibri" w:eastAsia="Calibri" w:hAnsi="Calibri"/>
                <w:sz w:val="18"/>
                <w:szCs w:val="18"/>
                <w:color w:val="auto"/>
                <w:w w:val="98"/>
              </w:rPr>
              <w:t>45-90 days</w:t>
            </w:r>
          </w:p>
        </w:tc>
      </w:tr>
      <w:tr>
        <w:trPr>
          <w:trHeight w:val="217"/>
        </w:trPr>
        <w:tc>
          <w:tcPr>
            <w:tcW w:w="528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Sector specialist hedge funds</w:t>
            </w: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44</w:t>
            </w:r>
          </w:p>
        </w:tc>
        <w:tc>
          <w:tcPr>
            <w:tcW w:w="280" w:type="dxa"/>
            <w:vAlign w:val="bottom"/>
            <w:shd w:val="clear" w:color="auto" w:fill="CFF0FC"/>
          </w:tcPr>
          <w:p>
            <w:pPr>
              <w:spacing w:after="0"/>
              <w:rPr>
                <w:sz w:val="18"/>
                <w:szCs w:val="18"/>
                <w:color w:val="auto"/>
              </w:rPr>
            </w:pPr>
          </w:p>
        </w:tc>
        <w:tc>
          <w:tcPr>
            <w:tcW w:w="2320" w:type="dxa"/>
            <w:vAlign w:val="bottom"/>
            <w:shd w:val="clear" w:color="auto" w:fill="CFF0FC"/>
          </w:tcPr>
          <w:p>
            <w:pPr>
              <w:jc w:val="center"/>
              <w:spacing w:after="0" w:line="216" w:lineRule="exact"/>
              <w:rPr>
                <w:sz w:val="20"/>
                <w:szCs w:val="20"/>
                <w:color w:val="auto"/>
              </w:rPr>
            </w:pPr>
            <w:r>
              <w:rPr>
                <w:rFonts w:ascii="Calibri" w:cs="Calibri" w:eastAsia="Calibri" w:hAnsi="Calibri"/>
                <w:sz w:val="18"/>
                <w:szCs w:val="18"/>
                <w:color w:val="auto"/>
                <w:w w:val="98"/>
              </w:rPr>
              <w:t>Quarterly, Semi-Annually</w:t>
            </w:r>
          </w:p>
        </w:tc>
        <w:tc>
          <w:tcPr>
            <w:tcW w:w="180" w:type="dxa"/>
            <w:vAlign w:val="bottom"/>
            <w:shd w:val="clear" w:color="auto" w:fill="CFF0FC"/>
          </w:tcPr>
          <w:p>
            <w:pPr>
              <w:spacing w:after="0"/>
              <w:rPr>
                <w:sz w:val="18"/>
                <w:szCs w:val="18"/>
                <w:color w:val="auto"/>
              </w:rPr>
            </w:pPr>
          </w:p>
        </w:tc>
        <w:tc>
          <w:tcPr>
            <w:tcW w:w="1600" w:type="dxa"/>
            <w:vAlign w:val="bottom"/>
            <w:shd w:val="clear" w:color="auto" w:fill="CFF0FC"/>
          </w:tcPr>
          <w:p>
            <w:pPr>
              <w:jc w:val="center"/>
              <w:spacing w:after="0" w:line="216" w:lineRule="exact"/>
              <w:rPr>
                <w:sz w:val="20"/>
                <w:szCs w:val="20"/>
                <w:color w:val="auto"/>
              </w:rPr>
            </w:pPr>
            <w:r>
              <w:rPr>
                <w:rFonts w:ascii="Calibri" w:cs="Calibri" w:eastAsia="Calibri" w:hAnsi="Calibri"/>
                <w:sz w:val="18"/>
                <w:szCs w:val="18"/>
                <w:color w:val="auto"/>
                <w:w w:val="98"/>
              </w:rPr>
              <w:t>60-90 days</w:t>
            </w:r>
          </w:p>
        </w:tc>
      </w:tr>
      <w:tr>
        <w:trPr>
          <w:trHeight w:val="215"/>
        </w:trPr>
        <w:tc>
          <w:tcPr>
            <w:tcW w:w="5280" w:type="dxa"/>
            <w:vAlign w:val="bottom"/>
          </w:tcPr>
          <w:p>
            <w:pPr>
              <w:ind w:left="20"/>
              <w:spacing w:after="0" w:line="215" w:lineRule="exact"/>
              <w:rPr>
                <w:sz w:val="20"/>
                <w:szCs w:val="20"/>
                <w:color w:val="auto"/>
              </w:rPr>
            </w:pPr>
            <w:r>
              <w:rPr>
                <w:rFonts w:ascii="Calibri" w:cs="Calibri" w:eastAsia="Calibri" w:hAnsi="Calibri"/>
                <w:sz w:val="18"/>
                <w:szCs w:val="18"/>
                <w:color w:val="auto"/>
              </w:rPr>
              <w:t>Long-biased hedge funds</w:t>
            </w: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79</w:t>
            </w:r>
          </w:p>
        </w:tc>
        <w:tc>
          <w:tcPr>
            <w:tcW w:w="280" w:type="dxa"/>
            <w:vAlign w:val="bottom"/>
          </w:tcPr>
          <w:p>
            <w:pPr>
              <w:spacing w:after="0"/>
              <w:rPr>
                <w:sz w:val="18"/>
                <w:szCs w:val="18"/>
                <w:color w:val="auto"/>
              </w:rPr>
            </w:pPr>
          </w:p>
        </w:tc>
        <w:tc>
          <w:tcPr>
            <w:tcW w:w="2320" w:type="dxa"/>
            <w:vAlign w:val="bottom"/>
          </w:tcPr>
          <w:p>
            <w:pPr>
              <w:jc w:val="center"/>
              <w:spacing w:after="0" w:line="215" w:lineRule="exact"/>
              <w:rPr>
                <w:sz w:val="20"/>
                <w:szCs w:val="20"/>
                <w:color w:val="auto"/>
              </w:rPr>
            </w:pPr>
            <w:r>
              <w:rPr>
                <w:rFonts w:ascii="Calibri" w:cs="Calibri" w:eastAsia="Calibri" w:hAnsi="Calibri"/>
                <w:sz w:val="18"/>
                <w:szCs w:val="18"/>
                <w:color w:val="auto"/>
                <w:w w:val="98"/>
              </w:rPr>
              <w:t>Quarterly, Annually</w:t>
            </w:r>
          </w:p>
        </w:tc>
        <w:tc>
          <w:tcPr>
            <w:tcW w:w="180" w:type="dxa"/>
            <w:vAlign w:val="bottom"/>
          </w:tcPr>
          <w:p>
            <w:pPr>
              <w:spacing w:after="0"/>
              <w:rPr>
                <w:sz w:val="18"/>
                <w:szCs w:val="18"/>
                <w:color w:val="auto"/>
              </w:rPr>
            </w:pPr>
          </w:p>
        </w:tc>
        <w:tc>
          <w:tcPr>
            <w:tcW w:w="1600" w:type="dxa"/>
            <w:vAlign w:val="bottom"/>
          </w:tcPr>
          <w:p>
            <w:pPr>
              <w:jc w:val="center"/>
              <w:spacing w:after="0" w:line="215" w:lineRule="exact"/>
              <w:rPr>
                <w:sz w:val="20"/>
                <w:szCs w:val="20"/>
                <w:color w:val="auto"/>
              </w:rPr>
            </w:pPr>
            <w:r>
              <w:rPr>
                <w:rFonts w:ascii="Calibri" w:cs="Calibri" w:eastAsia="Calibri" w:hAnsi="Calibri"/>
                <w:sz w:val="18"/>
                <w:szCs w:val="18"/>
                <w:color w:val="auto"/>
                <w:w w:val="98"/>
              </w:rPr>
              <w:t>60-90 days</w:t>
            </w:r>
          </w:p>
        </w:tc>
      </w:tr>
      <w:tr>
        <w:trPr>
          <w:trHeight w:val="249"/>
        </w:trPr>
        <w:tc>
          <w:tcPr>
            <w:tcW w:w="52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w w:val="87"/>
              </w:rPr>
              <w:t>$</w:t>
            </w:r>
          </w:p>
        </w:tc>
        <w:tc>
          <w:tcPr>
            <w:tcW w:w="134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689</w:t>
            </w:r>
          </w:p>
        </w:tc>
        <w:tc>
          <w:tcPr>
            <w:tcW w:w="280" w:type="dxa"/>
            <w:vAlign w:val="bottom"/>
            <w:tcBorders>
              <w:bottom w:val="single" w:sz="8" w:color="CFF0FC"/>
            </w:tcBorders>
            <w:shd w:val="clear" w:color="auto" w:fill="CFF0FC"/>
          </w:tcPr>
          <w:p>
            <w:pPr>
              <w:spacing w:after="0"/>
              <w:rPr>
                <w:sz w:val="21"/>
                <w:szCs w:val="21"/>
                <w:color w:val="auto"/>
              </w:rPr>
            </w:pPr>
          </w:p>
        </w:tc>
        <w:tc>
          <w:tcPr>
            <w:tcW w:w="23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CFF0FC"/>
            </w:tcBorders>
            <w:shd w:val="clear" w:color="auto" w:fill="CFF0FC"/>
          </w:tcPr>
          <w:p>
            <w:pPr>
              <w:spacing w:after="0"/>
              <w:rPr>
                <w:sz w:val="21"/>
                <w:szCs w:val="21"/>
                <w:color w:val="auto"/>
              </w:rPr>
            </w:pPr>
          </w:p>
        </w:tc>
      </w:tr>
      <w:tr>
        <w:trPr>
          <w:trHeight w:val="390"/>
        </w:trPr>
        <w:tc>
          <w:tcPr>
            <w:tcW w:w="5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20" w:type="dxa"/>
            <w:vAlign w:val="bottom"/>
          </w:tcPr>
          <w:p>
            <w:pPr>
              <w:jc w:val="center"/>
              <w:spacing w:after="0"/>
              <w:rPr>
                <w:sz w:val="20"/>
                <w:szCs w:val="20"/>
                <w:color w:val="auto"/>
              </w:rPr>
            </w:pPr>
            <w:r>
              <w:rPr>
                <w:rFonts w:ascii="Calibri" w:cs="Calibri" w:eastAsia="Calibri" w:hAnsi="Calibri"/>
                <w:sz w:val="18"/>
                <w:szCs w:val="18"/>
                <w:b w:val="1"/>
                <w:bCs w:val="1"/>
                <w:color w:val="auto"/>
                <w:w w:val="99"/>
              </w:rPr>
              <w:t>Summarized Asset Informaton</w:t>
            </w: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16"/>
        </w:trPr>
        <w:tc>
          <w:tcPr>
            <w:tcW w:w="5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2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7"/>
              </w:rPr>
              <w:t>December 31, 2023</w:t>
            </w: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432"/>
        </w:trPr>
        <w:tc>
          <w:tcPr>
            <w:tcW w:w="5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20" w:type="dxa"/>
            <w:vAlign w:val="bottom"/>
          </w:tcPr>
          <w:p>
            <w:pPr>
              <w:jc w:val="center"/>
              <w:spacing w:after="0"/>
              <w:rPr>
                <w:sz w:val="20"/>
                <w:szCs w:val="20"/>
                <w:color w:val="auto"/>
              </w:rPr>
            </w:pPr>
            <w:r>
              <w:rPr>
                <w:rFonts w:ascii="Calibri" w:cs="Calibri" w:eastAsia="Calibri" w:hAnsi="Calibri"/>
                <w:sz w:val="18"/>
                <w:szCs w:val="18"/>
                <w:b w:val="1"/>
                <w:bCs w:val="1"/>
                <w:color w:val="auto"/>
              </w:rPr>
              <w:t>Redempton</w:t>
            </w:r>
          </w:p>
        </w:tc>
        <w:tc>
          <w:tcPr>
            <w:tcW w:w="18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Calibri" w:cs="Calibri" w:eastAsia="Calibri" w:hAnsi="Calibri"/>
                <w:sz w:val="18"/>
                <w:szCs w:val="18"/>
                <w:b w:val="1"/>
                <w:bCs w:val="1"/>
                <w:color w:val="auto"/>
              </w:rPr>
              <w:t>Redempton</w:t>
            </w:r>
          </w:p>
        </w:tc>
      </w:tr>
      <w:tr>
        <w:trPr>
          <w:trHeight w:val="236"/>
        </w:trPr>
        <w:tc>
          <w:tcPr>
            <w:tcW w:w="5280" w:type="dxa"/>
            <w:vAlign w:val="bottom"/>
          </w:tcPr>
          <w:p>
            <w:pPr>
              <w:ind w:left="20"/>
              <w:spacing w:after="0"/>
              <w:rPr>
                <w:sz w:val="20"/>
                <w:szCs w:val="20"/>
                <w:color w:val="auto"/>
              </w:rPr>
            </w:pPr>
            <w:r>
              <w:rPr>
                <w:rFonts w:ascii="Calibri" w:cs="Calibri" w:eastAsia="Calibri" w:hAnsi="Calibri"/>
                <w:sz w:val="14"/>
                <w:szCs w:val="14"/>
                <w:color w:val="auto"/>
              </w:rPr>
              <w:t>(in millions)</w:t>
            </w: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70"/>
              <w:spacing w:after="0" w:line="216" w:lineRule="exact"/>
              <w:rPr>
                <w:sz w:val="20"/>
                <w:szCs w:val="20"/>
                <w:color w:val="auto"/>
              </w:rPr>
            </w:pPr>
            <w:r>
              <w:rPr>
                <w:rFonts w:ascii="Calibri" w:cs="Calibri" w:eastAsia="Calibri" w:hAnsi="Calibri"/>
                <w:sz w:val="18"/>
                <w:szCs w:val="18"/>
                <w:b w:val="1"/>
                <w:bCs w:val="1"/>
                <w:color w:val="auto"/>
                <w:w w:val="97"/>
              </w:rPr>
              <w:t>Net Asset Value</w:t>
            </w:r>
          </w:p>
        </w:tc>
        <w:tc>
          <w:tcPr>
            <w:tcW w:w="280" w:type="dxa"/>
            <w:vAlign w:val="bottom"/>
          </w:tcPr>
          <w:p>
            <w:pPr>
              <w:spacing w:after="0"/>
              <w:rPr>
                <w:sz w:val="20"/>
                <w:szCs w:val="20"/>
                <w:color w:val="auto"/>
              </w:rPr>
            </w:pPr>
          </w:p>
        </w:tc>
        <w:tc>
          <w:tcPr>
            <w:tcW w:w="2320" w:type="dxa"/>
            <w:vAlign w:val="bottom"/>
            <w:tcBorders>
              <w:bottom w:val="single" w:sz="8" w:color="auto"/>
            </w:tcBorders>
          </w:tcPr>
          <w:p>
            <w:pPr>
              <w:jc w:val="center"/>
              <w:spacing w:after="0" w:line="216" w:lineRule="exact"/>
              <w:rPr>
                <w:sz w:val="20"/>
                <w:szCs w:val="20"/>
                <w:color w:val="auto"/>
              </w:rPr>
            </w:pPr>
            <w:r>
              <w:rPr>
                <w:rFonts w:ascii="Calibri" w:cs="Calibri" w:eastAsia="Calibri" w:hAnsi="Calibri"/>
                <w:sz w:val="18"/>
                <w:szCs w:val="18"/>
                <w:b w:val="1"/>
                <w:bCs w:val="1"/>
                <w:color w:val="auto"/>
                <w:w w:val="97"/>
              </w:rPr>
              <w:t>Frequency</w:t>
            </w:r>
          </w:p>
        </w:tc>
        <w:tc>
          <w:tcPr>
            <w:tcW w:w="180" w:type="dxa"/>
            <w:vAlign w:val="bottom"/>
          </w:tcPr>
          <w:p>
            <w:pPr>
              <w:spacing w:after="0"/>
              <w:rPr>
                <w:sz w:val="20"/>
                <w:szCs w:val="20"/>
                <w:color w:val="auto"/>
              </w:rPr>
            </w:pPr>
          </w:p>
        </w:tc>
        <w:tc>
          <w:tcPr>
            <w:tcW w:w="1600" w:type="dxa"/>
            <w:vAlign w:val="bottom"/>
            <w:tcBorders>
              <w:bottom w:val="single" w:sz="8" w:color="auto"/>
            </w:tcBorders>
          </w:tcPr>
          <w:p>
            <w:pPr>
              <w:jc w:val="center"/>
              <w:spacing w:after="0" w:line="216" w:lineRule="exact"/>
              <w:rPr>
                <w:sz w:val="20"/>
                <w:szCs w:val="20"/>
                <w:color w:val="auto"/>
              </w:rPr>
            </w:pPr>
            <w:r>
              <w:rPr>
                <w:rFonts w:ascii="Calibri" w:cs="Calibri" w:eastAsia="Calibri" w:hAnsi="Calibri"/>
                <w:sz w:val="18"/>
                <w:szCs w:val="18"/>
                <w:b w:val="1"/>
                <w:bCs w:val="1"/>
                <w:color w:val="auto"/>
              </w:rPr>
              <w:t>Notce Period</w:t>
            </w:r>
          </w:p>
        </w:tc>
      </w:tr>
      <w:tr>
        <w:trPr>
          <w:trHeight w:val="213"/>
        </w:trPr>
        <w:tc>
          <w:tcPr>
            <w:tcW w:w="5280" w:type="dxa"/>
            <w:vAlign w:val="bottom"/>
            <w:shd w:val="clear" w:color="auto" w:fill="CFF0FC"/>
          </w:tcPr>
          <w:p>
            <w:pPr>
              <w:ind w:left="20"/>
              <w:spacing w:after="0" w:line="213" w:lineRule="exact"/>
              <w:rPr>
                <w:sz w:val="20"/>
                <w:szCs w:val="20"/>
                <w:color w:val="auto"/>
              </w:rPr>
            </w:pPr>
            <w:r>
              <w:rPr>
                <w:rFonts w:ascii="Calibri" w:cs="Calibri" w:eastAsia="Calibri" w:hAnsi="Calibri"/>
                <w:sz w:val="18"/>
                <w:szCs w:val="18"/>
                <w:color w:val="auto"/>
              </w:rPr>
              <w:t>Mult-strategy hedge funds</w:t>
            </w:r>
          </w:p>
        </w:tc>
        <w:tc>
          <w:tcPr>
            <w:tcW w:w="120" w:type="dxa"/>
            <w:vAlign w:val="bottom"/>
            <w:shd w:val="clear" w:color="auto" w:fill="CFF0FC"/>
          </w:tcPr>
          <w:p>
            <w:pPr>
              <w:jc w:val="right"/>
              <w:spacing w:after="0" w:line="213" w:lineRule="exact"/>
              <w:rPr>
                <w:sz w:val="20"/>
                <w:szCs w:val="20"/>
                <w:color w:val="auto"/>
              </w:rPr>
            </w:pPr>
            <w:r>
              <w:rPr>
                <w:rFonts w:ascii="Calibri" w:cs="Calibri" w:eastAsia="Calibri" w:hAnsi="Calibri"/>
                <w:sz w:val="18"/>
                <w:szCs w:val="18"/>
                <w:color w:val="auto"/>
                <w:w w:val="87"/>
              </w:rPr>
              <w:t>$</w:t>
            </w:r>
          </w:p>
        </w:tc>
        <w:tc>
          <w:tcPr>
            <w:tcW w:w="1340" w:type="dxa"/>
            <w:vAlign w:val="bottom"/>
            <w:shd w:val="clear" w:color="auto" w:fill="CFF0FC"/>
          </w:tcPr>
          <w:p>
            <w:pPr>
              <w:jc w:val="right"/>
              <w:spacing w:after="0" w:line="213" w:lineRule="exact"/>
              <w:rPr>
                <w:sz w:val="20"/>
                <w:szCs w:val="20"/>
                <w:color w:val="auto"/>
              </w:rPr>
            </w:pPr>
            <w:r>
              <w:rPr>
                <w:rFonts w:ascii="Calibri" w:cs="Calibri" w:eastAsia="Calibri" w:hAnsi="Calibri"/>
                <w:sz w:val="18"/>
                <w:szCs w:val="18"/>
                <w:color w:val="auto"/>
              </w:rPr>
              <w:t>509</w:t>
            </w:r>
          </w:p>
        </w:tc>
        <w:tc>
          <w:tcPr>
            <w:tcW w:w="280" w:type="dxa"/>
            <w:vAlign w:val="bottom"/>
            <w:shd w:val="clear" w:color="auto" w:fill="CFF0FC"/>
          </w:tcPr>
          <w:p>
            <w:pPr>
              <w:spacing w:after="0"/>
              <w:rPr>
                <w:sz w:val="18"/>
                <w:szCs w:val="18"/>
                <w:color w:val="auto"/>
              </w:rPr>
            </w:pPr>
          </w:p>
        </w:tc>
        <w:tc>
          <w:tcPr>
            <w:tcW w:w="2320" w:type="dxa"/>
            <w:vAlign w:val="bottom"/>
            <w:shd w:val="clear" w:color="auto" w:fill="CFF0FC"/>
          </w:tcPr>
          <w:p>
            <w:pPr>
              <w:jc w:val="center"/>
              <w:spacing w:after="0" w:line="213" w:lineRule="exact"/>
              <w:rPr>
                <w:sz w:val="20"/>
                <w:szCs w:val="20"/>
                <w:color w:val="auto"/>
              </w:rPr>
            </w:pPr>
            <w:r>
              <w:rPr>
                <w:rFonts w:ascii="Calibri" w:cs="Calibri" w:eastAsia="Calibri" w:hAnsi="Calibri"/>
                <w:sz w:val="18"/>
                <w:szCs w:val="18"/>
                <w:color w:val="auto"/>
                <w:w w:val="97"/>
              </w:rPr>
              <w:t>Quarterly</w:t>
            </w:r>
          </w:p>
        </w:tc>
        <w:tc>
          <w:tcPr>
            <w:tcW w:w="180" w:type="dxa"/>
            <w:vAlign w:val="bottom"/>
            <w:shd w:val="clear" w:color="auto" w:fill="CFF0FC"/>
          </w:tcPr>
          <w:p>
            <w:pPr>
              <w:spacing w:after="0"/>
              <w:rPr>
                <w:sz w:val="18"/>
                <w:szCs w:val="18"/>
                <w:color w:val="auto"/>
              </w:rPr>
            </w:pPr>
          </w:p>
        </w:tc>
        <w:tc>
          <w:tcPr>
            <w:tcW w:w="1600" w:type="dxa"/>
            <w:vAlign w:val="bottom"/>
            <w:shd w:val="clear" w:color="auto" w:fill="CFF0FC"/>
          </w:tcPr>
          <w:p>
            <w:pPr>
              <w:jc w:val="center"/>
              <w:spacing w:after="0" w:line="213" w:lineRule="exact"/>
              <w:rPr>
                <w:sz w:val="20"/>
                <w:szCs w:val="20"/>
                <w:color w:val="auto"/>
              </w:rPr>
            </w:pPr>
            <w:r>
              <w:rPr>
                <w:rFonts w:ascii="Calibri" w:cs="Calibri" w:eastAsia="Calibri" w:hAnsi="Calibri"/>
                <w:sz w:val="18"/>
                <w:szCs w:val="18"/>
                <w:color w:val="auto"/>
                <w:w w:val="98"/>
              </w:rPr>
              <w:t>45-90 days</w:t>
            </w:r>
          </w:p>
        </w:tc>
      </w:tr>
      <w:tr>
        <w:trPr>
          <w:trHeight w:val="215"/>
        </w:trPr>
        <w:tc>
          <w:tcPr>
            <w:tcW w:w="5280" w:type="dxa"/>
            <w:vAlign w:val="bottom"/>
          </w:tcPr>
          <w:p>
            <w:pPr>
              <w:ind w:left="20"/>
              <w:spacing w:after="0" w:line="215" w:lineRule="exact"/>
              <w:rPr>
                <w:sz w:val="20"/>
                <w:szCs w:val="20"/>
                <w:color w:val="auto"/>
              </w:rPr>
            </w:pPr>
            <w:r>
              <w:rPr>
                <w:rFonts w:ascii="Calibri" w:cs="Calibri" w:eastAsia="Calibri" w:hAnsi="Calibri"/>
                <w:sz w:val="18"/>
                <w:szCs w:val="18"/>
                <w:color w:val="auto"/>
              </w:rPr>
              <w:t>Relatve value hedge funds</w:t>
            </w:r>
          </w:p>
        </w:tc>
        <w:tc>
          <w:tcPr>
            <w:tcW w:w="120" w:type="dxa"/>
            <w:vAlign w:val="bottom"/>
          </w:tcPr>
          <w:p>
            <w:pPr>
              <w:spacing w:after="0"/>
              <w:rPr>
                <w:sz w:val="18"/>
                <w:szCs w:val="18"/>
                <w:color w:val="auto"/>
              </w:rPr>
            </w:pPr>
          </w:p>
        </w:tc>
        <w:tc>
          <w:tcPr>
            <w:tcW w:w="1340" w:type="dxa"/>
            <w:vAlign w:val="bottom"/>
          </w:tcPr>
          <w:p>
            <w:pPr>
              <w:jc w:val="right"/>
              <w:spacing w:after="0" w:line="215" w:lineRule="exact"/>
              <w:rPr>
                <w:sz w:val="20"/>
                <w:szCs w:val="20"/>
                <w:color w:val="auto"/>
              </w:rPr>
            </w:pPr>
            <w:r>
              <w:rPr>
                <w:rFonts w:ascii="Calibri" w:cs="Calibri" w:eastAsia="Calibri" w:hAnsi="Calibri"/>
                <w:sz w:val="18"/>
                <w:szCs w:val="18"/>
                <w:color w:val="auto"/>
              </w:rPr>
              <w:t>342</w:t>
            </w:r>
          </w:p>
        </w:tc>
        <w:tc>
          <w:tcPr>
            <w:tcW w:w="280" w:type="dxa"/>
            <w:vAlign w:val="bottom"/>
          </w:tcPr>
          <w:p>
            <w:pPr>
              <w:spacing w:after="0"/>
              <w:rPr>
                <w:sz w:val="18"/>
                <w:szCs w:val="18"/>
                <w:color w:val="auto"/>
              </w:rPr>
            </w:pPr>
          </w:p>
        </w:tc>
        <w:tc>
          <w:tcPr>
            <w:tcW w:w="2320" w:type="dxa"/>
            <w:vAlign w:val="bottom"/>
          </w:tcPr>
          <w:p>
            <w:pPr>
              <w:jc w:val="center"/>
              <w:spacing w:after="0" w:line="215" w:lineRule="exact"/>
              <w:rPr>
                <w:sz w:val="20"/>
                <w:szCs w:val="20"/>
                <w:color w:val="auto"/>
              </w:rPr>
            </w:pPr>
            <w:r>
              <w:rPr>
                <w:rFonts w:ascii="Calibri" w:cs="Calibri" w:eastAsia="Calibri" w:hAnsi="Calibri"/>
                <w:sz w:val="18"/>
                <w:szCs w:val="18"/>
                <w:color w:val="auto"/>
                <w:w w:val="98"/>
              </w:rPr>
              <w:t>Bi-monthly, Quarterly</w:t>
            </w:r>
          </w:p>
        </w:tc>
        <w:tc>
          <w:tcPr>
            <w:tcW w:w="180" w:type="dxa"/>
            <w:vAlign w:val="bottom"/>
          </w:tcPr>
          <w:p>
            <w:pPr>
              <w:spacing w:after="0"/>
              <w:rPr>
                <w:sz w:val="18"/>
                <w:szCs w:val="18"/>
                <w:color w:val="auto"/>
              </w:rPr>
            </w:pPr>
          </w:p>
        </w:tc>
        <w:tc>
          <w:tcPr>
            <w:tcW w:w="1600" w:type="dxa"/>
            <w:vAlign w:val="bottom"/>
          </w:tcPr>
          <w:p>
            <w:pPr>
              <w:jc w:val="center"/>
              <w:spacing w:after="0" w:line="215" w:lineRule="exact"/>
              <w:rPr>
                <w:sz w:val="20"/>
                <w:szCs w:val="20"/>
                <w:color w:val="auto"/>
              </w:rPr>
            </w:pPr>
            <w:r>
              <w:rPr>
                <w:rFonts w:ascii="Calibri" w:cs="Calibri" w:eastAsia="Calibri" w:hAnsi="Calibri"/>
                <w:sz w:val="18"/>
                <w:szCs w:val="18"/>
                <w:color w:val="auto"/>
                <w:w w:val="98"/>
              </w:rPr>
              <w:t>6-120 days</w:t>
            </w:r>
          </w:p>
        </w:tc>
      </w:tr>
      <w:tr>
        <w:trPr>
          <w:trHeight w:val="217"/>
        </w:trPr>
        <w:tc>
          <w:tcPr>
            <w:tcW w:w="528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Directonal hedge funds</w:t>
            </w: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143</w:t>
            </w:r>
          </w:p>
        </w:tc>
        <w:tc>
          <w:tcPr>
            <w:tcW w:w="280" w:type="dxa"/>
            <w:vAlign w:val="bottom"/>
            <w:shd w:val="clear" w:color="auto" w:fill="CFF0FC"/>
          </w:tcPr>
          <w:p>
            <w:pPr>
              <w:spacing w:after="0"/>
              <w:rPr>
                <w:sz w:val="18"/>
                <w:szCs w:val="18"/>
                <w:color w:val="auto"/>
              </w:rPr>
            </w:pPr>
          </w:p>
        </w:tc>
        <w:tc>
          <w:tcPr>
            <w:tcW w:w="2320" w:type="dxa"/>
            <w:vAlign w:val="bottom"/>
            <w:shd w:val="clear" w:color="auto" w:fill="CFF0FC"/>
          </w:tcPr>
          <w:p>
            <w:pPr>
              <w:jc w:val="center"/>
              <w:spacing w:after="0" w:line="216" w:lineRule="exact"/>
              <w:rPr>
                <w:sz w:val="20"/>
                <w:szCs w:val="20"/>
                <w:color w:val="auto"/>
              </w:rPr>
            </w:pPr>
            <w:r>
              <w:rPr>
                <w:rFonts w:ascii="Calibri" w:cs="Calibri" w:eastAsia="Calibri" w:hAnsi="Calibri"/>
                <w:sz w:val="18"/>
                <w:szCs w:val="18"/>
                <w:color w:val="auto"/>
                <w:w w:val="96"/>
              </w:rPr>
              <w:t>Monthly</w:t>
            </w:r>
          </w:p>
        </w:tc>
        <w:tc>
          <w:tcPr>
            <w:tcW w:w="180" w:type="dxa"/>
            <w:vAlign w:val="bottom"/>
            <w:shd w:val="clear" w:color="auto" w:fill="CFF0FC"/>
          </w:tcPr>
          <w:p>
            <w:pPr>
              <w:spacing w:after="0"/>
              <w:rPr>
                <w:sz w:val="18"/>
                <w:szCs w:val="18"/>
                <w:color w:val="auto"/>
              </w:rPr>
            </w:pPr>
          </w:p>
        </w:tc>
        <w:tc>
          <w:tcPr>
            <w:tcW w:w="1600" w:type="dxa"/>
            <w:vAlign w:val="bottom"/>
            <w:shd w:val="clear" w:color="auto" w:fill="CFF0FC"/>
          </w:tcPr>
          <w:p>
            <w:pPr>
              <w:jc w:val="center"/>
              <w:spacing w:after="0" w:line="216" w:lineRule="exact"/>
              <w:rPr>
                <w:sz w:val="20"/>
                <w:szCs w:val="20"/>
                <w:color w:val="auto"/>
              </w:rPr>
            </w:pPr>
            <w:r>
              <w:rPr>
                <w:rFonts w:ascii="Calibri" w:cs="Calibri" w:eastAsia="Calibri" w:hAnsi="Calibri"/>
                <w:sz w:val="18"/>
                <w:szCs w:val="18"/>
                <w:color w:val="auto"/>
                <w:w w:val="98"/>
              </w:rPr>
              <w:t>5 days</w:t>
            </w:r>
          </w:p>
        </w:tc>
      </w:tr>
      <w:tr>
        <w:trPr>
          <w:trHeight w:val="215"/>
        </w:trPr>
        <w:tc>
          <w:tcPr>
            <w:tcW w:w="5280" w:type="dxa"/>
            <w:vAlign w:val="bottom"/>
          </w:tcPr>
          <w:p>
            <w:pPr>
              <w:ind w:left="20"/>
              <w:spacing w:after="0" w:line="215" w:lineRule="exact"/>
              <w:rPr>
                <w:sz w:val="20"/>
                <w:szCs w:val="20"/>
                <w:color w:val="auto"/>
              </w:rPr>
            </w:pPr>
            <w:r>
              <w:rPr>
                <w:rFonts w:ascii="Calibri" w:cs="Calibri" w:eastAsia="Calibri" w:hAnsi="Calibri"/>
                <w:sz w:val="18"/>
                <w:szCs w:val="18"/>
                <w:color w:val="auto"/>
              </w:rPr>
              <w:t>Equity long/short hedge funds</w:t>
            </w:r>
          </w:p>
        </w:tc>
        <w:tc>
          <w:tcPr>
            <w:tcW w:w="120" w:type="dxa"/>
            <w:vAlign w:val="bottom"/>
          </w:tcPr>
          <w:p>
            <w:pPr>
              <w:spacing w:after="0"/>
              <w:rPr>
                <w:sz w:val="18"/>
                <w:szCs w:val="18"/>
                <w:color w:val="auto"/>
              </w:rPr>
            </w:pPr>
          </w:p>
        </w:tc>
        <w:tc>
          <w:tcPr>
            <w:tcW w:w="1340" w:type="dxa"/>
            <w:vAlign w:val="bottom"/>
          </w:tcPr>
          <w:p>
            <w:pPr>
              <w:jc w:val="right"/>
              <w:spacing w:after="0" w:line="215" w:lineRule="exact"/>
              <w:rPr>
                <w:sz w:val="20"/>
                <w:szCs w:val="20"/>
                <w:color w:val="auto"/>
              </w:rPr>
            </w:pPr>
            <w:r>
              <w:rPr>
                <w:rFonts w:ascii="Calibri" w:cs="Calibri" w:eastAsia="Calibri" w:hAnsi="Calibri"/>
                <w:sz w:val="18"/>
                <w:szCs w:val="18"/>
                <w:color w:val="auto"/>
              </w:rPr>
              <w:t>264</w:t>
            </w:r>
          </w:p>
        </w:tc>
        <w:tc>
          <w:tcPr>
            <w:tcW w:w="280" w:type="dxa"/>
            <w:vAlign w:val="bottom"/>
          </w:tcPr>
          <w:p>
            <w:pPr>
              <w:spacing w:after="0"/>
              <w:rPr>
                <w:sz w:val="18"/>
                <w:szCs w:val="18"/>
                <w:color w:val="auto"/>
              </w:rPr>
            </w:pPr>
          </w:p>
        </w:tc>
        <w:tc>
          <w:tcPr>
            <w:tcW w:w="2320" w:type="dxa"/>
            <w:vAlign w:val="bottom"/>
          </w:tcPr>
          <w:p>
            <w:pPr>
              <w:jc w:val="center"/>
              <w:spacing w:after="0" w:line="215" w:lineRule="exact"/>
              <w:rPr>
                <w:sz w:val="20"/>
                <w:szCs w:val="20"/>
                <w:color w:val="auto"/>
              </w:rPr>
            </w:pPr>
            <w:r>
              <w:rPr>
                <w:rFonts w:ascii="Calibri" w:cs="Calibri" w:eastAsia="Calibri" w:hAnsi="Calibri"/>
                <w:sz w:val="18"/>
                <w:szCs w:val="18"/>
                <w:color w:val="auto"/>
                <w:w w:val="98"/>
              </w:rPr>
              <w:t>Monthly, Quarterly</w:t>
            </w:r>
          </w:p>
        </w:tc>
        <w:tc>
          <w:tcPr>
            <w:tcW w:w="180" w:type="dxa"/>
            <w:vAlign w:val="bottom"/>
          </w:tcPr>
          <w:p>
            <w:pPr>
              <w:spacing w:after="0"/>
              <w:rPr>
                <w:sz w:val="18"/>
                <w:szCs w:val="18"/>
                <w:color w:val="auto"/>
              </w:rPr>
            </w:pPr>
          </w:p>
        </w:tc>
        <w:tc>
          <w:tcPr>
            <w:tcW w:w="1600" w:type="dxa"/>
            <w:vAlign w:val="bottom"/>
          </w:tcPr>
          <w:p>
            <w:pPr>
              <w:jc w:val="center"/>
              <w:spacing w:after="0" w:line="215" w:lineRule="exact"/>
              <w:rPr>
                <w:sz w:val="20"/>
                <w:szCs w:val="20"/>
                <w:color w:val="auto"/>
              </w:rPr>
            </w:pPr>
            <w:r>
              <w:rPr>
                <w:rFonts w:ascii="Calibri" w:cs="Calibri" w:eastAsia="Calibri" w:hAnsi="Calibri"/>
                <w:sz w:val="18"/>
                <w:szCs w:val="18"/>
                <w:color w:val="auto"/>
                <w:w w:val="98"/>
              </w:rPr>
              <w:t>45-90 days</w:t>
            </w:r>
          </w:p>
        </w:tc>
      </w:tr>
      <w:tr>
        <w:trPr>
          <w:trHeight w:val="217"/>
        </w:trPr>
        <w:tc>
          <w:tcPr>
            <w:tcW w:w="528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Sector specialist hedge funds</w:t>
            </w: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120</w:t>
            </w:r>
          </w:p>
        </w:tc>
        <w:tc>
          <w:tcPr>
            <w:tcW w:w="280" w:type="dxa"/>
            <w:vAlign w:val="bottom"/>
            <w:shd w:val="clear" w:color="auto" w:fill="CFF0FC"/>
          </w:tcPr>
          <w:p>
            <w:pPr>
              <w:spacing w:after="0"/>
              <w:rPr>
                <w:sz w:val="18"/>
                <w:szCs w:val="18"/>
                <w:color w:val="auto"/>
              </w:rPr>
            </w:pPr>
          </w:p>
        </w:tc>
        <w:tc>
          <w:tcPr>
            <w:tcW w:w="2320" w:type="dxa"/>
            <w:vAlign w:val="bottom"/>
            <w:shd w:val="clear" w:color="auto" w:fill="CFF0FC"/>
          </w:tcPr>
          <w:p>
            <w:pPr>
              <w:jc w:val="center"/>
              <w:spacing w:after="0" w:line="216" w:lineRule="exact"/>
              <w:rPr>
                <w:sz w:val="20"/>
                <w:szCs w:val="20"/>
                <w:color w:val="auto"/>
              </w:rPr>
            </w:pPr>
            <w:r>
              <w:rPr>
                <w:rFonts w:ascii="Calibri" w:cs="Calibri" w:eastAsia="Calibri" w:hAnsi="Calibri"/>
                <w:sz w:val="18"/>
                <w:szCs w:val="18"/>
                <w:color w:val="auto"/>
                <w:w w:val="98"/>
              </w:rPr>
              <w:t>Quarterly, Semi-Annually</w:t>
            </w:r>
          </w:p>
        </w:tc>
        <w:tc>
          <w:tcPr>
            <w:tcW w:w="180" w:type="dxa"/>
            <w:vAlign w:val="bottom"/>
            <w:shd w:val="clear" w:color="auto" w:fill="CFF0FC"/>
          </w:tcPr>
          <w:p>
            <w:pPr>
              <w:spacing w:after="0"/>
              <w:rPr>
                <w:sz w:val="18"/>
                <w:szCs w:val="18"/>
                <w:color w:val="auto"/>
              </w:rPr>
            </w:pPr>
          </w:p>
        </w:tc>
        <w:tc>
          <w:tcPr>
            <w:tcW w:w="1600" w:type="dxa"/>
            <w:vAlign w:val="bottom"/>
            <w:shd w:val="clear" w:color="auto" w:fill="CFF0FC"/>
          </w:tcPr>
          <w:p>
            <w:pPr>
              <w:jc w:val="center"/>
              <w:spacing w:after="0" w:line="216" w:lineRule="exact"/>
              <w:rPr>
                <w:sz w:val="20"/>
                <w:szCs w:val="20"/>
                <w:color w:val="auto"/>
              </w:rPr>
            </w:pPr>
            <w:r>
              <w:rPr>
                <w:rFonts w:ascii="Calibri" w:cs="Calibri" w:eastAsia="Calibri" w:hAnsi="Calibri"/>
                <w:sz w:val="18"/>
                <w:szCs w:val="18"/>
                <w:color w:val="auto"/>
                <w:w w:val="98"/>
              </w:rPr>
              <w:t>60-90 days</w:t>
            </w:r>
          </w:p>
        </w:tc>
      </w:tr>
      <w:tr>
        <w:trPr>
          <w:trHeight w:val="215"/>
        </w:trPr>
        <w:tc>
          <w:tcPr>
            <w:tcW w:w="5280" w:type="dxa"/>
            <w:vAlign w:val="bottom"/>
          </w:tcPr>
          <w:p>
            <w:pPr>
              <w:ind w:left="20"/>
              <w:spacing w:after="0" w:line="215" w:lineRule="exact"/>
              <w:rPr>
                <w:sz w:val="20"/>
                <w:szCs w:val="20"/>
                <w:color w:val="auto"/>
              </w:rPr>
            </w:pPr>
            <w:r>
              <w:rPr>
                <w:rFonts w:ascii="Calibri" w:cs="Calibri" w:eastAsia="Calibri" w:hAnsi="Calibri"/>
                <w:sz w:val="18"/>
                <w:szCs w:val="18"/>
                <w:color w:val="auto"/>
              </w:rPr>
              <w:t>Long-biased hedge funds</w:t>
            </w:r>
          </w:p>
        </w:tc>
        <w:tc>
          <w:tcPr>
            <w:tcW w:w="120" w:type="dxa"/>
            <w:vAlign w:val="bottom"/>
          </w:tcPr>
          <w:p>
            <w:pPr>
              <w:spacing w:after="0"/>
              <w:rPr>
                <w:sz w:val="18"/>
                <w:szCs w:val="18"/>
                <w:color w:val="auto"/>
              </w:rPr>
            </w:pPr>
          </w:p>
        </w:tc>
        <w:tc>
          <w:tcPr>
            <w:tcW w:w="1340" w:type="dxa"/>
            <w:vAlign w:val="bottom"/>
          </w:tcPr>
          <w:p>
            <w:pPr>
              <w:jc w:val="right"/>
              <w:spacing w:after="0" w:line="215" w:lineRule="exact"/>
              <w:rPr>
                <w:sz w:val="20"/>
                <w:szCs w:val="20"/>
                <w:color w:val="auto"/>
              </w:rPr>
            </w:pPr>
            <w:r>
              <w:rPr>
                <w:rFonts w:ascii="Calibri" w:cs="Calibri" w:eastAsia="Calibri" w:hAnsi="Calibri"/>
                <w:sz w:val="18"/>
                <w:szCs w:val="18"/>
                <w:color w:val="auto"/>
              </w:rPr>
              <w:t>160</w:t>
            </w:r>
          </w:p>
        </w:tc>
        <w:tc>
          <w:tcPr>
            <w:tcW w:w="280" w:type="dxa"/>
            <w:vAlign w:val="bottom"/>
          </w:tcPr>
          <w:p>
            <w:pPr>
              <w:spacing w:after="0"/>
              <w:rPr>
                <w:sz w:val="18"/>
                <w:szCs w:val="18"/>
                <w:color w:val="auto"/>
              </w:rPr>
            </w:pPr>
          </w:p>
        </w:tc>
        <w:tc>
          <w:tcPr>
            <w:tcW w:w="2320" w:type="dxa"/>
            <w:vAlign w:val="bottom"/>
          </w:tcPr>
          <w:p>
            <w:pPr>
              <w:jc w:val="center"/>
              <w:spacing w:after="0" w:line="215" w:lineRule="exact"/>
              <w:rPr>
                <w:sz w:val="20"/>
                <w:szCs w:val="20"/>
                <w:color w:val="auto"/>
              </w:rPr>
            </w:pPr>
            <w:r>
              <w:rPr>
                <w:rFonts w:ascii="Calibri" w:cs="Calibri" w:eastAsia="Calibri" w:hAnsi="Calibri"/>
                <w:sz w:val="18"/>
                <w:szCs w:val="18"/>
                <w:color w:val="auto"/>
                <w:w w:val="98"/>
              </w:rPr>
              <w:t>Quarterly, Annually</w:t>
            </w:r>
          </w:p>
        </w:tc>
        <w:tc>
          <w:tcPr>
            <w:tcW w:w="180" w:type="dxa"/>
            <w:vAlign w:val="bottom"/>
          </w:tcPr>
          <w:p>
            <w:pPr>
              <w:spacing w:after="0"/>
              <w:rPr>
                <w:sz w:val="18"/>
                <w:szCs w:val="18"/>
                <w:color w:val="auto"/>
              </w:rPr>
            </w:pPr>
          </w:p>
        </w:tc>
        <w:tc>
          <w:tcPr>
            <w:tcW w:w="1600" w:type="dxa"/>
            <w:vAlign w:val="bottom"/>
          </w:tcPr>
          <w:p>
            <w:pPr>
              <w:jc w:val="center"/>
              <w:spacing w:after="0" w:line="215" w:lineRule="exact"/>
              <w:rPr>
                <w:sz w:val="20"/>
                <w:szCs w:val="20"/>
                <w:color w:val="auto"/>
              </w:rPr>
            </w:pPr>
            <w:r>
              <w:rPr>
                <w:rFonts w:ascii="Calibri" w:cs="Calibri" w:eastAsia="Calibri" w:hAnsi="Calibri"/>
                <w:sz w:val="18"/>
                <w:szCs w:val="18"/>
                <w:color w:val="auto"/>
                <w:w w:val="98"/>
              </w:rPr>
              <w:t>60-90 days</w:t>
            </w:r>
          </w:p>
        </w:tc>
      </w:tr>
      <w:tr>
        <w:trPr>
          <w:trHeight w:val="216"/>
        </w:trPr>
        <w:tc>
          <w:tcPr>
            <w:tcW w:w="5280" w:type="dxa"/>
            <w:vAlign w:val="bottom"/>
            <w:tcBorders>
              <w:bottom w:val="single" w:sz="8" w:color="CFF0FC"/>
            </w:tcBorders>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Event driven hedge funds</w:t>
            </w:r>
          </w:p>
        </w:tc>
        <w:tc>
          <w:tcPr>
            <w:tcW w:w="1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14</w:t>
            </w:r>
          </w:p>
        </w:tc>
        <w:tc>
          <w:tcPr>
            <w:tcW w:w="280" w:type="dxa"/>
            <w:vAlign w:val="bottom"/>
            <w:tcBorders>
              <w:bottom w:val="single" w:sz="8" w:color="CFF0FC"/>
            </w:tcBorders>
            <w:shd w:val="clear" w:color="auto" w:fill="CFF0FC"/>
          </w:tcPr>
          <w:p>
            <w:pPr>
              <w:spacing w:after="0"/>
              <w:rPr>
                <w:sz w:val="18"/>
                <w:szCs w:val="18"/>
                <w:color w:val="auto"/>
              </w:rPr>
            </w:pPr>
          </w:p>
        </w:tc>
        <w:tc>
          <w:tcPr>
            <w:tcW w:w="2320" w:type="dxa"/>
            <w:vAlign w:val="bottom"/>
            <w:tcBorders>
              <w:bottom w:val="single" w:sz="8" w:color="CFF0FC"/>
            </w:tcBorders>
            <w:shd w:val="clear" w:color="auto" w:fill="CFF0FC"/>
          </w:tcPr>
          <w:p>
            <w:pPr>
              <w:jc w:val="center"/>
              <w:spacing w:after="0" w:line="216" w:lineRule="exact"/>
              <w:rPr>
                <w:sz w:val="20"/>
                <w:szCs w:val="20"/>
                <w:color w:val="auto"/>
              </w:rPr>
            </w:pPr>
            <w:r>
              <w:rPr>
                <w:rFonts w:ascii="Calibri" w:cs="Calibri" w:eastAsia="Calibri" w:hAnsi="Calibri"/>
                <w:sz w:val="18"/>
                <w:szCs w:val="18"/>
                <w:color w:val="auto"/>
                <w:w w:val="97"/>
              </w:rPr>
              <w:t>Quarterly</w:t>
            </w:r>
          </w:p>
        </w:tc>
        <w:tc>
          <w:tcPr>
            <w:tcW w:w="180" w:type="dxa"/>
            <w:vAlign w:val="bottom"/>
            <w:tcBorders>
              <w:bottom w:val="single" w:sz="8" w:color="CFF0FC"/>
            </w:tcBorders>
            <w:shd w:val="clear" w:color="auto" w:fill="CFF0FC"/>
          </w:tcPr>
          <w:p>
            <w:pPr>
              <w:spacing w:after="0"/>
              <w:rPr>
                <w:sz w:val="18"/>
                <w:szCs w:val="18"/>
                <w:color w:val="auto"/>
              </w:rPr>
            </w:pPr>
          </w:p>
        </w:tc>
        <w:tc>
          <w:tcPr>
            <w:tcW w:w="1600" w:type="dxa"/>
            <w:vAlign w:val="bottom"/>
            <w:tcBorders>
              <w:bottom w:val="single" w:sz="8" w:color="CFF0FC"/>
            </w:tcBorders>
            <w:shd w:val="clear" w:color="auto" w:fill="CFF0FC"/>
          </w:tcPr>
          <w:p>
            <w:pPr>
              <w:jc w:val="center"/>
              <w:spacing w:after="0" w:line="216" w:lineRule="exact"/>
              <w:rPr>
                <w:sz w:val="20"/>
                <w:szCs w:val="20"/>
                <w:color w:val="auto"/>
              </w:rPr>
            </w:pPr>
            <w:r>
              <w:rPr>
                <w:rFonts w:ascii="Calibri" w:cs="Calibri" w:eastAsia="Calibri" w:hAnsi="Calibri"/>
                <w:sz w:val="18"/>
                <w:szCs w:val="18"/>
                <w:color w:val="auto"/>
                <w:w w:val="97"/>
              </w:rPr>
              <w:t>90 days</w:t>
            </w:r>
          </w:p>
        </w:tc>
      </w:tr>
      <w:tr>
        <w:trPr>
          <w:trHeight w:val="209"/>
        </w:trPr>
        <w:tc>
          <w:tcPr>
            <w:tcW w:w="5280" w:type="dxa"/>
            <w:vAlign w:val="bottom"/>
          </w:tcPr>
          <w:p>
            <w:pPr>
              <w:spacing w:after="0"/>
              <w:rPr>
                <w:sz w:val="18"/>
                <w:szCs w:val="18"/>
                <w:color w:val="auto"/>
              </w:rPr>
            </w:pPr>
          </w:p>
        </w:tc>
        <w:tc>
          <w:tcPr>
            <w:tcW w:w="12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w w:val="87"/>
              </w:rPr>
              <w:t>$</w:t>
            </w:r>
          </w:p>
        </w:tc>
        <w:tc>
          <w:tcPr>
            <w:tcW w:w="134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1,552</w:t>
            </w:r>
          </w:p>
        </w:tc>
        <w:tc>
          <w:tcPr>
            <w:tcW w:w="2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0"/>
        </w:trPr>
        <w:tc>
          <w:tcPr>
            <w:tcW w:w="5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-1988185</wp:posOffset>
            </wp:positionV>
            <wp:extent cx="6858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-1971040</wp:posOffset>
            </wp:positionV>
            <wp:extent cx="6858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-170815</wp:posOffset>
            </wp:positionV>
            <wp:extent cx="68580"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Hedge funds typically have the right to restrict redempton requests beyond Kodak’s control. In these cases, redemptons may extend beyond the general redempton terms outlined in the table above. Certain hedge fund investments have no redempton rights and will become liquid only upon sale by the hedge fund managers. As of the year ended December 31, 2023, these investments represented approximately 1% of the hedge funds investments valued at NAV. As of December 31, 2024, these investments were fully liquidated.</w:t>
      </w:r>
    </w:p>
    <w:p>
      <w:pPr>
        <w:spacing w:after="0" w:line="17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Liquidity</w:t>
      </w:r>
    </w:p>
    <w:p>
      <w:pPr>
        <w:spacing w:after="0" w:line="190" w:lineRule="exact"/>
        <w:rPr>
          <w:sz w:val="20"/>
          <w:szCs w:val="20"/>
          <w:color w:val="auto"/>
        </w:rPr>
      </w:pPr>
    </w:p>
    <w:p>
      <w:pPr>
        <w:jc w:val="both"/>
        <w:ind w:right="140"/>
        <w:spacing w:after="0" w:line="235" w:lineRule="auto"/>
        <w:rPr>
          <w:sz w:val="20"/>
          <w:szCs w:val="20"/>
          <w:color w:val="auto"/>
        </w:rPr>
      </w:pPr>
      <w:r>
        <w:rPr>
          <w:rFonts w:ascii="Calibri" w:cs="Calibri" w:eastAsia="Calibri" w:hAnsi="Calibri"/>
          <w:sz w:val="18"/>
          <w:szCs w:val="18"/>
          <w:color w:val="auto"/>
        </w:rPr>
        <w:t>Approximately 5% of total U.S. Plan assets as of December 31, 2024 are invested in private equity funds, where the U.S. Plan receives distributons through the liquidaton of the underlying investments. Liquidity of U.S. Plan assets is managed to minimize the likelihood that these investments would need to be sold to cover beneft payments, derivatve losses, or any other short-term need.</w:t>
      </w:r>
    </w:p>
    <w:p>
      <w:pPr>
        <w:spacing w:after="0" w:line="178" w:lineRule="exact"/>
        <w:rPr>
          <w:sz w:val="20"/>
          <w:szCs w:val="20"/>
          <w:color w:val="auto"/>
        </w:rPr>
      </w:pPr>
    </w:p>
    <w:p>
      <w:pPr>
        <w:jc w:val="both"/>
        <w:ind w:right="120"/>
        <w:spacing w:after="0" w:line="235" w:lineRule="auto"/>
        <w:rPr>
          <w:sz w:val="20"/>
          <w:szCs w:val="20"/>
          <w:color w:val="auto"/>
        </w:rPr>
      </w:pPr>
      <w:r>
        <w:rPr>
          <w:rFonts w:ascii="Calibri" w:cs="Calibri" w:eastAsia="Calibri" w:hAnsi="Calibri"/>
          <w:sz w:val="18"/>
          <w:szCs w:val="18"/>
          <w:color w:val="auto"/>
        </w:rPr>
        <w:t>The total unfunded commitments, if and when they are called over the term of each investment, are expected to be funded by the available liquidity in the U.S. Plan consistent with historical experience.</w:t>
      </w:r>
    </w:p>
    <w:p>
      <w:pPr>
        <w:spacing w:after="0" w:line="172" w:lineRule="exact"/>
        <w:rPr>
          <w:sz w:val="20"/>
          <w:szCs w:val="20"/>
          <w:color w:val="auto"/>
        </w:rPr>
      </w:pPr>
    </w:p>
    <w:p>
      <w:pPr>
        <w:jc w:val="center"/>
        <w:ind w:right="-79"/>
        <w:spacing w:after="0"/>
        <w:rPr>
          <w:sz w:val="20"/>
          <w:szCs w:val="20"/>
          <w:color w:val="auto"/>
        </w:rPr>
      </w:pPr>
      <w:r>
        <w:rPr>
          <w:rFonts w:ascii="Calibri" w:cs="Calibri" w:eastAsia="Calibri" w:hAnsi="Calibri"/>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2" w:right="399" w:bottom="1440" w:gutter="0" w:footer="0" w:header="0"/>
        </w:sectPr>
      </w:pPr>
    </w:p>
    <w:bookmarkStart w:id="101" w:name="page102"/>
    <w:bookmarkEnd w:id="101"/>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460"/>
        <w:spacing w:after="0" w:line="235" w:lineRule="auto"/>
        <w:rPr>
          <w:sz w:val="20"/>
          <w:szCs w:val="20"/>
          <w:color w:val="auto"/>
        </w:rPr>
      </w:pPr>
      <w:r>
        <w:rPr>
          <w:rFonts w:ascii="Calibri" w:cs="Calibri" w:eastAsia="Calibri" w:hAnsi="Calibri"/>
          <w:sz w:val="18"/>
          <w:szCs w:val="18"/>
          <w:color w:val="auto"/>
        </w:rPr>
        <w:t>The fair value of Kodak’s major non-U.S. defned beneft pension plans assets at December 31, 2024 and 2023 by asset class are presented in the tables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980" w:type="dxa"/>
            <w:vAlign w:val="bottom"/>
          </w:tcPr>
          <w:p>
            <w:pPr>
              <w:spacing w:after="0"/>
              <w:rPr>
                <w:sz w:val="20"/>
                <w:szCs w:val="20"/>
                <w:color w:val="auto"/>
              </w:rPr>
            </w:pPr>
            <w:r>
              <w:rPr>
                <w:rFonts w:ascii="Calibri" w:cs="Calibri" w:eastAsia="Calibri" w:hAnsi="Calibri"/>
                <w:sz w:val="18"/>
                <w:szCs w:val="18"/>
                <w:b w:val="1"/>
                <w:bCs w:val="1"/>
                <w:color w:val="auto"/>
              </w:rPr>
              <w:t>Major Non-U.S. Plans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5"/>
          </w:tcPr>
          <w:p>
            <w:pPr>
              <w:jc w:val="center"/>
              <w:spacing w:after="0" w:line="216" w:lineRule="exact"/>
              <w:rPr>
                <w:sz w:val="20"/>
                <w:szCs w:val="20"/>
                <w:color w:val="auto"/>
              </w:rPr>
            </w:pPr>
            <w:r>
              <w:rPr>
                <w:rFonts w:ascii="Calibri" w:cs="Calibri" w:eastAsia="Calibri" w:hAnsi="Calibri"/>
                <w:sz w:val="18"/>
                <w:szCs w:val="18"/>
                <w:b w:val="1"/>
                <w:bCs w:val="1"/>
                <w:color w:val="auto"/>
                <w:w w:val="98"/>
              </w:rPr>
              <w:t>December 31, 2024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9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29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5"/>
          </w:tcPr>
          <w:p>
            <w:pPr>
              <w:jc w:val="center"/>
              <w:ind w:right="320"/>
              <w:spacing w:after="0" w:line="187" w:lineRule="exact"/>
              <w:rPr>
                <w:sz w:val="20"/>
                <w:szCs w:val="20"/>
                <w:color w:val="auto"/>
              </w:rPr>
            </w:pPr>
            <w:r>
              <w:rPr>
                <w:rFonts w:ascii="Calibri" w:cs="Calibri" w:eastAsia="Calibri" w:hAnsi="Calibri"/>
                <w:sz w:val="18"/>
                <w:szCs w:val="18"/>
                <w:b w:val="1"/>
                <w:bCs w:val="1"/>
                <w:color w:val="auto"/>
                <w:w w:val="97"/>
              </w:rPr>
              <w:t>Quoted Prices</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4"/>
          </w:tcPr>
          <w:p>
            <w:pPr>
              <w:jc w:val="center"/>
              <w:ind w:right="540"/>
              <w:spacing w:after="0" w:line="215" w:lineRule="exact"/>
              <w:rPr>
                <w:sz w:val="20"/>
                <w:szCs w:val="20"/>
                <w:color w:val="auto"/>
              </w:rPr>
            </w:pPr>
            <w:r>
              <w:rPr>
                <w:rFonts w:ascii="Calibri" w:cs="Calibri" w:eastAsia="Calibri" w:hAnsi="Calibri"/>
                <w:sz w:val="18"/>
                <w:szCs w:val="18"/>
                <w:b w:val="1"/>
                <w:bCs w:val="1"/>
                <w:color w:val="auto"/>
              </w:rPr>
              <w:t>in Actve</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5"/>
          </w:tcPr>
          <w:p>
            <w:pPr>
              <w:jc w:val="center"/>
              <w:ind w:right="320"/>
              <w:spacing w:after="0" w:line="216" w:lineRule="exact"/>
              <w:rPr>
                <w:sz w:val="20"/>
                <w:szCs w:val="20"/>
                <w:color w:val="auto"/>
              </w:rPr>
            </w:pPr>
            <w:r>
              <w:rPr>
                <w:rFonts w:ascii="Calibri" w:cs="Calibri" w:eastAsia="Calibri" w:hAnsi="Calibri"/>
                <w:sz w:val="18"/>
                <w:szCs w:val="18"/>
                <w:b w:val="1"/>
                <w:bCs w:val="1"/>
                <w:color w:val="auto"/>
                <w:w w:val="97"/>
              </w:rPr>
              <w:t>Markets for</w:t>
            </w:r>
          </w:p>
        </w:tc>
        <w:tc>
          <w:tcPr>
            <w:tcW w:w="1040" w:type="dxa"/>
            <w:vAlign w:val="bottom"/>
            <w:gridSpan w:val="4"/>
          </w:tcPr>
          <w:p>
            <w:pPr>
              <w:jc w:val="center"/>
              <w:ind w:left="110"/>
              <w:spacing w:after="0" w:line="216" w:lineRule="exact"/>
              <w:rPr>
                <w:sz w:val="20"/>
                <w:szCs w:val="20"/>
                <w:color w:val="auto"/>
              </w:rPr>
            </w:pPr>
            <w:r>
              <w:rPr>
                <w:rFonts w:ascii="Calibri" w:cs="Calibri" w:eastAsia="Calibri" w:hAnsi="Calibri"/>
                <w:sz w:val="18"/>
                <w:szCs w:val="18"/>
                <w:b w:val="1"/>
                <w:bCs w:val="1"/>
                <w:color w:val="auto"/>
              </w:rPr>
              <w:t>Signifcant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4"/>
          </w:tcPr>
          <w:p>
            <w:pPr>
              <w:jc w:val="center"/>
              <w:ind w:right="140"/>
              <w:spacing w:after="0" w:line="216" w:lineRule="exact"/>
              <w:rPr>
                <w:sz w:val="20"/>
                <w:szCs w:val="20"/>
                <w:color w:val="auto"/>
              </w:rPr>
            </w:pPr>
            <w:r>
              <w:rPr>
                <w:rFonts w:ascii="Calibri" w:cs="Calibri" w:eastAsia="Calibri" w:hAnsi="Calibri"/>
                <w:sz w:val="18"/>
                <w:szCs w:val="18"/>
                <w:b w:val="1"/>
                <w:bCs w:val="1"/>
                <w:color w:val="auto"/>
              </w:rPr>
              <w:t>Signifcant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4"/>
          </w:tcPr>
          <w:p>
            <w:pPr>
              <w:jc w:val="center"/>
              <w:ind w:right="540"/>
              <w:spacing w:after="0" w:line="216" w:lineRule="exact"/>
              <w:rPr>
                <w:sz w:val="20"/>
                <w:szCs w:val="20"/>
                <w:color w:val="auto"/>
              </w:rPr>
            </w:pPr>
            <w:r>
              <w:rPr>
                <w:rFonts w:ascii="Calibri" w:cs="Calibri" w:eastAsia="Calibri" w:hAnsi="Calibri"/>
                <w:sz w:val="18"/>
                <w:szCs w:val="18"/>
                <w:b w:val="1"/>
                <w:bCs w:val="1"/>
                <w:color w:val="auto"/>
              </w:rPr>
              <w:t>Identcal</w:t>
            </w:r>
          </w:p>
        </w:tc>
        <w:tc>
          <w:tcPr>
            <w:tcW w:w="1040" w:type="dxa"/>
            <w:vAlign w:val="bottom"/>
            <w:gridSpan w:val="4"/>
          </w:tcPr>
          <w:p>
            <w:pPr>
              <w:jc w:val="center"/>
              <w:ind w:left="110"/>
              <w:spacing w:after="0" w:line="216" w:lineRule="exact"/>
              <w:rPr>
                <w:sz w:val="20"/>
                <w:szCs w:val="20"/>
                <w:color w:val="auto"/>
              </w:rPr>
            </w:pPr>
            <w:r>
              <w:rPr>
                <w:rFonts w:ascii="Calibri" w:cs="Calibri" w:eastAsia="Calibri" w:hAnsi="Calibri"/>
                <w:sz w:val="18"/>
                <w:szCs w:val="18"/>
                <w:b w:val="1"/>
                <w:bCs w:val="1"/>
                <w:color w:val="auto"/>
                <w:w w:val="98"/>
              </w:rPr>
              <w:t>Observable</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4"/>
          </w:tcPr>
          <w:p>
            <w:pPr>
              <w:jc w:val="center"/>
              <w:ind w:right="120"/>
              <w:spacing w:after="0" w:line="216" w:lineRule="exact"/>
              <w:rPr>
                <w:sz w:val="20"/>
                <w:szCs w:val="20"/>
                <w:color w:val="auto"/>
              </w:rPr>
            </w:pPr>
            <w:r>
              <w:rPr>
                <w:rFonts w:ascii="Calibri" w:cs="Calibri" w:eastAsia="Calibri" w:hAnsi="Calibri"/>
                <w:sz w:val="18"/>
                <w:szCs w:val="18"/>
                <w:b w:val="1"/>
                <w:bCs w:val="1"/>
                <w:color w:val="auto"/>
                <w:w w:val="98"/>
              </w:rPr>
              <w:t>Unobservable</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4"/>
          </w:tcPr>
          <w:p>
            <w:pPr>
              <w:jc w:val="center"/>
              <w:ind w:right="520"/>
              <w:spacing w:after="0" w:line="216" w:lineRule="exact"/>
              <w:rPr>
                <w:sz w:val="20"/>
                <w:szCs w:val="20"/>
                <w:color w:val="auto"/>
              </w:rPr>
            </w:pPr>
            <w:r>
              <w:rPr>
                <w:rFonts w:ascii="Calibri" w:cs="Calibri" w:eastAsia="Calibri" w:hAnsi="Calibri"/>
                <w:sz w:val="18"/>
                <w:szCs w:val="18"/>
                <w:b w:val="1"/>
                <w:bCs w:val="1"/>
                <w:color w:val="auto"/>
                <w:w w:val="96"/>
              </w:rPr>
              <w:t>Assets</w:t>
            </w:r>
          </w:p>
        </w:tc>
        <w:tc>
          <w:tcPr>
            <w:tcW w:w="300" w:type="dxa"/>
            <w:vAlign w:val="bottom"/>
          </w:tcPr>
          <w:p>
            <w:pPr>
              <w:spacing w:after="0"/>
              <w:rPr>
                <w:sz w:val="18"/>
                <w:szCs w:val="18"/>
                <w:color w:val="auto"/>
              </w:rPr>
            </w:pPr>
          </w:p>
        </w:tc>
        <w:tc>
          <w:tcPr>
            <w:tcW w:w="740" w:type="dxa"/>
            <w:vAlign w:val="bottom"/>
            <w:gridSpan w:val="3"/>
          </w:tcPr>
          <w:p>
            <w:pPr>
              <w:jc w:val="center"/>
              <w:ind w:right="30"/>
              <w:spacing w:after="0" w:line="216" w:lineRule="exact"/>
              <w:rPr>
                <w:sz w:val="20"/>
                <w:szCs w:val="20"/>
                <w:color w:val="auto"/>
              </w:rPr>
            </w:pPr>
            <w:r>
              <w:rPr>
                <w:rFonts w:ascii="Calibri" w:cs="Calibri" w:eastAsia="Calibri" w:hAnsi="Calibri"/>
                <w:sz w:val="18"/>
                <w:szCs w:val="18"/>
                <w:b w:val="1"/>
                <w:bCs w:val="1"/>
                <w:color w:val="auto"/>
                <w:w w:val="97"/>
              </w:rPr>
              <w:t>Inputs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center"/>
              <w:ind w:left="350"/>
              <w:spacing w:after="0" w:line="216" w:lineRule="exact"/>
              <w:rPr>
                <w:sz w:val="20"/>
                <w:szCs w:val="20"/>
                <w:color w:val="auto"/>
              </w:rPr>
            </w:pPr>
            <w:r>
              <w:rPr>
                <w:rFonts w:ascii="Calibri" w:cs="Calibri" w:eastAsia="Calibri" w:hAnsi="Calibri"/>
                <w:sz w:val="18"/>
                <w:szCs w:val="18"/>
                <w:b w:val="1"/>
                <w:bCs w:val="1"/>
                <w:color w:val="auto"/>
                <w:w w:val="97"/>
              </w:rPr>
              <w:t>Inputs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line="216" w:lineRule="exact"/>
              <w:rPr>
                <w:sz w:val="20"/>
                <w:szCs w:val="20"/>
                <w:color w:val="auto"/>
              </w:rPr>
            </w:pPr>
            <w:r>
              <w:rPr>
                <w:rFonts w:ascii="Calibri" w:cs="Calibri" w:eastAsia="Calibri" w:hAnsi="Calibri"/>
                <w:sz w:val="18"/>
                <w:szCs w:val="18"/>
                <w:b w:val="1"/>
                <w:bCs w:val="1"/>
                <w:color w:val="auto"/>
                <w:w w:val="99"/>
              </w:rPr>
              <w:t>Measured at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980" w:type="dxa"/>
            <w:vAlign w:val="bottom"/>
          </w:tcPr>
          <w:p>
            <w:pPr>
              <w:ind w:left="20"/>
              <w:spacing w:after="0"/>
              <w:rPr>
                <w:sz w:val="20"/>
                <w:szCs w:val="20"/>
                <w:color w:val="auto"/>
              </w:rPr>
            </w:pPr>
            <w:r>
              <w:rPr>
                <w:rFonts w:ascii="Calibri" w:cs="Calibri" w:eastAsia="Calibri" w:hAnsi="Calibri"/>
                <w:sz w:val="14"/>
                <w:szCs w:val="14"/>
                <w:color w:val="auto"/>
              </w:rPr>
              <w:t>(in millions)</w:t>
            </w:r>
          </w:p>
        </w:tc>
        <w:tc>
          <w:tcPr>
            <w:tcW w:w="9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3"/>
          </w:tcPr>
          <w:p>
            <w:pPr>
              <w:jc w:val="center"/>
              <w:ind w:right="190"/>
              <w:spacing w:after="0" w:line="216" w:lineRule="exact"/>
              <w:rPr>
                <w:sz w:val="20"/>
                <w:szCs w:val="20"/>
                <w:color w:val="auto"/>
              </w:rPr>
            </w:pPr>
            <w:r>
              <w:rPr>
                <w:rFonts w:ascii="Calibri" w:cs="Calibri" w:eastAsia="Calibri" w:hAnsi="Calibri"/>
                <w:sz w:val="18"/>
                <w:szCs w:val="18"/>
                <w:b w:val="1"/>
                <w:bCs w:val="1"/>
                <w:color w:val="auto"/>
                <w:w w:val="98"/>
              </w:rPr>
              <w:t>(Level 1)</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3"/>
          </w:tcPr>
          <w:p>
            <w:pPr>
              <w:jc w:val="center"/>
              <w:ind w:right="30"/>
              <w:spacing w:after="0" w:line="216" w:lineRule="exact"/>
              <w:rPr>
                <w:sz w:val="20"/>
                <w:szCs w:val="20"/>
                <w:color w:val="auto"/>
              </w:rPr>
            </w:pPr>
            <w:r>
              <w:rPr>
                <w:rFonts w:ascii="Calibri" w:cs="Calibri" w:eastAsia="Calibri" w:hAnsi="Calibri"/>
                <w:sz w:val="18"/>
                <w:szCs w:val="18"/>
                <w:b w:val="1"/>
                <w:bCs w:val="1"/>
                <w:color w:val="auto"/>
                <w:w w:val="98"/>
              </w:rPr>
              <w:t>(Level 2)</w:t>
            </w:r>
          </w:p>
        </w:tc>
        <w:tc>
          <w:tcPr>
            <w:tcW w:w="1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Borders>
              <w:bottom w:val="single" w:sz="8" w:color="auto"/>
            </w:tcBorders>
            <w:gridSpan w:val="3"/>
          </w:tcPr>
          <w:p>
            <w:pPr>
              <w:jc w:val="center"/>
              <w:spacing w:after="0" w:line="216" w:lineRule="exact"/>
              <w:rPr>
                <w:sz w:val="20"/>
                <w:szCs w:val="20"/>
                <w:color w:val="auto"/>
              </w:rPr>
            </w:pPr>
            <w:r>
              <w:rPr>
                <w:rFonts w:ascii="Calibri" w:cs="Calibri" w:eastAsia="Calibri" w:hAnsi="Calibri"/>
                <w:sz w:val="18"/>
                <w:szCs w:val="18"/>
                <w:b w:val="1"/>
                <w:bCs w:val="1"/>
                <w:color w:val="auto"/>
                <w:w w:val="98"/>
              </w:rPr>
              <w:t>(Level 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right"/>
              <w:ind w:right="440"/>
              <w:spacing w:after="0" w:line="216" w:lineRule="exact"/>
              <w:rPr>
                <w:sz w:val="20"/>
                <w:szCs w:val="20"/>
                <w:color w:val="auto"/>
              </w:rPr>
            </w:pPr>
            <w:r>
              <w:rPr>
                <w:rFonts w:ascii="Calibri" w:cs="Calibri" w:eastAsia="Calibri" w:hAnsi="Calibri"/>
                <w:sz w:val="18"/>
                <w:szCs w:val="18"/>
                <w:b w:val="1"/>
                <w:bCs w:val="1"/>
                <w:color w:val="auto"/>
              </w:rPr>
              <w:t>NAV</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30"/>
              <w:spacing w:after="0" w:line="216" w:lineRule="exact"/>
              <w:rPr>
                <w:sz w:val="20"/>
                <w:szCs w:val="20"/>
                <w:color w:val="auto"/>
              </w:rPr>
            </w:pPr>
            <w:r>
              <w:rPr>
                <w:rFonts w:ascii="Calibri" w:cs="Calibri" w:eastAsia="Calibri" w:hAnsi="Calibri"/>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980" w:type="dxa"/>
            <w:vAlign w:val="bottom"/>
            <w:shd w:val="clear" w:color="auto" w:fill="CFF0FC"/>
          </w:tcPr>
          <w:p>
            <w:pPr>
              <w:ind w:left="20"/>
              <w:spacing w:after="0" w:line="213" w:lineRule="exact"/>
              <w:rPr>
                <w:sz w:val="20"/>
                <w:szCs w:val="20"/>
                <w:color w:val="auto"/>
              </w:rPr>
            </w:pPr>
            <w:r>
              <w:rPr>
                <w:rFonts w:ascii="Calibri" w:cs="Calibri" w:eastAsia="Calibri" w:hAnsi="Calibri"/>
                <w:sz w:val="18"/>
                <w:szCs w:val="18"/>
                <w:color w:val="auto"/>
              </w:rPr>
              <w:t>Cash and cash equivalents</w:t>
            </w:r>
          </w:p>
        </w:tc>
        <w:tc>
          <w:tcPr>
            <w:tcW w:w="1040" w:type="dxa"/>
            <w:vAlign w:val="bottom"/>
            <w:gridSpan w:val="2"/>
            <w:shd w:val="clear" w:color="auto" w:fill="CFF0FC"/>
          </w:tcPr>
          <w:p>
            <w:pPr>
              <w:jc w:val="right"/>
              <w:spacing w:after="0" w:line="213" w:lineRule="exact"/>
              <w:rPr>
                <w:sz w:val="20"/>
                <w:szCs w:val="20"/>
                <w:color w:val="auto"/>
              </w:rPr>
            </w:pPr>
            <w:r>
              <w:rPr>
                <w:rFonts w:ascii="Calibri" w:cs="Calibri" w:eastAsia="Calibri" w:hAnsi="Calibri"/>
                <w:sz w:val="18"/>
                <w:szCs w:val="18"/>
                <w:color w:val="auto"/>
              </w:rPr>
              <w:t>$</w:t>
            </w:r>
          </w:p>
        </w:tc>
        <w:tc>
          <w:tcPr>
            <w:tcW w:w="200" w:type="dxa"/>
            <w:vAlign w:val="bottom"/>
            <w:shd w:val="clear" w:color="auto" w:fill="CFF0FC"/>
          </w:tcPr>
          <w:p>
            <w:pPr>
              <w:spacing w:after="0"/>
              <w:rPr>
                <w:sz w:val="18"/>
                <w:szCs w:val="18"/>
                <w:color w:val="auto"/>
              </w:rPr>
            </w:pPr>
          </w:p>
        </w:tc>
        <w:tc>
          <w:tcPr>
            <w:tcW w:w="940" w:type="dxa"/>
            <w:vAlign w:val="bottom"/>
            <w:gridSpan w:val="3"/>
            <w:shd w:val="clear" w:color="auto" w:fill="CFF0FC"/>
          </w:tcPr>
          <w:p>
            <w:pPr>
              <w:jc w:val="right"/>
              <w:spacing w:after="0" w:line="213" w:lineRule="exact"/>
              <w:rPr>
                <w:sz w:val="20"/>
                <w:szCs w:val="20"/>
                <w:color w:val="auto"/>
              </w:rPr>
            </w:pPr>
            <w:r>
              <w:rPr>
                <w:rFonts w:ascii="Calibri" w:cs="Calibri" w:eastAsia="Calibri" w:hAnsi="Calibri"/>
                <w:sz w:val="18"/>
                <w:szCs w:val="18"/>
                <w:color w:val="auto"/>
              </w:rPr>
              <w:t>43</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90"/>
              <w:spacing w:after="0" w:line="213" w:lineRule="exact"/>
              <w:rPr>
                <w:sz w:val="20"/>
                <w:szCs w:val="20"/>
                <w:color w:val="auto"/>
              </w:rPr>
            </w:pPr>
            <w:r>
              <w:rPr>
                <w:rFonts w:ascii="Calibri" w:cs="Calibri" w:eastAsia="Calibri" w:hAnsi="Calibri"/>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line="213" w:lineRule="exact"/>
              <w:rPr>
                <w:sz w:val="20"/>
                <w:szCs w:val="20"/>
                <w:color w:val="auto"/>
              </w:rPr>
            </w:pPr>
            <w:r>
              <w:rPr>
                <w:rFonts w:ascii="Calibri" w:cs="Calibri" w:eastAsia="Calibri" w:hAnsi="Calibri"/>
                <w:sz w:val="18"/>
                <w:szCs w:val="18"/>
                <w:color w:val="auto"/>
                <w:w w:val="97"/>
              </w:rPr>
              <w:t>—</w:t>
            </w:r>
          </w:p>
        </w:tc>
        <w:tc>
          <w:tcPr>
            <w:tcW w:w="1180" w:type="dxa"/>
            <w:vAlign w:val="bottom"/>
            <w:gridSpan w:val="2"/>
            <w:shd w:val="clear" w:color="auto" w:fill="CFF0FC"/>
          </w:tcPr>
          <w:p>
            <w:pPr>
              <w:jc w:val="right"/>
              <w:ind w:right="730"/>
              <w:spacing w:after="0" w:line="213" w:lineRule="exact"/>
              <w:rPr>
                <w:sz w:val="20"/>
                <w:szCs w:val="20"/>
                <w:color w:val="auto"/>
              </w:rPr>
            </w:pPr>
            <w:r>
              <w:rPr>
                <w:rFonts w:ascii="Calibri" w:cs="Calibri" w:eastAsia="Calibri" w:hAnsi="Calibri"/>
                <w:sz w:val="18"/>
                <w:szCs w:val="18"/>
                <w:color w:val="auto"/>
              </w:rPr>
              <w:t>$</w:t>
            </w:r>
          </w:p>
        </w:tc>
        <w:tc>
          <w:tcPr>
            <w:tcW w:w="560" w:type="dxa"/>
            <w:vAlign w:val="bottom"/>
            <w:gridSpan w:val="3"/>
            <w:shd w:val="clear" w:color="auto" w:fill="CFF0FC"/>
          </w:tcPr>
          <w:p>
            <w:pPr>
              <w:jc w:val="right"/>
              <w:ind w:right="160"/>
              <w:spacing w:after="0" w:line="213" w:lineRule="exact"/>
              <w:rPr>
                <w:sz w:val="20"/>
                <w:szCs w:val="20"/>
                <w:color w:val="auto"/>
              </w:rPr>
            </w:pPr>
            <w:r>
              <w:rPr>
                <w:rFonts w:ascii="Calibri" w:cs="Calibri" w:eastAsia="Calibri" w:hAnsi="Calibri"/>
                <w:sz w:val="18"/>
                <w:szCs w:val="18"/>
                <w:color w:val="auto"/>
              </w:rPr>
              <w:t>—</w:t>
            </w: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w w:val="73"/>
              </w:rPr>
              <w:t>$</w:t>
            </w:r>
          </w:p>
        </w:tc>
        <w:tc>
          <w:tcPr>
            <w:tcW w:w="1100" w:type="dxa"/>
            <w:vAlign w:val="bottom"/>
            <w:gridSpan w:val="2"/>
            <w:shd w:val="clear" w:color="auto" w:fill="CFF0FC"/>
          </w:tcPr>
          <w:p>
            <w:pPr>
              <w:jc w:val="right"/>
              <w:ind w:right="20"/>
              <w:spacing w:after="0" w:line="213" w:lineRule="exact"/>
              <w:rPr>
                <w:sz w:val="20"/>
                <w:szCs w:val="20"/>
                <w:color w:val="auto"/>
              </w:rPr>
            </w:pPr>
            <w:r>
              <w:rPr>
                <w:rFonts w:ascii="Calibri" w:cs="Calibri" w:eastAsia="Calibri" w:hAnsi="Calibri"/>
                <w:sz w:val="18"/>
                <w:szCs w:val="18"/>
                <w:color w:val="auto"/>
              </w:rPr>
              <w:t>—</w:t>
            </w:r>
          </w:p>
        </w:tc>
        <w:tc>
          <w:tcPr>
            <w:tcW w:w="480" w:type="dxa"/>
            <w:vAlign w:val="bottom"/>
            <w:gridSpan w:val="4"/>
            <w:shd w:val="clear" w:color="auto" w:fill="CFF0FC"/>
          </w:tcPr>
          <w:p>
            <w:pPr>
              <w:jc w:val="right"/>
              <w:ind w:right="140"/>
              <w:spacing w:after="0" w:line="213" w:lineRule="exact"/>
              <w:rPr>
                <w:sz w:val="20"/>
                <w:szCs w:val="20"/>
                <w:color w:val="auto"/>
              </w:rPr>
            </w:pPr>
            <w:r>
              <w:rPr>
                <w:rFonts w:ascii="Calibri" w:cs="Calibri" w:eastAsia="Calibri" w:hAnsi="Calibri"/>
                <w:sz w:val="18"/>
                <w:szCs w:val="18"/>
                <w:color w:val="auto"/>
              </w:rPr>
              <w:t>$</w:t>
            </w:r>
          </w:p>
        </w:tc>
        <w:tc>
          <w:tcPr>
            <w:tcW w:w="980" w:type="dxa"/>
            <w:vAlign w:val="bottom"/>
            <w:shd w:val="clear" w:color="auto" w:fill="CFF0FC"/>
          </w:tcPr>
          <w:p>
            <w:pPr>
              <w:jc w:val="right"/>
              <w:spacing w:after="0" w:line="213" w:lineRule="exact"/>
              <w:rPr>
                <w:sz w:val="20"/>
                <w:szCs w:val="20"/>
                <w:color w:val="auto"/>
              </w:rPr>
            </w:pPr>
            <w:r>
              <w:rPr>
                <w:rFonts w:ascii="Calibri" w:cs="Calibri" w:eastAsia="Calibri" w:hAnsi="Calibri"/>
                <w:sz w:val="18"/>
                <w:szCs w:val="18"/>
                <w:color w:val="auto"/>
              </w:rPr>
              <w:t>43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Equity securites</w:t>
            </w: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gridSpan w:val="3"/>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32</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97"/>
              </w:rPr>
              <w:t>—</w:t>
            </w: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60" w:type="dxa"/>
            <w:vAlign w:val="bottom"/>
            <w:gridSpan w:val="3"/>
            <w:shd w:val="clear" w:color="auto" w:fill="CFF0FC"/>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
              <w:spacing w:after="0" w:line="215" w:lineRule="exact"/>
              <w:rPr>
                <w:sz w:val="20"/>
                <w:szCs w:val="20"/>
                <w:color w:val="auto"/>
              </w:rPr>
            </w:pPr>
            <w:r>
              <w:rPr>
                <w:rFonts w:ascii="Calibri" w:cs="Calibri" w:eastAsia="Calibri" w:hAnsi="Calibri"/>
                <w:sz w:val="18"/>
                <w:szCs w:val="18"/>
                <w:color w:val="auto"/>
              </w:rPr>
              <w:t>—</w:t>
            </w: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Debt securites:</w:t>
            </w: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80" w:type="dxa"/>
            <w:vAlign w:val="bottom"/>
          </w:tcPr>
          <w:p>
            <w:pPr>
              <w:ind w:left="120"/>
              <w:spacing w:after="0" w:line="215" w:lineRule="exact"/>
              <w:rPr>
                <w:sz w:val="20"/>
                <w:szCs w:val="20"/>
                <w:color w:val="auto"/>
              </w:rPr>
            </w:pPr>
            <w:r>
              <w:rPr>
                <w:rFonts w:ascii="Calibri" w:cs="Calibri" w:eastAsia="Calibri" w:hAnsi="Calibri"/>
                <w:sz w:val="18"/>
                <w:szCs w:val="18"/>
                <w:color w:val="auto"/>
              </w:rPr>
              <w:t>Investment grade bonds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3"/>
          </w:tcPr>
          <w:p>
            <w:pPr>
              <w:jc w:val="right"/>
              <w:spacing w:after="0" w:line="215" w:lineRule="exact"/>
              <w:rPr>
                <w:sz w:val="20"/>
                <w:szCs w:val="20"/>
                <w:color w:val="auto"/>
              </w:rPr>
            </w:pPr>
            <w:r>
              <w:rPr>
                <w:rFonts w:ascii="Calibri" w:cs="Calibri" w:eastAsia="Calibri" w:hAnsi="Calibri"/>
                <w:sz w:val="18"/>
                <w:szCs w:val="18"/>
                <w:color w:val="auto"/>
              </w:rPr>
              <w:t>34</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48</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gridSpan w:val="3"/>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20" w:type="dxa"/>
            <w:vAlign w:val="bottom"/>
            <w:gridSpan w:val="3"/>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Global high yield &amp; emerging market debt</w:t>
            </w:r>
          </w:p>
        </w:tc>
        <w:tc>
          <w:tcPr>
            <w:tcW w:w="200" w:type="dxa"/>
            <w:vAlign w:val="bottom"/>
            <w:shd w:val="clear" w:color="auto" w:fill="CFF0FC"/>
          </w:tcPr>
          <w:p>
            <w:pPr>
              <w:spacing w:after="0"/>
              <w:rPr>
                <w:sz w:val="18"/>
                <w:szCs w:val="18"/>
                <w:color w:val="auto"/>
              </w:rPr>
            </w:pPr>
          </w:p>
        </w:tc>
        <w:tc>
          <w:tcPr>
            <w:tcW w:w="940" w:type="dxa"/>
            <w:vAlign w:val="bottom"/>
            <w:gridSpan w:val="3"/>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w w:val="97"/>
              </w:rPr>
              <w:t>—</w:t>
            </w: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60" w:type="dxa"/>
            <w:vAlign w:val="bottom"/>
            <w:gridSpan w:val="3"/>
            <w:shd w:val="clear" w:color="auto" w:fill="CFF0FC"/>
          </w:tcPr>
          <w:p>
            <w:pPr>
              <w:jc w:val="right"/>
              <w:ind w:right="160"/>
              <w:spacing w:after="0" w:line="216" w:lineRule="exact"/>
              <w:rPr>
                <w:sz w:val="20"/>
                <w:szCs w:val="20"/>
                <w:color w:val="auto"/>
              </w:rPr>
            </w:pPr>
            <w:r>
              <w:rPr>
                <w:rFonts w:ascii="Calibri" w:cs="Calibri" w:eastAsia="Calibri" w:hAnsi="Calibri"/>
                <w:sz w:val="18"/>
                <w:szCs w:val="18"/>
                <w:color w:val="auto"/>
              </w:rPr>
              <w:t>—</w:t>
            </w: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
              <w:spacing w:after="0" w:line="216" w:lineRule="exact"/>
              <w:rPr>
                <w:sz w:val="20"/>
                <w:szCs w:val="20"/>
                <w:color w:val="auto"/>
              </w:rPr>
            </w:pPr>
            <w:r>
              <w:rPr>
                <w:rFonts w:ascii="Calibri" w:cs="Calibri" w:eastAsia="Calibri" w:hAnsi="Calibri"/>
                <w:sz w:val="18"/>
                <w:szCs w:val="18"/>
                <w:color w:val="auto"/>
              </w:rPr>
              <w:t>—</w:t>
            </w: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Real estate</w:t>
            </w: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97"/>
              </w:rPr>
              <w:t>—</w:t>
            </w: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60" w:type="dxa"/>
            <w:vAlign w:val="bottom"/>
            <w:gridSpan w:val="3"/>
            <w:shd w:val="clear" w:color="auto" w:fill="CFF0FC"/>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
              <w:spacing w:after="0" w:line="215" w:lineRule="exact"/>
              <w:rPr>
                <w:sz w:val="20"/>
                <w:szCs w:val="20"/>
                <w:color w:val="auto"/>
              </w:rPr>
            </w:pPr>
            <w:r>
              <w:rPr>
                <w:rFonts w:ascii="Calibri" w:cs="Calibri" w:eastAsia="Calibri" w:hAnsi="Calibri"/>
                <w:sz w:val="18"/>
                <w:szCs w:val="18"/>
                <w:color w:val="auto"/>
              </w:rPr>
              <w:t>10</w:t>
            </w: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Other:</w:t>
            </w: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80" w:type="dxa"/>
            <w:vAlign w:val="bottom"/>
          </w:tcPr>
          <w:p>
            <w:pPr>
              <w:ind w:left="120"/>
              <w:spacing w:after="0" w:line="215" w:lineRule="exact"/>
              <w:rPr>
                <w:sz w:val="20"/>
                <w:szCs w:val="20"/>
                <w:color w:val="auto"/>
              </w:rPr>
            </w:pPr>
            <w:r>
              <w:rPr>
                <w:rFonts w:ascii="Calibri" w:cs="Calibri" w:eastAsia="Calibri" w:hAnsi="Calibri"/>
                <w:sz w:val="18"/>
                <w:szCs w:val="18"/>
                <w:color w:val="auto"/>
              </w:rPr>
              <w:t>Private equity</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jc w:val="right"/>
              <w:spacing w:after="0" w:line="215" w:lineRule="exact"/>
              <w:rPr>
                <w:sz w:val="20"/>
                <w:szCs w:val="20"/>
                <w:color w:val="auto"/>
              </w:rPr>
            </w:pPr>
            <w:r>
              <w:rPr>
                <w:rFonts w:ascii="Calibri" w:cs="Calibri" w:eastAsia="Calibri" w:hAnsi="Calibri"/>
                <w:sz w:val="18"/>
                <w:szCs w:val="18"/>
                <w:color w:val="auto"/>
                <w:w w:val="97"/>
              </w:rPr>
              <w:t>—</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gridSpan w:val="3"/>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28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Borders>
              <w:bottom w:val="single" w:sz="8" w:color="CFF0FC"/>
            </w:tcBorders>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Insurance contracts</w:t>
            </w:r>
          </w:p>
        </w:tc>
        <w:tc>
          <w:tcPr>
            <w:tcW w:w="9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w w:val="87"/>
              </w:rPr>
              <w:t>26</w:t>
            </w:r>
          </w:p>
        </w:tc>
        <w:tc>
          <w:tcPr>
            <w:tcW w:w="24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gridSpan w:val="2"/>
            <w:shd w:val="clear" w:color="auto" w:fill="CFF0FC"/>
          </w:tcPr>
          <w:p>
            <w:pPr>
              <w:jc w:val="right"/>
              <w:ind w:right="20"/>
              <w:spacing w:after="0" w:line="216" w:lineRule="exact"/>
              <w:rPr>
                <w:sz w:val="20"/>
                <w:szCs w:val="20"/>
                <w:color w:val="auto"/>
              </w:rPr>
            </w:pPr>
            <w:r>
              <w:rPr>
                <w:rFonts w:ascii="Calibri" w:cs="Calibri" w:eastAsia="Calibri" w:hAnsi="Calibri"/>
                <w:sz w:val="18"/>
                <w:szCs w:val="18"/>
                <w:color w:val="auto"/>
              </w:rPr>
              <w:t>272</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gridSpan w:val="2"/>
            <w:shd w:val="clear" w:color="auto" w:fill="CFF0FC"/>
          </w:tcPr>
          <w:p>
            <w:pPr>
              <w:jc w:val="right"/>
              <w:ind w:right="20"/>
              <w:spacing w:after="0" w:line="216" w:lineRule="exact"/>
              <w:rPr>
                <w:sz w:val="20"/>
                <w:szCs w:val="20"/>
                <w:color w:val="auto"/>
              </w:rPr>
            </w:pPr>
            <w:r>
              <w:rPr>
                <w:rFonts w:ascii="Calibri" w:cs="Calibri" w:eastAsia="Calibri" w:hAnsi="Calibri"/>
                <w:sz w:val="18"/>
                <w:szCs w:val="18"/>
                <w:color w:val="auto"/>
              </w:rPr>
              <w:t>—</w:t>
            </w:r>
          </w:p>
        </w:tc>
        <w:tc>
          <w:tcPr>
            <w:tcW w:w="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298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80" w:type="dxa"/>
            <w:vAlign w:val="bottom"/>
          </w:tcPr>
          <w:p>
            <w:pPr>
              <w:spacing w:after="0"/>
              <w:rPr>
                <w:sz w:val="18"/>
                <w:szCs w:val="18"/>
                <w:color w:val="auto"/>
              </w:rPr>
            </w:pPr>
          </w:p>
        </w:tc>
        <w:tc>
          <w:tcPr>
            <w:tcW w:w="1040" w:type="dxa"/>
            <w:vAlign w:val="bottom"/>
            <w:gridSpan w:val="2"/>
          </w:tcPr>
          <w:p>
            <w:pPr>
              <w:jc w:val="right"/>
              <w:spacing w:after="0" w:line="209" w:lineRule="exact"/>
              <w:rPr>
                <w:sz w:val="20"/>
                <w:szCs w:val="20"/>
                <w:color w:val="auto"/>
              </w:rPr>
            </w:pPr>
            <w:r>
              <w:rPr>
                <w:rFonts w:ascii="Calibri" w:cs="Calibri" w:eastAsia="Calibri" w:hAnsi="Calibri"/>
                <w:sz w:val="18"/>
                <w:szCs w:val="18"/>
                <w:color w:val="auto"/>
              </w:rPr>
              <w:t>$</w:t>
            </w:r>
          </w:p>
        </w:tc>
        <w:tc>
          <w:tcPr>
            <w:tcW w:w="200" w:type="dxa"/>
            <w:vAlign w:val="bottom"/>
          </w:tcPr>
          <w:p>
            <w:pPr>
              <w:spacing w:after="0"/>
              <w:rPr>
                <w:sz w:val="18"/>
                <w:szCs w:val="18"/>
                <w:color w:val="auto"/>
              </w:rPr>
            </w:pPr>
          </w:p>
        </w:tc>
        <w:tc>
          <w:tcPr>
            <w:tcW w:w="940" w:type="dxa"/>
            <w:vAlign w:val="bottom"/>
            <w:gridSpan w:val="3"/>
          </w:tcPr>
          <w:p>
            <w:pPr>
              <w:jc w:val="right"/>
              <w:spacing w:after="0" w:line="209" w:lineRule="exact"/>
              <w:rPr>
                <w:sz w:val="20"/>
                <w:szCs w:val="20"/>
                <w:color w:val="auto"/>
              </w:rPr>
            </w:pPr>
            <w:r>
              <w:rPr>
                <w:rFonts w:ascii="Calibri" w:cs="Calibri" w:eastAsia="Calibri" w:hAnsi="Calibri"/>
                <w:sz w:val="18"/>
                <w:szCs w:val="18"/>
                <w:color w:val="auto"/>
              </w:rPr>
              <w:t>110</w:t>
            </w:r>
          </w:p>
        </w:tc>
        <w:tc>
          <w:tcPr>
            <w:tcW w:w="240" w:type="dxa"/>
            <w:vAlign w:val="bottom"/>
          </w:tcPr>
          <w:p>
            <w:pPr>
              <w:spacing w:after="0"/>
              <w:rPr>
                <w:sz w:val="18"/>
                <w:szCs w:val="18"/>
                <w:color w:val="auto"/>
              </w:rPr>
            </w:pPr>
          </w:p>
        </w:tc>
        <w:tc>
          <w:tcPr>
            <w:tcW w:w="300" w:type="dxa"/>
            <w:vAlign w:val="bottom"/>
          </w:tcPr>
          <w:p>
            <w:pPr>
              <w:jc w:val="right"/>
              <w:ind w:right="90"/>
              <w:spacing w:after="0" w:line="209"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jc w:val="right"/>
              <w:spacing w:after="0" w:line="209" w:lineRule="exact"/>
              <w:rPr>
                <w:sz w:val="20"/>
                <w:szCs w:val="20"/>
                <w:color w:val="auto"/>
              </w:rPr>
            </w:pPr>
            <w:r>
              <w:rPr>
                <w:rFonts w:ascii="Calibri" w:cs="Calibri" w:eastAsia="Calibri" w:hAnsi="Calibri"/>
                <w:sz w:val="18"/>
                <w:szCs w:val="18"/>
                <w:color w:val="auto"/>
                <w:w w:val="87"/>
              </w:rPr>
              <w:t>74</w:t>
            </w:r>
          </w:p>
        </w:tc>
        <w:tc>
          <w:tcPr>
            <w:tcW w:w="1180" w:type="dxa"/>
            <w:vAlign w:val="bottom"/>
            <w:gridSpan w:val="2"/>
          </w:tcPr>
          <w:p>
            <w:pPr>
              <w:jc w:val="right"/>
              <w:ind w:right="730"/>
              <w:spacing w:after="0" w:line="209" w:lineRule="exact"/>
              <w:rPr>
                <w:sz w:val="20"/>
                <w:szCs w:val="20"/>
                <w:color w:val="auto"/>
              </w:rPr>
            </w:pPr>
            <w:r>
              <w:rPr>
                <w:rFonts w:ascii="Calibri" w:cs="Calibri" w:eastAsia="Calibri" w:hAnsi="Calibri"/>
                <w:sz w:val="18"/>
                <w:szCs w:val="18"/>
                <w:color w:val="auto"/>
              </w:rPr>
              <w:t>$</w:t>
            </w:r>
          </w:p>
        </w:tc>
        <w:tc>
          <w:tcPr>
            <w:tcW w:w="420" w:type="dxa"/>
            <w:vAlign w:val="bottom"/>
            <w:gridSpan w:val="2"/>
          </w:tcPr>
          <w:p>
            <w:pPr>
              <w:jc w:val="right"/>
              <w:ind w:right="20"/>
              <w:spacing w:after="0" w:line="209" w:lineRule="exact"/>
              <w:rPr>
                <w:sz w:val="20"/>
                <w:szCs w:val="20"/>
                <w:color w:val="auto"/>
              </w:rPr>
            </w:pPr>
            <w:r>
              <w:rPr>
                <w:rFonts w:ascii="Calibri" w:cs="Calibri" w:eastAsia="Calibri" w:hAnsi="Calibri"/>
                <w:sz w:val="18"/>
                <w:szCs w:val="18"/>
                <w:color w:val="auto"/>
              </w:rPr>
              <w:t>272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Calibri" w:cs="Calibri" w:eastAsia="Calibri" w:hAnsi="Calibri"/>
                <w:sz w:val="16"/>
                <w:szCs w:val="16"/>
                <w:color w:val="auto"/>
                <w:w w:val="73"/>
              </w:rPr>
              <w:t>$</w:t>
            </w:r>
          </w:p>
        </w:tc>
        <w:tc>
          <w:tcPr>
            <w:tcW w:w="1100" w:type="dxa"/>
            <w:vAlign w:val="bottom"/>
            <w:gridSpan w:val="2"/>
          </w:tcPr>
          <w:p>
            <w:pPr>
              <w:jc w:val="right"/>
              <w:ind w:right="20"/>
              <w:spacing w:after="0" w:line="209" w:lineRule="exact"/>
              <w:rPr>
                <w:sz w:val="20"/>
                <w:szCs w:val="20"/>
                <w:color w:val="auto"/>
              </w:rPr>
            </w:pPr>
            <w:r>
              <w:rPr>
                <w:rFonts w:ascii="Calibri" w:cs="Calibri" w:eastAsia="Calibri" w:hAnsi="Calibri"/>
                <w:sz w:val="18"/>
                <w:szCs w:val="18"/>
                <w:color w:val="auto"/>
              </w:rPr>
              <w:t>38</w:t>
            </w:r>
          </w:p>
        </w:tc>
        <w:tc>
          <w:tcPr>
            <w:tcW w:w="480" w:type="dxa"/>
            <w:vAlign w:val="bottom"/>
            <w:gridSpan w:val="4"/>
          </w:tcPr>
          <w:p>
            <w:pPr>
              <w:jc w:val="right"/>
              <w:ind w:right="140"/>
              <w:spacing w:after="0" w:line="209" w:lineRule="exact"/>
              <w:rPr>
                <w:sz w:val="20"/>
                <w:szCs w:val="20"/>
                <w:color w:val="auto"/>
              </w:rPr>
            </w:pPr>
            <w:r>
              <w:rPr>
                <w:rFonts w:ascii="Calibri" w:cs="Calibri" w:eastAsia="Calibri" w:hAnsi="Calibri"/>
                <w:sz w:val="18"/>
                <w:szCs w:val="18"/>
                <w:color w:val="auto"/>
              </w:rPr>
              <w:t>$</w:t>
            </w:r>
          </w:p>
        </w:tc>
        <w:tc>
          <w:tcPr>
            <w:tcW w:w="980" w:type="dxa"/>
            <w:vAlign w:val="bottom"/>
          </w:tcPr>
          <w:p>
            <w:pPr>
              <w:jc w:val="right"/>
              <w:spacing w:after="0" w:line="209" w:lineRule="exact"/>
              <w:rPr>
                <w:sz w:val="20"/>
                <w:szCs w:val="20"/>
                <w:color w:val="auto"/>
              </w:rPr>
            </w:pPr>
            <w:r>
              <w:rPr>
                <w:rFonts w:ascii="Calibri" w:cs="Calibri" w:eastAsia="Calibri" w:hAnsi="Calibri"/>
                <w:sz w:val="18"/>
                <w:szCs w:val="18"/>
                <w:color w:val="auto"/>
              </w:rPr>
              <w:t>494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80" w:type="dxa"/>
            <w:vAlign w:val="bottom"/>
            <w:vMerge w:val="restart"/>
          </w:tcPr>
          <w:p>
            <w:pPr>
              <w:spacing w:after="0"/>
              <w:rPr>
                <w:sz w:val="20"/>
                <w:szCs w:val="20"/>
                <w:color w:val="auto"/>
              </w:rPr>
            </w:pPr>
            <w:r>
              <w:rPr>
                <w:rFonts w:ascii="Calibri" w:cs="Calibri" w:eastAsia="Calibri" w:hAnsi="Calibri"/>
                <w:sz w:val="18"/>
                <w:szCs w:val="18"/>
                <w:b w:val="1"/>
                <w:bCs w:val="1"/>
                <w:color w:val="auto"/>
              </w:rPr>
              <w:t>Major Non-U.S. Plans</w:t>
            </w:r>
          </w:p>
        </w:tc>
        <w:tc>
          <w:tcPr>
            <w:tcW w:w="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298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gridSpan w:val="4"/>
          </w:tcPr>
          <w:p>
            <w:pPr>
              <w:jc w:val="center"/>
              <w:ind w:left="290"/>
              <w:spacing w:after="0" w:line="216" w:lineRule="exact"/>
              <w:rPr>
                <w:sz w:val="20"/>
                <w:szCs w:val="20"/>
                <w:color w:val="auto"/>
              </w:rPr>
            </w:pPr>
            <w:r>
              <w:rPr>
                <w:rFonts w:ascii="Calibri" w:cs="Calibri" w:eastAsia="Calibri" w:hAnsi="Calibri"/>
                <w:sz w:val="18"/>
                <w:szCs w:val="18"/>
                <w:b w:val="1"/>
                <w:bCs w:val="1"/>
                <w:color w:val="auto"/>
                <w:w w:val="97"/>
              </w:rPr>
              <w:t>December 31, 2023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980" w:type="dxa"/>
            <w:vAlign w:val="bottom"/>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2980" w:type="dxa"/>
            <w:vAlign w:val="bottom"/>
          </w:tcPr>
          <w:p>
            <w:pPr>
              <w:spacing w:after="0"/>
              <w:rPr>
                <w:sz w:val="16"/>
                <w:szCs w:val="16"/>
                <w:color w:val="auto"/>
              </w:rPr>
            </w:pPr>
          </w:p>
        </w:tc>
        <w:tc>
          <w:tcPr>
            <w:tcW w:w="1240" w:type="dxa"/>
            <w:vAlign w:val="bottom"/>
            <w:gridSpan w:val="3"/>
          </w:tcPr>
          <w:p>
            <w:pPr>
              <w:jc w:val="center"/>
              <w:spacing w:after="0" w:line="187" w:lineRule="exact"/>
              <w:rPr>
                <w:sz w:val="20"/>
                <w:szCs w:val="20"/>
                <w:color w:val="auto"/>
              </w:rPr>
            </w:pPr>
            <w:r>
              <w:rPr>
                <w:rFonts w:ascii="Calibri" w:cs="Calibri" w:eastAsia="Calibri" w:hAnsi="Calibri"/>
                <w:sz w:val="18"/>
                <w:szCs w:val="18"/>
                <w:b w:val="1"/>
                <w:bCs w:val="1"/>
                <w:color w:val="auto"/>
                <w:w w:val="99"/>
              </w:rPr>
              <w:t>Quoted Prices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980" w:type="dxa"/>
            <w:vAlign w:val="bottom"/>
          </w:tcPr>
          <w:p>
            <w:pPr>
              <w:spacing w:after="0"/>
              <w:rPr>
                <w:sz w:val="18"/>
                <w:szCs w:val="18"/>
                <w:color w:val="auto"/>
              </w:rPr>
            </w:pPr>
          </w:p>
        </w:tc>
        <w:tc>
          <w:tcPr>
            <w:tcW w:w="1040" w:type="dxa"/>
            <w:vAlign w:val="bottom"/>
            <w:gridSpan w:val="2"/>
          </w:tcPr>
          <w:p>
            <w:pPr>
              <w:jc w:val="center"/>
              <w:ind w:left="110"/>
              <w:spacing w:after="0" w:line="215" w:lineRule="exact"/>
              <w:rPr>
                <w:sz w:val="20"/>
                <w:szCs w:val="20"/>
                <w:color w:val="auto"/>
              </w:rPr>
            </w:pPr>
            <w:r>
              <w:rPr>
                <w:rFonts w:ascii="Calibri" w:cs="Calibri" w:eastAsia="Calibri" w:hAnsi="Calibri"/>
                <w:sz w:val="18"/>
                <w:szCs w:val="18"/>
                <w:b w:val="1"/>
                <w:bCs w:val="1"/>
                <w:color w:val="auto"/>
              </w:rPr>
              <w:t>in Actve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1040" w:type="dxa"/>
            <w:vAlign w:val="bottom"/>
            <w:gridSpan w:val="2"/>
          </w:tcPr>
          <w:p>
            <w:pPr>
              <w:jc w:val="center"/>
              <w:ind w:left="110"/>
              <w:spacing w:after="0" w:line="216" w:lineRule="exact"/>
              <w:rPr>
                <w:sz w:val="20"/>
                <w:szCs w:val="20"/>
                <w:color w:val="auto"/>
              </w:rPr>
            </w:pPr>
            <w:r>
              <w:rPr>
                <w:rFonts w:ascii="Calibri" w:cs="Calibri" w:eastAsia="Calibri" w:hAnsi="Calibri"/>
                <w:sz w:val="18"/>
                <w:szCs w:val="18"/>
                <w:b w:val="1"/>
                <w:bCs w:val="1"/>
                <w:color w:val="auto"/>
                <w:w w:val="95"/>
              </w:rPr>
              <w:t>Markets for</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tcPr>
          <w:p>
            <w:pPr>
              <w:jc w:val="center"/>
              <w:spacing w:after="0" w:line="216" w:lineRule="exact"/>
              <w:rPr>
                <w:sz w:val="20"/>
                <w:szCs w:val="20"/>
                <w:color w:val="auto"/>
              </w:rPr>
            </w:pPr>
            <w:r>
              <w:rPr>
                <w:rFonts w:ascii="Calibri" w:cs="Calibri" w:eastAsia="Calibri" w:hAnsi="Calibri"/>
                <w:sz w:val="18"/>
                <w:szCs w:val="18"/>
                <w:b w:val="1"/>
                <w:bCs w:val="1"/>
                <w:color w:val="auto"/>
              </w:rPr>
              <w:t>Signifcant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50"/>
              <w:spacing w:after="0" w:line="216" w:lineRule="exact"/>
              <w:rPr>
                <w:sz w:val="20"/>
                <w:szCs w:val="20"/>
                <w:color w:val="auto"/>
              </w:rPr>
            </w:pPr>
            <w:r>
              <w:rPr>
                <w:rFonts w:ascii="Calibri" w:cs="Calibri" w:eastAsia="Calibri" w:hAnsi="Calibri"/>
                <w:sz w:val="18"/>
                <w:szCs w:val="18"/>
                <w:b w:val="1"/>
                <w:bCs w:val="1"/>
                <w:color w:val="auto"/>
              </w:rPr>
              <w:t>Signifcant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1040" w:type="dxa"/>
            <w:vAlign w:val="bottom"/>
            <w:gridSpan w:val="2"/>
          </w:tcPr>
          <w:p>
            <w:pPr>
              <w:jc w:val="center"/>
              <w:ind w:left="110"/>
              <w:spacing w:after="0" w:line="216" w:lineRule="exact"/>
              <w:rPr>
                <w:sz w:val="20"/>
                <w:szCs w:val="20"/>
                <w:color w:val="auto"/>
              </w:rPr>
            </w:pPr>
            <w:r>
              <w:rPr>
                <w:rFonts w:ascii="Calibri" w:cs="Calibri" w:eastAsia="Calibri" w:hAnsi="Calibri"/>
                <w:sz w:val="18"/>
                <w:szCs w:val="18"/>
                <w:b w:val="1"/>
                <w:bCs w:val="1"/>
                <w:color w:val="auto"/>
              </w:rPr>
              <w:t>Identcal</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tcPr>
          <w:p>
            <w:pPr>
              <w:jc w:val="center"/>
              <w:spacing w:after="0" w:line="216" w:lineRule="exact"/>
              <w:rPr>
                <w:sz w:val="20"/>
                <w:szCs w:val="20"/>
                <w:color w:val="auto"/>
              </w:rPr>
            </w:pPr>
            <w:r>
              <w:rPr>
                <w:rFonts w:ascii="Calibri" w:cs="Calibri" w:eastAsia="Calibri" w:hAnsi="Calibri"/>
                <w:sz w:val="18"/>
                <w:szCs w:val="18"/>
                <w:b w:val="1"/>
                <w:bCs w:val="1"/>
                <w:color w:val="auto"/>
                <w:w w:val="96"/>
              </w:rPr>
              <w:t>Observable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60" w:type="dxa"/>
            <w:vAlign w:val="bottom"/>
            <w:gridSpan w:val="3"/>
          </w:tcPr>
          <w:p>
            <w:pPr>
              <w:jc w:val="center"/>
              <w:ind w:right="90"/>
              <w:spacing w:after="0" w:line="216" w:lineRule="exact"/>
              <w:rPr>
                <w:sz w:val="20"/>
                <w:szCs w:val="20"/>
                <w:color w:val="auto"/>
              </w:rPr>
            </w:pPr>
            <w:r>
              <w:rPr>
                <w:rFonts w:ascii="Calibri" w:cs="Calibri" w:eastAsia="Calibri" w:hAnsi="Calibri"/>
                <w:sz w:val="18"/>
                <w:szCs w:val="18"/>
                <w:b w:val="1"/>
                <w:bCs w:val="1"/>
                <w:color w:val="auto"/>
                <w:w w:val="98"/>
              </w:rPr>
              <w:t>Unobservable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1040" w:type="dxa"/>
            <w:vAlign w:val="bottom"/>
            <w:gridSpan w:val="2"/>
          </w:tcPr>
          <w:p>
            <w:pPr>
              <w:jc w:val="center"/>
              <w:ind w:left="110"/>
              <w:spacing w:after="0" w:line="216" w:lineRule="exact"/>
              <w:rPr>
                <w:sz w:val="20"/>
                <w:szCs w:val="20"/>
                <w:color w:val="auto"/>
              </w:rPr>
            </w:pPr>
            <w:r>
              <w:rPr>
                <w:rFonts w:ascii="Calibri" w:cs="Calibri" w:eastAsia="Calibri" w:hAnsi="Calibri"/>
                <w:sz w:val="18"/>
                <w:szCs w:val="18"/>
                <w:b w:val="1"/>
                <w:bCs w:val="1"/>
                <w:color w:val="auto"/>
              </w:rPr>
              <w:t>Assets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center"/>
              <w:ind w:left="230"/>
              <w:spacing w:after="0" w:line="216" w:lineRule="exact"/>
              <w:rPr>
                <w:sz w:val="20"/>
                <w:szCs w:val="20"/>
                <w:color w:val="auto"/>
              </w:rPr>
            </w:pPr>
            <w:r>
              <w:rPr>
                <w:rFonts w:ascii="Calibri" w:cs="Calibri" w:eastAsia="Calibri" w:hAnsi="Calibri"/>
                <w:sz w:val="18"/>
                <w:szCs w:val="18"/>
                <w:b w:val="1"/>
                <w:bCs w:val="1"/>
                <w:color w:val="auto"/>
                <w:w w:val="97"/>
              </w:rPr>
              <w:t>Inputs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70"/>
              <w:spacing w:after="0" w:line="216" w:lineRule="exact"/>
              <w:rPr>
                <w:sz w:val="20"/>
                <w:szCs w:val="20"/>
                <w:color w:val="auto"/>
              </w:rPr>
            </w:pPr>
            <w:r>
              <w:rPr>
                <w:rFonts w:ascii="Calibri" w:cs="Calibri" w:eastAsia="Calibri" w:hAnsi="Calibri"/>
                <w:sz w:val="18"/>
                <w:szCs w:val="18"/>
                <w:b w:val="1"/>
                <w:bCs w:val="1"/>
                <w:color w:val="auto"/>
                <w:w w:val="97"/>
              </w:rPr>
              <w:t>Inputs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3"/>
          </w:tcPr>
          <w:p>
            <w:pPr>
              <w:jc w:val="right"/>
              <w:ind w:right="220"/>
              <w:spacing w:after="0" w:line="216" w:lineRule="exact"/>
              <w:rPr>
                <w:sz w:val="20"/>
                <w:szCs w:val="20"/>
                <w:color w:val="auto"/>
              </w:rPr>
            </w:pPr>
            <w:r>
              <w:rPr>
                <w:rFonts w:ascii="Calibri" w:cs="Calibri" w:eastAsia="Calibri" w:hAnsi="Calibri"/>
                <w:sz w:val="18"/>
                <w:szCs w:val="18"/>
                <w:b w:val="1"/>
                <w:bCs w:val="1"/>
                <w:color w:val="auto"/>
              </w:rPr>
              <w:t>Measured at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980" w:type="dxa"/>
            <w:vAlign w:val="bottom"/>
          </w:tcPr>
          <w:p>
            <w:pPr>
              <w:ind w:left="20"/>
              <w:spacing w:after="0"/>
              <w:rPr>
                <w:sz w:val="20"/>
                <w:szCs w:val="20"/>
                <w:color w:val="auto"/>
              </w:rPr>
            </w:pPr>
            <w:r>
              <w:rPr>
                <w:rFonts w:ascii="Calibri" w:cs="Calibri" w:eastAsia="Calibri" w:hAnsi="Calibri"/>
                <w:sz w:val="14"/>
                <w:szCs w:val="14"/>
                <w:color w:val="auto"/>
              </w:rPr>
              <w:t>(in millions)</w:t>
            </w:r>
          </w:p>
        </w:tc>
        <w:tc>
          <w:tcPr>
            <w:tcW w:w="1040" w:type="dxa"/>
            <w:vAlign w:val="bottom"/>
            <w:tcBorders>
              <w:bottom w:val="single" w:sz="8" w:color="auto"/>
            </w:tcBorders>
            <w:gridSpan w:val="2"/>
          </w:tcPr>
          <w:p>
            <w:pPr>
              <w:jc w:val="center"/>
              <w:ind w:left="110"/>
              <w:spacing w:after="0" w:line="216" w:lineRule="exact"/>
              <w:rPr>
                <w:sz w:val="20"/>
                <w:szCs w:val="20"/>
                <w:color w:val="auto"/>
              </w:rPr>
            </w:pPr>
            <w:r>
              <w:rPr>
                <w:rFonts w:ascii="Calibri" w:cs="Calibri" w:eastAsia="Calibri" w:hAnsi="Calibri"/>
                <w:sz w:val="18"/>
                <w:szCs w:val="18"/>
                <w:b w:val="1"/>
                <w:bCs w:val="1"/>
                <w:color w:val="auto"/>
                <w:w w:val="95"/>
              </w:rPr>
              <w:t>(Level 1)</w:t>
            </w:r>
          </w:p>
        </w:tc>
        <w:tc>
          <w:tcPr>
            <w:tcW w:w="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Borders>
              <w:bottom w:val="single" w:sz="8" w:color="auto"/>
            </w:tcBorders>
            <w:gridSpan w:val="2"/>
          </w:tcPr>
          <w:p>
            <w:pPr>
              <w:jc w:val="center"/>
              <w:ind w:left="230"/>
              <w:spacing w:after="0" w:line="216" w:lineRule="exact"/>
              <w:rPr>
                <w:sz w:val="20"/>
                <w:szCs w:val="20"/>
                <w:color w:val="auto"/>
              </w:rPr>
            </w:pPr>
            <w:r>
              <w:rPr>
                <w:rFonts w:ascii="Calibri" w:cs="Calibri" w:eastAsia="Calibri" w:hAnsi="Calibri"/>
                <w:sz w:val="18"/>
                <w:szCs w:val="18"/>
                <w:b w:val="1"/>
                <w:bCs w:val="1"/>
                <w:color w:val="auto"/>
                <w:w w:val="98"/>
              </w:rPr>
              <w:t>(Level 2)</w:t>
            </w:r>
          </w:p>
        </w:tc>
        <w:tc>
          <w:tcPr>
            <w:tcW w:w="3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center"/>
              <w:ind w:right="270"/>
              <w:spacing w:after="0" w:line="216" w:lineRule="exact"/>
              <w:rPr>
                <w:sz w:val="20"/>
                <w:szCs w:val="20"/>
                <w:color w:val="auto"/>
              </w:rPr>
            </w:pPr>
            <w:r>
              <w:rPr>
                <w:rFonts w:ascii="Calibri" w:cs="Calibri" w:eastAsia="Calibri" w:hAnsi="Calibri"/>
                <w:sz w:val="18"/>
                <w:szCs w:val="18"/>
                <w:b w:val="1"/>
                <w:bCs w:val="1"/>
                <w:color w:val="auto"/>
                <w:w w:val="98"/>
              </w:rPr>
              <w:t>(Level 3)</w:t>
            </w: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0"/>
              <w:spacing w:after="0" w:line="216" w:lineRule="exact"/>
              <w:rPr>
                <w:sz w:val="20"/>
                <w:szCs w:val="20"/>
                <w:color w:val="auto"/>
              </w:rPr>
            </w:pPr>
            <w:r>
              <w:rPr>
                <w:rFonts w:ascii="Calibri" w:cs="Calibri" w:eastAsia="Calibri" w:hAnsi="Calibri"/>
                <w:sz w:val="18"/>
                <w:szCs w:val="18"/>
                <w:b w:val="1"/>
                <w:bCs w:val="1"/>
                <w:color w:val="auto"/>
              </w:rPr>
              <w:t>NAV</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0"/>
              <w:spacing w:after="0" w:line="216" w:lineRule="exact"/>
              <w:rPr>
                <w:sz w:val="20"/>
                <w:szCs w:val="20"/>
                <w:color w:val="auto"/>
              </w:rPr>
            </w:pPr>
            <w:r>
              <w:rPr>
                <w:rFonts w:ascii="Calibri" w:cs="Calibri" w:eastAsia="Calibri" w:hAnsi="Calibri"/>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980" w:type="dxa"/>
            <w:vAlign w:val="bottom"/>
            <w:shd w:val="clear" w:color="auto" w:fill="CFF0FC"/>
          </w:tcPr>
          <w:p>
            <w:pPr>
              <w:ind w:left="20"/>
              <w:spacing w:after="0" w:line="213" w:lineRule="exact"/>
              <w:rPr>
                <w:sz w:val="20"/>
                <w:szCs w:val="20"/>
                <w:color w:val="auto"/>
              </w:rPr>
            </w:pPr>
            <w:r>
              <w:rPr>
                <w:rFonts w:ascii="Calibri" w:cs="Calibri" w:eastAsia="Calibri" w:hAnsi="Calibri"/>
                <w:sz w:val="18"/>
                <w:szCs w:val="18"/>
                <w:color w:val="auto"/>
              </w:rPr>
              <w:t>Cash and cash equivalents</w:t>
            </w:r>
          </w:p>
        </w:tc>
        <w:tc>
          <w:tcPr>
            <w:tcW w:w="940" w:type="dxa"/>
            <w:vAlign w:val="bottom"/>
            <w:shd w:val="clear" w:color="auto" w:fill="CFF0FC"/>
          </w:tcPr>
          <w:p>
            <w:pPr>
              <w:jc w:val="right"/>
              <w:ind w:right="750"/>
              <w:spacing w:after="0" w:line="213" w:lineRule="exact"/>
              <w:rPr>
                <w:sz w:val="20"/>
                <w:szCs w:val="20"/>
                <w:color w:val="auto"/>
              </w:rPr>
            </w:pPr>
            <w:r>
              <w:rPr>
                <w:rFonts w:ascii="Calibri" w:cs="Calibri" w:eastAsia="Calibri" w:hAnsi="Calibri"/>
                <w:sz w:val="18"/>
                <w:szCs w:val="18"/>
                <w:color w:val="auto"/>
                <w:w w:val="87"/>
              </w:rPr>
              <w:t>$</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line="213" w:lineRule="exact"/>
              <w:rPr>
                <w:sz w:val="20"/>
                <w:szCs w:val="20"/>
                <w:color w:val="auto"/>
              </w:rPr>
            </w:pPr>
            <w:r>
              <w:rPr>
                <w:rFonts w:ascii="Calibri" w:cs="Calibri" w:eastAsia="Calibri" w:hAnsi="Calibri"/>
                <w:sz w:val="18"/>
                <w:szCs w:val="18"/>
                <w:color w:val="auto"/>
                <w:w w:val="87"/>
              </w:rPr>
              <w:t>13</w:t>
            </w:r>
          </w:p>
        </w:tc>
        <w:tc>
          <w:tcPr>
            <w:tcW w:w="940" w:type="dxa"/>
            <w:vAlign w:val="bottom"/>
            <w:gridSpan w:val="3"/>
            <w:shd w:val="clear" w:color="auto" w:fill="CFF0FC"/>
          </w:tcPr>
          <w:p>
            <w:pPr>
              <w:jc w:val="center"/>
              <w:ind w:right="250"/>
              <w:spacing w:after="0" w:line="213" w:lineRule="exact"/>
              <w:rPr>
                <w:sz w:val="20"/>
                <w:szCs w:val="20"/>
                <w:color w:val="auto"/>
              </w:rPr>
            </w:pPr>
            <w:r>
              <w:rPr>
                <w:rFonts w:ascii="Calibri" w:cs="Calibri" w:eastAsia="Calibri" w:hAnsi="Calibri"/>
                <w:sz w:val="18"/>
                <w:szCs w:val="18"/>
                <w:color w:val="auto"/>
                <w:w w:val="87"/>
              </w:rPr>
              <w:t>$</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line="213" w:lineRule="exact"/>
              <w:rPr>
                <w:sz w:val="20"/>
                <w:szCs w:val="20"/>
                <w:color w:val="auto"/>
              </w:rPr>
            </w:pPr>
            <w:r>
              <w:rPr>
                <w:rFonts w:ascii="Calibri" w:cs="Calibri" w:eastAsia="Calibri" w:hAnsi="Calibri"/>
                <w:sz w:val="18"/>
                <w:szCs w:val="18"/>
                <w:color w:val="auto"/>
              </w:rPr>
              <w:t>—</w:t>
            </w:r>
          </w:p>
        </w:tc>
        <w:tc>
          <w:tcPr>
            <w:tcW w:w="740" w:type="dxa"/>
            <w:vAlign w:val="bottom"/>
            <w:gridSpan w:val="3"/>
            <w:shd w:val="clear" w:color="auto" w:fill="CFF0FC"/>
          </w:tcPr>
          <w:p>
            <w:pPr>
              <w:jc w:val="center"/>
              <w:ind w:right="30"/>
              <w:spacing w:after="0" w:line="213" w:lineRule="exact"/>
              <w:rPr>
                <w:sz w:val="20"/>
                <w:szCs w:val="20"/>
                <w:color w:val="auto"/>
              </w:rPr>
            </w:pPr>
            <w:r>
              <w:rPr>
                <w:rFonts w:ascii="Calibri" w:cs="Calibri" w:eastAsia="Calibri" w:hAnsi="Calibri"/>
                <w:sz w:val="18"/>
                <w:szCs w:val="18"/>
                <w:color w:val="auto"/>
              </w:rPr>
              <w:t>$</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60" w:type="dxa"/>
            <w:vAlign w:val="bottom"/>
            <w:gridSpan w:val="3"/>
            <w:shd w:val="clear" w:color="auto" w:fill="CFF0FC"/>
          </w:tcPr>
          <w:p>
            <w:pPr>
              <w:jc w:val="right"/>
              <w:ind w:right="240"/>
              <w:spacing w:after="0" w:line="213" w:lineRule="exact"/>
              <w:rPr>
                <w:sz w:val="20"/>
                <w:szCs w:val="20"/>
                <w:color w:val="auto"/>
              </w:rPr>
            </w:pPr>
            <w:r>
              <w:rPr>
                <w:rFonts w:ascii="Calibri" w:cs="Calibri" w:eastAsia="Calibri" w:hAnsi="Calibri"/>
                <w:sz w:val="18"/>
                <w:szCs w:val="18"/>
                <w:color w:val="auto"/>
              </w:rPr>
              <w:t>—</w:t>
            </w:r>
          </w:p>
        </w:tc>
        <w:tc>
          <w:tcPr>
            <w:tcW w:w="120" w:type="dxa"/>
            <w:vAlign w:val="bottom"/>
            <w:gridSpan w:val="2"/>
            <w:shd w:val="clear" w:color="auto" w:fill="CFF0FC"/>
          </w:tcPr>
          <w:p>
            <w:pPr>
              <w:jc w:val="right"/>
              <w:ind w:right="20"/>
              <w:spacing w:after="0" w:line="213" w:lineRule="exact"/>
              <w:rPr>
                <w:sz w:val="20"/>
                <w:szCs w:val="20"/>
                <w:color w:val="auto"/>
              </w:rPr>
            </w:pPr>
            <w:r>
              <w:rPr>
                <w:rFonts w:ascii="Calibri" w:cs="Calibri" w:eastAsia="Calibri" w:hAnsi="Calibri"/>
                <w:sz w:val="18"/>
                <w:szCs w:val="18"/>
                <w:color w:val="auto"/>
                <w:w w:val="87"/>
              </w:rPr>
              <w:t>$</w:t>
            </w: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60"/>
              <w:spacing w:after="0" w:line="213" w:lineRule="exact"/>
              <w:rPr>
                <w:sz w:val="20"/>
                <w:szCs w:val="20"/>
                <w:color w:val="auto"/>
              </w:rPr>
            </w:pPr>
            <w:r>
              <w:rPr>
                <w:rFonts w:ascii="Calibri" w:cs="Calibri" w:eastAsia="Calibri" w:hAnsi="Calibri"/>
                <w:sz w:val="18"/>
                <w:szCs w:val="18"/>
                <w:color w:val="auto"/>
              </w:rPr>
              <w:t>—</w:t>
            </w:r>
          </w:p>
        </w:tc>
        <w:tc>
          <w:tcPr>
            <w:tcW w:w="480" w:type="dxa"/>
            <w:vAlign w:val="bottom"/>
            <w:gridSpan w:val="4"/>
            <w:shd w:val="clear" w:color="auto" w:fill="CFF0FC"/>
          </w:tcPr>
          <w:p>
            <w:pPr>
              <w:jc w:val="right"/>
              <w:ind w:right="200"/>
              <w:spacing w:after="0" w:line="213" w:lineRule="exact"/>
              <w:rPr>
                <w:sz w:val="20"/>
                <w:szCs w:val="20"/>
                <w:color w:val="auto"/>
              </w:rPr>
            </w:pPr>
            <w:r>
              <w:rPr>
                <w:rFonts w:ascii="Calibri" w:cs="Calibri" w:eastAsia="Calibri" w:hAnsi="Calibri"/>
                <w:sz w:val="18"/>
                <w:szCs w:val="18"/>
                <w:color w:val="auto"/>
              </w:rPr>
              <w:t>$</w:t>
            </w:r>
          </w:p>
        </w:tc>
        <w:tc>
          <w:tcPr>
            <w:tcW w:w="980" w:type="dxa"/>
            <w:vAlign w:val="bottom"/>
            <w:shd w:val="clear" w:color="auto" w:fill="CFF0FC"/>
          </w:tcPr>
          <w:p>
            <w:pPr>
              <w:jc w:val="right"/>
              <w:spacing w:after="0" w:line="213" w:lineRule="exact"/>
              <w:rPr>
                <w:sz w:val="20"/>
                <w:szCs w:val="20"/>
                <w:color w:val="auto"/>
              </w:rPr>
            </w:pPr>
            <w:r>
              <w:rPr>
                <w:rFonts w:ascii="Calibri" w:cs="Calibri" w:eastAsia="Calibri" w:hAnsi="Calibri"/>
                <w:sz w:val="18"/>
                <w:szCs w:val="18"/>
                <w:color w:val="auto"/>
              </w:rPr>
              <w:t>13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Equity securites</w:t>
            </w: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33</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60" w:type="dxa"/>
            <w:vAlign w:val="bottom"/>
            <w:gridSpan w:val="3"/>
            <w:shd w:val="clear" w:color="auto" w:fill="CFF0FC"/>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60"/>
              <w:spacing w:after="0" w:line="215" w:lineRule="exact"/>
              <w:rPr>
                <w:sz w:val="20"/>
                <w:szCs w:val="20"/>
                <w:color w:val="auto"/>
              </w:rPr>
            </w:pPr>
            <w:r>
              <w:rPr>
                <w:rFonts w:ascii="Calibri" w:cs="Calibri" w:eastAsia="Calibri" w:hAnsi="Calibri"/>
                <w:sz w:val="18"/>
                <w:szCs w:val="18"/>
                <w:color w:val="auto"/>
              </w:rPr>
              <w:t>—</w:t>
            </w: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Debt securites:</w:t>
            </w: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80" w:type="dxa"/>
            <w:vAlign w:val="bottom"/>
          </w:tcPr>
          <w:p>
            <w:pPr>
              <w:ind w:left="120"/>
              <w:spacing w:after="0" w:line="215" w:lineRule="exact"/>
              <w:rPr>
                <w:sz w:val="20"/>
                <w:szCs w:val="20"/>
                <w:color w:val="auto"/>
              </w:rPr>
            </w:pPr>
            <w:r>
              <w:rPr>
                <w:rFonts w:ascii="Calibri" w:cs="Calibri" w:eastAsia="Calibri" w:hAnsi="Calibri"/>
                <w:sz w:val="18"/>
                <w:szCs w:val="18"/>
                <w:color w:val="auto"/>
              </w:rPr>
              <w:t>Investment grade bonds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35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jc w:val="right"/>
              <w:spacing w:after="0" w:line="215" w:lineRule="exact"/>
              <w:rPr>
                <w:sz w:val="20"/>
                <w:szCs w:val="20"/>
                <w:color w:val="auto"/>
              </w:rPr>
            </w:pPr>
            <w:r>
              <w:rPr>
                <w:rFonts w:ascii="Calibri" w:cs="Calibri" w:eastAsia="Calibri" w:hAnsi="Calibri"/>
                <w:sz w:val="18"/>
                <w:szCs w:val="18"/>
                <w:color w:val="auto"/>
              </w:rPr>
              <w:t>45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gridSpan w:val="3"/>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0"/>
              <w:spacing w:after="0" w:line="215" w:lineRule="exact"/>
              <w:rPr>
                <w:sz w:val="20"/>
                <w:szCs w:val="20"/>
                <w:color w:val="auto"/>
              </w:rPr>
            </w:pPr>
            <w:r>
              <w:rPr>
                <w:rFonts w:ascii="Calibri" w:cs="Calibri" w:eastAsia="Calibri" w:hAnsi="Calibri"/>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980" w:type="dxa"/>
            <w:vAlign w:val="bottom"/>
            <w:shd w:val="clear" w:color="auto" w:fill="CFF0FC"/>
          </w:tcPr>
          <w:p>
            <w:pPr>
              <w:ind w:left="120"/>
              <w:spacing w:after="0" w:line="194" w:lineRule="exact"/>
              <w:rPr>
                <w:sz w:val="20"/>
                <w:szCs w:val="20"/>
                <w:color w:val="auto"/>
              </w:rPr>
            </w:pPr>
            <w:r>
              <w:rPr>
                <w:rFonts w:ascii="Calibri" w:cs="Calibri" w:eastAsia="Calibri" w:hAnsi="Calibri"/>
                <w:sz w:val="18"/>
                <w:szCs w:val="18"/>
                <w:color w:val="auto"/>
              </w:rPr>
              <w:t>Global high yield &amp; emerging market</w:t>
            </w:r>
          </w:p>
        </w:tc>
        <w:tc>
          <w:tcPr>
            <w:tcW w:w="9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98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debt</w:t>
            </w:r>
          </w:p>
        </w:tc>
        <w:tc>
          <w:tcPr>
            <w:tcW w:w="9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CFF0FC"/>
            </w:tcBorders>
            <w:gridSpan w:val="3"/>
            <w:shd w:val="clear" w:color="auto" w:fill="CFF0FC"/>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gridSpan w:val="2"/>
            <w:shd w:val="clear" w:color="auto" w:fill="CFF0FC"/>
          </w:tcPr>
          <w:p>
            <w:pPr>
              <w:jc w:val="right"/>
              <w:ind w:right="60"/>
              <w:spacing w:after="0" w:line="215" w:lineRule="exact"/>
              <w:rPr>
                <w:sz w:val="20"/>
                <w:szCs w:val="20"/>
                <w:color w:val="auto"/>
              </w:rPr>
            </w:pPr>
            <w:r>
              <w:rPr>
                <w:rFonts w:ascii="Calibri" w:cs="Calibri" w:eastAsia="Calibri" w:hAnsi="Calibri"/>
                <w:sz w:val="18"/>
                <w:szCs w:val="18"/>
                <w:color w:val="auto"/>
              </w:rPr>
              <w:t>—</w:t>
            </w:r>
          </w:p>
        </w:tc>
        <w:tc>
          <w:tcPr>
            <w:tcW w:w="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Real estate</w:t>
            </w: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60" w:type="dxa"/>
            <w:vAlign w:val="bottom"/>
            <w:gridSpan w:val="3"/>
            <w:shd w:val="clear" w:color="auto" w:fill="CFF0FC"/>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11</w:t>
            </w: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Other:</w:t>
            </w: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80" w:type="dxa"/>
            <w:vAlign w:val="bottom"/>
          </w:tcPr>
          <w:p>
            <w:pPr>
              <w:ind w:left="120"/>
              <w:spacing w:after="0" w:line="215" w:lineRule="exact"/>
              <w:rPr>
                <w:sz w:val="20"/>
                <w:szCs w:val="20"/>
                <w:color w:val="auto"/>
              </w:rPr>
            </w:pPr>
            <w:r>
              <w:rPr>
                <w:rFonts w:ascii="Calibri" w:cs="Calibri" w:eastAsia="Calibri" w:hAnsi="Calibri"/>
                <w:sz w:val="18"/>
                <w:szCs w:val="18"/>
                <w:color w:val="auto"/>
              </w:rPr>
              <w:t>Hedge Funds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gridSpan w:val="3"/>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29</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980" w:type="dxa"/>
            <w:vAlign w:val="bottom"/>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Private equity</w:t>
            </w: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60" w:type="dxa"/>
            <w:vAlign w:val="bottom"/>
            <w:gridSpan w:val="3"/>
            <w:shd w:val="clear" w:color="auto" w:fill="CFF0FC"/>
          </w:tcPr>
          <w:p>
            <w:pPr>
              <w:jc w:val="right"/>
              <w:ind w:right="240"/>
              <w:spacing w:after="0" w:line="216" w:lineRule="exact"/>
              <w:rPr>
                <w:sz w:val="20"/>
                <w:szCs w:val="20"/>
                <w:color w:val="auto"/>
              </w:rPr>
            </w:pPr>
            <w:r>
              <w:rPr>
                <w:rFonts w:ascii="Calibri" w:cs="Calibri" w:eastAsia="Calibri" w:hAnsi="Calibri"/>
                <w:sz w:val="18"/>
                <w:szCs w:val="18"/>
                <w:color w:val="auto"/>
              </w:rPr>
              <w:t>—</w:t>
            </w: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42</w:t>
            </w: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42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80" w:type="dxa"/>
            <w:vAlign w:val="bottom"/>
          </w:tcPr>
          <w:p>
            <w:pPr>
              <w:ind w:left="120"/>
              <w:spacing w:after="0" w:line="215" w:lineRule="exact"/>
              <w:rPr>
                <w:sz w:val="20"/>
                <w:szCs w:val="20"/>
                <w:color w:val="auto"/>
              </w:rPr>
            </w:pPr>
            <w:r>
              <w:rPr>
                <w:rFonts w:ascii="Calibri" w:cs="Calibri" w:eastAsia="Calibri" w:hAnsi="Calibri"/>
                <w:sz w:val="18"/>
                <w:szCs w:val="18"/>
                <w:color w:val="auto"/>
              </w:rPr>
              <w:t>Insurance contracts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jc w:val="right"/>
              <w:spacing w:after="0" w:line="215" w:lineRule="exact"/>
              <w:rPr>
                <w:sz w:val="20"/>
                <w:szCs w:val="20"/>
                <w:color w:val="auto"/>
              </w:rPr>
            </w:pPr>
            <w:r>
              <w:rPr>
                <w:rFonts w:ascii="Calibri" w:cs="Calibri" w:eastAsia="Calibri" w:hAnsi="Calibri"/>
                <w:sz w:val="18"/>
                <w:szCs w:val="18"/>
                <w:color w:val="auto"/>
              </w:rPr>
              <w:t>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jc w:val="right"/>
              <w:spacing w:after="0" w:line="215" w:lineRule="exact"/>
              <w:rPr>
                <w:sz w:val="20"/>
                <w:szCs w:val="20"/>
                <w:color w:val="auto"/>
              </w:rPr>
            </w:pPr>
            <w:r>
              <w:rPr>
                <w:rFonts w:ascii="Calibri" w:cs="Calibri" w:eastAsia="Calibri" w:hAnsi="Calibri"/>
                <w:sz w:val="18"/>
                <w:szCs w:val="18"/>
                <w:color w:val="auto"/>
              </w:rPr>
              <w:t>287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0"/>
              <w:spacing w:after="0" w:line="215" w:lineRule="exact"/>
              <w:rPr>
                <w:sz w:val="20"/>
                <w:szCs w:val="20"/>
                <w:color w:val="auto"/>
              </w:rPr>
            </w:pPr>
            <w:r>
              <w:rPr>
                <w:rFonts w:ascii="Calibri" w:cs="Calibri" w:eastAsia="Calibri" w:hAnsi="Calibri"/>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317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Borders>
              <w:bottom w:val="single" w:sz="8" w:color="CFF0FC"/>
            </w:tcBorders>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Derivatves with unrealized gains</w:t>
            </w:r>
          </w:p>
        </w:tc>
        <w:tc>
          <w:tcPr>
            <w:tcW w:w="94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80" w:type="dxa"/>
            <w:vAlign w:val="bottom"/>
          </w:tcPr>
          <w:p>
            <w:pPr>
              <w:spacing w:after="0"/>
              <w:rPr>
                <w:sz w:val="18"/>
                <w:szCs w:val="18"/>
                <w:color w:val="auto"/>
              </w:rPr>
            </w:pPr>
          </w:p>
        </w:tc>
        <w:tc>
          <w:tcPr>
            <w:tcW w:w="940" w:type="dxa"/>
            <w:vAlign w:val="bottom"/>
            <w:tcBorders>
              <w:bottom w:val="single" w:sz="8" w:color="auto"/>
            </w:tcBorders>
          </w:tcPr>
          <w:p>
            <w:pPr>
              <w:jc w:val="right"/>
              <w:ind w:right="750"/>
              <w:spacing w:after="0" w:line="209" w:lineRule="exact"/>
              <w:rPr>
                <w:sz w:val="20"/>
                <w:szCs w:val="20"/>
                <w:color w:val="auto"/>
              </w:rPr>
            </w:pPr>
            <w:r>
              <w:rPr>
                <w:rFonts w:ascii="Calibri" w:cs="Calibri" w:eastAsia="Calibri" w:hAnsi="Calibri"/>
                <w:sz w:val="18"/>
                <w:szCs w:val="18"/>
                <w:color w:val="auto"/>
                <w:w w:val="87"/>
              </w:rPr>
              <w:t>$</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w w:val="87"/>
              </w:rPr>
              <w:t>84</w:t>
            </w:r>
          </w:p>
        </w:tc>
        <w:tc>
          <w:tcPr>
            <w:tcW w:w="100" w:type="dxa"/>
            <w:vAlign w:val="bottom"/>
          </w:tcPr>
          <w:p>
            <w:pPr>
              <w:spacing w:after="0"/>
              <w:rPr>
                <w:sz w:val="18"/>
                <w:szCs w:val="18"/>
                <w:color w:val="auto"/>
              </w:rPr>
            </w:pPr>
          </w:p>
        </w:tc>
        <w:tc>
          <w:tcPr>
            <w:tcW w:w="840" w:type="dxa"/>
            <w:vAlign w:val="bottom"/>
            <w:tcBorders>
              <w:bottom w:val="single" w:sz="8" w:color="auto"/>
            </w:tcBorders>
            <w:gridSpan w:val="2"/>
          </w:tcPr>
          <w:p>
            <w:pPr>
              <w:jc w:val="center"/>
              <w:ind w:right="350"/>
              <w:spacing w:after="0" w:line="209" w:lineRule="exact"/>
              <w:rPr>
                <w:sz w:val="20"/>
                <w:szCs w:val="20"/>
                <w:color w:val="auto"/>
              </w:rPr>
            </w:pPr>
            <w:r>
              <w:rPr>
                <w:rFonts w:ascii="Calibri" w:cs="Calibri" w:eastAsia="Calibri" w:hAnsi="Calibri"/>
                <w:sz w:val="18"/>
                <w:szCs w:val="18"/>
                <w:color w:val="auto"/>
                <w:w w:val="87"/>
              </w:rPr>
              <w:t>$</w:t>
            </w:r>
          </w:p>
        </w:tc>
        <w:tc>
          <w:tcPr>
            <w:tcW w:w="2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75</w:t>
            </w:r>
          </w:p>
        </w:tc>
        <w:tc>
          <w:tcPr>
            <w:tcW w:w="120" w:type="dxa"/>
            <w:vAlign w:val="bottom"/>
          </w:tcPr>
          <w:p>
            <w:pPr>
              <w:spacing w:after="0"/>
              <w:rPr>
                <w:sz w:val="18"/>
                <w:szCs w:val="18"/>
                <w:color w:val="auto"/>
              </w:rPr>
            </w:pPr>
          </w:p>
        </w:tc>
        <w:tc>
          <w:tcPr>
            <w:tcW w:w="620" w:type="dxa"/>
            <w:vAlign w:val="bottom"/>
            <w:tcBorders>
              <w:bottom w:val="single" w:sz="8" w:color="auto"/>
            </w:tcBorders>
            <w:gridSpan w:val="2"/>
          </w:tcPr>
          <w:p>
            <w:pPr>
              <w:jc w:val="center"/>
              <w:ind w:right="150"/>
              <w:spacing w:after="0" w:line="209" w:lineRule="exact"/>
              <w:rPr>
                <w:sz w:val="20"/>
                <w:szCs w:val="20"/>
                <w:color w:val="auto"/>
              </w:rPr>
            </w:pPr>
            <w:r>
              <w:rPr>
                <w:rFonts w:ascii="Calibri" w:cs="Calibri" w:eastAsia="Calibri" w:hAnsi="Calibri"/>
                <w:sz w:val="18"/>
                <w:szCs w:val="18"/>
                <w:color w:val="auto"/>
              </w:rPr>
              <w:t>$</w:t>
            </w:r>
          </w:p>
        </w:tc>
        <w:tc>
          <w:tcPr>
            <w:tcW w:w="1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287</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gridSpan w:val="2"/>
          </w:tcPr>
          <w:p>
            <w:pPr>
              <w:jc w:val="right"/>
              <w:ind w:right="20"/>
              <w:spacing w:after="0" w:line="209" w:lineRule="exact"/>
              <w:rPr>
                <w:sz w:val="20"/>
                <w:szCs w:val="20"/>
                <w:color w:val="auto"/>
              </w:rPr>
            </w:pPr>
            <w:r>
              <w:rPr>
                <w:rFonts w:ascii="Calibri" w:cs="Calibri" w:eastAsia="Calibri" w:hAnsi="Calibri"/>
                <w:sz w:val="18"/>
                <w:szCs w:val="18"/>
                <w:color w:val="auto"/>
                <w:w w:val="87"/>
              </w:rPr>
              <w:t>$</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82</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Borders>
              <w:bottom w:val="single" w:sz="8" w:color="auto"/>
            </w:tcBorders>
            <w:gridSpan w:val="3"/>
          </w:tcPr>
          <w:p>
            <w:pPr>
              <w:jc w:val="right"/>
              <w:ind w:right="200"/>
              <w:spacing w:after="0" w:line="209" w:lineRule="exact"/>
              <w:rPr>
                <w:sz w:val="20"/>
                <w:szCs w:val="20"/>
                <w:color w:val="auto"/>
              </w:rPr>
            </w:pPr>
            <w:r>
              <w:rPr>
                <w:rFonts w:ascii="Calibri" w:cs="Calibri" w:eastAsia="Calibri" w:hAnsi="Calibri"/>
                <w:sz w:val="18"/>
                <w:szCs w:val="18"/>
                <w:color w:val="auto"/>
              </w:rPr>
              <w:t>$</w:t>
            </w:r>
          </w:p>
        </w:tc>
        <w:tc>
          <w:tcPr>
            <w:tcW w:w="98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528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5"/>
        </w:trPr>
        <w:tc>
          <w:tcPr>
            <w:tcW w:w="2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Calibri" w:cs="Calibri" w:eastAsia="Calibri" w:hAnsi="Calibri"/>
                <w:sz w:val="18"/>
                <w:szCs w:val="18"/>
                <w:color w:val="auto"/>
              </w:rPr>
              <w:t>102</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0"/>
        </w:trPr>
        <w:tc>
          <w:tcPr>
            <w:tcW w:w="29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-4508500</wp:posOffset>
            </wp:positionV>
            <wp:extent cx="6858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-4508500</wp:posOffset>
            </wp:positionV>
            <wp:extent cx="68580"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-4508500</wp:posOffset>
            </wp:positionV>
            <wp:extent cx="68580"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-4508500</wp:posOffset>
            </wp:positionV>
            <wp:extent cx="6858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-4508500</wp:posOffset>
            </wp:positionV>
            <wp:extent cx="68580"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-890905</wp:posOffset>
            </wp:positionV>
            <wp:extent cx="6858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-890905</wp:posOffset>
            </wp:positionV>
            <wp:extent cx="6858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-890905</wp:posOffset>
            </wp:positionV>
            <wp:extent cx="6858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-890905</wp:posOffset>
            </wp:positionV>
            <wp:extent cx="6858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-890905</wp:posOffset>
            </wp:positionV>
            <wp:extent cx="6858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02" w:name="page103"/>
    <w:bookmarkEnd w:id="102"/>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For Kodak’s major non-U.S. defned beneft pension plans, equity investments are invested broadly in local equity, developed internatonal and emerging markets. Fixed income investments are comprised primarily of government and investment grade corporate bonds. Real estate investments primarily include investments in limited partnerships that invest in ofce, industrial, and retail propertes. Global Balanced Asset Allocaton investments are commingled funds that hold a diversifed portolio of passive market exposures, including equites, debt, currencies and commodites. Hedge fund investments are comprised of a diversifed portolio of hedge funds using equity, debt, commodity and currency instruments. Private equity investments are comprised of limited partnerships and fund-of-fund investments that invest in distressed investments, venture capital and leveraged buyouts. Insurance contracts are typically annuites from life insurance companies covering specifc pension obligatons.</w:t>
      </w:r>
    </w:p>
    <w:p>
      <w:pPr>
        <w:spacing w:after="0" w:line="195" w:lineRule="exact"/>
        <w:rPr>
          <w:sz w:val="20"/>
          <w:szCs w:val="20"/>
          <w:color w:val="auto"/>
        </w:rPr>
      </w:pPr>
    </w:p>
    <w:p>
      <w:pPr>
        <w:jc w:val="both"/>
        <w:ind w:right="280"/>
        <w:spacing w:after="0" w:line="235" w:lineRule="auto"/>
        <w:rPr>
          <w:sz w:val="20"/>
          <w:szCs w:val="20"/>
          <w:color w:val="auto"/>
        </w:rPr>
      </w:pPr>
      <w:r>
        <w:rPr>
          <w:rFonts w:ascii="Calibri" w:cs="Calibri" w:eastAsia="Calibri" w:hAnsi="Calibri"/>
          <w:sz w:val="18"/>
          <w:szCs w:val="18"/>
          <w:color w:val="auto"/>
        </w:rPr>
        <w:t>For investments in real estate and private equity funds, the investors do not have an opton to redeem their interest in the fund. The investors in the fund receive distributons through the liquidaton of the underlying investments in the fund. There are no material unfunded commitments as of December 31, 2024 and 2023.</w:t>
      </w:r>
    </w:p>
    <w:p>
      <w:pPr>
        <w:spacing w:after="0" w:line="173" w:lineRule="exact"/>
        <w:rPr>
          <w:sz w:val="20"/>
          <w:szCs w:val="20"/>
          <w:color w:val="auto"/>
        </w:rPr>
      </w:pPr>
    </w:p>
    <w:p>
      <w:pPr>
        <w:spacing w:after="0"/>
        <w:rPr>
          <w:sz w:val="20"/>
          <w:szCs w:val="20"/>
          <w:color w:val="auto"/>
        </w:rPr>
      </w:pPr>
      <w:r>
        <w:rPr>
          <w:rFonts w:ascii="Calibri" w:cs="Calibri" w:eastAsia="Calibri" w:hAnsi="Calibri"/>
          <w:sz w:val="18"/>
          <w:szCs w:val="18"/>
          <w:color w:val="auto"/>
        </w:rPr>
        <w:t>Of the December 31, 2024 and 2023 investments shown in the major Non-U.S. plans table above, there are no material derivatve exposures.</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is a reconciliaton of the beginning and ending balances of level 3 assets of Kodak’s major U.S. defned beneft pension plan:</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6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400"/>
              <w:spacing w:after="0"/>
              <w:rPr>
                <w:sz w:val="20"/>
                <w:szCs w:val="20"/>
                <w:color w:val="auto"/>
              </w:rPr>
            </w:pPr>
            <w:r>
              <w:rPr>
                <w:rFonts w:ascii="Calibri" w:cs="Calibri" w:eastAsia="Calibri" w:hAnsi="Calibri"/>
                <w:sz w:val="14"/>
                <w:szCs w:val="14"/>
                <w:b w:val="1"/>
                <w:bCs w:val="1"/>
                <w:color w:val="auto"/>
              </w:rPr>
              <w:t>U.S.</w:t>
            </w: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73"/>
        </w:trPr>
        <w:tc>
          <w:tcPr>
            <w:tcW w:w="4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60" w:type="dxa"/>
            <w:vAlign w:val="bottom"/>
            <w:tcBorders>
              <w:bottom w:val="single" w:sz="8" w:color="auto"/>
            </w:tcBorders>
            <w:gridSpan w:val="5"/>
          </w:tcPr>
          <w:p>
            <w:pPr>
              <w:ind w:left="260"/>
              <w:spacing w:after="0"/>
              <w:rPr>
                <w:sz w:val="20"/>
                <w:szCs w:val="20"/>
                <w:color w:val="auto"/>
              </w:rPr>
            </w:pPr>
            <w:r>
              <w:rPr>
                <w:rFonts w:ascii="Calibri" w:cs="Calibri" w:eastAsia="Calibri" w:hAnsi="Calibri"/>
                <w:sz w:val="14"/>
                <w:szCs w:val="14"/>
                <w:b w:val="1"/>
                <w:bCs w:val="1"/>
                <w:color w:val="auto"/>
              </w:rPr>
              <w:t>Net Realized and Unrealized Gains</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57"/>
        </w:trPr>
        <w:tc>
          <w:tcPr>
            <w:tcW w:w="4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center"/>
              <w:ind w:right="23"/>
              <w:spacing w:after="0" w:line="157" w:lineRule="exact"/>
              <w:rPr>
                <w:sz w:val="20"/>
                <w:szCs w:val="20"/>
                <w:color w:val="auto"/>
              </w:rPr>
            </w:pPr>
            <w:r>
              <w:rPr>
                <w:rFonts w:ascii="Calibri" w:cs="Calibri" w:eastAsia="Calibri" w:hAnsi="Calibri"/>
                <w:sz w:val="14"/>
                <w:szCs w:val="14"/>
                <w:b w:val="1"/>
                <w:bCs w:val="1"/>
                <w:color w:val="auto"/>
              </w:rPr>
              <w:t>Relatng to</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0"/>
        </w:trPr>
        <w:tc>
          <w:tcPr>
            <w:tcW w:w="4260" w:type="dxa"/>
            <w:vAlign w:val="bottom"/>
          </w:tcPr>
          <w:p>
            <w:pPr>
              <w:spacing w:after="0"/>
              <w:rPr>
                <w:sz w:val="14"/>
                <w:szCs w:val="14"/>
                <w:color w:val="auto"/>
              </w:rPr>
            </w:pPr>
          </w:p>
        </w:tc>
        <w:tc>
          <w:tcPr>
            <w:tcW w:w="940" w:type="dxa"/>
            <w:vAlign w:val="bottom"/>
          </w:tcPr>
          <w:p>
            <w:pPr>
              <w:jc w:val="center"/>
              <w:ind w:left="164"/>
              <w:spacing w:after="0"/>
              <w:rPr>
                <w:sz w:val="20"/>
                <w:szCs w:val="20"/>
                <w:color w:val="auto"/>
              </w:rPr>
            </w:pPr>
            <w:r>
              <w:rPr>
                <w:rFonts w:ascii="Calibri" w:cs="Calibri" w:eastAsia="Calibri" w:hAnsi="Calibri"/>
                <w:sz w:val="14"/>
                <w:szCs w:val="14"/>
                <w:b w:val="1"/>
                <w:bCs w:val="1"/>
                <w:color w:val="auto"/>
              </w:rPr>
              <w:t>Balance at</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ind w:left="260"/>
              <w:spacing w:after="0"/>
              <w:rPr>
                <w:sz w:val="20"/>
                <w:szCs w:val="20"/>
                <w:color w:val="auto"/>
              </w:rPr>
            </w:pPr>
            <w:r>
              <w:rPr>
                <w:rFonts w:ascii="Calibri" w:cs="Calibri" w:eastAsia="Calibri" w:hAnsi="Calibri"/>
                <w:sz w:val="14"/>
                <w:szCs w:val="14"/>
                <w:b w:val="1"/>
                <w:bCs w:val="1"/>
                <w:color w:val="auto"/>
              </w:rPr>
              <w:t>Relatng to</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center"/>
              <w:ind w:right="23"/>
              <w:spacing w:after="0"/>
              <w:rPr>
                <w:sz w:val="20"/>
                <w:szCs w:val="20"/>
                <w:color w:val="auto"/>
              </w:rPr>
            </w:pPr>
            <w:r>
              <w:rPr>
                <w:rFonts w:ascii="Calibri" w:cs="Calibri" w:eastAsia="Calibri" w:hAnsi="Calibri"/>
                <w:sz w:val="14"/>
                <w:szCs w:val="14"/>
                <w:b w:val="1"/>
                <w:bCs w:val="1"/>
                <w:color w:val="auto"/>
              </w:rPr>
              <w:t>Assets</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Calibri" w:cs="Calibri" w:eastAsia="Calibri" w:hAnsi="Calibri"/>
                <w:sz w:val="14"/>
                <w:szCs w:val="14"/>
                <w:b w:val="1"/>
                <w:bCs w:val="1"/>
                <w:color w:val="auto"/>
              </w:rPr>
              <w:t>Net Purchases,</w:t>
            </w:r>
          </w:p>
        </w:tc>
        <w:tc>
          <w:tcPr>
            <w:tcW w:w="16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Calibri" w:cs="Calibri" w:eastAsia="Calibri" w:hAnsi="Calibri"/>
                <w:sz w:val="14"/>
                <w:szCs w:val="14"/>
                <w:b w:val="1"/>
                <w:bCs w:val="1"/>
                <w:color w:val="auto"/>
              </w:rPr>
              <w:t>Balance at</w:t>
            </w:r>
          </w:p>
        </w:tc>
      </w:tr>
      <w:tr>
        <w:trPr>
          <w:trHeight w:val="176"/>
        </w:trPr>
        <w:tc>
          <w:tcPr>
            <w:tcW w:w="4260" w:type="dxa"/>
            <w:vAlign w:val="bottom"/>
          </w:tcPr>
          <w:p>
            <w:pPr>
              <w:spacing w:after="0"/>
              <w:rPr>
                <w:sz w:val="15"/>
                <w:szCs w:val="15"/>
                <w:color w:val="auto"/>
              </w:rPr>
            </w:pPr>
          </w:p>
        </w:tc>
        <w:tc>
          <w:tcPr>
            <w:tcW w:w="940" w:type="dxa"/>
            <w:vAlign w:val="bottom"/>
          </w:tcPr>
          <w:p>
            <w:pPr>
              <w:jc w:val="center"/>
              <w:ind w:left="144"/>
              <w:spacing w:after="0"/>
              <w:rPr>
                <w:sz w:val="20"/>
                <w:szCs w:val="20"/>
                <w:color w:val="auto"/>
              </w:rPr>
            </w:pPr>
            <w:r>
              <w:rPr>
                <w:rFonts w:ascii="Calibri" w:cs="Calibri" w:eastAsia="Calibri" w:hAnsi="Calibri"/>
                <w:sz w:val="14"/>
                <w:szCs w:val="14"/>
                <w:b w:val="1"/>
                <w:bCs w:val="1"/>
                <w:color w:val="auto"/>
              </w:rPr>
              <w:t>January 1,</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center"/>
              <w:ind w:left="144"/>
              <w:spacing w:after="0"/>
              <w:rPr>
                <w:sz w:val="20"/>
                <w:szCs w:val="20"/>
                <w:color w:val="auto"/>
              </w:rPr>
            </w:pPr>
            <w:r>
              <w:rPr>
                <w:rFonts w:ascii="Calibri" w:cs="Calibri" w:eastAsia="Calibri" w:hAnsi="Calibri"/>
                <w:sz w:val="14"/>
                <w:szCs w:val="14"/>
                <w:b w:val="1"/>
                <w:bCs w:val="1"/>
                <w:color w:val="auto"/>
              </w:rPr>
              <w:t>Assets</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center"/>
              <w:ind w:right="23"/>
              <w:spacing w:after="0"/>
              <w:rPr>
                <w:sz w:val="20"/>
                <w:szCs w:val="20"/>
                <w:color w:val="auto"/>
              </w:rPr>
            </w:pPr>
            <w:r>
              <w:rPr>
                <w:rFonts w:ascii="Calibri" w:cs="Calibri" w:eastAsia="Calibri" w:hAnsi="Calibri"/>
                <w:sz w:val="14"/>
                <w:szCs w:val="14"/>
                <w:b w:val="1"/>
                <w:bCs w:val="1"/>
                <w:color w:val="auto"/>
              </w:rPr>
              <w:t>Sold During the</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center"/>
              <w:ind w:right="360"/>
              <w:spacing w:after="0"/>
              <w:rPr>
                <w:sz w:val="20"/>
                <w:szCs w:val="20"/>
                <w:color w:val="auto"/>
              </w:rPr>
            </w:pPr>
            <w:r>
              <w:rPr>
                <w:rFonts w:ascii="Calibri" w:cs="Calibri" w:eastAsia="Calibri" w:hAnsi="Calibri"/>
                <w:sz w:val="14"/>
                <w:szCs w:val="14"/>
                <w:b w:val="1"/>
                <w:bCs w:val="1"/>
                <w:color w:val="auto"/>
              </w:rPr>
              <w:t>Sales and</w:t>
            </w:r>
          </w:p>
        </w:tc>
        <w:tc>
          <w:tcPr>
            <w:tcW w:w="160" w:type="dxa"/>
            <w:vAlign w:val="bottom"/>
          </w:tcPr>
          <w:p>
            <w:pPr>
              <w:spacing w:after="0"/>
              <w:rPr>
                <w:sz w:val="15"/>
                <w:szCs w:val="15"/>
                <w:color w:val="auto"/>
              </w:rPr>
            </w:pPr>
          </w:p>
        </w:tc>
        <w:tc>
          <w:tcPr>
            <w:tcW w:w="1200" w:type="dxa"/>
            <w:vAlign w:val="bottom"/>
            <w:gridSpan w:val="2"/>
          </w:tcPr>
          <w:p>
            <w:pPr>
              <w:jc w:val="center"/>
              <w:ind w:right="280"/>
              <w:spacing w:after="0"/>
              <w:rPr>
                <w:sz w:val="20"/>
                <w:szCs w:val="20"/>
                <w:color w:val="auto"/>
              </w:rPr>
            </w:pPr>
            <w:r>
              <w:rPr>
                <w:rFonts w:ascii="Calibri" w:cs="Calibri" w:eastAsia="Calibri" w:hAnsi="Calibri"/>
                <w:sz w:val="14"/>
                <w:szCs w:val="14"/>
                <w:b w:val="1"/>
                <w:bCs w:val="1"/>
                <w:color w:val="auto"/>
              </w:rPr>
              <w:t>December 31,</w:t>
            </w:r>
          </w:p>
        </w:tc>
      </w:tr>
      <w:tr>
        <w:trPr>
          <w:trHeight w:val="192"/>
        </w:trPr>
        <w:tc>
          <w:tcPr>
            <w:tcW w:w="4260" w:type="dxa"/>
            <w:vAlign w:val="bottom"/>
          </w:tcPr>
          <w:p>
            <w:pPr>
              <w:ind w:left="20"/>
              <w:spacing w:after="0"/>
              <w:rPr>
                <w:sz w:val="20"/>
                <w:szCs w:val="20"/>
                <w:color w:val="auto"/>
              </w:rPr>
            </w:pPr>
            <w:r>
              <w:rPr>
                <w:rFonts w:ascii="Calibri" w:cs="Calibri" w:eastAsia="Calibri" w:hAnsi="Calibri"/>
                <w:sz w:val="14"/>
                <w:szCs w:val="14"/>
                <w:color w:val="auto"/>
              </w:rPr>
              <w:t>(in millions)</w:t>
            </w:r>
          </w:p>
        </w:tc>
        <w:tc>
          <w:tcPr>
            <w:tcW w:w="940" w:type="dxa"/>
            <w:vAlign w:val="bottom"/>
            <w:tcBorders>
              <w:bottom w:val="single" w:sz="8" w:color="auto"/>
            </w:tcBorders>
          </w:tcPr>
          <w:p>
            <w:pPr>
              <w:jc w:val="center"/>
              <w:ind w:left="144"/>
              <w:spacing w:after="0"/>
              <w:rPr>
                <w:sz w:val="20"/>
                <w:szCs w:val="20"/>
                <w:color w:val="auto"/>
              </w:rPr>
            </w:pPr>
            <w:r>
              <w:rPr>
                <w:rFonts w:ascii="Calibri" w:cs="Calibri" w:eastAsia="Calibri" w:hAnsi="Calibri"/>
                <w:sz w:val="14"/>
                <w:szCs w:val="14"/>
                <w:b w:val="1"/>
                <w:bCs w:val="1"/>
                <w:color w:val="auto"/>
                <w:w w:val="98"/>
              </w:rPr>
              <w:t>2024</w:t>
            </w:r>
          </w:p>
        </w:tc>
        <w:tc>
          <w:tcPr>
            <w:tcW w:w="2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Borders>
              <w:bottom w:val="single" w:sz="8" w:color="auto"/>
            </w:tcBorders>
          </w:tcPr>
          <w:p>
            <w:pPr>
              <w:jc w:val="center"/>
              <w:ind w:left="144"/>
              <w:spacing w:after="0"/>
              <w:rPr>
                <w:sz w:val="20"/>
                <w:szCs w:val="20"/>
                <w:color w:val="auto"/>
              </w:rPr>
            </w:pPr>
            <w:r>
              <w:rPr>
                <w:rFonts w:ascii="Calibri" w:cs="Calibri" w:eastAsia="Calibri" w:hAnsi="Calibri"/>
                <w:sz w:val="14"/>
                <w:szCs w:val="14"/>
                <w:b w:val="1"/>
                <w:bCs w:val="1"/>
                <w:color w:val="auto"/>
              </w:rPr>
              <w:t>Stll Held</w:t>
            </w:r>
          </w:p>
        </w:tc>
        <w:tc>
          <w:tcPr>
            <w:tcW w:w="2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23"/>
              <w:spacing w:after="0"/>
              <w:rPr>
                <w:sz w:val="20"/>
                <w:szCs w:val="20"/>
                <w:color w:val="auto"/>
              </w:rPr>
            </w:pPr>
            <w:r>
              <w:rPr>
                <w:rFonts w:ascii="Calibri" w:cs="Calibri" w:eastAsia="Calibri" w:hAnsi="Calibri"/>
                <w:sz w:val="14"/>
                <w:szCs w:val="14"/>
                <w:b w:val="1"/>
                <w:bCs w:val="1"/>
                <w:color w:val="auto"/>
                <w:w w:val="99"/>
              </w:rPr>
              <w:t>Period</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1"/>
              <w:spacing w:after="0"/>
              <w:rPr>
                <w:sz w:val="20"/>
                <w:szCs w:val="20"/>
                <w:color w:val="auto"/>
              </w:rPr>
            </w:pPr>
            <w:r>
              <w:rPr>
                <w:rFonts w:ascii="Calibri" w:cs="Calibri" w:eastAsia="Calibri" w:hAnsi="Calibri"/>
                <w:sz w:val="14"/>
                <w:szCs w:val="14"/>
                <w:b w:val="1"/>
                <w:bCs w:val="1"/>
                <w:color w:val="auto"/>
              </w:rPr>
              <w:t>Setlements</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81"/>
              <w:spacing w:after="0"/>
              <w:rPr>
                <w:sz w:val="20"/>
                <w:szCs w:val="20"/>
                <w:color w:val="auto"/>
              </w:rPr>
            </w:pPr>
            <w:r>
              <w:rPr>
                <w:rFonts w:ascii="Calibri" w:cs="Calibri" w:eastAsia="Calibri" w:hAnsi="Calibri"/>
                <w:sz w:val="14"/>
                <w:szCs w:val="14"/>
                <w:b w:val="1"/>
                <w:bCs w:val="1"/>
                <w:color w:val="auto"/>
              </w:rPr>
              <w:t>2024</w:t>
            </w:r>
          </w:p>
        </w:tc>
        <w:tc>
          <w:tcPr>
            <w:tcW w:w="100" w:type="dxa"/>
            <w:vAlign w:val="bottom"/>
          </w:tcPr>
          <w:p>
            <w:pPr>
              <w:spacing w:after="0"/>
              <w:rPr>
                <w:sz w:val="16"/>
                <w:szCs w:val="16"/>
                <w:color w:val="auto"/>
              </w:rPr>
            </w:pPr>
          </w:p>
        </w:tc>
      </w:tr>
      <w:tr>
        <w:trPr>
          <w:trHeight w:val="212"/>
        </w:trPr>
        <w:tc>
          <w:tcPr>
            <w:tcW w:w="4260" w:type="dxa"/>
            <w:vAlign w:val="bottom"/>
            <w:shd w:val="clear" w:color="auto" w:fill="CFF0FC"/>
          </w:tcPr>
          <w:p>
            <w:pPr>
              <w:ind w:left="20"/>
              <w:spacing w:after="0" w:line="212" w:lineRule="exact"/>
              <w:rPr>
                <w:sz w:val="20"/>
                <w:szCs w:val="20"/>
                <w:color w:val="auto"/>
              </w:rPr>
            </w:pPr>
            <w:r>
              <w:rPr>
                <w:rFonts w:ascii="Calibri" w:cs="Calibri" w:eastAsia="Calibri" w:hAnsi="Calibri"/>
                <w:sz w:val="18"/>
                <w:szCs w:val="18"/>
                <w:color w:val="auto"/>
              </w:rPr>
              <w:t>Private Equity</w:t>
            </w: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line="212" w:lineRule="exact"/>
              <w:rPr>
                <w:sz w:val="20"/>
                <w:szCs w:val="20"/>
                <w:color w:val="auto"/>
              </w:rPr>
            </w:pPr>
            <w:r>
              <w:rPr>
                <w:rFonts w:ascii="Calibri" w:cs="Calibri" w:eastAsia="Calibri" w:hAnsi="Calibri"/>
                <w:sz w:val="18"/>
                <w:szCs w:val="18"/>
                <w:color w:val="auto"/>
              </w:rPr>
              <w:t>3</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ind w:left="40"/>
              <w:spacing w:after="0" w:line="212" w:lineRule="exact"/>
              <w:rPr>
                <w:sz w:val="20"/>
                <w:szCs w:val="20"/>
                <w:color w:val="auto"/>
              </w:rPr>
            </w:pPr>
            <w:r>
              <w:rPr>
                <w:rFonts w:ascii="Calibri" w:cs="Calibri" w:eastAsia="Calibri" w:hAnsi="Calibri"/>
                <w:sz w:val="18"/>
                <w:szCs w:val="18"/>
                <w:color w:val="auto"/>
                <w:w w:val="85"/>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ind w:left="880"/>
              <w:spacing w:after="0" w:line="212" w:lineRule="exact"/>
              <w:rPr>
                <w:sz w:val="20"/>
                <w:szCs w:val="20"/>
                <w:color w:val="auto"/>
              </w:rPr>
            </w:pPr>
            <w:r>
              <w:rPr>
                <w:rFonts w:ascii="Calibri" w:cs="Calibri" w:eastAsia="Calibri" w:hAnsi="Calibri"/>
                <w:sz w:val="18"/>
                <w:szCs w:val="18"/>
                <w:color w:val="auto"/>
                <w:w w:val="85"/>
              </w:rPr>
              <w:t>—</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line="212" w:lineRule="exact"/>
              <w:rPr>
                <w:sz w:val="20"/>
                <w:szCs w:val="20"/>
                <w:color w:val="auto"/>
              </w:rPr>
            </w:pPr>
            <w:r>
              <w:rPr>
                <w:rFonts w:ascii="Calibri" w:cs="Calibri" w:eastAsia="Calibri" w:hAnsi="Calibri"/>
                <w:sz w:val="18"/>
                <w:szCs w:val="18"/>
                <w:color w:val="auto"/>
              </w:rPr>
              <w:t>(3 )</w:t>
            </w:r>
          </w:p>
        </w:tc>
        <w:tc>
          <w:tcPr>
            <w:tcW w:w="1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20"/>
              <w:spacing w:after="0" w:line="212" w:lineRule="exact"/>
              <w:rPr>
                <w:sz w:val="20"/>
                <w:szCs w:val="20"/>
                <w:color w:val="auto"/>
              </w:rPr>
            </w:pPr>
            <w:r>
              <w:rPr>
                <w:rFonts w:ascii="Calibri" w:cs="Calibri" w:eastAsia="Calibri" w:hAnsi="Calibri"/>
                <w:sz w:val="18"/>
                <w:szCs w:val="18"/>
                <w:color w:val="auto"/>
              </w:rPr>
              <w:t>—</w:t>
            </w:r>
          </w:p>
        </w:tc>
      </w:tr>
      <w:tr>
        <w:trPr>
          <w:trHeight w:val="20"/>
        </w:trPr>
        <w:tc>
          <w:tcPr>
            <w:tcW w:w="426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4260" w:type="dxa"/>
            <w:vAlign w:val="bottom"/>
          </w:tcPr>
          <w:p>
            <w:pPr>
              <w:ind w:left="20"/>
              <w:spacing w:after="0" w:line="209" w:lineRule="exact"/>
              <w:rPr>
                <w:sz w:val="20"/>
                <w:szCs w:val="20"/>
                <w:color w:val="auto"/>
              </w:rPr>
            </w:pPr>
            <w:r>
              <w:rPr>
                <w:rFonts w:ascii="Calibri" w:cs="Calibri" w:eastAsia="Calibri" w:hAnsi="Calibri"/>
                <w:sz w:val="18"/>
                <w:szCs w:val="18"/>
                <w:color w:val="auto"/>
              </w:rPr>
              <w:t>Total</w:t>
            </w:r>
          </w:p>
        </w:tc>
        <w:tc>
          <w:tcPr>
            <w:tcW w:w="940" w:type="dxa"/>
            <w:vAlign w:val="bottom"/>
          </w:tcPr>
          <w:p>
            <w:pPr>
              <w:jc w:val="right"/>
              <w:ind w:right="764"/>
              <w:spacing w:after="0" w:line="209" w:lineRule="exact"/>
              <w:rPr>
                <w:sz w:val="20"/>
                <w:szCs w:val="20"/>
                <w:color w:val="auto"/>
              </w:rPr>
            </w:pPr>
            <w:r>
              <w:rPr>
                <w:rFonts w:ascii="Calibri" w:cs="Calibri" w:eastAsia="Calibri" w:hAnsi="Calibri"/>
                <w:sz w:val="18"/>
                <w:szCs w:val="18"/>
                <w:color w:val="auto"/>
                <w:w w:val="87"/>
              </w:rPr>
              <w:t>$</w:t>
            </w:r>
          </w:p>
        </w:tc>
        <w:tc>
          <w:tcPr>
            <w:tcW w:w="220" w:type="dxa"/>
            <w:vAlign w:val="bottom"/>
          </w:tcPr>
          <w:p>
            <w:pPr>
              <w:jc w:val="right"/>
              <w:spacing w:after="0" w:line="209" w:lineRule="exact"/>
              <w:rPr>
                <w:sz w:val="20"/>
                <w:szCs w:val="20"/>
                <w:color w:val="auto"/>
              </w:rPr>
            </w:pPr>
            <w:r>
              <w:rPr>
                <w:rFonts w:ascii="Calibri" w:cs="Calibri" w:eastAsia="Calibri" w:hAnsi="Calibri"/>
                <w:sz w:val="18"/>
                <w:szCs w:val="18"/>
                <w:color w:val="auto"/>
              </w:rPr>
              <w:t>3</w:t>
            </w:r>
          </w:p>
        </w:tc>
        <w:tc>
          <w:tcPr>
            <w:tcW w:w="240" w:type="dxa"/>
            <w:vAlign w:val="bottom"/>
          </w:tcPr>
          <w:p>
            <w:pPr>
              <w:spacing w:after="0"/>
              <w:rPr>
                <w:sz w:val="18"/>
                <w:szCs w:val="18"/>
                <w:color w:val="auto"/>
              </w:rPr>
            </w:pPr>
          </w:p>
        </w:tc>
        <w:tc>
          <w:tcPr>
            <w:tcW w:w="960" w:type="dxa"/>
            <w:vAlign w:val="bottom"/>
          </w:tcPr>
          <w:p>
            <w:pPr>
              <w:ind w:left="20"/>
              <w:spacing w:after="0" w:line="209" w:lineRule="exact"/>
              <w:rPr>
                <w:sz w:val="20"/>
                <w:szCs w:val="20"/>
                <w:color w:val="auto"/>
              </w:rPr>
            </w:pPr>
            <w:r>
              <w:rPr>
                <w:rFonts w:ascii="Calibri" w:cs="Calibri" w:eastAsia="Calibri" w:hAnsi="Calibri"/>
                <w:sz w:val="18"/>
                <w:szCs w:val="18"/>
                <w:color w:val="auto"/>
              </w:rPr>
              <w:t>$</w:t>
            </w:r>
          </w:p>
        </w:tc>
        <w:tc>
          <w:tcPr>
            <w:tcW w:w="200" w:type="dxa"/>
            <w:vAlign w:val="bottom"/>
          </w:tcPr>
          <w:p>
            <w:pPr>
              <w:ind w:left="40"/>
              <w:spacing w:after="0" w:line="209" w:lineRule="exact"/>
              <w:rPr>
                <w:sz w:val="20"/>
                <w:szCs w:val="20"/>
                <w:color w:val="auto"/>
              </w:rPr>
            </w:pPr>
            <w:r>
              <w:rPr>
                <w:rFonts w:ascii="Calibri" w:cs="Calibri" w:eastAsia="Calibri" w:hAnsi="Calibri"/>
                <w:sz w:val="18"/>
                <w:szCs w:val="18"/>
                <w:color w:val="auto"/>
                <w:w w:val="85"/>
              </w:rPr>
              <w:t>—</w:t>
            </w:r>
          </w:p>
        </w:tc>
        <w:tc>
          <w:tcPr>
            <w:tcW w:w="240" w:type="dxa"/>
            <w:vAlign w:val="bottom"/>
          </w:tcPr>
          <w:p>
            <w:pPr>
              <w:spacing w:after="0"/>
              <w:rPr>
                <w:sz w:val="18"/>
                <w:szCs w:val="18"/>
                <w:color w:val="auto"/>
              </w:rPr>
            </w:pPr>
          </w:p>
        </w:tc>
        <w:tc>
          <w:tcPr>
            <w:tcW w:w="120" w:type="dxa"/>
            <w:vAlign w:val="bottom"/>
          </w:tcPr>
          <w:p>
            <w:pPr>
              <w:jc w:val="right"/>
              <w:spacing w:after="0" w:line="209" w:lineRule="exact"/>
              <w:rPr>
                <w:sz w:val="20"/>
                <w:szCs w:val="20"/>
                <w:color w:val="auto"/>
              </w:rPr>
            </w:pPr>
            <w:r>
              <w:rPr>
                <w:rFonts w:ascii="Calibri" w:cs="Calibri" w:eastAsia="Calibri" w:hAnsi="Calibri"/>
                <w:sz w:val="18"/>
                <w:szCs w:val="18"/>
                <w:color w:val="auto"/>
              </w:rPr>
              <w:t>$</w:t>
            </w:r>
          </w:p>
        </w:tc>
        <w:tc>
          <w:tcPr>
            <w:tcW w:w="1040" w:type="dxa"/>
            <w:vAlign w:val="bottom"/>
          </w:tcPr>
          <w:p>
            <w:pPr>
              <w:ind w:left="880"/>
              <w:spacing w:after="0" w:line="209" w:lineRule="exact"/>
              <w:rPr>
                <w:sz w:val="20"/>
                <w:szCs w:val="20"/>
                <w:color w:val="auto"/>
              </w:rPr>
            </w:pPr>
            <w:r>
              <w:rPr>
                <w:rFonts w:ascii="Calibri" w:cs="Calibri" w:eastAsia="Calibri" w:hAnsi="Calibri"/>
                <w:sz w:val="18"/>
                <w:szCs w:val="18"/>
                <w:color w:val="auto"/>
                <w:w w:val="85"/>
              </w:rPr>
              <w:t>—</w:t>
            </w:r>
          </w:p>
        </w:tc>
        <w:tc>
          <w:tcPr>
            <w:tcW w:w="260" w:type="dxa"/>
            <w:vAlign w:val="bottom"/>
          </w:tcPr>
          <w:p>
            <w:pPr>
              <w:spacing w:after="0"/>
              <w:rPr>
                <w:sz w:val="18"/>
                <w:szCs w:val="18"/>
                <w:color w:val="auto"/>
              </w:rPr>
            </w:pPr>
          </w:p>
        </w:tc>
        <w:tc>
          <w:tcPr>
            <w:tcW w:w="120" w:type="dxa"/>
            <w:vAlign w:val="bottom"/>
          </w:tcPr>
          <w:p>
            <w:pPr>
              <w:jc w:val="right"/>
              <w:spacing w:after="0" w:line="209" w:lineRule="exact"/>
              <w:rPr>
                <w:sz w:val="20"/>
                <w:szCs w:val="20"/>
                <w:color w:val="auto"/>
              </w:rPr>
            </w:pPr>
            <w:r>
              <w:rPr>
                <w:rFonts w:ascii="Calibri" w:cs="Calibri" w:eastAsia="Calibri" w:hAnsi="Calibri"/>
                <w:sz w:val="18"/>
                <w:szCs w:val="18"/>
                <w:color w:val="auto"/>
                <w:w w:val="87"/>
              </w:rPr>
              <w:t>$</w:t>
            </w:r>
          </w:p>
        </w:tc>
        <w:tc>
          <w:tcPr>
            <w:tcW w:w="1280" w:type="dxa"/>
            <w:vAlign w:val="bottom"/>
            <w:gridSpan w:val="2"/>
          </w:tcPr>
          <w:p>
            <w:pPr>
              <w:jc w:val="right"/>
              <w:ind w:right="180"/>
              <w:spacing w:after="0" w:line="209" w:lineRule="exact"/>
              <w:rPr>
                <w:sz w:val="20"/>
                <w:szCs w:val="20"/>
                <w:color w:val="auto"/>
              </w:rPr>
            </w:pPr>
            <w:r>
              <w:rPr>
                <w:rFonts w:ascii="Calibri" w:cs="Calibri" w:eastAsia="Calibri" w:hAnsi="Calibri"/>
                <w:sz w:val="18"/>
                <w:szCs w:val="18"/>
                <w:color w:val="auto"/>
              </w:rPr>
              <w:t>(3 )</w:t>
            </w:r>
          </w:p>
        </w:tc>
        <w:tc>
          <w:tcPr>
            <w:tcW w:w="160" w:type="dxa"/>
            <w:vAlign w:val="bottom"/>
          </w:tcPr>
          <w:p>
            <w:pPr>
              <w:jc w:val="right"/>
              <w:spacing w:after="0" w:line="209" w:lineRule="exact"/>
              <w:rPr>
                <w:sz w:val="20"/>
                <w:szCs w:val="20"/>
                <w:color w:val="auto"/>
              </w:rPr>
            </w:pPr>
            <w:r>
              <w:rPr>
                <w:rFonts w:ascii="Calibri" w:cs="Calibri" w:eastAsia="Calibri" w:hAnsi="Calibri"/>
                <w:sz w:val="18"/>
                <w:szCs w:val="18"/>
                <w:color w:val="auto"/>
                <w:w w:val="87"/>
              </w:rPr>
              <w:t>$</w:t>
            </w:r>
          </w:p>
        </w:tc>
        <w:tc>
          <w:tcPr>
            <w:tcW w:w="1200" w:type="dxa"/>
            <w:vAlign w:val="bottom"/>
            <w:gridSpan w:val="2"/>
          </w:tcPr>
          <w:p>
            <w:pPr>
              <w:jc w:val="right"/>
              <w:ind w:right="120"/>
              <w:spacing w:after="0" w:line="209" w:lineRule="exact"/>
              <w:rPr>
                <w:sz w:val="20"/>
                <w:szCs w:val="20"/>
                <w:color w:val="auto"/>
              </w:rPr>
            </w:pPr>
            <w:r>
              <w:rPr>
                <w:rFonts w:ascii="Calibri" w:cs="Calibri" w:eastAsia="Calibri" w:hAnsi="Calibri"/>
                <w:sz w:val="18"/>
                <w:szCs w:val="18"/>
                <w:color w:val="auto"/>
              </w:rPr>
              <w:t>—</w:t>
            </w:r>
          </w:p>
        </w:tc>
      </w:tr>
      <w:tr>
        <w:trPr>
          <w:trHeight w:val="20"/>
        </w:trPr>
        <w:tc>
          <w:tcPr>
            <w:tcW w:w="42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66"/>
        </w:trPr>
        <w:tc>
          <w:tcPr>
            <w:tcW w:w="426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ind w:left="400"/>
              <w:spacing w:after="0"/>
              <w:rPr>
                <w:sz w:val="20"/>
                <w:szCs w:val="20"/>
                <w:color w:val="auto"/>
              </w:rPr>
            </w:pPr>
            <w:r>
              <w:rPr>
                <w:rFonts w:ascii="Calibri" w:cs="Calibri" w:eastAsia="Calibri" w:hAnsi="Calibri"/>
                <w:sz w:val="14"/>
                <w:szCs w:val="14"/>
                <w:b w:val="1"/>
                <w:bCs w:val="1"/>
                <w:color w:val="auto"/>
              </w:rPr>
              <w:t>U.S.</w:t>
            </w: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73"/>
        </w:trPr>
        <w:tc>
          <w:tcPr>
            <w:tcW w:w="4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60" w:type="dxa"/>
            <w:vAlign w:val="bottom"/>
            <w:tcBorders>
              <w:bottom w:val="single" w:sz="8" w:color="auto"/>
            </w:tcBorders>
            <w:gridSpan w:val="5"/>
          </w:tcPr>
          <w:p>
            <w:pPr>
              <w:ind w:left="260"/>
              <w:spacing w:after="0"/>
              <w:rPr>
                <w:sz w:val="20"/>
                <w:szCs w:val="20"/>
                <w:color w:val="auto"/>
              </w:rPr>
            </w:pPr>
            <w:r>
              <w:rPr>
                <w:rFonts w:ascii="Calibri" w:cs="Calibri" w:eastAsia="Calibri" w:hAnsi="Calibri"/>
                <w:sz w:val="14"/>
                <w:szCs w:val="14"/>
                <w:b w:val="1"/>
                <w:bCs w:val="1"/>
                <w:color w:val="auto"/>
              </w:rPr>
              <w:t>Net Realized and Unrealized Gains</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57"/>
        </w:trPr>
        <w:tc>
          <w:tcPr>
            <w:tcW w:w="4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center"/>
              <w:ind w:right="23"/>
              <w:spacing w:after="0" w:line="157" w:lineRule="exact"/>
              <w:rPr>
                <w:sz w:val="20"/>
                <w:szCs w:val="20"/>
                <w:color w:val="auto"/>
              </w:rPr>
            </w:pPr>
            <w:r>
              <w:rPr>
                <w:rFonts w:ascii="Calibri" w:cs="Calibri" w:eastAsia="Calibri" w:hAnsi="Calibri"/>
                <w:sz w:val="14"/>
                <w:szCs w:val="14"/>
                <w:b w:val="1"/>
                <w:bCs w:val="1"/>
                <w:color w:val="auto"/>
              </w:rPr>
              <w:t>Relatng to</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0"/>
        </w:trPr>
        <w:tc>
          <w:tcPr>
            <w:tcW w:w="4260" w:type="dxa"/>
            <w:vAlign w:val="bottom"/>
          </w:tcPr>
          <w:p>
            <w:pPr>
              <w:spacing w:after="0"/>
              <w:rPr>
                <w:sz w:val="14"/>
                <w:szCs w:val="14"/>
                <w:color w:val="auto"/>
              </w:rPr>
            </w:pPr>
          </w:p>
        </w:tc>
        <w:tc>
          <w:tcPr>
            <w:tcW w:w="940" w:type="dxa"/>
            <w:vAlign w:val="bottom"/>
          </w:tcPr>
          <w:p>
            <w:pPr>
              <w:jc w:val="center"/>
              <w:ind w:left="164"/>
              <w:spacing w:after="0"/>
              <w:rPr>
                <w:sz w:val="20"/>
                <w:szCs w:val="20"/>
                <w:color w:val="auto"/>
              </w:rPr>
            </w:pPr>
            <w:r>
              <w:rPr>
                <w:rFonts w:ascii="Calibri" w:cs="Calibri" w:eastAsia="Calibri" w:hAnsi="Calibri"/>
                <w:sz w:val="14"/>
                <w:szCs w:val="14"/>
                <w:b w:val="1"/>
                <w:bCs w:val="1"/>
                <w:color w:val="auto"/>
              </w:rPr>
              <w:t>Balance at</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center"/>
              <w:ind w:left="144"/>
              <w:spacing w:after="0"/>
              <w:rPr>
                <w:sz w:val="20"/>
                <w:szCs w:val="20"/>
                <w:color w:val="auto"/>
              </w:rPr>
            </w:pPr>
            <w:r>
              <w:rPr>
                <w:rFonts w:ascii="Calibri" w:cs="Calibri" w:eastAsia="Calibri" w:hAnsi="Calibri"/>
                <w:sz w:val="14"/>
                <w:szCs w:val="14"/>
                <w:b w:val="1"/>
                <w:bCs w:val="1"/>
                <w:color w:val="auto"/>
              </w:rPr>
              <w:t>Relatng to</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center"/>
              <w:ind w:right="23"/>
              <w:spacing w:after="0"/>
              <w:rPr>
                <w:sz w:val="20"/>
                <w:szCs w:val="20"/>
                <w:color w:val="auto"/>
              </w:rPr>
            </w:pPr>
            <w:r>
              <w:rPr>
                <w:rFonts w:ascii="Calibri" w:cs="Calibri" w:eastAsia="Calibri" w:hAnsi="Calibri"/>
                <w:sz w:val="14"/>
                <w:szCs w:val="14"/>
                <w:b w:val="1"/>
                <w:bCs w:val="1"/>
                <w:color w:val="auto"/>
              </w:rPr>
              <w:t>Assets</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Calibri" w:cs="Calibri" w:eastAsia="Calibri" w:hAnsi="Calibri"/>
                <w:sz w:val="14"/>
                <w:szCs w:val="14"/>
                <w:b w:val="1"/>
                <w:bCs w:val="1"/>
                <w:color w:val="auto"/>
              </w:rPr>
              <w:t>Net Purchases,</w:t>
            </w:r>
          </w:p>
        </w:tc>
        <w:tc>
          <w:tcPr>
            <w:tcW w:w="16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Calibri" w:cs="Calibri" w:eastAsia="Calibri" w:hAnsi="Calibri"/>
                <w:sz w:val="14"/>
                <w:szCs w:val="14"/>
                <w:b w:val="1"/>
                <w:bCs w:val="1"/>
                <w:color w:val="auto"/>
              </w:rPr>
              <w:t>Balance at</w:t>
            </w:r>
          </w:p>
        </w:tc>
      </w:tr>
      <w:tr>
        <w:trPr>
          <w:trHeight w:val="176"/>
        </w:trPr>
        <w:tc>
          <w:tcPr>
            <w:tcW w:w="4260" w:type="dxa"/>
            <w:vAlign w:val="bottom"/>
          </w:tcPr>
          <w:p>
            <w:pPr>
              <w:spacing w:after="0"/>
              <w:rPr>
                <w:sz w:val="15"/>
                <w:szCs w:val="15"/>
                <w:color w:val="auto"/>
              </w:rPr>
            </w:pPr>
          </w:p>
        </w:tc>
        <w:tc>
          <w:tcPr>
            <w:tcW w:w="940" w:type="dxa"/>
            <w:vAlign w:val="bottom"/>
          </w:tcPr>
          <w:p>
            <w:pPr>
              <w:jc w:val="center"/>
              <w:ind w:left="144"/>
              <w:spacing w:after="0"/>
              <w:rPr>
                <w:sz w:val="20"/>
                <w:szCs w:val="20"/>
                <w:color w:val="auto"/>
              </w:rPr>
            </w:pPr>
            <w:r>
              <w:rPr>
                <w:rFonts w:ascii="Calibri" w:cs="Calibri" w:eastAsia="Calibri" w:hAnsi="Calibri"/>
                <w:sz w:val="14"/>
                <w:szCs w:val="14"/>
                <w:b w:val="1"/>
                <w:bCs w:val="1"/>
                <w:color w:val="auto"/>
              </w:rPr>
              <w:t>January 1,</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center"/>
              <w:ind w:left="144"/>
              <w:spacing w:after="0"/>
              <w:rPr>
                <w:sz w:val="20"/>
                <w:szCs w:val="20"/>
                <w:color w:val="auto"/>
              </w:rPr>
            </w:pPr>
            <w:r>
              <w:rPr>
                <w:rFonts w:ascii="Calibri" w:cs="Calibri" w:eastAsia="Calibri" w:hAnsi="Calibri"/>
                <w:sz w:val="14"/>
                <w:szCs w:val="14"/>
                <w:b w:val="1"/>
                <w:bCs w:val="1"/>
                <w:color w:val="auto"/>
              </w:rPr>
              <w:t>Assets</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center"/>
              <w:ind w:right="23"/>
              <w:spacing w:after="0"/>
              <w:rPr>
                <w:sz w:val="20"/>
                <w:szCs w:val="20"/>
                <w:color w:val="auto"/>
              </w:rPr>
            </w:pPr>
            <w:r>
              <w:rPr>
                <w:rFonts w:ascii="Calibri" w:cs="Calibri" w:eastAsia="Calibri" w:hAnsi="Calibri"/>
                <w:sz w:val="14"/>
                <w:szCs w:val="14"/>
                <w:b w:val="1"/>
                <w:bCs w:val="1"/>
                <w:color w:val="auto"/>
              </w:rPr>
              <w:t>Sold During the</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center"/>
              <w:ind w:right="360"/>
              <w:spacing w:after="0"/>
              <w:rPr>
                <w:sz w:val="20"/>
                <w:szCs w:val="20"/>
                <w:color w:val="auto"/>
              </w:rPr>
            </w:pPr>
            <w:r>
              <w:rPr>
                <w:rFonts w:ascii="Calibri" w:cs="Calibri" w:eastAsia="Calibri" w:hAnsi="Calibri"/>
                <w:sz w:val="14"/>
                <w:szCs w:val="14"/>
                <w:b w:val="1"/>
                <w:bCs w:val="1"/>
                <w:color w:val="auto"/>
              </w:rPr>
              <w:t>Sales and</w:t>
            </w:r>
          </w:p>
        </w:tc>
        <w:tc>
          <w:tcPr>
            <w:tcW w:w="160" w:type="dxa"/>
            <w:vAlign w:val="bottom"/>
          </w:tcPr>
          <w:p>
            <w:pPr>
              <w:spacing w:after="0"/>
              <w:rPr>
                <w:sz w:val="15"/>
                <w:szCs w:val="15"/>
                <w:color w:val="auto"/>
              </w:rPr>
            </w:pPr>
          </w:p>
        </w:tc>
        <w:tc>
          <w:tcPr>
            <w:tcW w:w="1200" w:type="dxa"/>
            <w:vAlign w:val="bottom"/>
            <w:gridSpan w:val="2"/>
          </w:tcPr>
          <w:p>
            <w:pPr>
              <w:jc w:val="center"/>
              <w:ind w:right="260"/>
              <w:spacing w:after="0"/>
              <w:rPr>
                <w:sz w:val="20"/>
                <w:szCs w:val="20"/>
                <w:color w:val="auto"/>
              </w:rPr>
            </w:pPr>
            <w:r>
              <w:rPr>
                <w:rFonts w:ascii="Calibri" w:cs="Calibri" w:eastAsia="Calibri" w:hAnsi="Calibri"/>
                <w:sz w:val="14"/>
                <w:szCs w:val="14"/>
                <w:b w:val="1"/>
                <w:bCs w:val="1"/>
                <w:color w:val="auto"/>
              </w:rPr>
              <w:t>December 31,</w:t>
            </w:r>
          </w:p>
        </w:tc>
      </w:tr>
      <w:tr>
        <w:trPr>
          <w:trHeight w:val="192"/>
        </w:trPr>
        <w:tc>
          <w:tcPr>
            <w:tcW w:w="4260" w:type="dxa"/>
            <w:vAlign w:val="bottom"/>
          </w:tcPr>
          <w:p>
            <w:pPr>
              <w:ind w:left="20"/>
              <w:spacing w:after="0"/>
              <w:rPr>
                <w:sz w:val="20"/>
                <w:szCs w:val="20"/>
                <w:color w:val="auto"/>
              </w:rPr>
            </w:pPr>
            <w:r>
              <w:rPr>
                <w:rFonts w:ascii="Calibri" w:cs="Calibri" w:eastAsia="Calibri" w:hAnsi="Calibri"/>
                <w:sz w:val="14"/>
                <w:szCs w:val="14"/>
                <w:color w:val="auto"/>
              </w:rPr>
              <w:t>(in millions)</w:t>
            </w:r>
          </w:p>
        </w:tc>
        <w:tc>
          <w:tcPr>
            <w:tcW w:w="940" w:type="dxa"/>
            <w:vAlign w:val="bottom"/>
            <w:tcBorders>
              <w:bottom w:val="single" w:sz="8" w:color="auto"/>
            </w:tcBorders>
          </w:tcPr>
          <w:p>
            <w:pPr>
              <w:jc w:val="center"/>
              <w:ind w:left="144"/>
              <w:spacing w:after="0"/>
              <w:rPr>
                <w:sz w:val="20"/>
                <w:szCs w:val="20"/>
                <w:color w:val="auto"/>
              </w:rPr>
            </w:pPr>
            <w:r>
              <w:rPr>
                <w:rFonts w:ascii="Calibri" w:cs="Calibri" w:eastAsia="Calibri" w:hAnsi="Calibri"/>
                <w:sz w:val="14"/>
                <w:szCs w:val="14"/>
                <w:b w:val="1"/>
                <w:bCs w:val="1"/>
                <w:color w:val="auto"/>
                <w:w w:val="98"/>
              </w:rPr>
              <w:t>2023</w:t>
            </w:r>
          </w:p>
        </w:tc>
        <w:tc>
          <w:tcPr>
            <w:tcW w:w="2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Borders>
              <w:bottom w:val="single" w:sz="8" w:color="auto"/>
            </w:tcBorders>
          </w:tcPr>
          <w:p>
            <w:pPr>
              <w:jc w:val="center"/>
              <w:ind w:left="144"/>
              <w:spacing w:after="0"/>
              <w:rPr>
                <w:sz w:val="20"/>
                <w:szCs w:val="20"/>
                <w:color w:val="auto"/>
              </w:rPr>
            </w:pPr>
            <w:r>
              <w:rPr>
                <w:rFonts w:ascii="Calibri" w:cs="Calibri" w:eastAsia="Calibri" w:hAnsi="Calibri"/>
                <w:sz w:val="14"/>
                <w:szCs w:val="14"/>
                <w:b w:val="1"/>
                <w:bCs w:val="1"/>
                <w:color w:val="auto"/>
              </w:rPr>
              <w:t>Stll Held</w:t>
            </w:r>
          </w:p>
        </w:tc>
        <w:tc>
          <w:tcPr>
            <w:tcW w:w="2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23"/>
              <w:spacing w:after="0"/>
              <w:rPr>
                <w:sz w:val="20"/>
                <w:szCs w:val="20"/>
                <w:color w:val="auto"/>
              </w:rPr>
            </w:pPr>
            <w:r>
              <w:rPr>
                <w:rFonts w:ascii="Calibri" w:cs="Calibri" w:eastAsia="Calibri" w:hAnsi="Calibri"/>
                <w:sz w:val="14"/>
                <w:szCs w:val="14"/>
                <w:b w:val="1"/>
                <w:bCs w:val="1"/>
                <w:color w:val="auto"/>
                <w:w w:val="99"/>
              </w:rPr>
              <w:t>Period</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1"/>
              <w:spacing w:after="0"/>
              <w:rPr>
                <w:sz w:val="20"/>
                <w:szCs w:val="20"/>
                <w:color w:val="auto"/>
              </w:rPr>
            </w:pPr>
            <w:r>
              <w:rPr>
                <w:rFonts w:ascii="Calibri" w:cs="Calibri" w:eastAsia="Calibri" w:hAnsi="Calibri"/>
                <w:sz w:val="14"/>
                <w:szCs w:val="14"/>
                <w:b w:val="1"/>
                <w:bCs w:val="1"/>
                <w:color w:val="auto"/>
              </w:rPr>
              <w:t>Setlements</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81"/>
              <w:spacing w:after="0"/>
              <w:rPr>
                <w:sz w:val="20"/>
                <w:szCs w:val="20"/>
                <w:color w:val="auto"/>
              </w:rPr>
            </w:pPr>
            <w:r>
              <w:rPr>
                <w:rFonts w:ascii="Calibri" w:cs="Calibri" w:eastAsia="Calibri" w:hAnsi="Calibri"/>
                <w:sz w:val="14"/>
                <w:szCs w:val="14"/>
                <w:b w:val="1"/>
                <w:bCs w:val="1"/>
                <w:color w:val="auto"/>
              </w:rPr>
              <w:t>2023</w:t>
            </w:r>
          </w:p>
        </w:tc>
        <w:tc>
          <w:tcPr>
            <w:tcW w:w="100" w:type="dxa"/>
            <w:vAlign w:val="bottom"/>
          </w:tcPr>
          <w:p>
            <w:pPr>
              <w:spacing w:after="0"/>
              <w:rPr>
                <w:sz w:val="16"/>
                <w:szCs w:val="16"/>
                <w:color w:val="auto"/>
              </w:rPr>
            </w:pPr>
          </w:p>
        </w:tc>
      </w:tr>
      <w:tr>
        <w:trPr>
          <w:trHeight w:val="212"/>
        </w:trPr>
        <w:tc>
          <w:tcPr>
            <w:tcW w:w="4260" w:type="dxa"/>
            <w:vAlign w:val="bottom"/>
            <w:tcBorders>
              <w:bottom w:val="single" w:sz="8" w:color="CFF0FC"/>
            </w:tcBorders>
            <w:shd w:val="clear" w:color="auto" w:fill="CFF0FC"/>
          </w:tcPr>
          <w:p>
            <w:pPr>
              <w:ind w:left="20"/>
              <w:spacing w:after="0" w:line="212" w:lineRule="exact"/>
              <w:rPr>
                <w:sz w:val="20"/>
                <w:szCs w:val="20"/>
                <w:color w:val="auto"/>
              </w:rPr>
            </w:pPr>
            <w:r>
              <w:rPr>
                <w:rFonts w:ascii="Calibri" w:cs="Calibri" w:eastAsia="Calibri" w:hAnsi="Calibri"/>
                <w:sz w:val="18"/>
                <w:szCs w:val="18"/>
                <w:color w:val="auto"/>
              </w:rPr>
              <w:t>Private Equity</w:t>
            </w:r>
          </w:p>
        </w:tc>
        <w:tc>
          <w:tcPr>
            <w:tcW w:w="94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line="212" w:lineRule="exact"/>
              <w:rPr>
                <w:sz w:val="20"/>
                <w:szCs w:val="20"/>
                <w:color w:val="auto"/>
              </w:rPr>
            </w:pPr>
            <w:r>
              <w:rPr>
                <w:rFonts w:ascii="Calibri" w:cs="Calibri" w:eastAsia="Calibri" w:hAnsi="Calibri"/>
                <w:sz w:val="18"/>
                <w:szCs w:val="18"/>
                <w:color w:val="auto"/>
              </w:rPr>
              <w:t>3</w:t>
            </w:r>
          </w:p>
        </w:tc>
        <w:tc>
          <w:tcPr>
            <w:tcW w:w="24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ind w:left="40"/>
              <w:spacing w:after="0" w:line="212" w:lineRule="exact"/>
              <w:rPr>
                <w:sz w:val="20"/>
                <w:szCs w:val="20"/>
                <w:color w:val="auto"/>
              </w:rPr>
            </w:pPr>
            <w:r>
              <w:rPr>
                <w:rFonts w:ascii="Calibri" w:cs="Calibri" w:eastAsia="Calibri" w:hAnsi="Calibri"/>
                <w:sz w:val="18"/>
                <w:szCs w:val="18"/>
                <w:color w:val="auto"/>
                <w:w w:val="85"/>
              </w:rPr>
              <w:t>—</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ind w:left="880"/>
              <w:spacing w:after="0" w:line="212" w:lineRule="exact"/>
              <w:rPr>
                <w:sz w:val="20"/>
                <w:szCs w:val="20"/>
                <w:color w:val="auto"/>
              </w:rPr>
            </w:pPr>
            <w:r>
              <w:rPr>
                <w:rFonts w:ascii="Calibri" w:cs="Calibri" w:eastAsia="Calibri" w:hAnsi="Calibri"/>
                <w:sz w:val="18"/>
                <w:szCs w:val="18"/>
                <w:color w:val="auto"/>
                <w:w w:val="85"/>
              </w:rPr>
              <w:t>—</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line="212" w:lineRule="exact"/>
              <w:rPr>
                <w:sz w:val="20"/>
                <w:szCs w:val="20"/>
                <w:color w:val="auto"/>
              </w:rPr>
            </w:pPr>
            <w:r>
              <w:rPr>
                <w:rFonts w:ascii="Calibri" w:cs="Calibri" w:eastAsia="Calibri" w:hAnsi="Calibri"/>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line="212" w:lineRule="exact"/>
              <w:rPr>
                <w:sz w:val="20"/>
                <w:szCs w:val="20"/>
                <w:color w:val="auto"/>
              </w:rPr>
            </w:pPr>
            <w:r>
              <w:rPr>
                <w:rFonts w:ascii="Calibri" w:cs="Calibri" w:eastAsia="Calibri" w:hAnsi="Calibri"/>
                <w:sz w:val="18"/>
                <w:szCs w:val="18"/>
                <w:color w:val="auto"/>
              </w:rPr>
              <w:t>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260" w:type="dxa"/>
            <w:vAlign w:val="bottom"/>
          </w:tcPr>
          <w:p>
            <w:pPr>
              <w:ind w:left="20"/>
              <w:spacing w:after="0" w:line="209" w:lineRule="exact"/>
              <w:rPr>
                <w:sz w:val="20"/>
                <w:szCs w:val="20"/>
                <w:color w:val="auto"/>
              </w:rPr>
            </w:pPr>
            <w:r>
              <w:rPr>
                <w:rFonts w:ascii="Calibri" w:cs="Calibri" w:eastAsia="Calibri" w:hAnsi="Calibri"/>
                <w:sz w:val="18"/>
                <w:szCs w:val="18"/>
                <w:color w:val="auto"/>
              </w:rPr>
              <w:t>Total</w:t>
            </w:r>
          </w:p>
        </w:tc>
        <w:tc>
          <w:tcPr>
            <w:tcW w:w="940" w:type="dxa"/>
            <w:vAlign w:val="bottom"/>
          </w:tcPr>
          <w:p>
            <w:pPr>
              <w:jc w:val="right"/>
              <w:ind w:right="764"/>
              <w:spacing w:after="0" w:line="209" w:lineRule="exact"/>
              <w:rPr>
                <w:sz w:val="20"/>
                <w:szCs w:val="20"/>
                <w:color w:val="auto"/>
              </w:rPr>
            </w:pPr>
            <w:r>
              <w:rPr>
                <w:rFonts w:ascii="Calibri" w:cs="Calibri" w:eastAsia="Calibri" w:hAnsi="Calibri"/>
                <w:sz w:val="18"/>
                <w:szCs w:val="18"/>
                <w:color w:val="auto"/>
                <w:w w:val="87"/>
              </w:rPr>
              <w:t>$</w:t>
            </w:r>
          </w:p>
        </w:tc>
        <w:tc>
          <w:tcPr>
            <w:tcW w:w="220" w:type="dxa"/>
            <w:vAlign w:val="bottom"/>
          </w:tcPr>
          <w:p>
            <w:pPr>
              <w:jc w:val="right"/>
              <w:spacing w:after="0" w:line="209" w:lineRule="exact"/>
              <w:rPr>
                <w:sz w:val="20"/>
                <w:szCs w:val="20"/>
                <w:color w:val="auto"/>
              </w:rPr>
            </w:pPr>
            <w:r>
              <w:rPr>
                <w:rFonts w:ascii="Calibri" w:cs="Calibri" w:eastAsia="Calibri" w:hAnsi="Calibri"/>
                <w:sz w:val="18"/>
                <w:szCs w:val="18"/>
                <w:color w:val="auto"/>
              </w:rPr>
              <w:t>3</w:t>
            </w:r>
          </w:p>
        </w:tc>
        <w:tc>
          <w:tcPr>
            <w:tcW w:w="240" w:type="dxa"/>
            <w:vAlign w:val="bottom"/>
          </w:tcPr>
          <w:p>
            <w:pPr>
              <w:spacing w:after="0"/>
              <w:rPr>
                <w:sz w:val="18"/>
                <w:szCs w:val="18"/>
                <w:color w:val="auto"/>
              </w:rPr>
            </w:pPr>
          </w:p>
        </w:tc>
        <w:tc>
          <w:tcPr>
            <w:tcW w:w="960" w:type="dxa"/>
            <w:vAlign w:val="bottom"/>
          </w:tcPr>
          <w:p>
            <w:pPr>
              <w:ind w:left="20"/>
              <w:spacing w:after="0" w:line="209" w:lineRule="exact"/>
              <w:rPr>
                <w:sz w:val="20"/>
                <w:szCs w:val="20"/>
                <w:color w:val="auto"/>
              </w:rPr>
            </w:pPr>
            <w:r>
              <w:rPr>
                <w:rFonts w:ascii="Calibri" w:cs="Calibri" w:eastAsia="Calibri" w:hAnsi="Calibri"/>
                <w:sz w:val="18"/>
                <w:szCs w:val="18"/>
                <w:color w:val="auto"/>
              </w:rPr>
              <w:t>$</w:t>
            </w:r>
          </w:p>
        </w:tc>
        <w:tc>
          <w:tcPr>
            <w:tcW w:w="200" w:type="dxa"/>
            <w:vAlign w:val="bottom"/>
          </w:tcPr>
          <w:p>
            <w:pPr>
              <w:ind w:left="40"/>
              <w:spacing w:after="0" w:line="209" w:lineRule="exact"/>
              <w:rPr>
                <w:sz w:val="20"/>
                <w:szCs w:val="20"/>
                <w:color w:val="auto"/>
              </w:rPr>
            </w:pPr>
            <w:r>
              <w:rPr>
                <w:rFonts w:ascii="Calibri" w:cs="Calibri" w:eastAsia="Calibri" w:hAnsi="Calibri"/>
                <w:sz w:val="18"/>
                <w:szCs w:val="18"/>
                <w:color w:val="auto"/>
                <w:w w:val="85"/>
              </w:rPr>
              <w:t>—</w:t>
            </w:r>
          </w:p>
        </w:tc>
        <w:tc>
          <w:tcPr>
            <w:tcW w:w="360" w:type="dxa"/>
            <w:vAlign w:val="bottom"/>
            <w:gridSpan w:val="2"/>
          </w:tcPr>
          <w:p>
            <w:pPr>
              <w:jc w:val="right"/>
              <w:spacing w:after="0" w:line="209" w:lineRule="exact"/>
              <w:rPr>
                <w:sz w:val="20"/>
                <w:szCs w:val="20"/>
                <w:color w:val="auto"/>
              </w:rPr>
            </w:pPr>
            <w:r>
              <w:rPr>
                <w:rFonts w:ascii="Calibri" w:cs="Calibri" w:eastAsia="Calibri" w:hAnsi="Calibri"/>
                <w:sz w:val="18"/>
                <w:szCs w:val="18"/>
                <w:color w:val="auto"/>
              </w:rPr>
              <w:t>$</w:t>
            </w:r>
          </w:p>
        </w:tc>
        <w:tc>
          <w:tcPr>
            <w:tcW w:w="1040" w:type="dxa"/>
            <w:vAlign w:val="bottom"/>
          </w:tcPr>
          <w:p>
            <w:pPr>
              <w:ind w:left="880"/>
              <w:spacing w:after="0" w:line="209" w:lineRule="exact"/>
              <w:rPr>
                <w:sz w:val="20"/>
                <w:szCs w:val="20"/>
                <w:color w:val="auto"/>
              </w:rPr>
            </w:pPr>
            <w:r>
              <w:rPr>
                <w:rFonts w:ascii="Calibri" w:cs="Calibri" w:eastAsia="Calibri" w:hAnsi="Calibri"/>
                <w:sz w:val="18"/>
                <w:szCs w:val="18"/>
                <w:color w:val="auto"/>
                <w:w w:val="85"/>
              </w:rPr>
              <w:t>—</w:t>
            </w:r>
          </w:p>
        </w:tc>
        <w:tc>
          <w:tcPr>
            <w:tcW w:w="380" w:type="dxa"/>
            <w:vAlign w:val="bottom"/>
            <w:gridSpan w:val="2"/>
          </w:tcPr>
          <w:p>
            <w:pPr>
              <w:jc w:val="right"/>
              <w:spacing w:after="0" w:line="209" w:lineRule="exact"/>
              <w:rPr>
                <w:sz w:val="20"/>
                <w:szCs w:val="20"/>
                <w:color w:val="auto"/>
              </w:rPr>
            </w:pPr>
            <w:r>
              <w:rPr>
                <w:rFonts w:ascii="Calibri" w:cs="Calibri" w:eastAsia="Calibri" w:hAnsi="Calibri"/>
                <w:sz w:val="18"/>
                <w:szCs w:val="18"/>
                <w:color w:val="auto"/>
              </w:rPr>
              <w:t>$</w:t>
            </w:r>
          </w:p>
        </w:tc>
        <w:tc>
          <w:tcPr>
            <w:tcW w:w="1280" w:type="dxa"/>
            <w:vAlign w:val="bottom"/>
            <w:gridSpan w:val="2"/>
          </w:tcPr>
          <w:p>
            <w:pPr>
              <w:jc w:val="right"/>
              <w:ind w:right="260"/>
              <w:spacing w:after="0" w:line="209" w:lineRule="exact"/>
              <w:rPr>
                <w:sz w:val="20"/>
                <w:szCs w:val="20"/>
                <w:color w:val="auto"/>
              </w:rPr>
            </w:pPr>
            <w:r>
              <w:rPr>
                <w:rFonts w:ascii="Calibri" w:cs="Calibri" w:eastAsia="Calibri" w:hAnsi="Calibri"/>
                <w:sz w:val="18"/>
                <w:szCs w:val="18"/>
                <w:color w:val="auto"/>
              </w:rPr>
              <w:t>—</w:t>
            </w:r>
          </w:p>
        </w:tc>
        <w:tc>
          <w:tcPr>
            <w:tcW w:w="160" w:type="dxa"/>
            <w:vAlign w:val="bottom"/>
          </w:tcPr>
          <w:p>
            <w:pPr>
              <w:jc w:val="right"/>
              <w:spacing w:after="0" w:line="209" w:lineRule="exact"/>
              <w:rPr>
                <w:sz w:val="20"/>
                <w:szCs w:val="20"/>
                <w:color w:val="auto"/>
              </w:rPr>
            </w:pPr>
            <w:r>
              <w:rPr>
                <w:rFonts w:ascii="Calibri" w:cs="Calibri" w:eastAsia="Calibri" w:hAnsi="Calibri"/>
                <w:sz w:val="18"/>
                <w:szCs w:val="18"/>
                <w:color w:val="auto"/>
                <w:w w:val="87"/>
              </w:rPr>
              <w:t>$</w:t>
            </w:r>
          </w:p>
        </w:tc>
        <w:tc>
          <w:tcPr>
            <w:tcW w:w="1100" w:type="dxa"/>
            <w:vAlign w:val="bottom"/>
          </w:tcPr>
          <w:p>
            <w:pPr>
              <w:jc w:val="right"/>
              <w:spacing w:after="0" w:line="209" w:lineRule="exact"/>
              <w:rPr>
                <w:sz w:val="20"/>
                <w:szCs w:val="20"/>
                <w:color w:val="auto"/>
              </w:rPr>
            </w:pPr>
            <w:r>
              <w:rPr>
                <w:rFonts w:ascii="Calibri" w:cs="Calibri" w:eastAsia="Calibri" w:hAnsi="Calibri"/>
                <w:sz w:val="18"/>
                <w:szCs w:val="18"/>
                <w:color w:val="auto"/>
              </w:rPr>
              <w:t>3</w:t>
            </w:r>
          </w:p>
        </w:tc>
        <w:tc>
          <w:tcPr>
            <w:tcW w:w="100" w:type="dxa"/>
            <w:vAlign w:val="bottom"/>
          </w:tcPr>
          <w:p>
            <w:pPr>
              <w:spacing w:after="0"/>
              <w:rPr>
                <w:sz w:val="18"/>
                <w:szCs w:val="18"/>
                <w:color w:val="auto"/>
              </w:rPr>
            </w:pPr>
          </w:p>
        </w:tc>
      </w:tr>
      <w:tr>
        <w:trPr>
          <w:trHeight w:val="20"/>
        </w:trPr>
        <w:tc>
          <w:tcPr>
            <w:tcW w:w="42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82"/>
        </w:trPr>
        <w:tc>
          <w:tcPr>
            <w:tcW w:w="426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ind w:left="400"/>
              <w:spacing w:after="0"/>
              <w:rPr>
                <w:sz w:val="20"/>
                <w:szCs w:val="20"/>
                <w:color w:val="auto"/>
              </w:rPr>
            </w:pPr>
            <w:r>
              <w:rPr>
                <w:rFonts w:ascii="Calibri" w:cs="Calibri" w:eastAsia="Calibri" w:hAnsi="Calibri"/>
                <w:sz w:val="14"/>
                <w:szCs w:val="14"/>
                <w:b w:val="1"/>
                <w:bCs w:val="1"/>
                <w:color w:val="auto"/>
              </w:rPr>
              <w:t>U.S.</w:t>
            </w: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73"/>
        </w:trPr>
        <w:tc>
          <w:tcPr>
            <w:tcW w:w="4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60" w:type="dxa"/>
            <w:vAlign w:val="bottom"/>
            <w:tcBorders>
              <w:bottom w:val="single" w:sz="8" w:color="auto"/>
            </w:tcBorders>
            <w:gridSpan w:val="5"/>
          </w:tcPr>
          <w:p>
            <w:pPr>
              <w:ind w:left="260"/>
              <w:spacing w:after="0"/>
              <w:rPr>
                <w:sz w:val="20"/>
                <w:szCs w:val="20"/>
                <w:color w:val="auto"/>
              </w:rPr>
            </w:pPr>
            <w:r>
              <w:rPr>
                <w:rFonts w:ascii="Calibri" w:cs="Calibri" w:eastAsia="Calibri" w:hAnsi="Calibri"/>
                <w:sz w:val="14"/>
                <w:szCs w:val="14"/>
                <w:b w:val="1"/>
                <w:bCs w:val="1"/>
                <w:color w:val="auto"/>
              </w:rPr>
              <w:t>Net Realized and Unrealized Gains</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57"/>
        </w:trPr>
        <w:tc>
          <w:tcPr>
            <w:tcW w:w="4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center"/>
              <w:ind w:right="23"/>
              <w:spacing w:after="0" w:line="157" w:lineRule="exact"/>
              <w:rPr>
                <w:sz w:val="20"/>
                <w:szCs w:val="20"/>
                <w:color w:val="auto"/>
              </w:rPr>
            </w:pPr>
            <w:r>
              <w:rPr>
                <w:rFonts w:ascii="Calibri" w:cs="Calibri" w:eastAsia="Calibri" w:hAnsi="Calibri"/>
                <w:sz w:val="14"/>
                <w:szCs w:val="14"/>
                <w:b w:val="1"/>
                <w:bCs w:val="1"/>
                <w:color w:val="auto"/>
              </w:rPr>
              <w:t>Relatng to</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0"/>
        </w:trPr>
        <w:tc>
          <w:tcPr>
            <w:tcW w:w="4260" w:type="dxa"/>
            <w:vAlign w:val="bottom"/>
          </w:tcPr>
          <w:p>
            <w:pPr>
              <w:spacing w:after="0"/>
              <w:rPr>
                <w:sz w:val="14"/>
                <w:szCs w:val="14"/>
                <w:color w:val="auto"/>
              </w:rPr>
            </w:pPr>
          </w:p>
        </w:tc>
        <w:tc>
          <w:tcPr>
            <w:tcW w:w="940" w:type="dxa"/>
            <w:vAlign w:val="bottom"/>
          </w:tcPr>
          <w:p>
            <w:pPr>
              <w:jc w:val="center"/>
              <w:ind w:left="164"/>
              <w:spacing w:after="0"/>
              <w:rPr>
                <w:sz w:val="20"/>
                <w:szCs w:val="20"/>
                <w:color w:val="auto"/>
              </w:rPr>
            </w:pPr>
            <w:r>
              <w:rPr>
                <w:rFonts w:ascii="Calibri" w:cs="Calibri" w:eastAsia="Calibri" w:hAnsi="Calibri"/>
                <w:sz w:val="14"/>
                <w:szCs w:val="14"/>
                <w:b w:val="1"/>
                <w:bCs w:val="1"/>
                <w:color w:val="auto"/>
              </w:rPr>
              <w:t>Balance at</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center"/>
              <w:ind w:left="144"/>
              <w:spacing w:after="0"/>
              <w:rPr>
                <w:sz w:val="20"/>
                <w:szCs w:val="20"/>
                <w:color w:val="auto"/>
              </w:rPr>
            </w:pPr>
            <w:r>
              <w:rPr>
                <w:rFonts w:ascii="Calibri" w:cs="Calibri" w:eastAsia="Calibri" w:hAnsi="Calibri"/>
                <w:sz w:val="14"/>
                <w:szCs w:val="14"/>
                <w:b w:val="1"/>
                <w:bCs w:val="1"/>
                <w:color w:val="auto"/>
              </w:rPr>
              <w:t>Relatng to</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center"/>
              <w:ind w:right="23"/>
              <w:spacing w:after="0"/>
              <w:rPr>
                <w:sz w:val="20"/>
                <w:szCs w:val="20"/>
                <w:color w:val="auto"/>
              </w:rPr>
            </w:pPr>
            <w:r>
              <w:rPr>
                <w:rFonts w:ascii="Calibri" w:cs="Calibri" w:eastAsia="Calibri" w:hAnsi="Calibri"/>
                <w:sz w:val="14"/>
                <w:szCs w:val="14"/>
                <w:b w:val="1"/>
                <w:bCs w:val="1"/>
                <w:color w:val="auto"/>
              </w:rPr>
              <w:t>Assets</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Calibri" w:cs="Calibri" w:eastAsia="Calibri" w:hAnsi="Calibri"/>
                <w:sz w:val="14"/>
                <w:szCs w:val="14"/>
                <w:b w:val="1"/>
                <w:bCs w:val="1"/>
                <w:color w:val="auto"/>
              </w:rPr>
              <w:t>Net Purchases,</w:t>
            </w:r>
          </w:p>
        </w:tc>
        <w:tc>
          <w:tcPr>
            <w:tcW w:w="16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Calibri" w:cs="Calibri" w:eastAsia="Calibri" w:hAnsi="Calibri"/>
                <w:sz w:val="14"/>
                <w:szCs w:val="14"/>
                <w:b w:val="1"/>
                <w:bCs w:val="1"/>
                <w:color w:val="auto"/>
              </w:rPr>
              <w:t>Balance at</w:t>
            </w:r>
          </w:p>
        </w:tc>
      </w:tr>
      <w:tr>
        <w:trPr>
          <w:trHeight w:val="175"/>
        </w:trPr>
        <w:tc>
          <w:tcPr>
            <w:tcW w:w="4260" w:type="dxa"/>
            <w:vAlign w:val="bottom"/>
          </w:tcPr>
          <w:p>
            <w:pPr>
              <w:spacing w:after="0"/>
              <w:rPr>
                <w:sz w:val="15"/>
                <w:szCs w:val="15"/>
                <w:color w:val="auto"/>
              </w:rPr>
            </w:pPr>
          </w:p>
        </w:tc>
        <w:tc>
          <w:tcPr>
            <w:tcW w:w="940" w:type="dxa"/>
            <w:vAlign w:val="bottom"/>
          </w:tcPr>
          <w:p>
            <w:pPr>
              <w:jc w:val="center"/>
              <w:ind w:left="144"/>
              <w:spacing w:after="0"/>
              <w:rPr>
                <w:sz w:val="20"/>
                <w:szCs w:val="20"/>
                <w:color w:val="auto"/>
              </w:rPr>
            </w:pPr>
            <w:r>
              <w:rPr>
                <w:rFonts w:ascii="Calibri" w:cs="Calibri" w:eastAsia="Calibri" w:hAnsi="Calibri"/>
                <w:sz w:val="14"/>
                <w:szCs w:val="14"/>
                <w:b w:val="1"/>
                <w:bCs w:val="1"/>
                <w:color w:val="auto"/>
              </w:rPr>
              <w:t>January 1,</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center"/>
              <w:ind w:left="144"/>
              <w:spacing w:after="0"/>
              <w:rPr>
                <w:sz w:val="20"/>
                <w:szCs w:val="20"/>
                <w:color w:val="auto"/>
              </w:rPr>
            </w:pPr>
            <w:r>
              <w:rPr>
                <w:rFonts w:ascii="Calibri" w:cs="Calibri" w:eastAsia="Calibri" w:hAnsi="Calibri"/>
                <w:sz w:val="14"/>
                <w:szCs w:val="14"/>
                <w:b w:val="1"/>
                <w:bCs w:val="1"/>
                <w:color w:val="auto"/>
              </w:rPr>
              <w:t>Assets</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center"/>
              <w:ind w:right="23"/>
              <w:spacing w:after="0"/>
              <w:rPr>
                <w:sz w:val="20"/>
                <w:szCs w:val="20"/>
                <w:color w:val="auto"/>
              </w:rPr>
            </w:pPr>
            <w:r>
              <w:rPr>
                <w:rFonts w:ascii="Calibri" w:cs="Calibri" w:eastAsia="Calibri" w:hAnsi="Calibri"/>
                <w:sz w:val="14"/>
                <w:szCs w:val="14"/>
                <w:b w:val="1"/>
                <w:bCs w:val="1"/>
                <w:color w:val="auto"/>
              </w:rPr>
              <w:t>Sold During the</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center"/>
              <w:ind w:right="360"/>
              <w:spacing w:after="0"/>
              <w:rPr>
                <w:sz w:val="20"/>
                <w:szCs w:val="20"/>
                <w:color w:val="auto"/>
              </w:rPr>
            </w:pPr>
            <w:r>
              <w:rPr>
                <w:rFonts w:ascii="Calibri" w:cs="Calibri" w:eastAsia="Calibri" w:hAnsi="Calibri"/>
                <w:sz w:val="14"/>
                <w:szCs w:val="14"/>
                <w:b w:val="1"/>
                <w:bCs w:val="1"/>
                <w:color w:val="auto"/>
              </w:rPr>
              <w:t>Sales and</w:t>
            </w:r>
          </w:p>
        </w:tc>
        <w:tc>
          <w:tcPr>
            <w:tcW w:w="160" w:type="dxa"/>
            <w:vAlign w:val="bottom"/>
          </w:tcPr>
          <w:p>
            <w:pPr>
              <w:spacing w:after="0"/>
              <w:rPr>
                <w:sz w:val="15"/>
                <w:szCs w:val="15"/>
                <w:color w:val="auto"/>
              </w:rPr>
            </w:pPr>
          </w:p>
        </w:tc>
        <w:tc>
          <w:tcPr>
            <w:tcW w:w="1200" w:type="dxa"/>
            <w:vAlign w:val="bottom"/>
            <w:gridSpan w:val="2"/>
          </w:tcPr>
          <w:p>
            <w:pPr>
              <w:jc w:val="center"/>
              <w:ind w:right="260"/>
              <w:spacing w:after="0"/>
              <w:rPr>
                <w:sz w:val="20"/>
                <w:szCs w:val="20"/>
                <w:color w:val="auto"/>
              </w:rPr>
            </w:pPr>
            <w:r>
              <w:rPr>
                <w:rFonts w:ascii="Calibri" w:cs="Calibri" w:eastAsia="Calibri" w:hAnsi="Calibri"/>
                <w:sz w:val="14"/>
                <w:szCs w:val="14"/>
                <w:b w:val="1"/>
                <w:bCs w:val="1"/>
                <w:color w:val="auto"/>
              </w:rPr>
              <w:t>December 31,</w:t>
            </w:r>
          </w:p>
        </w:tc>
      </w:tr>
      <w:tr>
        <w:trPr>
          <w:trHeight w:val="192"/>
        </w:trPr>
        <w:tc>
          <w:tcPr>
            <w:tcW w:w="4260" w:type="dxa"/>
            <w:vAlign w:val="bottom"/>
          </w:tcPr>
          <w:p>
            <w:pPr>
              <w:ind w:left="20"/>
              <w:spacing w:after="0"/>
              <w:rPr>
                <w:sz w:val="20"/>
                <w:szCs w:val="20"/>
                <w:color w:val="auto"/>
              </w:rPr>
            </w:pPr>
            <w:r>
              <w:rPr>
                <w:rFonts w:ascii="Calibri" w:cs="Calibri" w:eastAsia="Calibri" w:hAnsi="Calibri"/>
                <w:sz w:val="14"/>
                <w:szCs w:val="14"/>
                <w:color w:val="auto"/>
              </w:rPr>
              <w:t>(in millions)</w:t>
            </w:r>
          </w:p>
        </w:tc>
        <w:tc>
          <w:tcPr>
            <w:tcW w:w="940" w:type="dxa"/>
            <w:vAlign w:val="bottom"/>
            <w:tcBorders>
              <w:bottom w:val="single" w:sz="8" w:color="auto"/>
            </w:tcBorders>
          </w:tcPr>
          <w:p>
            <w:pPr>
              <w:jc w:val="center"/>
              <w:ind w:left="144"/>
              <w:spacing w:after="0"/>
              <w:rPr>
                <w:sz w:val="20"/>
                <w:szCs w:val="20"/>
                <w:color w:val="auto"/>
              </w:rPr>
            </w:pPr>
            <w:r>
              <w:rPr>
                <w:rFonts w:ascii="Calibri" w:cs="Calibri" w:eastAsia="Calibri" w:hAnsi="Calibri"/>
                <w:sz w:val="14"/>
                <w:szCs w:val="14"/>
                <w:b w:val="1"/>
                <w:bCs w:val="1"/>
                <w:color w:val="auto"/>
                <w:w w:val="98"/>
              </w:rPr>
              <w:t>2022</w:t>
            </w:r>
          </w:p>
        </w:tc>
        <w:tc>
          <w:tcPr>
            <w:tcW w:w="2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Borders>
              <w:bottom w:val="single" w:sz="8" w:color="auto"/>
            </w:tcBorders>
          </w:tcPr>
          <w:p>
            <w:pPr>
              <w:jc w:val="center"/>
              <w:ind w:left="144"/>
              <w:spacing w:after="0"/>
              <w:rPr>
                <w:sz w:val="20"/>
                <w:szCs w:val="20"/>
                <w:color w:val="auto"/>
              </w:rPr>
            </w:pPr>
            <w:r>
              <w:rPr>
                <w:rFonts w:ascii="Calibri" w:cs="Calibri" w:eastAsia="Calibri" w:hAnsi="Calibri"/>
                <w:sz w:val="14"/>
                <w:szCs w:val="14"/>
                <w:b w:val="1"/>
                <w:bCs w:val="1"/>
                <w:color w:val="auto"/>
              </w:rPr>
              <w:t>Stll Held</w:t>
            </w:r>
          </w:p>
        </w:tc>
        <w:tc>
          <w:tcPr>
            <w:tcW w:w="2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23"/>
              <w:spacing w:after="0"/>
              <w:rPr>
                <w:sz w:val="20"/>
                <w:szCs w:val="20"/>
                <w:color w:val="auto"/>
              </w:rPr>
            </w:pPr>
            <w:r>
              <w:rPr>
                <w:rFonts w:ascii="Calibri" w:cs="Calibri" w:eastAsia="Calibri" w:hAnsi="Calibri"/>
                <w:sz w:val="14"/>
                <w:szCs w:val="14"/>
                <w:b w:val="1"/>
                <w:bCs w:val="1"/>
                <w:color w:val="auto"/>
                <w:w w:val="99"/>
              </w:rPr>
              <w:t>Period</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1"/>
              <w:spacing w:after="0"/>
              <w:rPr>
                <w:sz w:val="20"/>
                <w:szCs w:val="20"/>
                <w:color w:val="auto"/>
              </w:rPr>
            </w:pPr>
            <w:r>
              <w:rPr>
                <w:rFonts w:ascii="Calibri" w:cs="Calibri" w:eastAsia="Calibri" w:hAnsi="Calibri"/>
                <w:sz w:val="14"/>
                <w:szCs w:val="14"/>
                <w:b w:val="1"/>
                <w:bCs w:val="1"/>
                <w:color w:val="auto"/>
              </w:rPr>
              <w:t>Setlements</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81"/>
              <w:spacing w:after="0"/>
              <w:rPr>
                <w:sz w:val="20"/>
                <w:szCs w:val="20"/>
                <w:color w:val="auto"/>
              </w:rPr>
            </w:pPr>
            <w:r>
              <w:rPr>
                <w:rFonts w:ascii="Calibri" w:cs="Calibri" w:eastAsia="Calibri" w:hAnsi="Calibri"/>
                <w:sz w:val="14"/>
                <w:szCs w:val="14"/>
                <w:b w:val="1"/>
                <w:bCs w:val="1"/>
                <w:color w:val="auto"/>
              </w:rPr>
              <w:t>2022</w:t>
            </w:r>
          </w:p>
        </w:tc>
        <w:tc>
          <w:tcPr>
            <w:tcW w:w="100" w:type="dxa"/>
            <w:vAlign w:val="bottom"/>
          </w:tcPr>
          <w:p>
            <w:pPr>
              <w:spacing w:after="0"/>
              <w:rPr>
                <w:sz w:val="16"/>
                <w:szCs w:val="16"/>
                <w:color w:val="auto"/>
              </w:rPr>
            </w:pPr>
          </w:p>
        </w:tc>
      </w:tr>
      <w:tr>
        <w:trPr>
          <w:trHeight w:val="212"/>
        </w:trPr>
        <w:tc>
          <w:tcPr>
            <w:tcW w:w="4260" w:type="dxa"/>
            <w:vAlign w:val="bottom"/>
            <w:tcBorders>
              <w:bottom w:val="single" w:sz="8" w:color="CFF0FC"/>
            </w:tcBorders>
            <w:shd w:val="clear" w:color="auto" w:fill="CFF0FC"/>
          </w:tcPr>
          <w:p>
            <w:pPr>
              <w:ind w:left="20"/>
              <w:spacing w:after="0" w:line="212" w:lineRule="exact"/>
              <w:rPr>
                <w:sz w:val="20"/>
                <w:szCs w:val="20"/>
                <w:color w:val="auto"/>
              </w:rPr>
            </w:pPr>
            <w:r>
              <w:rPr>
                <w:rFonts w:ascii="Calibri" w:cs="Calibri" w:eastAsia="Calibri" w:hAnsi="Calibri"/>
                <w:sz w:val="18"/>
                <w:szCs w:val="18"/>
                <w:color w:val="auto"/>
              </w:rPr>
              <w:t>Private Equity</w:t>
            </w:r>
          </w:p>
        </w:tc>
        <w:tc>
          <w:tcPr>
            <w:tcW w:w="94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line="212" w:lineRule="exact"/>
              <w:rPr>
                <w:sz w:val="20"/>
                <w:szCs w:val="20"/>
                <w:color w:val="auto"/>
              </w:rPr>
            </w:pPr>
            <w:r>
              <w:rPr>
                <w:rFonts w:ascii="Calibri" w:cs="Calibri" w:eastAsia="Calibri" w:hAnsi="Calibri"/>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ind w:left="40"/>
              <w:spacing w:after="0" w:line="212" w:lineRule="exact"/>
              <w:rPr>
                <w:sz w:val="20"/>
                <w:szCs w:val="20"/>
                <w:color w:val="auto"/>
              </w:rPr>
            </w:pPr>
            <w:r>
              <w:rPr>
                <w:rFonts w:ascii="Calibri" w:cs="Calibri" w:eastAsia="Calibri" w:hAnsi="Calibri"/>
                <w:sz w:val="18"/>
                <w:szCs w:val="18"/>
                <w:color w:val="auto"/>
                <w:w w:val="85"/>
              </w:rPr>
              <w:t>—</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ind w:left="880"/>
              <w:spacing w:after="0" w:line="212" w:lineRule="exact"/>
              <w:rPr>
                <w:sz w:val="20"/>
                <w:szCs w:val="20"/>
                <w:color w:val="auto"/>
              </w:rPr>
            </w:pPr>
            <w:r>
              <w:rPr>
                <w:rFonts w:ascii="Calibri" w:cs="Calibri" w:eastAsia="Calibri" w:hAnsi="Calibri"/>
                <w:sz w:val="18"/>
                <w:szCs w:val="18"/>
                <w:color w:val="auto"/>
                <w:w w:val="85"/>
              </w:rPr>
              <w:t>—</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line="212" w:lineRule="exact"/>
              <w:rPr>
                <w:sz w:val="20"/>
                <w:szCs w:val="20"/>
                <w:color w:val="auto"/>
              </w:rPr>
            </w:pPr>
            <w:r>
              <w:rPr>
                <w:rFonts w:ascii="Calibri" w:cs="Calibri" w:eastAsia="Calibri" w:hAnsi="Calibri"/>
                <w:sz w:val="18"/>
                <w:szCs w:val="18"/>
                <w:color w:val="auto"/>
              </w:rPr>
              <w:t>3</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line="212" w:lineRule="exact"/>
              <w:rPr>
                <w:sz w:val="20"/>
                <w:szCs w:val="20"/>
                <w:color w:val="auto"/>
              </w:rPr>
            </w:pPr>
            <w:r>
              <w:rPr>
                <w:rFonts w:ascii="Calibri" w:cs="Calibri" w:eastAsia="Calibri" w:hAnsi="Calibri"/>
                <w:sz w:val="18"/>
                <w:szCs w:val="18"/>
                <w:color w:val="auto"/>
              </w:rPr>
              <w:t>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260" w:type="dxa"/>
            <w:vAlign w:val="bottom"/>
          </w:tcPr>
          <w:p>
            <w:pPr>
              <w:ind w:left="20"/>
              <w:spacing w:after="0" w:line="209" w:lineRule="exact"/>
              <w:rPr>
                <w:sz w:val="20"/>
                <w:szCs w:val="20"/>
                <w:color w:val="auto"/>
              </w:rPr>
            </w:pPr>
            <w:r>
              <w:rPr>
                <w:rFonts w:ascii="Calibri" w:cs="Calibri" w:eastAsia="Calibri" w:hAnsi="Calibri"/>
                <w:sz w:val="18"/>
                <w:szCs w:val="18"/>
                <w:color w:val="auto"/>
              </w:rPr>
              <w:t>Total</w:t>
            </w:r>
          </w:p>
        </w:tc>
        <w:tc>
          <w:tcPr>
            <w:tcW w:w="940" w:type="dxa"/>
            <w:vAlign w:val="bottom"/>
          </w:tcPr>
          <w:p>
            <w:pPr>
              <w:jc w:val="right"/>
              <w:ind w:right="764"/>
              <w:spacing w:after="0" w:line="209" w:lineRule="exact"/>
              <w:rPr>
                <w:sz w:val="20"/>
                <w:szCs w:val="20"/>
                <w:color w:val="auto"/>
              </w:rPr>
            </w:pPr>
            <w:r>
              <w:rPr>
                <w:rFonts w:ascii="Calibri" w:cs="Calibri" w:eastAsia="Calibri" w:hAnsi="Calibri"/>
                <w:sz w:val="18"/>
                <w:szCs w:val="18"/>
                <w:color w:val="auto"/>
                <w:w w:val="87"/>
              </w:rPr>
              <w:t>$</w:t>
            </w:r>
          </w:p>
        </w:tc>
        <w:tc>
          <w:tcPr>
            <w:tcW w:w="460" w:type="dxa"/>
            <w:vAlign w:val="bottom"/>
            <w:gridSpan w:val="2"/>
          </w:tcPr>
          <w:p>
            <w:pPr>
              <w:jc w:val="right"/>
              <w:ind w:right="240"/>
              <w:spacing w:after="0" w:line="209" w:lineRule="exact"/>
              <w:rPr>
                <w:sz w:val="20"/>
                <w:szCs w:val="20"/>
                <w:color w:val="auto"/>
              </w:rPr>
            </w:pPr>
            <w:r>
              <w:rPr>
                <w:rFonts w:ascii="Calibri" w:cs="Calibri" w:eastAsia="Calibri" w:hAnsi="Calibri"/>
                <w:sz w:val="18"/>
                <w:szCs w:val="18"/>
                <w:color w:val="auto"/>
              </w:rPr>
              <w:t>—</w:t>
            </w:r>
          </w:p>
        </w:tc>
        <w:tc>
          <w:tcPr>
            <w:tcW w:w="960" w:type="dxa"/>
            <w:vAlign w:val="bottom"/>
          </w:tcPr>
          <w:p>
            <w:pPr>
              <w:ind w:left="20"/>
              <w:spacing w:after="0" w:line="209" w:lineRule="exact"/>
              <w:rPr>
                <w:sz w:val="20"/>
                <w:szCs w:val="20"/>
                <w:color w:val="auto"/>
              </w:rPr>
            </w:pPr>
            <w:r>
              <w:rPr>
                <w:rFonts w:ascii="Calibri" w:cs="Calibri" w:eastAsia="Calibri" w:hAnsi="Calibri"/>
                <w:sz w:val="18"/>
                <w:szCs w:val="18"/>
                <w:color w:val="auto"/>
              </w:rPr>
              <w:t>$</w:t>
            </w:r>
          </w:p>
        </w:tc>
        <w:tc>
          <w:tcPr>
            <w:tcW w:w="200" w:type="dxa"/>
            <w:vAlign w:val="bottom"/>
          </w:tcPr>
          <w:p>
            <w:pPr>
              <w:ind w:left="40"/>
              <w:spacing w:after="0" w:line="209" w:lineRule="exact"/>
              <w:rPr>
                <w:sz w:val="20"/>
                <w:szCs w:val="20"/>
                <w:color w:val="auto"/>
              </w:rPr>
            </w:pPr>
            <w:r>
              <w:rPr>
                <w:rFonts w:ascii="Calibri" w:cs="Calibri" w:eastAsia="Calibri" w:hAnsi="Calibri"/>
                <w:sz w:val="18"/>
                <w:szCs w:val="18"/>
                <w:color w:val="auto"/>
                <w:w w:val="85"/>
              </w:rPr>
              <w:t>—</w:t>
            </w:r>
          </w:p>
        </w:tc>
        <w:tc>
          <w:tcPr>
            <w:tcW w:w="360" w:type="dxa"/>
            <w:vAlign w:val="bottom"/>
            <w:gridSpan w:val="2"/>
          </w:tcPr>
          <w:p>
            <w:pPr>
              <w:jc w:val="right"/>
              <w:spacing w:after="0" w:line="209" w:lineRule="exact"/>
              <w:rPr>
                <w:sz w:val="20"/>
                <w:szCs w:val="20"/>
                <w:color w:val="auto"/>
              </w:rPr>
            </w:pPr>
            <w:r>
              <w:rPr>
                <w:rFonts w:ascii="Calibri" w:cs="Calibri" w:eastAsia="Calibri" w:hAnsi="Calibri"/>
                <w:sz w:val="18"/>
                <w:szCs w:val="18"/>
                <w:color w:val="auto"/>
              </w:rPr>
              <w:t>$</w:t>
            </w:r>
          </w:p>
        </w:tc>
        <w:tc>
          <w:tcPr>
            <w:tcW w:w="1040" w:type="dxa"/>
            <w:vAlign w:val="bottom"/>
          </w:tcPr>
          <w:p>
            <w:pPr>
              <w:ind w:left="880"/>
              <w:spacing w:after="0" w:line="209" w:lineRule="exact"/>
              <w:rPr>
                <w:sz w:val="20"/>
                <w:szCs w:val="20"/>
                <w:color w:val="auto"/>
              </w:rPr>
            </w:pPr>
            <w:r>
              <w:rPr>
                <w:rFonts w:ascii="Calibri" w:cs="Calibri" w:eastAsia="Calibri" w:hAnsi="Calibri"/>
                <w:sz w:val="18"/>
                <w:szCs w:val="18"/>
                <w:color w:val="auto"/>
                <w:w w:val="85"/>
              </w:rPr>
              <w:t>—</w:t>
            </w:r>
          </w:p>
        </w:tc>
        <w:tc>
          <w:tcPr>
            <w:tcW w:w="380" w:type="dxa"/>
            <w:vAlign w:val="bottom"/>
            <w:gridSpan w:val="2"/>
          </w:tcPr>
          <w:p>
            <w:pPr>
              <w:jc w:val="right"/>
              <w:spacing w:after="0" w:line="209" w:lineRule="exact"/>
              <w:rPr>
                <w:sz w:val="20"/>
                <w:szCs w:val="20"/>
                <w:color w:val="auto"/>
              </w:rPr>
            </w:pPr>
            <w:r>
              <w:rPr>
                <w:rFonts w:ascii="Calibri" w:cs="Calibri" w:eastAsia="Calibri" w:hAnsi="Calibri"/>
                <w:sz w:val="18"/>
                <w:szCs w:val="18"/>
                <w:color w:val="auto"/>
              </w:rPr>
              <w:t>$</w:t>
            </w:r>
          </w:p>
        </w:tc>
        <w:tc>
          <w:tcPr>
            <w:tcW w:w="1040" w:type="dxa"/>
            <w:vAlign w:val="bottom"/>
          </w:tcPr>
          <w:p>
            <w:pPr>
              <w:jc w:val="right"/>
              <w:spacing w:after="0" w:line="209" w:lineRule="exact"/>
              <w:rPr>
                <w:sz w:val="20"/>
                <w:szCs w:val="20"/>
                <w:color w:val="auto"/>
              </w:rPr>
            </w:pPr>
            <w:r>
              <w:rPr>
                <w:rFonts w:ascii="Calibri" w:cs="Calibri" w:eastAsia="Calibri" w:hAnsi="Calibri"/>
                <w:sz w:val="18"/>
                <w:szCs w:val="18"/>
                <w:color w:val="auto"/>
              </w:rPr>
              <w:t>3</w:t>
            </w:r>
          </w:p>
        </w:tc>
        <w:tc>
          <w:tcPr>
            <w:tcW w:w="240" w:type="dxa"/>
            <w:vAlign w:val="bottom"/>
          </w:tcPr>
          <w:p>
            <w:pPr>
              <w:spacing w:after="0"/>
              <w:rPr>
                <w:sz w:val="18"/>
                <w:szCs w:val="18"/>
                <w:color w:val="auto"/>
              </w:rPr>
            </w:pPr>
          </w:p>
        </w:tc>
        <w:tc>
          <w:tcPr>
            <w:tcW w:w="160" w:type="dxa"/>
            <w:vAlign w:val="bottom"/>
          </w:tcPr>
          <w:p>
            <w:pPr>
              <w:jc w:val="right"/>
              <w:spacing w:after="0" w:line="209" w:lineRule="exact"/>
              <w:rPr>
                <w:sz w:val="20"/>
                <w:szCs w:val="20"/>
                <w:color w:val="auto"/>
              </w:rPr>
            </w:pPr>
            <w:r>
              <w:rPr>
                <w:rFonts w:ascii="Calibri" w:cs="Calibri" w:eastAsia="Calibri" w:hAnsi="Calibri"/>
                <w:sz w:val="18"/>
                <w:szCs w:val="18"/>
                <w:color w:val="auto"/>
                <w:w w:val="87"/>
              </w:rPr>
              <w:t>$</w:t>
            </w:r>
          </w:p>
        </w:tc>
        <w:tc>
          <w:tcPr>
            <w:tcW w:w="1100" w:type="dxa"/>
            <w:vAlign w:val="bottom"/>
          </w:tcPr>
          <w:p>
            <w:pPr>
              <w:jc w:val="right"/>
              <w:spacing w:after="0" w:line="209" w:lineRule="exact"/>
              <w:rPr>
                <w:sz w:val="20"/>
                <w:szCs w:val="20"/>
                <w:color w:val="auto"/>
              </w:rPr>
            </w:pPr>
            <w:r>
              <w:rPr>
                <w:rFonts w:ascii="Calibri" w:cs="Calibri" w:eastAsia="Calibri" w:hAnsi="Calibri"/>
                <w:sz w:val="18"/>
                <w:szCs w:val="18"/>
                <w:color w:val="auto"/>
              </w:rPr>
              <w:t>3</w:t>
            </w:r>
          </w:p>
        </w:tc>
        <w:tc>
          <w:tcPr>
            <w:tcW w:w="100" w:type="dxa"/>
            <w:vAlign w:val="bottom"/>
          </w:tcPr>
          <w:p>
            <w:pPr>
              <w:spacing w:after="0"/>
              <w:rPr>
                <w:sz w:val="18"/>
                <w:szCs w:val="18"/>
                <w:color w:val="auto"/>
              </w:rPr>
            </w:pPr>
          </w:p>
        </w:tc>
      </w:tr>
      <w:tr>
        <w:trPr>
          <w:trHeight w:val="20"/>
        </w:trPr>
        <w:tc>
          <w:tcPr>
            <w:tcW w:w="42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3442335</wp:posOffset>
            </wp:positionH>
            <wp:positionV relativeFrom="paragraph">
              <wp:posOffset>-2588260</wp:posOffset>
            </wp:positionV>
            <wp:extent cx="6858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-2588260</wp:posOffset>
            </wp:positionV>
            <wp:extent cx="68580"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-2588260</wp:posOffset>
            </wp:positionV>
            <wp:extent cx="6858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-2588260</wp:posOffset>
            </wp:positionV>
            <wp:extent cx="6858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-2588260</wp:posOffset>
            </wp:positionV>
            <wp:extent cx="6858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-1447800</wp:posOffset>
            </wp:positionV>
            <wp:extent cx="68580"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-1447800</wp:posOffset>
            </wp:positionV>
            <wp:extent cx="68580"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-1447800</wp:posOffset>
            </wp:positionV>
            <wp:extent cx="6858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-1447800</wp:posOffset>
            </wp:positionV>
            <wp:extent cx="68580"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-1447800</wp:posOffset>
            </wp:positionV>
            <wp:extent cx="68580"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-170815</wp:posOffset>
            </wp:positionV>
            <wp:extent cx="6858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-170815</wp:posOffset>
            </wp:positionV>
            <wp:extent cx="6858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-170815</wp:posOffset>
            </wp:positionV>
            <wp:extent cx="6858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-170815</wp:posOffset>
            </wp:positionV>
            <wp:extent cx="6858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03" w:name="page104"/>
    <w:bookmarkEnd w:id="103"/>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is a reconciliaton of the beginning and ending balances of level 3 assets of Kodak’s major non-U.S. defned beneft pension plans: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260"/>
              <w:spacing w:after="0"/>
              <w:rPr>
                <w:sz w:val="20"/>
                <w:szCs w:val="20"/>
                <w:color w:val="auto"/>
              </w:rPr>
            </w:pPr>
            <w:r>
              <w:rPr>
                <w:rFonts w:ascii="Calibri" w:cs="Calibri" w:eastAsia="Calibri" w:hAnsi="Calibri"/>
                <w:sz w:val="14"/>
                <w:szCs w:val="14"/>
                <w:b w:val="1"/>
                <w:bCs w:val="1"/>
                <w:color w:val="auto"/>
              </w:rPr>
              <w:t>Non - U.S.</w:t>
            </w: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73"/>
        </w:trPr>
        <w:tc>
          <w:tcPr>
            <w:tcW w:w="4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4"/>
          </w:tcPr>
          <w:p>
            <w:pPr>
              <w:ind w:left="40"/>
              <w:spacing w:after="0"/>
              <w:rPr>
                <w:sz w:val="20"/>
                <w:szCs w:val="20"/>
                <w:color w:val="auto"/>
              </w:rPr>
            </w:pPr>
            <w:r>
              <w:rPr>
                <w:rFonts w:ascii="Calibri" w:cs="Calibri" w:eastAsia="Calibri" w:hAnsi="Calibri"/>
                <w:sz w:val="14"/>
                <w:szCs w:val="14"/>
                <w:b w:val="1"/>
                <w:bCs w:val="1"/>
                <w:color w:val="auto"/>
              </w:rPr>
              <w:t>Net Realized and Unrealized Gains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57"/>
        </w:trPr>
        <w:tc>
          <w:tcPr>
            <w:tcW w:w="4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center"/>
              <w:ind w:right="23"/>
              <w:spacing w:after="0" w:line="157" w:lineRule="exact"/>
              <w:rPr>
                <w:sz w:val="20"/>
                <w:szCs w:val="20"/>
                <w:color w:val="auto"/>
              </w:rPr>
            </w:pPr>
            <w:r>
              <w:rPr>
                <w:rFonts w:ascii="Calibri" w:cs="Calibri" w:eastAsia="Calibri" w:hAnsi="Calibri"/>
                <w:sz w:val="14"/>
                <w:szCs w:val="14"/>
                <w:b w:val="1"/>
                <w:bCs w:val="1"/>
                <w:color w:val="auto"/>
              </w:rPr>
              <w:t>Relatng to</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0"/>
        </w:trPr>
        <w:tc>
          <w:tcPr>
            <w:tcW w:w="4120" w:type="dxa"/>
            <w:vAlign w:val="bottom"/>
          </w:tcPr>
          <w:p>
            <w:pPr>
              <w:spacing w:after="0"/>
              <w:rPr>
                <w:sz w:val="14"/>
                <w:szCs w:val="14"/>
                <w:color w:val="auto"/>
              </w:rPr>
            </w:pPr>
          </w:p>
        </w:tc>
        <w:tc>
          <w:tcPr>
            <w:tcW w:w="960" w:type="dxa"/>
            <w:vAlign w:val="bottom"/>
          </w:tcPr>
          <w:p>
            <w:pPr>
              <w:jc w:val="center"/>
              <w:ind w:left="224"/>
              <w:spacing w:after="0"/>
              <w:rPr>
                <w:sz w:val="20"/>
                <w:szCs w:val="20"/>
                <w:color w:val="auto"/>
              </w:rPr>
            </w:pPr>
            <w:r>
              <w:rPr>
                <w:rFonts w:ascii="Calibri" w:cs="Calibri" w:eastAsia="Calibri" w:hAnsi="Calibri"/>
                <w:sz w:val="14"/>
                <w:szCs w:val="14"/>
                <w:b w:val="1"/>
                <w:bCs w:val="1"/>
                <w:color w:val="auto"/>
              </w:rPr>
              <w:t>Balance at</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Calibri" w:cs="Calibri" w:eastAsia="Calibri" w:hAnsi="Calibri"/>
                <w:sz w:val="14"/>
                <w:szCs w:val="14"/>
                <w:b w:val="1"/>
                <w:bCs w:val="1"/>
                <w:color w:val="auto"/>
              </w:rPr>
              <w:t>Relatng to</w:t>
            </w:r>
          </w:p>
        </w:tc>
        <w:tc>
          <w:tcPr>
            <w:tcW w:w="100" w:type="dxa"/>
            <w:vAlign w:val="bottom"/>
          </w:tcPr>
          <w:p>
            <w:pPr>
              <w:spacing w:after="0"/>
              <w:rPr>
                <w:sz w:val="14"/>
                <w:szCs w:val="14"/>
                <w:color w:val="auto"/>
              </w:rPr>
            </w:pPr>
          </w:p>
        </w:tc>
        <w:tc>
          <w:tcPr>
            <w:tcW w:w="1040" w:type="dxa"/>
            <w:vAlign w:val="bottom"/>
          </w:tcPr>
          <w:p>
            <w:pPr>
              <w:jc w:val="center"/>
              <w:ind w:right="23"/>
              <w:spacing w:after="0"/>
              <w:rPr>
                <w:sz w:val="20"/>
                <w:szCs w:val="20"/>
                <w:color w:val="auto"/>
              </w:rPr>
            </w:pPr>
            <w:r>
              <w:rPr>
                <w:rFonts w:ascii="Calibri" w:cs="Calibri" w:eastAsia="Calibri" w:hAnsi="Calibri"/>
                <w:sz w:val="14"/>
                <w:szCs w:val="14"/>
                <w:b w:val="1"/>
                <w:bCs w:val="1"/>
                <w:color w:val="auto"/>
              </w:rPr>
              <w:t>Assets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right="37"/>
              <w:spacing w:after="0"/>
              <w:rPr>
                <w:sz w:val="20"/>
                <w:szCs w:val="20"/>
                <w:color w:val="auto"/>
              </w:rPr>
            </w:pPr>
            <w:r>
              <w:rPr>
                <w:rFonts w:ascii="Calibri" w:cs="Calibri" w:eastAsia="Calibri" w:hAnsi="Calibri"/>
                <w:sz w:val="14"/>
                <w:szCs w:val="14"/>
                <w:b w:val="1"/>
                <w:bCs w:val="1"/>
                <w:color w:val="auto"/>
              </w:rPr>
              <w:t>Net Purchases,</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3"/>
          </w:tcPr>
          <w:p>
            <w:pPr>
              <w:jc w:val="center"/>
              <w:ind w:right="340"/>
              <w:spacing w:after="0"/>
              <w:rPr>
                <w:sz w:val="20"/>
                <w:szCs w:val="20"/>
                <w:color w:val="auto"/>
              </w:rPr>
            </w:pPr>
            <w:r>
              <w:rPr>
                <w:rFonts w:ascii="Calibri" w:cs="Calibri" w:eastAsia="Calibri" w:hAnsi="Calibri"/>
                <w:sz w:val="14"/>
                <w:szCs w:val="14"/>
                <w:b w:val="1"/>
                <w:bCs w:val="1"/>
                <w:color w:val="auto"/>
              </w:rPr>
              <w:t>Balance at</w:t>
            </w:r>
          </w:p>
        </w:tc>
      </w:tr>
      <w:tr>
        <w:trPr>
          <w:trHeight w:val="176"/>
        </w:trPr>
        <w:tc>
          <w:tcPr>
            <w:tcW w:w="4120" w:type="dxa"/>
            <w:vAlign w:val="bottom"/>
          </w:tcPr>
          <w:p>
            <w:pPr>
              <w:spacing w:after="0"/>
              <w:rPr>
                <w:sz w:val="15"/>
                <w:szCs w:val="15"/>
                <w:color w:val="auto"/>
              </w:rPr>
            </w:pPr>
          </w:p>
        </w:tc>
        <w:tc>
          <w:tcPr>
            <w:tcW w:w="960" w:type="dxa"/>
            <w:vAlign w:val="bottom"/>
          </w:tcPr>
          <w:p>
            <w:pPr>
              <w:jc w:val="center"/>
              <w:ind w:left="204"/>
              <w:spacing w:after="0"/>
              <w:rPr>
                <w:sz w:val="20"/>
                <w:szCs w:val="20"/>
                <w:color w:val="auto"/>
              </w:rPr>
            </w:pPr>
            <w:r>
              <w:rPr>
                <w:rFonts w:ascii="Calibri" w:cs="Calibri" w:eastAsia="Calibri" w:hAnsi="Calibri"/>
                <w:sz w:val="14"/>
                <w:szCs w:val="14"/>
                <w:b w:val="1"/>
                <w:bCs w:val="1"/>
                <w:color w:val="auto"/>
              </w:rPr>
              <w:t>January 1,</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center"/>
              <w:ind w:right="400"/>
              <w:spacing w:after="0"/>
              <w:rPr>
                <w:sz w:val="20"/>
                <w:szCs w:val="20"/>
                <w:color w:val="auto"/>
              </w:rPr>
            </w:pPr>
            <w:r>
              <w:rPr>
                <w:rFonts w:ascii="Calibri" w:cs="Calibri" w:eastAsia="Calibri" w:hAnsi="Calibri"/>
                <w:sz w:val="14"/>
                <w:szCs w:val="14"/>
                <w:b w:val="1"/>
                <w:bCs w:val="1"/>
                <w:color w:val="auto"/>
              </w:rPr>
              <w:t>Assets</w:t>
            </w:r>
          </w:p>
        </w:tc>
        <w:tc>
          <w:tcPr>
            <w:tcW w:w="100" w:type="dxa"/>
            <w:vAlign w:val="bottom"/>
          </w:tcPr>
          <w:p>
            <w:pPr>
              <w:spacing w:after="0"/>
              <w:rPr>
                <w:sz w:val="15"/>
                <w:szCs w:val="15"/>
                <w:color w:val="auto"/>
              </w:rPr>
            </w:pPr>
          </w:p>
        </w:tc>
        <w:tc>
          <w:tcPr>
            <w:tcW w:w="1040" w:type="dxa"/>
            <w:vAlign w:val="bottom"/>
          </w:tcPr>
          <w:p>
            <w:pPr>
              <w:jc w:val="center"/>
              <w:ind w:right="43"/>
              <w:spacing w:after="0"/>
              <w:rPr>
                <w:sz w:val="20"/>
                <w:szCs w:val="20"/>
                <w:color w:val="auto"/>
              </w:rPr>
            </w:pPr>
            <w:r>
              <w:rPr>
                <w:rFonts w:ascii="Calibri" w:cs="Calibri" w:eastAsia="Calibri" w:hAnsi="Calibri"/>
                <w:sz w:val="14"/>
                <w:szCs w:val="14"/>
                <w:b w:val="1"/>
                <w:bCs w:val="1"/>
                <w:color w:val="auto"/>
              </w:rPr>
              <w:t>Sold During the</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center"/>
              <w:ind w:right="17"/>
              <w:spacing w:after="0"/>
              <w:rPr>
                <w:sz w:val="20"/>
                <w:szCs w:val="20"/>
                <w:color w:val="auto"/>
              </w:rPr>
            </w:pPr>
            <w:r>
              <w:rPr>
                <w:rFonts w:ascii="Calibri" w:cs="Calibri" w:eastAsia="Calibri" w:hAnsi="Calibri"/>
                <w:sz w:val="14"/>
                <w:szCs w:val="14"/>
                <w:b w:val="1"/>
                <w:bCs w:val="1"/>
                <w:color w:val="auto"/>
              </w:rPr>
              <w:t>Sales and</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3"/>
          </w:tcPr>
          <w:p>
            <w:pPr>
              <w:jc w:val="center"/>
              <w:ind w:right="360"/>
              <w:spacing w:after="0"/>
              <w:rPr>
                <w:sz w:val="20"/>
                <w:szCs w:val="20"/>
                <w:color w:val="auto"/>
              </w:rPr>
            </w:pPr>
            <w:r>
              <w:rPr>
                <w:rFonts w:ascii="Calibri" w:cs="Calibri" w:eastAsia="Calibri" w:hAnsi="Calibri"/>
                <w:sz w:val="14"/>
                <w:szCs w:val="14"/>
                <w:b w:val="1"/>
                <w:bCs w:val="1"/>
                <w:color w:val="auto"/>
              </w:rPr>
              <w:t>December 31,</w:t>
            </w:r>
          </w:p>
        </w:tc>
      </w:tr>
      <w:tr>
        <w:trPr>
          <w:trHeight w:val="192"/>
        </w:trPr>
        <w:tc>
          <w:tcPr>
            <w:tcW w:w="4120" w:type="dxa"/>
            <w:vAlign w:val="bottom"/>
          </w:tcPr>
          <w:p>
            <w:pPr>
              <w:ind w:left="20"/>
              <w:spacing w:after="0"/>
              <w:rPr>
                <w:sz w:val="20"/>
                <w:szCs w:val="20"/>
                <w:color w:val="auto"/>
              </w:rPr>
            </w:pPr>
            <w:r>
              <w:rPr>
                <w:rFonts w:ascii="Calibri" w:cs="Calibri" w:eastAsia="Calibri" w:hAnsi="Calibri"/>
                <w:sz w:val="14"/>
                <w:szCs w:val="14"/>
                <w:color w:val="auto"/>
              </w:rPr>
              <w:t>(in millions)</w:t>
            </w:r>
          </w:p>
        </w:tc>
        <w:tc>
          <w:tcPr>
            <w:tcW w:w="960" w:type="dxa"/>
            <w:vAlign w:val="bottom"/>
            <w:tcBorders>
              <w:bottom w:val="single" w:sz="8" w:color="auto"/>
            </w:tcBorders>
          </w:tcPr>
          <w:p>
            <w:pPr>
              <w:jc w:val="center"/>
              <w:ind w:left="224"/>
              <w:spacing w:after="0"/>
              <w:rPr>
                <w:sz w:val="20"/>
                <w:szCs w:val="20"/>
                <w:color w:val="auto"/>
              </w:rPr>
            </w:pPr>
            <w:r>
              <w:rPr>
                <w:rFonts w:ascii="Calibri" w:cs="Calibri" w:eastAsia="Calibri" w:hAnsi="Calibri"/>
                <w:sz w:val="14"/>
                <w:szCs w:val="14"/>
                <w:b w:val="1"/>
                <w:bCs w:val="1"/>
                <w:color w:val="auto"/>
              </w:rPr>
              <w:t>2024</w:t>
            </w:r>
          </w:p>
        </w:tc>
        <w:tc>
          <w:tcPr>
            <w:tcW w:w="3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02"/>
              <w:spacing w:after="0"/>
              <w:rPr>
                <w:sz w:val="20"/>
                <w:szCs w:val="20"/>
                <w:color w:val="auto"/>
              </w:rPr>
            </w:pPr>
            <w:r>
              <w:rPr>
                <w:rFonts w:ascii="Calibri" w:cs="Calibri" w:eastAsia="Calibri" w:hAnsi="Calibri"/>
                <w:sz w:val="14"/>
                <w:szCs w:val="14"/>
                <w:b w:val="1"/>
                <w:bCs w:val="1"/>
                <w:color w:val="auto"/>
              </w:rPr>
              <w:t>Stll Held</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23"/>
              <w:spacing w:after="0"/>
              <w:rPr>
                <w:sz w:val="20"/>
                <w:szCs w:val="20"/>
                <w:color w:val="auto"/>
              </w:rPr>
            </w:pPr>
            <w:r>
              <w:rPr>
                <w:rFonts w:ascii="Calibri" w:cs="Calibri" w:eastAsia="Calibri" w:hAnsi="Calibri"/>
                <w:sz w:val="14"/>
                <w:szCs w:val="14"/>
                <w:b w:val="1"/>
                <w:bCs w:val="1"/>
                <w:color w:val="auto"/>
                <w:w w:val="99"/>
              </w:rPr>
              <w:t>Period</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37"/>
              <w:spacing w:after="0"/>
              <w:rPr>
                <w:sz w:val="20"/>
                <w:szCs w:val="20"/>
                <w:color w:val="auto"/>
              </w:rPr>
            </w:pPr>
            <w:r>
              <w:rPr>
                <w:rFonts w:ascii="Calibri" w:cs="Calibri" w:eastAsia="Calibri" w:hAnsi="Calibri"/>
                <w:sz w:val="14"/>
                <w:szCs w:val="14"/>
                <w:b w:val="1"/>
                <w:bCs w:val="1"/>
                <w:color w:val="auto"/>
              </w:rPr>
              <w:t>Setlements</w:t>
            </w: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57"/>
              <w:spacing w:after="0"/>
              <w:rPr>
                <w:sz w:val="20"/>
                <w:szCs w:val="20"/>
                <w:color w:val="auto"/>
              </w:rPr>
            </w:pPr>
            <w:r>
              <w:rPr>
                <w:rFonts w:ascii="Calibri" w:cs="Calibri" w:eastAsia="Calibri" w:hAnsi="Calibri"/>
                <w:sz w:val="14"/>
                <w:szCs w:val="14"/>
                <w:b w:val="1"/>
                <w:bCs w:val="1"/>
                <w:color w:val="auto"/>
                <w:w w:val="98"/>
              </w:rPr>
              <w:t>2024</w:t>
            </w:r>
          </w:p>
        </w:tc>
        <w:tc>
          <w:tcPr>
            <w:tcW w:w="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212"/>
        </w:trPr>
        <w:tc>
          <w:tcPr>
            <w:tcW w:w="4120" w:type="dxa"/>
            <w:vAlign w:val="bottom"/>
            <w:shd w:val="clear" w:color="auto" w:fill="CFF0FC"/>
          </w:tcPr>
          <w:p>
            <w:pPr>
              <w:ind w:left="20"/>
              <w:spacing w:after="0" w:line="212" w:lineRule="exact"/>
              <w:rPr>
                <w:sz w:val="20"/>
                <w:szCs w:val="20"/>
                <w:color w:val="auto"/>
              </w:rPr>
            </w:pPr>
            <w:r>
              <w:rPr>
                <w:rFonts w:ascii="Calibri" w:cs="Calibri" w:eastAsia="Calibri" w:hAnsi="Calibri"/>
                <w:sz w:val="18"/>
                <w:szCs w:val="18"/>
                <w:color w:val="auto"/>
              </w:rPr>
              <w:t>Insurance Contracts</w:t>
            </w:r>
          </w:p>
        </w:tc>
        <w:tc>
          <w:tcPr>
            <w:tcW w:w="96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line="212" w:lineRule="exact"/>
              <w:rPr>
                <w:sz w:val="20"/>
                <w:szCs w:val="20"/>
                <w:color w:val="auto"/>
              </w:rPr>
            </w:pPr>
            <w:r>
              <w:rPr>
                <w:rFonts w:ascii="Calibri" w:cs="Calibri" w:eastAsia="Calibri" w:hAnsi="Calibri"/>
                <w:sz w:val="18"/>
                <w:szCs w:val="18"/>
                <w:color w:val="auto"/>
              </w:rPr>
              <w:t>287</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line="212" w:lineRule="exact"/>
              <w:rPr>
                <w:sz w:val="20"/>
                <w:szCs w:val="20"/>
                <w:color w:val="auto"/>
              </w:rPr>
            </w:pPr>
            <w:r>
              <w:rPr>
                <w:rFonts w:ascii="Calibri" w:cs="Calibri" w:eastAsia="Calibri" w:hAnsi="Calibri"/>
                <w:sz w:val="18"/>
                <w:szCs w:val="18"/>
                <w:color w:val="auto"/>
              </w:rPr>
              <w:t>(15 )</w:t>
            </w: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ind w:left="860"/>
              <w:spacing w:after="0" w:line="212" w:lineRule="exact"/>
              <w:rPr>
                <w:sz w:val="20"/>
                <w:szCs w:val="20"/>
                <w:color w:val="auto"/>
              </w:rPr>
            </w:pPr>
            <w:r>
              <w:rPr>
                <w:rFonts w:ascii="Calibri" w:cs="Calibri" w:eastAsia="Calibri" w:hAnsi="Calibri"/>
                <w:sz w:val="18"/>
                <w:szCs w:val="18"/>
                <w:color w:val="auto"/>
                <w:w w:val="97"/>
              </w:rPr>
              <w:t>—</w:t>
            </w:r>
          </w:p>
        </w:tc>
        <w:tc>
          <w:tcPr>
            <w:tcW w:w="2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tcBorders>
              <w:right w:val="single" w:sz="8" w:color="CFF0FC"/>
            </w:tcBorders>
            <w:shd w:val="clear" w:color="auto" w:fill="CFF0FC"/>
          </w:tcPr>
          <w:p>
            <w:pPr>
              <w:jc w:val="right"/>
              <w:spacing w:after="0" w:line="212" w:lineRule="exact"/>
              <w:rPr>
                <w:sz w:val="20"/>
                <w:szCs w:val="20"/>
                <w:color w:val="auto"/>
              </w:rPr>
            </w:pPr>
            <w:r>
              <w:rPr>
                <w:rFonts w:ascii="Calibri" w:cs="Calibri" w:eastAsia="Calibri" w:hAnsi="Calibri"/>
                <w:sz w:val="18"/>
                <w:szCs w:val="18"/>
                <w:color w:val="auto"/>
              </w:rPr>
              <w:t>—</w:t>
            </w:r>
          </w:p>
        </w:tc>
        <w:tc>
          <w:tcPr>
            <w:tcW w:w="26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line="212" w:lineRule="exact"/>
              <w:rPr>
                <w:sz w:val="20"/>
                <w:szCs w:val="20"/>
                <w:color w:val="auto"/>
              </w:rPr>
            </w:pPr>
            <w:r>
              <w:rPr>
                <w:rFonts w:ascii="Calibri" w:cs="Calibri" w:eastAsia="Calibri" w:hAnsi="Calibri"/>
                <w:sz w:val="18"/>
                <w:szCs w:val="18"/>
                <w:color w:val="auto"/>
              </w:rPr>
              <w:t>272</w:t>
            </w:r>
          </w:p>
        </w:tc>
        <w:tc>
          <w:tcPr>
            <w:tcW w:w="120" w:type="dxa"/>
            <w:vAlign w:val="bottom"/>
            <w:shd w:val="clear" w:color="auto" w:fill="CFF0FC"/>
          </w:tcPr>
          <w:p>
            <w:pPr>
              <w:spacing w:after="0"/>
              <w:rPr>
                <w:sz w:val="18"/>
                <w:szCs w:val="18"/>
                <w:color w:val="auto"/>
              </w:rPr>
            </w:pPr>
          </w:p>
        </w:tc>
      </w:tr>
      <w:tr>
        <w:trPr>
          <w:trHeight w:val="20"/>
        </w:trPr>
        <w:tc>
          <w:tcPr>
            <w:tcW w:w="41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4120" w:type="dxa"/>
            <w:vAlign w:val="bottom"/>
          </w:tcPr>
          <w:p>
            <w:pPr>
              <w:ind w:left="20"/>
              <w:spacing w:after="0" w:line="209" w:lineRule="exact"/>
              <w:rPr>
                <w:sz w:val="20"/>
                <w:szCs w:val="20"/>
                <w:color w:val="auto"/>
              </w:rPr>
            </w:pPr>
            <w:r>
              <w:rPr>
                <w:rFonts w:ascii="Calibri" w:cs="Calibri" w:eastAsia="Calibri" w:hAnsi="Calibri"/>
                <w:sz w:val="18"/>
                <w:szCs w:val="18"/>
                <w:color w:val="auto"/>
              </w:rPr>
              <w:t>Total</w:t>
            </w:r>
          </w:p>
        </w:tc>
        <w:tc>
          <w:tcPr>
            <w:tcW w:w="960" w:type="dxa"/>
            <w:vAlign w:val="bottom"/>
          </w:tcPr>
          <w:p>
            <w:pPr>
              <w:jc w:val="right"/>
              <w:ind w:right="784"/>
              <w:spacing w:after="0" w:line="209" w:lineRule="exact"/>
              <w:rPr>
                <w:sz w:val="20"/>
                <w:szCs w:val="20"/>
                <w:color w:val="auto"/>
              </w:rPr>
            </w:pPr>
            <w:r>
              <w:rPr>
                <w:rFonts w:ascii="Calibri" w:cs="Calibri" w:eastAsia="Calibri" w:hAnsi="Calibri"/>
                <w:sz w:val="18"/>
                <w:szCs w:val="18"/>
                <w:color w:val="auto"/>
                <w:w w:val="87"/>
              </w:rPr>
              <w:t>$</w:t>
            </w:r>
          </w:p>
        </w:tc>
        <w:tc>
          <w:tcPr>
            <w:tcW w:w="300" w:type="dxa"/>
            <w:vAlign w:val="bottom"/>
          </w:tcPr>
          <w:p>
            <w:pPr>
              <w:jc w:val="right"/>
              <w:spacing w:after="0" w:line="209" w:lineRule="exact"/>
              <w:rPr>
                <w:sz w:val="20"/>
                <w:szCs w:val="20"/>
                <w:color w:val="auto"/>
              </w:rPr>
            </w:pPr>
            <w:r>
              <w:rPr>
                <w:rFonts w:ascii="Calibri" w:cs="Calibri" w:eastAsia="Calibri" w:hAnsi="Calibri"/>
                <w:sz w:val="18"/>
                <w:szCs w:val="18"/>
                <w:color w:val="auto"/>
              </w:rPr>
              <w:t>287</w:t>
            </w:r>
          </w:p>
        </w:tc>
        <w:tc>
          <w:tcPr>
            <w:tcW w:w="240" w:type="dxa"/>
            <w:vAlign w:val="bottom"/>
          </w:tcPr>
          <w:p>
            <w:pPr>
              <w:spacing w:after="0"/>
              <w:rPr>
                <w:sz w:val="18"/>
                <w:szCs w:val="18"/>
                <w:color w:val="auto"/>
              </w:rPr>
            </w:pPr>
          </w:p>
        </w:tc>
        <w:tc>
          <w:tcPr>
            <w:tcW w:w="160" w:type="dxa"/>
            <w:vAlign w:val="bottom"/>
          </w:tcPr>
          <w:p>
            <w:pPr>
              <w:jc w:val="right"/>
              <w:spacing w:after="0" w:line="209" w:lineRule="exact"/>
              <w:rPr>
                <w:sz w:val="20"/>
                <w:szCs w:val="20"/>
                <w:color w:val="auto"/>
              </w:rPr>
            </w:pPr>
            <w:r>
              <w:rPr>
                <w:rFonts w:ascii="Calibri" w:cs="Calibri" w:eastAsia="Calibri" w:hAnsi="Calibri"/>
                <w:sz w:val="18"/>
                <w:szCs w:val="18"/>
                <w:color w:val="auto"/>
                <w:w w:val="87"/>
              </w:rPr>
              <w:t>$</w:t>
            </w:r>
          </w:p>
        </w:tc>
        <w:tc>
          <w:tcPr>
            <w:tcW w:w="1180" w:type="dxa"/>
            <w:vAlign w:val="bottom"/>
            <w:gridSpan w:val="2"/>
          </w:tcPr>
          <w:p>
            <w:pPr>
              <w:jc w:val="right"/>
              <w:ind w:right="160"/>
              <w:spacing w:after="0" w:line="209" w:lineRule="exact"/>
              <w:rPr>
                <w:sz w:val="20"/>
                <w:szCs w:val="20"/>
                <w:color w:val="auto"/>
              </w:rPr>
            </w:pPr>
            <w:r>
              <w:rPr>
                <w:rFonts w:ascii="Calibri" w:cs="Calibri" w:eastAsia="Calibri" w:hAnsi="Calibri"/>
                <w:sz w:val="18"/>
                <w:szCs w:val="18"/>
                <w:color w:val="auto"/>
              </w:rPr>
              <w:t>(15 )</w:t>
            </w:r>
          </w:p>
        </w:tc>
        <w:tc>
          <w:tcPr>
            <w:tcW w:w="100" w:type="dxa"/>
            <w:vAlign w:val="bottom"/>
          </w:tcPr>
          <w:p>
            <w:pPr>
              <w:jc w:val="right"/>
              <w:spacing w:after="0" w:line="209" w:lineRule="exact"/>
              <w:rPr>
                <w:sz w:val="20"/>
                <w:szCs w:val="20"/>
                <w:color w:val="auto"/>
              </w:rPr>
            </w:pPr>
            <w:r>
              <w:rPr>
                <w:rFonts w:ascii="Calibri" w:cs="Calibri" w:eastAsia="Calibri" w:hAnsi="Calibri"/>
                <w:sz w:val="18"/>
                <w:szCs w:val="18"/>
                <w:color w:val="auto"/>
                <w:w w:val="87"/>
              </w:rPr>
              <w:t>$</w:t>
            </w:r>
          </w:p>
        </w:tc>
        <w:tc>
          <w:tcPr>
            <w:tcW w:w="1040" w:type="dxa"/>
            <w:vAlign w:val="bottom"/>
          </w:tcPr>
          <w:p>
            <w:pPr>
              <w:ind w:left="860"/>
              <w:spacing w:after="0" w:line="209" w:lineRule="exact"/>
              <w:rPr>
                <w:sz w:val="20"/>
                <w:szCs w:val="20"/>
                <w:color w:val="auto"/>
              </w:rPr>
            </w:pPr>
            <w:r>
              <w:rPr>
                <w:rFonts w:ascii="Calibri" w:cs="Calibri" w:eastAsia="Calibri" w:hAnsi="Calibri"/>
                <w:sz w:val="18"/>
                <w:szCs w:val="18"/>
                <w:color w:val="auto"/>
                <w:w w:val="97"/>
              </w:rPr>
              <w:t>—</w:t>
            </w:r>
          </w:p>
        </w:tc>
        <w:tc>
          <w:tcPr>
            <w:tcW w:w="340" w:type="dxa"/>
            <w:vAlign w:val="bottom"/>
            <w:gridSpan w:val="2"/>
          </w:tcPr>
          <w:p>
            <w:pPr>
              <w:jc w:val="right"/>
              <w:ind w:right="20"/>
              <w:spacing w:after="0" w:line="209" w:lineRule="exact"/>
              <w:rPr>
                <w:sz w:val="20"/>
                <w:szCs w:val="20"/>
                <w:color w:val="auto"/>
              </w:rPr>
            </w:pPr>
            <w:r>
              <w:rPr>
                <w:rFonts w:ascii="Calibri" w:cs="Calibri" w:eastAsia="Calibri" w:hAnsi="Calibri"/>
                <w:sz w:val="18"/>
                <w:szCs w:val="18"/>
                <w:color w:val="auto"/>
              </w:rPr>
              <w:t>$</w:t>
            </w:r>
          </w:p>
        </w:tc>
        <w:tc>
          <w:tcPr>
            <w:tcW w:w="1020" w:type="dxa"/>
            <w:vAlign w:val="bottom"/>
          </w:tcPr>
          <w:p>
            <w:pPr>
              <w:jc w:val="right"/>
              <w:spacing w:after="0" w:line="209" w:lineRule="exact"/>
              <w:rPr>
                <w:sz w:val="20"/>
                <w:szCs w:val="20"/>
                <w:color w:val="auto"/>
              </w:rPr>
            </w:pPr>
            <w:r>
              <w:rPr>
                <w:rFonts w:ascii="Calibri" w:cs="Calibri" w:eastAsia="Calibri" w:hAnsi="Calibri"/>
                <w:sz w:val="18"/>
                <w:szCs w:val="18"/>
                <w:color w:val="auto"/>
              </w:rPr>
              <w:t>—</w:t>
            </w:r>
          </w:p>
        </w:tc>
        <w:tc>
          <w:tcPr>
            <w:tcW w:w="460" w:type="dxa"/>
            <w:vAlign w:val="bottom"/>
            <w:gridSpan w:val="2"/>
          </w:tcPr>
          <w:p>
            <w:pPr>
              <w:jc w:val="right"/>
              <w:ind w:right="120"/>
              <w:spacing w:after="0" w:line="209" w:lineRule="exact"/>
              <w:rPr>
                <w:sz w:val="20"/>
                <w:szCs w:val="20"/>
                <w:color w:val="auto"/>
              </w:rPr>
            </w:pPr>
            <w:r>
              <w:rPr>
                <w:rFonts w:ascii="Calibri" w:cs="Calibri" w:eastAsia="Calibri" w:hAnsi="Calibri"/>
                <w:sz w:val="18"/>
                <w:szCs w:val="18"/>
                <w:color w:val="auto"/>
              </w:rPr>
              <w:t>$</w:t>
            </w:r>
          </w:p>
        </w:tc>
        <w:tc>
          <w:tcPr>
            <w:tcW w:w="1200" w:type="dxa"/>
            <w:vAlign w:val="bottom"/>
            <w:gridSpan w:val="2"/>
          </w:tcPr>
          <w:p>
            <w:pPr>
              <w:jc w:val="right"/>
              <w:ind w:right="20"/>
              <w:spacing w:after="0" w:line="209" w:lineRule="exact"/>
              <w:rPr>
                <w:sz w:val="20"/>
                <w:szCs w:val="20"/>
                <w:color w:val="auto"/>
              </w:rPr>
            </w:pPr>
            <w:r>
              <w:rPr>
                <w:rFonts w:ascii="Calibri" w:cs="Calibri" w:eastAsia="Calibri" w:hAnsi="Calibri"/>
                <w:sz w:val="18"/>
                <w:szCs w:val="18"/>
                <w:color w:val="auto"/>
              </w:rPr>
              <w:t>272</w:t>
            </w:r>
          </w:p>
        </w:tc>
        <w:tc>
          <w:tcPr>
            <w:tcW w:w="120" w:type="dxa"/>
            <w:vAlign w:val="bottom"/>
          </w:tcPr>
          <w:p>
            <w:pPr>
              <w:spacing w:after="0"/>
              <w:rPr>
                <w:sz w:val="18"/>
                <w:szCs w:val="18"/>
                <w:color w:val="auto"/>
              </w:rPr>
            </w:pPr>
          </w:p>
        </w:tc>
      </w:tr>
      <w:tr>
        <w:trPr>
          <w:trHeight w:val="20"/>
        </w:trPr>
        <w:tc>
          <w:tcPr>
            <w:tcW w:w="4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66"/>
        </w:trPr>
        <w:tc>
          <w:tcPr>
            <w:tcW w:w="41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ind w:left="260"/>
              <w:spacing w:after="0"/>
              <w:rPr>
                <w:sz w:val="20"/>
                <w:szCs w:val="20"/>
                <w:color w:val="auto"/>
              </w:rPr>
            </w:pPr>
            <w:r>
              <w:rPr>
                <w:rFonts w:ascii="Calibri" w:cs="Calibri" w:eastAsia="Calibri" w:hAnsi="Calibri"/>
                <w:sz w:val="14"/>
                <w:szCs w:val="14"/>
                <w:b w:val="1"/>
                <w:bCs w:val="1"/>
                <w:color w:val="auto"/>
              </w:rPr>
              <w:t>Non - U.S.</w:t>
            </w: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73"/>
        </w:trPr>
        <w:tc>
          <w:tcPr>
            <w:tcW w:w="4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4"/>
          </w:tcPr>
          <w:p>
            <w:pPr>
              <w:ind w:left="40"/>
              <w:spacing w:after="0"/>
              <w:rPr>
                <w:sz w:val="20"/>
                <w:szCs w:val="20"/>
                <w:color w:val="auto"/>
              </w:rPr>
            </w:pPr>
            <w:r>
              <w:rPr>
                <w:rFonts w:ascii="Calibri" w:cs="Calibri" w:eastAsia="Calibri" w:hAnsi="Calibri"/>
                <w:sz w:val="14"/>
                <w:szCs w:val="14"/>
                <w:b w:val="1"/>
                <w:bCs w:val="1"/>
                <w:color w:val="auto"/>
              </w:rPr>
              <w:t>Net Realized and Unrealized Gains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57"/>
        </w:trPr>
        <w:tc>
          <w:tcPr>
            <w:tcW w:w="4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center"/>
              <w:ind w:right="23"/>
              <w:spacing w:after="0" w:line="157" w:lineRule="exact"/>
              <w:rPr>
                <w:sz w:val="20"/>
                <w:szCs w:val="20"/>
                <w:color w:val="auto"/>
              </w:rPr>
            </w:pPr>
            <w:r>
              <w:rPr>
                <w:rFonts w:ascii="Calibri" w:cs="Calibri" w:eastAsia="Calibri" w:hAnsi="Calibri"/>
                <w:sz w:val="14"/>
                <w:szCs w:val="14"/>
                <w:b w:val="1"/>
                <w:bCs w:val="1"/>
                <w:color w:val="auto"/>
              </w:rPr>
              <w:t>Relatng to</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0"/>
        </w:trPr>
        <w:tc>
          <w:tcPr>
            <w:tcW w:w="4120" w:type="dxa"/>
            <w:vAlign w:val="bottom"/>
          </w:tcPr>
          <w:p>
            <w:pPr>
              <w:spacing w:after="0"/>
              <w:rPr>
                <w:sz w:val="14"/>
                <w:szCs w:val="14"/>
                <w:color w:val="auto"/>
              </w:rPr>
            </w:pPr>
          </w:p>
        </w:tc>
        <w:tc>
          <w:tcPr>
            <w:tcW w:w="960" w:type="dxa"/>
            <w:vAlign w:val="bottom"/>
          </w:tcPr>
          <w:p>
            <w:pPr>
              <w:jc w:val="center"/>
              <w:ind w:left="224"/>
              <w:spacing w:after="0"/>
              <w:rPr>
                <w:sz w:val="20"/>
                <w:szCs w:val="20"/>
                <w:color w:val="auto"/>
              </w:rPr>
            </w:pPr>
            <w:r>
              <w:rPr>
                <w:rFonts w:ascii="Calibri" w:cs="Calibri" w:eastAsia="Calibri" w:hAnsi="Calibri"/>
                <w:sz w:val="14"/>
                <w:szCs w:val="14"/>
                <w:b w:val="1"/>
                <w:bCs w:val="1"/>
                <w:color w:val="auto"/>
              </w:rPr>
              <w:t>Balance at</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400"/>
              <w:spacing w:after="0"/>
              <w:rPr>
                <w:sz w:val="20"/>
                <w:szCs w:val="20"/>
                <w:color w:val="auto"/>
              </w:rPr>
            </w:pPr>
            <w:r>
              <w:rPr>
                <w:rFonts w:ascii="Calibri" w:cs="Calibri" w:eastAsia="Calibri" w:hAnsi="Calibri"/>
                <w:sz w:val="14"/>
                <w:szCs w:val="14"/>
                <w:b w:val="1"/>
                <w:bCs w:val="1"/>
                <w:color w:val="auto"/>
              </w:rPr>
              <w:t>Relatng to</w:t>
            </w:r>
          </w:p>
        </w:tc>
        <w:tc>
          <w:tcPr>
            <w:tcW w:w="100" w:type="dxa"/>
            <w:vAlign w:val="bottom"/>
          </w:tcPr>
          <w:p>
            <w:pPr>
              <w:spacing w:after="0"/>
              <w:rPr>
                <w:sz w:val="14"/>
                <w:szCs w:val="14"/>
                <w:color w:val="auto"/>
              </w:rPr>
            </w:pPr>
          </w:p>
        </w:tc>
        <w:tc>
          <w:tcPr>
            <w:tcW w:w="1040" w:type="dxa"/>
            <w:vAlign w:val="bottom"/>
          </w:tcPr>
          <w:p>
            <w:pPr>
              <w:jc w:val="center"/>
              <w:ind w:right="23"/>
              <w:spacing w:after="0"/>
              <w:rPr>
                <w:sz w:val="20"/>
                <w:szCs w:val="20"/>
                <w:color w:val="auto"/>
              </w:rPr>
            </w:pPr>
            <w:r>
              <w:rPr>
                <w:rFonts w:ascii="Calibri" w:cs="Calibri" w:eastAsia="Calibri" w:hAnsi="Calibri"/>
                <w:sz w:val="14"/>
                <w:szCs w:val="14"/>
                <w:b w:val="1"/>
                <w:bCs w:val="1"/>
                <w:color w:val="auto"/>
              </w:rPr>
              <w:t>Assets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right="37"/>
              <w:spacing w:after="0"/>
              <w:rPr>
                <w:sz w:val="20"/>
                <w:szCs w:val="20"/>
                <w:color w:val="auto"/>
              </w:rPr>
            </w:pPr>
            <w:r>
              <w:rPr>
                <w:rFonts w:ascii="Calibri" w:cs="Calibri" w:eastAsia="Calibri" w:hAnsi="Calibri"/>
                <w:sz w:val="14"/>
                <w:szCs w:val="14"/>
                <w:b w:val="1"/>
                <w:bCs w:val="1"/>
                <w:color w:val="auto"/>
              </w:rPr>
              <w:t>Net Purchases,</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3"/>
          </w:tcPr>
          <w:p>
            <w:pPr>
              <w:jc w:val="center"/>
              <w:ind w:right="340"/>
              <w:spacing w:after="0"/>
              <w:rPr>
                <w:sz w:val="20"/>
                <w:szCs w:val="20"/>
                <w:color w:val="auto"/>
              </w:rPr>
            </w:pPr>
            <w:r>
              <w:rPr>
                <w:rFonts w:ascii="Calibri" w:cs="Calibri" w:eastAsia="Calibri" w:hAnsi="Calibri"/>
                <w:sz w:val="14"/>
                <w:szCs w:val="14"/>
                <w:b w:val="1"/>
                <w:bCs w:val="1"/>
                <w:color w:val="auto"/>
              </w:rPr>
              <w:t>Balance at</w:t>
            </w:r>
          </w:p>
        </w:tc>
      </w:tr>
      <w:tr>
        <w:trPr>
          <w:trHeight w:val="175"/>
        </w:trPr>
        <w:tc>
          <w:tcPr>
            <w:tcW w:w="4120" w:type="dxa"/>
            <w:vAlign w:val="bottom"/>
          </w:tcPr>
          <w:p>
            <w:pPr>
              <w:spacing w:after="0"/>
              <w:rPr>
                <w:sz w:val="15"/>
                <w:szCs w:val="15"/>
                <w:color w:val="auto"/>
              </w:rPr>
            </w:pPr>
          </w:p>
        </w:tc>
        <w:tc>
          <w:tcPr>
            <w:tcW w:w="960" w:type="dxa"/>
            <w:vAlign w:val="bottom"/>
          </w:tcPr>
          <w:p>
            <w:pPr>
              <w:jc w:val="center"/>
              <w:ind w:left="204"/>
              <w:spacing w:after="0"/>
              <w:rPr>
                <w:sz w:val="20"/>
                <w:szCs w:val="20"/>
                <w:color w:val="auto"/>
              </w:rPr>
            </w:pPr>
            <w:r>
              <w:rPr>
                <w:rFonts w:ascii="Calibri" w:cs="Calibri" w:eastAsia="Calibri" w:hAnsi="Calibri"/>
                <w:sz w:val="14"/>
                <w:szCs w:val="14"/>
                <w:b w:val="1"/>
                <w:bCs w:val="1"/>
                <w:color w:val="auto"/>
              </w:rPr>
              <w:t>January 1,</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center"/>
              <w:ind w:right="400"/>
              <w:spacing w:after="0"/>
              <w:rPr>
                <w:sz w:val="20"/>
                <w:szCs w:val="20"/>
                <w:color w:val="auto"/>
              </w:rPr>
            </w:pPr>
            <w:r>
              <w:rPr>
                <w:rFonts w:ascii="Calibri" w:cs="Calibri" w:eastAsia="Calibri" w:hAnsi="Calibri"/>
                <w:sz w:val="14"/>
                <w:szCs w:val="14"/>
                <w:b w:val="1"/>
                <w:bCs w:val="1"/>
                <w:color w:val="auto"/>
              </w:rPr>
              <w:t>Assets</w:t>
            </w:r>
          </w:p>
        </w:tc>
        <w:tc>
          <w:tcPr>
            <w:tcW w:w="100" w:type="dxa"/>
            <w:vAlign w:val="bottom"/>
          </w:tcPr>
          <w:p>
            <w:pPr>
              <w:spacing w:after="0"/>
              <w:rPr>
                <w:sz w:val="15"/>
                <w:szCs w:val="15"/>
                <w:color w:val="auto"/>
              </w:rPr>
            </w:pPr>
          </w:p>
        </w:tc>
        <w:tc>
          <w:tcPr>
            <w:tcW w:w="1040" w:type="dxa"/>
            <w:vAlign w:val="bottom"/>
          </w:tcPr>
          <w:p>
            <w:pPr>
              <w:jc w:val="center"/>
              <w:ind w:right="43"/>
              <w:spacing w:after="0"/>
              <w:rPr>
                <w:sz w:val="20"/>
                <w:szCs w:val="20"/>
                <w:color w:val="auto"/>
              </w:rPr>
            </w:pPr>
            <w:r>
              <w:rPr>
                <w:rFonts w:ascii="Calibri" w:cs="Calibri" w:eastAsia="Calibri" w:hAnsi="Calibri"/>
                <w:sz w:val="14"/>
                <w:szCs w:val="14"/>
                <w:b w:val="1"/>
                <w:bCs w:val="1"/>
                <w:color w:val="auto"/>
              </w:rPr>
              <w:t>Sold During the</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center"/>
              <w:ind w:right="17"/>
              <w:spacing w:after="0"/>
              <w:rPr>
                <w:sz w:val="20"/>
                <w:szCs w:val="20"/>
                <w:color w:val="auto"/>
              </w:rPr>
            </w:pPr>
            <w:r>
              <w:rPr>
                <w:rFonts w:ascii="Calibri" w:cs="Calibri" w:eastAsia="Calibri" w:hAnsi="Calibri"/>
                <w:sz w:val="14"/>
                <w:szCs w:val="14"/>
                <w:b w:val="1"/>
                <w:bCs w:val="1"/>
                <w:color w:val="auto"/>
              </w:rPr>
              <w:t>Sales and</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3"/>
          </w:tcPr>
          <w:p>
            <w:pPr>
              <w:jc w:val="center"/>
              <w:ind w:right="360"/>
              <w:spacing w:after="0"/>
              <w:rPr>
                <w:sz w:val="20"/>
                <w:szCs w:val="20"/>
                <w:color w:val="auto"/>
              </w:rPr>
            </w:pPr>
            <w:r>
              <w:rPr>
                <w:rFonts w:ascii="Calibri" w:cs="Calibri" w:eastAsia="Calibri" w:hAnsi="Calibri"/>
                <w:sz w:val="14"/>
                <w:szCs w:val="14"/>
                <w:b w:val="1"/>
                <w:bCs w:val="1"/>
                <w:color w:val="auto"/>
              </w:rPr>
              <w:t>December 31,</w:t>
            </w:r>
          </w:p>
        </w:tc>
      </w:tr>
      <w:tr>
        <w:trPr>
          <w:trHeight w:val="192"/>
        </w:trPr>
        <w:tc>
          <w:tcPr>
            <w:tcW w:w="4120" w:type="dxa"/>
            <w:vAlign w:val="bottom"/>
          </w:tcPr>
          <w:p>
            <w:pPr>
              <w:ind w:left="20"/>
              <w:spacing w:after="0"/>
              <w:rPr>
                <w:sz w:val="20"/>
                <w:szCs w:val="20"/>
                <w:color w:val="auto"/>
              </w:rPr>
            </w:pPr>
            <w:r>
              <w:rPr>
                <w:rFonts w:ascii="Calibri" w:cs="Calibri" w:eastAsia="Calibri" w:hAnsi="Calibri"/>
                <w:sz w:val="14"/>
                <w:szCs w:val="14"/>
                <w:color w:val="auto"/>
              </w:rPr>
              <w:t>(in millions)</w:t>
            </w:r>
          </w:p>
        </w:tc>
        <w:tc>
          <w:tcPr>
            <w:tcW w:w="960" w:type="dxa"/>
            <w:vAlign w:val="bottom"/>
            <w:tcBorders>
              <w:bottom w:val="single" w:sz="8" w:color="auto"/>
            </w:tcBorders>
          </w:tcPr>
          <w:p>
            <w:pPr>
              <w:jc w:val="center"/>
              <w:ind w:left="224"/>
              <w:spacing w:after="0"/>
              <w:rPr>
                <w:sz w:val="20"/>
                <w:szCs w:val="20"/>
                <w:color w:val="auto"/>
              </w:rPr>
            </w:pPr>
            <w:r>
              <w:rPr>
                <w:rFonts w:ascii="Calibri" w:cs="Calibri" w:eastAsia="Calibri" w:hAnsi="Calibri"/>
                <w:sz w:val="14"/>
                <w:szCs w:val="14"/>
                <w:b w:val="1"/>
                <w:bCs w:val="1"/>
                <w:color w:val="auto"/>
              </w:rPr>
              <w:t>2023</w:t>
            </w:r>
          </w:p>
        </w:tc>
        <w:tc>
          <w:tcPr>
            <w:tcW w:w="3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02"/>
              <w:spacing w:after="0"/>
              <w:rPr>
                <w:sz w:val="20"/>
                <w:szCs w:val="20"/>
                <w:color w:val="auto"/>
              </w:rPr>
            </w:pPr>
            <w:r>
              <w:rPr>
                <w:rFonts w:ascii="Calibri" w:cs="Calibri" w:eastAsia="Calibri" w:hAnsi="Calibri"/>
                <w:sz w:val="14"/>
                <w:szCs w:val="14"/>
                <w:b w:val="1"/>
                <w:bCs w:val="1"/>
                <w:color w:val="auto"/>
              </w:rPr>
              <w:t>Stll Held</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23"/>
              <w:spacing w:after="0"/>
              <w:rPr>
                <w:sz w:val="20"/>
                <w:szCs w:val="20"/>
                <w:color w:val="auto"/>
              </w:rPr>
            </w:pPr>
            <w:r>
              <w:rPr>
                <w:rFonts w:ascii="Calibri" w:cs="Calibri" w:eastAsia="Calibri" w:hAnsi="Calibri"/>
                <w:sz w:val="14"/>
                <w:szCs w:val="14"/>
                <w:b w:val="1"/>
                <w:bCs w:val="1"/>
                <w:color w:val="auto"/>
                <w:w w:val="99"/>
              </w:rPr>
              <w:t>Period</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37"/>
              <w:spacing w:after="0"/>
              <w:rPr>
                <w:sz w:val="20"/>
                <w:szCs w:val="20"/>
                <w:color w:val="auto"/>
              </w:rPr>
            </w:pPr>
            <w:r>
              <w:rPr>
                <w:rFonts w:ascii="Calibri" w:cs="Calibri" w:eastAsia="Calibri" w:hAnsi="Calibri"/>
                <w:sz w:val="14"/>
                <w:szCs w:val="14"/>
                <w:b w:val="1"/>
                <w:bCs w:val="1"/>
                <w:color w:val="auto"/>
              </w:rPr>
              <w:t>Setlements</w:t>
            </w: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57"/>
              <w:spacing w:after="0"/>
              <w:rPr>
                <w:sz w:val="20"/>
                <w:szCs w:val="20"/>
                <w:color w:val="auto"/>
              </w:rPr>
            </w:pPr>
            <w:r>
              <w:rPr>
                <w:rFonts w:ascii="Calibri" w:cs="Calibri" w:eastAsia="Calibri" w:hAnsi="Calibri"/>
                <w:sz w:val="14"/>
                <w:szCs w:val="14"/>
                <w:b w:val="1"/>
                <w:bCs w:val="1"/>
                <w:color w:val="auto"/>
                <w:w w:val="98"/>
              </w:rPr>
              <w:t>2023</w:t>
            </w:r>
          </w:p>
        </w:tc>
        <w:tc>
          <w:tcPr>
            <w:tcW w:w="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212"/>
        </w:trPr>
        <w:tc>
          <w:tcPr>
            <w:tcW w:w="4120" w:type="dxa"/>
            <w:vAlign w:val="bottom"/>
            <w:shd w:val="clear" w:color="auto" w:fill="CFF0FC"/>
          </w:tcPr>
          <w:p>
            <w:pPr>
              <w:ind w:left="20"/>
              <w:spacing w:after="0" w:line="212" w:lineRule="exact"/>
              <w:rPr>
                <w:sz w:val="20"/>
                <w:szCs w:val="20"/>
                <w:color w:val="auto"/>
              </w:rPr>
            </w:pPr>
            <w:r>
              <w:rPr>
                <w:rFonts w:ascii="Calibri" w:cs="Calibri" w:eastAsia="Calibri" w:hAnsi="Calibri"/>
                <w:sz w:val="18"/>
                <w:szCs w:val="18"/>
                <w:color w:val="auto"/>
              </w:rPr>
              <w:t>Insurance Contracts</w:t>
            </w:r>
          </w:p>
        </w:tc>
        <w:tc>
          <w:tcPr>
            <w:tcW w:w="96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line="212" w:lineRule="exact"/>
              <w:rPr>
                <w:sz w:val="20"/>
                <w:szCs w:val="20"/>
                <w:color w:val="auto"/>
              </w:rPr>
            </w:pPr>
            <w:r>
              <w:rPr>
                <w:rFonts w:ascii="Calibri" w:cs="Calibri" w:eastAsia="Calibri" w:hAnsi="Calibri"/>
                <w:sz w:val="18"/>
                <w:szCs w:val="18"/>
                <w:color w:val="auto"/>
                <w:w w:val="94"/>
              </w:rPr>
              <w:t>289</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line="212" w:lineRule="exact"/>
              <w:rPr>
                <w:sz w:val="20"/>
                <w:szCs w:val="20"/>
                <w:color w:val="auto"/>
              </w:rPr>
            </w:pPr>
            <w:r>
              <w:rPr>
                <w:rFonts w:ascii="Calibri" w:cs="Calibri" w:eastAsia="Calibri" w:hAnsi="Calibri"/>
                <w:sz w:val="18"/>
                <w:szCs w:val="18"/>
                <w:color w:val="auto"/>
              </w:rPr>
              <w:t>(2 )</w:t>
            </w: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ind w:left="860"/>
              <w:spacing w:after="0" w:line="212" w:lineRule="exact"/>
              <w:rPr>
                <w:sz w:val="20"/>
                <w:szCs w:val="20"/>
                <w:color w:val="auto"/>
              </w:rPr>
            </w:pPr>
            <w:r>
              <w:rPr>
                <w:rFonts w:ascii="Calibri" w:cs="Calibri" w:eastAsia="Calibri" w:hAnsi="Calibri"/>
                <w:sz w:val="18"/>
                <w:szCs w:val="18"/>
                <w:color w:val="auto"/>
                <w:w w:val="97"/>
              </w:rPr>
              <w:t>—</w:t>
            </w:r>
          </w:p>
        </w:tc>
        <w:tc>
          <w:tcPr>
            <w:tcW w:w="2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tcBorders>
              <w:right w:val="single" w:sz="8" w:color="CFF0FC"/>
            </w:tcBorders>
            <w:shd w:val="clear" w:color="auto" w:fill="CFF0FC"/>
          </w:tcPr>
          <w:p>
            <w:pPr>
              <w:jc w:val="right"/>
              <w:spacing w:after="0" w:line="212" w:lineRule="exact"/>
              <w:rPr>
                <w:sz w:val="20"/>
                <w:szCs w:val="20"/>
                <w:color w:val="auto"/>
              </w:rPr>
            </w:pPr>
            <w:r>
              <w:rPr>
                <w:rFonts w:ascii="Calibri" w:cs="Calibri" w:eastAsia="Calibri" w:hAnsi="Calibri"/>
                <w:sz w:val="18"/>
                <w:szCs w:val="18"/>
                <w:color w:val="auto"/>
              </w:rPr>
              <w:t>—</w:t>
            </w:r>
          </w:p>
        </w:tc>
        <w:tc>
          <w:tcPr>
            <w:tcW w:w="26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line="212" w:lineRule="exact"/>
              <w:rPr>
                <w:sz w:val="20"/>
                <w:szCs w:val="20"/>
                <w:color w:val="auto"/>
              </w:rPr>
            </w:pPr>
            <w:r>
              <w:rPr>
                <w:rFonts w:ascii="Calibri" w:cs="Calibri" w:eastAsia="Calibri" w:hAnsi="Calibri"/>
                <w:sz w:val="18"/>
                <w:szCs w:val="18"/>
                <w:color w:val="auto"/>
              </w:rPr>
              <w:t>287</w:t>
            </w:r>
          </w:p>
        </w:tc>
        <w:tc>
          <w:tcPr>
            <w:tcW w:w="120" w:type="dxa"/>
            <w:vAlign w:val="bottom"/>
            <w:shd w:val="clear" w:color="auto" w:fill="CFF0FC"/>
          </w:tcPr>
          <w:p>
            <w:pPr>
              <w:spacing w:after="0"/>
              <w:rPr>
                <w:sz w:val="18"/>
                <w:szCs w:val="18"/>
                <w:color w:val="auto"/>
              </w:rPr>
            </w:pPr>
          </w:p>
        </w:tc>
      </w:tr>
      <w:tr>
        <w:trPr>
          <w:trHeight w:val="20"/>
        </w:trPr>
        <w:tc>
          <w:tcPr>
            <w:tcW w:w="41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4120" w:type="dxa"/>
            <w:vAlign w:val="bottom"/>
          </w:tcPr>
          <w:p>
            <w:pPr>
              <w:ind w:left="20"/>
              <w:spacing w:after="0" w:line="209" w:lineRule="exact"/>
              <w:rPr>
                <w:sz w:val="20"/>
                <w:szCs w:val="20"/>
                <w:color w:val="auto"/>
              </w:rPr>
            </w:pPr>
            <w:r>
              <w:rPr>
                <w:rFonts w:ascii="Calibri" w:cs="Calibri" w:eastAsia="Calibri" w:hAnsi="Calibri"/>
                <w:sz w:val="18"/>
                <w:szCs w:val="18"/>
                <w:color w:val="auto"/>
              </w:rPr>
              <w:t>Total</w:t>
            </w:r>
          </w:p>
        </w:tc>
        <w:tc>
          <w:tcPr>
            <w:tcW w:w="960" w:type="dxa"/>
            <w:vAlign w:val="bottom"/>
          </w:tcPr>
          <w:p>
            <w:pPr>
              <w:jc w:val="right"/>
              <w:ind w:right="784"/>
              <w:spacing w:after="0" w:line="209" w:lineRule="exact"/>
              <w:rPr>
                <w:sz w:val="20"/>
                <w:szCs w:val="20"/>
                <w:color w:val="auto"/>
              </w:rPr>
            </w:pPr>
            <w:r>
              <w:rPr>
                <w:rFonts w:ascii="Calibri" w:cs="Calibri" w:eastAsia="Calibri" w:hAnsi="Calibri"/>
                <w:sz w:val="18"/>
                <w:szCs w:val="18"/>
                <w:color w:val="auto"/>
                <w:w w:val="87"/>
              </w:rPr>
              <w:t>$</w:t>
            </w:r>
          </w:p>
        </w:tc>
        <w:tc>
          <w:tcPr>
            <w:tcW w:w="300" w:type="dxa"/>
            <w:vAlign w:val="bottom"/>
          </w:tcPr>
          <w:p>
            <w:pPr>
              <w:jc w:val="right"/>
              <w:spacing w:after="0" w:line="209" w:lineRule="exact"/>
              <w:rPr>
                <w:sz w:val="20"/>
                <w:szCs w:val="20"/>
                <w:color w:val="auto"/>
              </w:rPr>
            </w:pPr>
            <w:r>
              <w:rPr>
                <w:rFonts w:ascii="Calibri" w:cs="Calibri" w:eastAsia="Calibri" w:hAnsi="Calibri"/>
                <w:sz w:val="18"/>
                <w:szCs w:val="18"/>
                <w:color w:val="auto"/>
                <w:w w:val="94"/>
              </w:rPr>
              <w:t>289</w:t>
            </w:r>
          </w:p>
        </w:tc>
        <w:tc>
          <w:tcPr>
            <w:tcW w:w="240" w:type="dxa"/>
            <w:vAlign w:val="bottom"/>
          </w:tcPr>
          <w:p>
            <w:pPr>
              <w:spacing w:after="0"/>
              <w:rPr>
                <w:sz w:val="18"/>
                <w:szCs w:val="18"/>
                <w:color w:val="auto"/>
              </w:rPr>
            </w:pPr>
          </w:p>
        </w:tc>
        <w:tc>
          <w:tcPr>
            <w:tcW w:w="160" w:type="dxa"/>
            <w:vAlign w:val="bottom"/>
          </w:tcPr>
          <w:p>
            <w:pPr>
              <w:jc w:val="right"/>
              <w:spacing w:after="0" w:line="209" w:lineRule="exact"/>
              <w:rPr>
                <w:sz w:val="20"/>
                <w:szCs w:val="20"/>
                <w:color w:val="auto"/>
              </w:rPr>
            </w:pPr>
            <w:r>
              <w:rPr>
                <w:rFonts w:ascii="Calibri" w:cs="Calibri" w:eastAsia="Calibri" w:hAnsi="Calibri"/>
                <w:sz w:val="18"/>
                <w:szCs w:val="18"/>
                <w:color w:val="auto"/>
                <w:w w:val="87"/>
              </w:rPr>
              <w:t>$</w:t>
            </w:r>
          </w:p>
        </w:tc>
        <w:tc>
          <w:tcPr>
            <w:tcW w:w="1180" w:type="dxa"/>
            <w:vAlign w:val="bottom"/>
            <w:gridSpan w:val="2"/>
          </w:tcPr>
          <w:p>
            <w:pPr>
              <w:jc w:val="right"/>
              <w:ind w:right="160"/>
              <w:spacing w:after="0" w:line="209" w:lineRule="exact"/>
              <w:rPr>
                <w:sz w:val="20"/>
                <w:szCs w:val="20"/>
                <w:color w:val="auto"/>
              </w:rPr>
            </w:pPr>
            <w:r>
              <w:rPr>
                <w:rFonts w:ascii="Calibri" w:cs="Calibri" w:eastAsia="Calibri" w:hAnsi="Calibri"/>
                <w:sz w:val="18"/>
                <w:szCs w:val="18"/>
                <w:color w:val="auto"/>
              </w:rPr>
              <w:t>(2 )</w:t>
            </w:r>
          </w:p>
        </w:tc>
        <w:tc>
          <w:tcPr>
            <w:tcW w:w="100" w:type="dxa"/>
            <w:vAlign w:val="bottom"/>
          </w:tcPr>
          <w:p>
            <w:pPr>
              <w:jc w:val="right"/>
              <w:spacing w:after="0" w:line="209" w:lineRule="exact"/>
              <w:rPr>
                <w:sz w:val="20"/>
                <w:szCs w:val="20"/>
                <w:color w:val="auto"/>
              </w:rPr>
            </w:pPr>
            <w:r>
              <w:rPr>
                <w:rFonts w:ascii="Calibri" w:cs="Calibri" w:eastAsia="Calibri" w:hAnsi="Calibri"/>
                <w:sz w:val="18"/>
                <w:szCs w:val="18"/>
                <w:color w:val="auto"/>
                <w:w w:val="87"/>
              </w:rPr>
              <w:t>$</w:t>
            </w:r>
          </w:p>
        </w:tc>
        <w:tc>
          <w:tcPr>
            <w:tcW w:w="1040" w:type="dxa"/>
            <w:vAlign w:val="bottom"/>
          </w:tcPr>
          <w:p>
            <w:pPr>
              <w:ind w:left="860"/>
              <w:spacing w:after="0" w:line="209" w:lineRule="exact"/>
              <w:rPr>
                <w:sz w:val="20"/>
                <w:szCs w:val="20"/>
                <w:color w:val="auto"/>
              </w:rPr>
            </w:pPr>
            <w:r>
              <w:rPr>
                <w:rFonts w:ascii="Calibri" w:cs="Calibri" w:eastAsia="Calibri" w:hAnsi="Calibri"/>
                <w:sz w:val="18"/>
                <w:szCs w:val="18"/>
                <w:color w:val="auto"/>
                <w:w w:val="97"/>
              </w:rPr>
              <w:t>—</w:t>
            </w:r>
          </w:p>
        </w:tc>
        <w:tc>
          <w:tcPr>
            <w:tcW w:w="340" w:type="dxa"/>
            <w:vAlign w:val="bottom"/>
            <w:gridSpan w:val="2"/>
          </w:tcPr>
          <w:p>
            <w:pPr>
              <w:jc w:val="right"/>
              <w:ind w:right="20"/>
              <w:spacing w:after="0" w:line="209" w:lineRule="exact"/>
              <w:rPr>
                <w:sz w:val="20"/>
                <w:szCs w:val="20"/>
                <w:color w:val="auto"/>
              </w:rPr>
            </w:pPr>
            <w:r>
              <w:rPr>
                <w:rFonts w:ascii="Calibri" w:cs="Calibri" w:eastAsia="Calibri" w:hAnsi="Calibri"/>
                <w:sz w:val="18"/>
                <w:szCs w:val="18"/>
                <w:color w:val="auto"/>
              </w:rPr>
              <w:t>$</w:t>
            </w:r>
          </w:p>
        </w:tc>
        <w:tc>
          <w:tcPr>
            <w:tcW w:w="1020" w:type="dxa"/>
            <w:vAlign w:val="bottom"/>
          </w:tcPr>
          <w:p>
            <w:pPr>
              <w:jc w:val="right"/>
              <w:spacing w:after="0" w:line="209" w:lineRule="exact"/>
              <w:rPr>
                <w:sz w:val="20"/>
                <w:szCs w:val="20"/>
                <w:color w:val="auto"/>
              </w:rPr>
            </w:pPr>
            <w:r>
              <w:rPr>
                <w:rFonts w:ascii="Calibri" w:cs="Calibri" w:eastAsia="Calibri" w:hAnsi="Calibri"/>
                <w:sz w:val="18"/>
                <w:szCs w:val="18"/>
                <w:color w:val="auto"/>
              </w:rPr>
              <w:t>—</w:t>
            </w:r>
          </w:p>
        </w:tc>
        <w:tc>
          <w:tcPr>
            <w:tcW w:w="460" w:type="dxa"/>
            <w:vAlign w:val="bottom"/>
            <w:gridSpan w:val="2"/>
          </w:tcPr>
          <w:p>
            <w:pPr>
              <w:jc w:val="right"/>
              <w:ind w:right="120"/>
              <w:spacing w:after="0" w:line="209" w:lineRule="exact"/>
              <w:rPr>
                <w:sz w:val="20"/>
                <w:szCs w:val="20"/>
                <w:color w:val="auto"/>
              </w:rPr>
            </w:pPr>
            <w:r>
              <w:rPr>
                <w:rFonts w:ascii="Calibri" w:cs="Calibri" w:eastAsia="Calibri" w:hAnsi="Calibri"/>
                <w:sz w:val="18"/>
                <w:szCs w:val="18"/>
                <w:color w:val="auto"/>
              </w:rPr>
              <w:t>$</w:t>
            </w:r>
          </w:p>
        </w:tc>
        <w:tc>
          <w:tcPr>
            <w:tcW w:w="1200" w:type="dxa"/>
            <w:vAlign w:val="bottom"/>
            <w:gridSpan w:val="2"/>
          </w:tcPr>
          <w:p>
            <w:pPr>
              <w:jc w:val="right"/>
              <w:ind w:right="20"/>
              <w:spacing w:after="0" w:line="209" w:lineRule="exact"/>
              <w:rPr>
                <w:sz w:val="20"/>
                <w:szCs w:val="20"/>
                <w:color w:val="auto"/>
              </w:rPr>
            </w:pPr>
            <w:r>
              <w:rPr>
                <w:rFonts w:ascii="Calibri" w:cs="Calibri" w:eastAsia="Calibri" w:hAnsi="Calibri"/>
                <w:sz w:val="18"/>
                <w:szCs w:val="18"/>
                <w:color w:val="auto"/>
              </w:rPr>
              <w:t>287</w:t>
            </w:r>
          </w:p>
        </w:tc>
        <w:tc>
          <w:tcPr>
            <w:tcW w:w="120" w:type="dxa"/>
            <w:vAlign w:val="bottom"/>
          </w:tcPr>
          <w:p>
            <w:pPr>
              <w:spacing w:after="0"/>
              <w:rPr>
                <w:sz w:val="18"/>
                <w:szCs w:val="18"/>
                <w:color w:val="auto"/>
              </w:rPr>
            </w:pPr>
          </w:p>
        </w:tc>
      </w:tr>
      <w:tr>
        <w:trPr>
          <w:trHeight w:val="20"/>
        </w:trPr>
        <w:tc>
          <w:tcPr>
            <w:tcW w:w="4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66"/>
        </w:trPr>
        <w:tc>
          <w:tcPr>
            <w:tcW w:w="41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ind w:left="260"/>
              <w:spacing w:after="0"/>
              <w:rPr>
                <w:sz w:val="20"/>
                <w:szCs w:val="20"/>
                <w:color w:val="auto"/>
              </w:rPr>
            </w:pPr>
            <w:r>
              <w:rPr>
                <w:rFonts w:ascii="Calibri" w:cs="Calibri" w:eastAsia="Calibri" w:hAnsi="Calibri"/>
                <w:sz w:val="14"/>
                <w:szCs w:val="14"/>
                <w:b w:val="1"/>
                <w:bCs w:val="1"/>
                <w:color w:val="auto"/>
              </w:rPr>
              <w:t>Non - U.S.</w:t>
            </w: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73"/>
        </w:trPr>
        <w:tc>
          <w:tcPr>
            <w:tcW w:w="4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4"/>
          </w:tcPr>
          <w:p>
            <w:pPr>
              <w:ind w:left="40"/>
              <w:spacing w:after="0"/>
              <w:rPr>
                <w:sz w:val="20"/>
                <w:szCs w:val="20"/>
                <w:color w:val="auto"/>
              </w:rPr>
            </w:pPr>
            <w:r>
              <w:rPr>
                <w:rFonts w:ascii="Calibri" w:cs="Calibri" w:eastAsia="Calibri" w:hAnsi="Calibri"/>
                <w:sz w:val="14"/>
                <w:szCs w:val="14"/>
                <w:b w:val="1"/>
                <w:bCs w:val="1"/>
                <w:color w:val="auto"/>
              </w:rPr>
              <w:t>Net Realized and Unrealized Gains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57"/>
        </w:trPr>
        <w:tc>
          <w:tcPr>
            <w:tcW w:w="4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center"/>
              <w:ind w:right="23"/>
              <w:spacing w:after="0" w:line="157" w:lineRule="exact"/>
              <w:rPr>
                <w:sz w:val="20"/>
                <w:szCs w:val="20"/>
                <w:color w:val="auto"/>
              </w:rPr>
            </w:pPr>
            <w:r>
              <w:rPr>
                <w:rFonts w:ascii="Calibri" w:cs="Calibri" w:eastAsia="Calibri" w:hAnsi="Calibri"/>
                <w:sz w:val="14"/>
                <w:szCs w:val="14"/>
                <w:b w:val="1"/>
                <w:bCs w:val="1"/>
                <w:color w:val="auto"/>
              </w:rPr>
              <w:t>Relatng to</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0"/>
        </w:trPr>
        <w:tc>
          <w:tcPr>
            <w:tcW w:w="4120" w:type="dxa"/>
            <w:vAlign w:val="bottom"/>
          </w:tcPr>
          <w:p>
            <w:pPr>
              <w:spacing w:after="0"/>
              <w:rPr>
                <w:sz w:val="14"/>
                <w:szCs w:val="14"/>
                <w:color w:val="auto"/>
              </w:rPr>
            </w:pPr>
          </w:p>
        </w:tc>
        <w:tc>
          <w:tcPr>
            <w:tcW w:w="960" w:type="dxa"/>
            <w:vAlign w:val="bottom"/>
          </w:tcPr>
          <w:p>
            <w:pPr>
              <w:jc w:val="center"/>
              <w:ind w:left="224"/>
              <w:spacing w:after="0"/>
              <w:rPr>
                <w:sz w:val="20"/>
                <w:szCs w:val="20"/>
                <w:color w:val="auto"/>
              </w:rPr>
            </w:pPr>
            <w:r>
              <w:rPr>
                <w:rFonts w:ascii="Calibri" w:cs="Calibri" w:eastAsia="Calibri" w:hAnsi="Calibri"/>
                <w:sz w:val="14"/>
                <w:szCs w:val="14"/>
                <w:b w:val="1"/>
                <w:bCs w:val="1"/>
                <w:color w:val="auto"/>
              </w:rPr>
              <w:t>Balance at</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400"/>
              <w:spacing w:after="0"/>
              <w:rPr>
                <w:sz w:val="20"/>
                <w:szCs w:val="20"/>
                <w:color w:val="auto"/>
              </w:rPr>
            </w:pPr>
            <w:r>
              <w:rPr>
                <w:rFonts w:ascii="Calibri" w:cs="Calibri" w:eastAsia="Calibri" w:hAnsi="Calibri"/>
                <w:sz w:val="14"/>
                <w:szCs w:val="14"/>
                <w:b w:val="1"/>
                <w:bCs w:val="1"/>
                <w:color w:val="auto"/>
              </w:rPr>
              <w:t>Relatng to</w:t>
            </w:r>
          </w:p>
        </w:tc>
        <w:tc>
          <w:tcPr>
            <w:tcW w:w="100" w:type="dxa"/>
            <w:vAlign w:val="bottom"/>
          </w:tcPr>
          <w:p>
            <w:pPr>
              <w:spacing w:after="0"/>
              <w:rPr>
                <w:sz w:val="14"/>
                <w:szCs w:val="14"/>
                <w:color w:val="auto"/>
              </w:rPr>
            </w:pPr>
          </w:p>
        </w:tc>
        <w:tc>
          <w:tcPr>
            <w:tcW w:w="1040" w:type="dxa"/>
            <w:vAlign w:val="bottom"/>
          </w:tcPr>
          <w:p>
            <w:pPr>
              <w:jc w:val="center"/>
              <w:ind w:right="23"/>
              <w:spacing w:after="0"/>
              <w:rPr>
                <w:sz w:val="20"/>
                <w:szCs w:val="20"/>
                <w:color w:val="auto"/>
              </w:rPr>
            </w:pPr>
            <w:r>
              <w:rPr>
                <w:rFonts w:ascii="Calibri" w:cs="Calibri" w:eastAsia="Calibri" w:hAnsi="Calibri"/>
                <w:sz w:val="14"/>
                <w:szCs w:val="14"/>
                <w:b w:val="1"/>
                <w:bCs w:val="1"/>
                <w:color w:val="auto"/>
              </w:rPr>
              <w:t>Assets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right="37"/>
              <w:spacing w:after="0"/>
              <w:rPr>
                <w:sz w:val="20"/>
                <w:szCs w:val="20"/>
                <w:color w:val="auto"/>
              </w:rPr>
            </w:pPr>
            <w:r>
              <w:rPr>
                <w:rFonts w:ascii="Calibri" w:cs="Calibri" w:eastAsia="Calibri" w:hAnsi="Calibri"/>
                <w:sz w:val="14"/>
                <w:szCs w:val="14"/>
                <w:b w:val="1"/>
                <w:bCs w:val="1"/>
                <w:color w:val="auto"/>
              </w:rPr>
              <w:t>Net Purchases,</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3"/>
          </w:tcPr>
          <w:p>
            <w:pPr>
              <w:jc w:val="center"/>
              <w:ind w:right="340"/>
              <w:spacing w:after="0"/>
              <w:rPr>
                <w:sz w:val="20"/>
                <w:szCs w:val="20"/>
                <w:color w:val="auto"/>
              </w:rPr>
            </w:pPr>
            <w:r>
              <w:rPr>
                <w:rFonts w:ascii="Calibri" w:cs="Calibri" w:eastAsia="Calibri" w:hAnsi="Calibri"/>
                <w:sz w:val="14"/>
                <w:szCs w:val="14"/>
                <w:b w:val="1"/>
                <w:bCs w:val="1"/>
                <w:color w:val="auto"/>
              </w:rPr>
              <w:t>Balance at</w:t>
            </w:r>
          </w:p>
        </w:tc>
      </w:tr>
      <w:tr>
        <w:trPr>
          <w:trHeight w:val="176"/>
        </w:trPr>
        <w:tc>
          <w:tcPr>
            <w:tcW w:w="4120" w:type="dxa"/>
            <w:vAlign w:val="bottom"/>
          </w:tcPr>
          <w:p>
            <w:pPr>
              <w:spacing w:after="0"/>
              <w:rPr>
                <w:sz w:val="15"/>
                <w:szCs w:val="15"/>
                <w:color w:val="auto"/>
              </w:rPr>
            </w:pPr>
          </w:p>
        </w:tc>
        <w:tc>
          <w:tcPr>
            <w:tcW w:w="960" w:type="dxa"/>
            <w:vAlign w:val="bottom"/>
          </w:tcPr>
          <w:p>
            <w:pPr>
              <w:jc w:val="center"/>
              <w:ind w:left="204"/>
              <w:spacing w:after="0"/>
              <w:rPr>
                <w:sz w:val="20"/>
                <w:szCs w:val="20"/>
                <w:color w:val="auto"/>
              </w:rPr>
            </w:pPr>
            <w:r>
              <w:rPr>
                <w:rFonts w:ascii="Calibri" w:cs="Calibri" w:eastAsia="Calibri" w:hAnsi="Calibri"/>
                <w:sz w:val="14"/>
                <w:szCs w:val="14"/>
                <w:b w:val="1"/>
                <w:bCs w:val="1"/>
                <w:color w:val="auto"/>
              </w:rPr>
              <w:t>January 1,</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center"/>
              <w:ind w:right="400"/>
              <w:spacing w:after="0"/>
              <w:rPr>
                <w:sz w:val="20"/>
                <w:szCs w:val="20"/>
                <w:color w:val="auto"/>
              </w:rPr>
            </w:pPr>
            <w:r>
              <w:rPr>
                <w:rFonts w:ascii="Calibri" w:cs="Calibri" w:eastAsia="Calibri" w:hAnsi="Calibri"/>
                <w:sz w:val="14"/>
                <w:szCs w:val="14"/>
                <w:b w:val="1"/>
                <w:bCs w:val="1"/>
                <w:color w:val="auto"/>
              </w:rPr>
              <w:t>Assets</w:t>
            </w:r>
          </w:p>
        </w:tc>
        <w:tc>
          <w:tcPr>
            <w:tcW w:w="100" w:type="dxa"/>
            <w:vAlign w:val="bottom"/>
          </w:tcPr>
          <w:p>
            <w:pPr>
              <w:spacing w:after="0"/>
              <w:rPr>
                <w:sz w:val="15"/>
                <w:szCs w:val="15"/>
                <w:color w:val="auto"/>
              </w:rPr>
            </w:pPr>
          </w:p>
        </w:tc>
        <w:tc>
          <w:tcPr>
            <w:tcW w:w="1040" w:type="dxa"/>
            <w:vAlign w:val="bottom"/>
          </w:tcPr>
          <w:p>
            <w:pPr>
              <w:jc w:val="center"/>
              <w:ind w:right="43"/>
              <w:spacing w:after="0"/>
              <w:rPr>
                <w:sz w:val="20"/>
                <w:szCs w:val="20"/>
                <w:color w:val="auto"/>
              </w:rPr>
            </w:pPr>
            <w:r>
              <w:rPr>
                <w:rFonts w:ascii="Calibri" w:cs="Calibri" w:eastAsia="Calibri" w:hAnsi="Calibri"/>
                <w:sz w:val="14"/>
                <w:szCs w:val="14"/>
                <w:b w:val="1"/>
                <w:bCs w:val="1"/>
                <w:color w:val="auto"/>
              </w:rPr>
              <w:t>Sold During the</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center"/>
              <w:ind w:right="17"/>
              <w:spacing w:after="0"/>
              <w:rPr>
                <w:sz w:val="20"/>
                <w:szCs w:val="20"/>
                <w:color w:val="auto"/>
              </w:rPr>
            </w:pPr>
            <w:r>
              <w:rPr>
                <w:rFonts w:ascii="Calibri" w:cs="Calibri" w:eastAsia="Calibri" w:hAnsi="Calibri"/>
                <w:sz w:val="14"/>
                <w:szCs w:val="14"/>
                <w:b w:val="1"/>
                <w:bCs w:val="1"/>
                <w:color w:val="auto"/>
              </w:rPr>
              <w:t>Sales and</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3"/>
          </w:tcPr>
          <w:p>
            <w:pPr>
              <w:jc w:val="center"/>
              <w:ind w:right="360"/>
              <w:spacing w:after="0"/>
              <w:rPr>
                <w:sz w:val="20"/>
                <w:szCs w:val="20"/>
                <w:color w:val="auto"/>
              </w:rPr>
            </w:pPr>
            <w:r>
              <w:rPr>
                <w:rFonts w:ascii="Calibri" w:cs="Calibri" w:eastAsia="Calibri" w:hAnsi="Calibri"/>
                <w:sz w:val="14"/>
                <w:szCs w:val="14"/>
                <w:b w:val="1"/>
                <w:bCs w:val="1"/>
                <w:color w:val="auto"/>
              </w:rPr>
              <w:t>December 31,</w:t>
            </w:r>
          </w:p>
        </w:tc>
      </w:tr>
      <w:tr>
        <w:trPr>
          <w:trHeight w:val="192"/>
        </w:trPr>
        <w:tc>
          <w:tcPr>
            <w:tcW w:w="4120" w:type="dxa"/>
            <w:vAlign w:val="bottom"/>
          </w:tcPr>
          <w:p>
            <w:pPr>
              <w:ind w:left="20"/>
              <w:spacing w:after="0"/>
              <w:rPr>
                <w:sz w:val="20"/>
                <w:szCs w:val="20"/>
                <w:color w:val="auto"/>
              </w:rPr>
            </w:pPr>
            <w:r>
              <w:rPr>
                <w:rFonts w:ascii="Calibri" w:cs="Calibri" w:eastAsia="Calibri" w:hAnsi="Calibri"/>
                <w:sz w:val="14"/>
                <w:szCs w:val="14"/>
                <w:color w:val="auto"/>
              </w:rPr>
              <w:t>(in millions)</w:t>
            </w:r>
          </w:p>
        </w:tc>
        <w:tc>
          <w:tcPr>
            <w:tcW w:w="960" w:type="dxa"/>
            <w:vAlign w:val="bottom"/>
            <w:tcBorders>
              <w:bottom w:val="single" w:sz="8" w:color="auto"/>
            </w:tcBorders>
          </w:tcPr>
          <w:p>
            <w:pPr>
              <w:jc w:val="center"/>
              <w:ind w:left="224"/>
              <w:spacing w:after="0"/>
              <w:rPr>
                <w:sz w:val="20"/>
                <w:szCs w:val="20"/>
                <w:color w:val="auto"/>
              </w:rPr>
            </w:pPr>
            <w:r>
              <w:rPr>
                <w:rFonts w:ascii="Calibri" w:cs="Calibri" w:eastAsia="Calibri" w:hAnsi="Calibri"/>
                <w:sz w:val="14"/>
                <w:szCs w:val="14"/>
                <w:b w:val="1"/>
                <w:bCs w:val="1"/>
                <w:color w:val="auto"/>
              </w:rPr>
              <w:t>2022</w:t>
            </w:r>
          </w:p>
        </w:tc>
        <w:tc>
          <w:tcPr>
            <w:tcW w:w="3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02"/>
              <w:spacing w:after="0"/>
              <w:rPr>
                <w:sz w:val="20"/>
                <w:szCs w:val="20"/>
                <w:color w:val="auto"/>
              </w:rPr>
            </w:pPr>
            <w:r>
              <w:rPr>
                <w:rFonts w:ascii="Calibri" w:cs="Calibri" w:eastAsia="Calibri" w:hAnsi="Calibri"/>
                <w:sz w:val="14"/>
                <w:szCs w:val="14"/>
                <w:b w:val="1"/>
                <w:bCs w:val="1"/>
                <w:color w:val="auto"/>
              </w:rPr>
              <w:t>Stll Held</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23"/>
              <w:spacing w:after="0"/>
              <w:rPr>
                <w:sz w:val="20"/>
                <w:szCs w:val="20"/>
                <w:color w:val="auto"/>
              </w:rPr>
            </w:pPr>
            <w:r>
              <w:rPr>
                <w:rFonts w:ascii="Calibri" w:cs="Calibri" w:eastAsia="Calibri" w:hAnsi="Calibri"/>
                <w:sz w:val="14"/>
                <w:szCs w:val="14"/>
                <w:b w:val="1"/>
                <w:bCs w:val="1"/>
                <w:color w:val="auto"/>
                <w:w w:val="99"/>
              </w:rPr>
              <w:t>Period</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37"/>
              <w:spacing w:after="0"/>
              <w:rPr>
                <w:sz w:val="20"/>
                <w:szCs w:val="20"/>
                <w:color w:val="auto"/>
              </w:rPr>
            </w:pPr>
            <w:r>
              <w:rPr>
                <w:rFonts w:ascii="Calibri" w:cs="Calibri" w:eastAsia="Calibri" w:hAnsi="Calibri"/>
                <w:sz w:val="14"/>
                <w:szCs w:val="14"/>
                <w:b w:val="1"/>
                <w:bCs w:val="1"/>
                <w:color w:val="auto"/>
              </w:rPr>
              <w:t>Setlements</w:t>
            </w: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57"/>
              <w:spacing w:after="0"/>
              <w:rPr>
                <w:sz w:val="20"/>
                <w:szCs w:val="20"/>
                <w:color w:val="auto"/>
              </w:rPr>
            </w:pPr>
            <w:r>
              <w:rPr>
                <w:rFonts w:ascii="Calibri" w:cs="Calibri" w:eastAsia="Calibri" w:hAnsi="Calibri"/>
                <w:sz w:val="14"/>
                <w:szCs w:val="14"/>
                <w:b w:val="1"/>
                <w:bCs w:val="1"/>
                <w:color w:val="auto"/>
                <w:w w:val="98"/>
              </w:rPr>
              <w:t>2022</w:t>
            </w:r>
          </w:p>
        </w:tc>
        <w:tc>
          <w:tcPr>
            <w:tcW w:w="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212"/>
        </w:trPr>
        <w:tc>
          <w:tcPr>
            <w:tcW w:w="4120" w:type="dxa"/>
            <w:vAlign w:val="bottom"/>
            <w:shd w:val="clear" w:color="auto" w:fill="CFF0FC"/>
          </w:tcPr>
          <w:p>
            <w:pPr>
              <w:ind w:left="20"/>
              <w:spacing w:after="0" w:line="212" w:lineRule="exact"/>
              <w:rPr>
                <w:sz w:val="20"/>
                <w:szCs w:val="20"/>
                <w:color w:val="auto"/>
              </w:rPr>
            </w:pPr>
            <w:r>
              <w:rPr>
                <w:rFonts w:ascii="Calibri" w:cs="Calibri" w:eastAsia="Calibri" w:hAnsi="Calibri"/>
                <w:sz w:val="18"/>
                <w:szCs w:val="18"/>
                <w:color w:val="auto"/>
              </w:rPr>
              <w:t>Insurance Contracts</w:t>
            </w:r>
          </w:p>
        </w:tc>
        <w:tc>
          <w:tcPr>
            <w:tcW w:w="96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line="212" w:lineRule="exact"/>
              <w:rPr>
                <w:sz w:val="20"/>
                <w:szCs w:val="20"/>
                <w:color w:val="auto"/>
              </w:rPr>
            </w:pPr>
            <w:r>
              <w:rPr>
                <w:rFonts w:ascii="Calibri" w:cs="Calibri" w:eastAsia="Calibri" w:hAnsi="Calibri"/>
                <w:sz w:val="18"/>
                <w:szCs w:val="18"/>
                <w:color w:val="auto"/>
              </w:rPr>
              <w:t>342</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line="212" w:lineRule="exact"/>
              <w:rPr>
                <w:sz w:val="20"/>
                <w:szCs w:val="20"/>
                <w:color w:val="auto"/>
              </w:rPr>
            </w:pPr>
            <w:r>
              <w:rPr>
                <w:rFonts w:ascii="Calibri" w:cs="Calibri" w:eastAsia="Calibri" w:hAnsi="Calibri"/>
                <w:sz w:val="18"/>
                <w:szCs w:val="18"/>
                <w:color w:val="auto"/>
              </w:rPr>
              <w:t>(53 )</w:t>
            </w: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ind w:left="860"/>
              <w:spacing w:after="0" w:line="212" w:lineRule="exact"/>
              <w:rPr>
                <w:sz w:val="20"/>
                <w:szCs w:val="20"/>
                <w:color w:val="auto"/>
              </w:rPr>
            </w:pPr>
            <w:r>
              <w:rPr>
                <w:rFonts w:ascii="Calibri" w:cs="Calibri" w:eastAsia="Calibri" w:hAnsi="Calibri"/>
                <w:sz w:val="18"/>
                <w:szCs w:val="18"/>
                <w:color w:val="auto"/>
                <w:w w:val="97"/>
              </w:rPr>
              <w:t>—</w:t>
            </w:r>
          </w:p>
        </w:tc>
        <w:tc>
          <w:tcPr>
            <w:tcW w:w="2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tcBorders>
              <w:right w:val="single" w:sz="8" w:color="CFF0FC"/>
            </w:tcBorders>
            <w:shd w:val="clear" w:color="auto" w:fill="CFF0FC"/>
          </w:tcPr>
          <w:p>
            <w:pPr>
              <w:jc w:val="right"/>
              <w:spacing w:after="0" w:line="212" w:lineRule="exact"/>
              <w:rPr>
                <w:sz w:val="20"/>
                <w:szCs w:val="20"/>
                <w:color w:val="auto"/>
              </w:rPr>
            </w:pPr>
            <w:r>
              <w:rPr>
                <w:rFonts w:ascii="Calibri" w:cs="Calibri" w:eastAsia="Calibri" w:hAnsi="Calibri"/>
                <w:sz w:val="18"/>
                <w:szCs w:val="18"/>
                <w:color w:val="auto"/>
              </w:rPr>
              <w:t>—</w:t>
            </w:r>
          </w:p>
        </w:tc>
        <w:tc>
          <w:tcPr>
            <w:tcW w:w="26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line="212" w:lineRule="exact"/>
              <w:rPr>
                <w:sz w:val="20"/>
                <w:szCs w:val="20"/>
                <w:color w:val="auto"/>
              </w:rPr>
            </w:pPr>
            <w:r>
              <w:rPr>
                <w:rFonts w:ascii="Calibri" w:cs="Calibri" w:eastAsia="Calibri" w:hAnsi="Calibri"/>
                <w:sz w:val="18"/>
                <w:szCs w:val="18"/>
                <w:color w:val="auto"/>
              </w:rPr>
              <w:t>289</w:t>
            </w:r>
          </w:p>
        </w:tc>
        <w:tc>
          <w:tcPr>
            <w:tcW w:w="120" w:type="dxa"/>
            <w:vAlign w:val="bottom"/>
            <w:shd w:val="clear" w:color="auto" w:fill="CFF0FC"/>
          </w:tcPr>
          <w:p>
            <w:pPr>
              <w:spacing w:after="0"/>
              <w:rPr>
                <w:sz w:val="18"/>
                <w:szCs w:val="18"/>
                <w:color w:val="auto"/>
              </w:rPr>
            </w:pPr>
          </w:p>
        </w:tc>
      </w:tr>
      <w:tr>
        <w:trPr>
          <w:trHeight w:val="20"/>
        </w:trPr>
        <w:tc>
          <w:tcPr>
            <w:tcW w:w="41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4120" w:type="dxa"/>
            <w:vAlign w:val="bottom"/>
          </w:tcPr>
          <w:p>
            <w:pPr>
              <w:ind w:left="20"/>
              <w:spacing w:after="0" w:line="209" w:lineRule="exact"/>
              <w:rPr>
                <w:sz w:val="20"/>
                <w:szCs w:val="20"/>
                <w:color w:val="auto"/>
              </w:rPr>
            </w:pPr>
            <w:r>
              <w:rPr>
                <w:rFonts w:ascii="Calibri" w:cs="Calibri" w:eastAsia="Calibri" w:hAnsi="Calibri"/>
                <w:sz w:val="18"/>
                <w:szCs w:val="18"/>
                <w:color w:val="auto"/>
              </w:rPr>
              <w:t>Total</w:t>
            </w:r>
          </w:p>
        </w:tc>
        <w:tc>
          <w:tcPr>
            <w:tcW w:w="960" w:type="dxa"/>
            <w:vAlign w:val="bottom"/>
          </w:tcPr>
          <w:p>
            <w:pPr>
              <w:jc w:val="right"/>
              <w:ind w:right="784"/>
              <w:spacing w:after="0" w:line="209" w:lineRule="exact"/>
              <w:rPr>
                <w:sz w:val="20"/>
                <w:szCs w:val="20"/>
                <w:color w:val="auto"/>
              </w:rPr>
            </w:pPr>
            <w:r>
              <w:rPr>
                <w:rFonts w:ascii="Calibri" w:cs="Calibri" w:eastAsia="Calibri" w:hAnsi="Calibri"/>
                <w:sz w:val="18"/>
                <w:szCs w:val="18"/>
                <w:color w:val="auto"/>
                <w:w w:val="87"/>
              </w:rPr>
              <w:t>$</w:t>
            </w:r>
          </w:p>
        </w:tc>
        <w:tc>
          <w:tcPr>
            <w:tcW w:w="300" w:type="dxa"/>
            <w:vAlign w:val="bottom"/>
          </w:tcPr>
          <w:p>
            <w:pPr>
              <w:jc w:val="right"/>
              <w:spacing w:after="0" w:line="209" w:lineRule="exact"/>
              <w:rPr>
                <w:sz w:val="20"/>
                <w:szCs w:val="20"/>
                <w:color w:val="auto"/>
              </w:rPr>
            </w:pPr>
            <w:r>
              <w:rPr>
                <w:rFonts w:ascii="Calibri" w:cs="Calibri" w:eastAsia="Calibri" w:hAnsi="Calibri"/>
                <w:sz w:val="18"/>
                <w:szCs w:val="18"/>
                <w:color w:val="auto"/>
              </w:rPr>
              <w:t>342</w:t>
            </w:r>
          </w:p>
        </w:tc>
        <w:tc>
          <w:tcPr>
            <w:tcW w:w="240" w:type="dxa"/>
            <w:vAlign w:val="bottom"/>
          </w:tcPr>
          <w:p>
            <w:pPr>
              <w:spacing w:after="0"/>
              <w:rPr>
                <w:sz w:val="18"/>
                <w:szCs w:val="18"/>
                <w:color w:val="auto"/>
              </w:rPr>
            </w:pPr>
          </w:p>
        </w:tc>
        <w:tc>
          <w:tcPr>
            <w:tcW w:w="160" w:type="dxa"/>
            <w:vAlign w:val="bottom"/>
          </w:tcPr>
          <w:p>
            <w:pPr>
              <w:jc w:val="right"/>
              <w:spacing w:after="0" w:line="209" w:lineRule="exact"/>
              <w:rPr>
                <w:sz w:val="20"/>
                <w:szCs w:val="20"/>
                <w:color w:val="auto"/>
              </w:rPr>
            </w:pPr>
            <w:r>
              <w:rPr>
                <w:rFonts w:ascii="Calibri" w:cs="Calibri" w:eastAsia="Calibri" w:hAnsi="Calibri"/>
                <w:sz w:val="18"/>
                <w:szCs w:val="18"/>
                <w:color w:val="auto"/>
                <w:w w:val="87"/>
              </w:rPr>
              <w:t>$</w:t>
            </w:r>
          </w:p>
        </w:tc>
        <w:tc>
          <w:tcPr>
            <w:tcW w:w="1180" w:type="dxa"/>
            <w:vAlign w:val="bottom"/>
            <w:gridSpan w:val="2"/>
          </w:tcPr>
          <w:p>
            <w:pPr>
              <w:jc w:val="right"/>
              <w:ind w:right="160"/>
              <w:spacing w:after="0" w:line="209" w:lineRule="exact"/>
              <w:rPr>
                <w:sz w:val="20"/>
                <w:szCs w:val="20"/>
                <w:color w:val="auto"/>
              </w:rPr>
            </w:pPr>
            <w:r>
              <w:rPr>
                <w:rFonts w:ascii="Calibri" w:cs="Calibri" w:eastAsia="Calibri" w:hAnsi="Calibri"/>
                <w:sz w:val="18"/>
                <w:szCs w:val="18"/>
                <w:color w:val="auto"/>
              </w:rPr>
              <w:t>(53 )</w:t>
            </w:r>
          </w:p>
        </w:tc>
        <w:tc>
          <w:tcPr>
            <w:tcW w:w="100" w:type="dxa"/>
            <w:vAlign w:val="bottom"/>
          </w:tcPr>
          <w:p>
            <w:pPr>
              <w:jc w:val="right"/>
              <w:spacing w:after="0" w:line="209" w:lineRule="exact"/>
              <w:rPr>
                <w:sz w:val="20"/>
                <w:szCs w:val="20"/>
                <w:color w:val="auto"/>
              </w:rPr>
            </w:pPr>
            <w:r>
              <w:rPr>
                <w:rFonts w:ascii="Calibri" w:cs="Calibri" w:eastAsia="Calibri" w:hAnsi="Calibri"/>
                <w:sz w:val="18"/>
                <w:szCs w:val="18"/>
                <w:color w:val="auto"/>
                <w:w w:val="87"/>
              </w:rPr>
              <w:t>$</w:t>
            </w:r>
          </w:p>
        </w:tc>
        <w:tc>
          <w:tcPr>
            <w:tcW w:w="1040" w:type="dxa"/>
            <w:vAlign w:val="bottom"/>
          </w:tcPr>
          <w:p>
            <w:pPr>
              <w:ind w:left="860"/>
              <w:spacing w:after="0" w:line="209" w:lineRule="exact"/>
              <w:rPr>
                <w:sz w:val="20"/>
                <w:szCs w:val="20"/>
                <w:color w:val="auto"/>
              </w:rPr>
            </w:pPr>
            <w:r>
              <w:rPr>
                <w:rFonts w:ascii="Calibri" w:cs="Calibri" w:eastAsia="Calibri" w:hAnsi="Calibri"/>
                <w:sz w:val="18"/>
                <w:szCs w:val="18"/>
                <w:color w:val="auto"/>
                <w:w w:val="97"/>
              </w:rPr>
              <w:t>—</w:t>
            </w:r>
          </w:p>
        </w:tc>
        <w:tc>
          <w:tcPr>
            <w:tcW w:w="340" w:type="dxa"/>
            <w:vAlign w:val="bottom"/>
            <w:gridSpan w:val="2"/>
          </w:tcPr>
          <w:p>
            <w:pPr>
              <w:jc w:val="right"/>
              <w:ind w:right="20"/>
              <w:spacing w:after="0" w:line="209" w:lineRule="exact"/>
              <w:rPr>
                <w:sz w:val="20"/>
                <w:szCs w:val="20"/>
                <w:color w:val="auto"/>
              </w:rPr>
            </w:pPr>
            <w:r>
              <w:rPr>
                <w:rFonts w:ascii="Calibri" w:cs="Calibri" w:eastAsia="Calibri" w:hAnsi="Calibri"/>
                <w:sz w:val="18"/>
                <w:szCs w:val="18"/>
                <w:color w:val="auto"/>
              </w:rPr>
              <w:t>$</w:t>
            </w:r>
          </w:p>
        </w:tc>
        <w:tc>
          <w:tcPr>
            <w:tcW w:w="1020" w:type="dxa"/>
            <w:vAlign w:val="bottom"/>
          </w:tcPr>
          <w:p>
            <w:pPr>
              <w:jc w:val="right"/>
              <w:spacing w:after="0" w:line="209" w:lineRule="exact"/>
              <w:rPr>
                <w:sz w:val="20"/>
                <w:szCs w:val="20"/>
                <w:color w:val="auto"/>
              </w:rPr>
            </w:pPr>
            <w:r>
              <w:rPr>
                <w:rFonts w:ascii="Calibri" w:cs="Calibri" w:eastAsia="Calibri" w:hAnsi="Calibri"/>
                <w:sz w:val="18"/>
                <w:szCs w:val="18"/>
                <w:color w:val="auto"/>
              </w:rPr>
              <w:t>—</w:t>
            </w:r>
          </w:p>
        </w:tc>
        <w:tc>
          <w:tcPr>
            <w:tcW w:w="460" w:type="dxa"/>
            <w:vAlign w:val="bottom"/>
            <w:gridSpan w:val="2"/>
          </w:tcPr>
          <w:p>
            <w:pPr>
              <w:jc w:val="right"/>
              <w:ind w:right="120"/>
              <w:spacing w:after="0" w:line="209" w:lineRule="exact"/>
              <w:rPr>
                <w:sz w:val="20"/>
                <w:szCs w:val="20"/>
                <w:color w:val="auto"/>
              </w:rPr>
            </w:pPr>
            <w:r>
              <w:rPr>
                <w:rFonts w:ascii="Calibri" w:cs="Calibri" w:eastAsia="Calibri" w:hAnsi="Calibri"/>
                <w:sz w:val="18"/>
                <w:szCs w:val="18"/>
                <w:color w:val="auto"/>
              </w:rPr>
              <w:t>$</w:t>
            </w:r>
          </w:p>
        </w:tc>
        <w:tc>
          <w:tcPr>
            <w:tcW w:w="1200" w:type="dxa"/>
            <w:vAlign w:val="bottom"/>
            <w:gridSpan w:val="2"/>
          </w:tcPr>
          <w:p>
            <w:pPr>
              <w:jc w:val="right"/>
              <w:ind w:right="20"/>
              <w:spacing w:after="0" w:line="209" w:lineRule="exact"/>
              <w:rPr>
                <w:sz w:val="20"/>
                <w:szCs w:val="20"/>
                <w:color w:val="auto"/>
              </w:rPr>
            </w:pPr>
            <w:r>
              <w:rPr>
                <w:rFonts w:ascii="Calibri" w:cs="Calibri" w:eastAsia="Calibri" w:hAnsi="Calibri"/>
                <w:sz w:val="18"/>
                <w:szCs w:val="18"/>
                <w:color w:val="auto"/>
              </w:rPr>
              <w:t>289</w:t>
            </w:r>
          </w:p>
        </w:tc>
        <w:tc>
          <w:tcPr>
            <w:tcW w:w="120" w:type="dxa"/>
            <w:vAlign w:val="bottom"/>
          </w:tcPr>
          <w:p>
            <w:pPr>
              <w:spacing w:after="0"/>
              <w:rPr>
                <w:sz w:val="18"/>
                <w:szCs w:val="18"/>
                <w:color w:val="auto"/>
              </w:rPr>
            </w:pPr>
          </w:p>
        </w:tc>
      </w:tr>
      <w:tr>
        <w:trPr>
          <w:trHeight w:val="20"/>
        </w:trPr>
        <w:tc>
          <w:tcPr>
            <w:tcW w:w="4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90"/>
        </w:trPr>
        <w:tc>
          <w:tcPr>
            <w:tcW w:w="8100" w:type="dxa"/>
            <w:vAlign w:val="bottom"/>
            <w:gridSpan w:val="9"/>
          </w:tcPr>
          <w:p>
            <w:pPr>
              <w:spacing w:after="0"/>
              <w:rPr>
                <w:sz w:val="20"/>
                <w:szCs w:val="20"/>
                <w:color w:val="auto"/>
              </w:rPr>
            </w:pPr>
            <w:r>
              <w:rPr>
                <w:rFonts w:ascii="Calibri" w:cs="Calibri" w:eastAsia="Calibri" w:hAnsi="Calibri"/>
                <w:sz w:val="18"/>
                <w:szCs w:val="18"/>
                <w:color w:val="auto"/>
              </w:rPr>
              <w:t>The following pension beneft payments, which refect expected future service, are expected to be paid:</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52"/>
        </w:trPr>
        <w:tc>
          <w:tcPr>
            <w:tcW w:w="4120" w:type="dxa"/>
            <w:vAlign w:val="bottom"/>
          </w:tcPr>
          <w:p>
            <w:pPr>
              <w:ind w:left="20"/>
              <w:spacing w:after="0"/>
              <w:rPr>
                <w:sz w:val="20"/>
                <w:szCs w:val="20"/>
                <w:color w:val="auto"/>
              </w:rPr>
            </w:pPr>
            <w:r>
              <w:rPr>
                <w:rFonts w:ascii="Calibri" w:cs="Calibri" w:eastAsia="Calibri" w:hAnsi="Calibri"/>
                <w:sz w:val="14"/>
                <w:szCs w:val="14"/>
                <w:color w:val="auto"/>
              </w:rPr>
              <w:t>(in millions)</w:t>
            </w: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77"/>
              <w:spacing w:after="0"/>
              <w:rPr>
                <w:sz w:val="20"/>
                <w:szCs w:val="20"/>
                <w:color w:val="auto"/>
              </w:rPr>
            </w:pPr>
            <w:r>
              <w:rPr>
                <w:rFonts w:ascii="Calibri" w:cs="Calibri" w:eastAsia="Calibri" w:hAnsi="Calibri"/>
                <w:sz w:val="18"/>
                <w:szCs w:val="18"/>
                <w:b w:val="1"/>
                <w:bCs w:val="1"/>
                <w:color w:val="auto"/>
              </w:rPr>
              <w:t>U.S.</w:t>
            </w:r>
          </w:p>
        </w:tc>
        <w:tc>
          <w:tcPr>
            <w:tcW w:w="2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37"/>
              <w:spacing w:after="0"/>
              <w:rPr>
                <w:sz w:val="20"/>
                <w:szCs w:val="20"/>
                <w:color w:val="auto"/>
              </w:rPr>
            </w:pPr>
            <w:r>
              <w:rPr>
                <w:rFonts w:ascii="Calibri" w:cs="Calibri" w:eastAsia="Calibri" w:hAnsi="Calibri"/>
                <w:sz w:val="18"/>
                <w:szCs w:val="18"/>
                <w:b w:val="1"/>
                <w:bCs w:val="1"/>
                <w:color w:val="auto"/>
              </w:rPr>
              <w:t>Non-U.S.</w:t>
            </w:r>
          </w:p>
        </w:tc>
        <w:tc>
          <w:tcPr>
            <w:tcW w:w="220" w:type="dxa"/>
            <w:vAlign w:val="bottom"/>
            <w:gridSpan w:val="2"/>
          </w:tcPr>
          <w:p>
            <w:pPr>
              <w:spacing w:after="0"/>
              <w:rPr>
                <w:sz w:val="24"/>
                <w:szCs w:val="24"/>
                <w:color w:val="auto"/>
              </w:rPr>
            </w:pPr>
          </w:p>
        </w:tc>
      </w:tr>
      <w:tr>
        <w:trPr>
          <w:trHeight w:val="213"/>
        </w:trPr>
        <w:tc>
          <w:tcPr>
            <w:tcW w:w="4120" w:type="dxa"/>
            <w:vAlign w:val="bottom"/>
            <w:shd w:val="clear" w:color="auto" w:fill="CFF0FC"/>
          </w:tcPr>
          <w:p>
            <w:pPr>
              <w:ind w:left="20"/>
              <w:spacing w:after="0" w:line="213" w:lineRule="exact"/>
              <w:rPr>
                <w:sz w:val="20"/>
                <w:szCs w:val="20"/>
                <w:color w:val="auto"/>
              </w:rPr>
            </w:pPr>
            <w:r>
              <w:rPr>
                <w:rFonts w:ascii="Calibri" w:cs="Calibri" w:eastAsia="Calibri" w:hAnsi="Calibri"/>
                <w:sz w:val="18"/>
                <w:szCs w:val="18"/>
                <w:color w:val="auto"/>
              </w:rPr>
              <w:t>2025</w:t>
            </w:r>
          </w:p>
        </w:tc>
        <w:tc>
          <w:tcPr>
            <w:tcW w:w="9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60"/>
              <w:spacing w:after="0" w:line="213" w:lineRule="exact"/>
              <w:rPr>
                <w:sz w:val="20"/>
                <w:szCs w:val="20"/>
                <w:color w:val="auto"/>
              </w:rPr>
            </w:pPr>
            <w:r>
              <w:rPr>
                <w:rFonts w:ascii="Calibri" w:cs="Calibri" w:eastAsia="Calibri" w:hAnsi="Calibri"/>
                <w:sz w:val="18"/>
                <w:szCs w:val="18"/>
                <w:color w:val="auto"/>
              </w:rPr>
              <w:t>$</w:t>
            </w:r>
          </w:p>
        </w:tc>
        <w:tc>
          <w:tcPr>
            <w:tcW w:w="1020" w:type="dxa"/>
            <w:vAlign w:val="bottom"/>
            <w:tcBorders>
              <w:right w:val="single" w:sz="8" w:color="CFF0FC"/>
            </w:tcBorders>
            <w:shd w:val="clear" w:color="auto" w:fill="CFF0FC"/>
          </w:tcPr>
          <w:p>
            <w:pPr>
              <w:jc w:val="right"/>
              <w:spacing w:after="0" w:line="213" w:lineRule="exact"/>
              <w:rPr>
                <w:sz w:val="20"/>
                <w:szCs w:val="20"/>
                <w:color w:val="auto"/>
              </w:rPr>
            </w:pPr>
            <w:r>
              <w:rPr>
                <w:rFonts w:ascii="Calibri" w:cs="Calibri" w:eastAsia="Calibri" w:hAnsi="Calibri"/>
                <w:sz w:val="18"/>
                <w:szCs w:val="18"/>
                <w:color w:val="auto"/>
              </w:rPr>
              <w:t>253</w:t>
            </w:r>
          </w:p>
        </w:tc>
        <w:tc>
          <w:tcPr>
            <w:tcW w:w="460" w:type="dxa"/>
            <w:vAlign w:val="bottom"/>
            <w:gridSpan w:val="2"/>
            <w:shd w:val="clear" w:color="auto" w:fill="CFF0FC"/>
          </w:tcPr>
          <w:p>
            <w:pPr>
              <w:jc w:val="right"/>
              <w:ind w:right="80"/>
              <w:spacing w:after="0" w:line="213" w:lineRule="exact"/>
              <w:rPr>
                <w:sz w:val="20"/>
                <w:szCs w:val="20"/>
                <w:color w:val="auto"/>
              </w:rPr>
            </w:pPr>
            <w:r>
              <w:rPr>
                <w:rFonts w:ascii="Calibri" w:cs="Calibri" w:eastAsia="Calibri" w:hAnsi="Calibri"/>
                <w:sz w:val="18"/>
                <w:szCs w:val="18"/>
                <w:color w:val="auto"/>
              </w:rPr>
              <w:t>$</w:t>
            </w:r>
          </w:p>
        </w:tc>
        <w:tc>
          <w:tcPr>
            <w:tcW w:w="1100" w:type="dxa"/>
            <w:vAlign w:val="bottom"/>
            <w:shd w:val="clear" w:color="auto" w:fill="CFF0FC"/>
          </w:tcPr>
          <w:p>
            <w:pPr>
              <w:jc w:val="right"/>
              <w:spacing w:after="0" w:line="213" w:lineRule="exact"/>
              <w:rPr>
                <w:sz w:val="20"/>
                <w:szCs w:val="20"/>
                <w:color w:val="auto"/>
              </w:rPr>
            </w:pPr>
            <w:r>
              <w:rPr>
                <w:rFonts w:ascii="Calibri" w:cs="Calibri" w:eastAsia="Calibri" w:hAnsi="Calibri"/>
                <w:sz w:val="18"/>
                <w:szCs w:val="18"/>
                <w:color w:val="auto"/>
              </w:rPr>
              <w:t>40</w:t>
            </w:r>
          </w:p>
        </w:tc>
        <w:tc>
          <w:tcPr>
            <w:tcW w:w="100" w:type="dxa"/>
            <w:vAlign w:val="bottom"/>
            <w:shd w:val="clear" w:color="auto" w:fill="CFF0FC"/>
          </w:tcPr>
          <w:p>
            <w:pPr>
              <w:spacing w:after="0"/>
              <w:rPr>
                <w:sz w:val="18"/>
                <w:szCs w:val="18"/>
                <w:color w:val="auto"/>
              </w:rPr>
            </w:pPr>
          </w:p>
        </w:tc>
        <w:tc>
          <w:tcPr>
            <w:tcW w:w="120" w:type="dxa"/>
            <w:vAlign w:val="bottom"/>
          </w:tcPr>
          <w:p>
            <w:pPr>
              <w:spacing w:after="0"/>
              <w:rPr>
                <w:sz w:val="18"/>
                <w:szCs w:val="18"/>
                <w:color w:val="auto"/>
              </w:rPr>
            </w:pPr>
          </w:p>
        </w:tc>
      </w:tr>
      <w:tr>
        <w:trPr>
          <w:trHeight w:val="215"/>
        </w:trPr>
        <w:tc>
          <w:tcPr>
            <w:tcW w:w="4120" w:type="dxa"/>
            <w:vAlign w:val="bottom"/>
          </w:tcPr>
          <w:p>
            <w:pPr>
              <w:ind w:left="20"/>
              <w:spacing w:after="0" w:line="215" w:lineRule="exact"/>
              <w:rPr>
                <w:sz w:val="20"/>
                <w:szCs w:val="20"/>
                <w:color w:val="auto"/>
              </w:rPr>
            </w:pPr>
            <w:r>
              <w:rPr>
                <w:rFonts w:ascii="Calibri" w:cs="Calibri" w:eastAsia="Calibri" w:hAnsi="Calibri"/>
                <w:sz w:val="18"/>
                <w:szCs w:val="18"/>
                <w:color w:val="auto"/>
              </w:rPr>
              <w:t>2026</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242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39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7"/>
        </w:trPr>
        <w:tc>
          <w:tcPr>
            <w:tcW w:w="412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2027</w:t>
            </w:r>
          </w:p>
        </w:tc>
        <w:tc>
          <w:tcPr>
            <w:tcW w:w="9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tcBorders>
              <w:right w:val="single" w:sz="8" w:color="CFF0FC"/>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232</w:t>
            </w:r>
          </w:p>
        </w:tc>
        <w:tc>
          <w:tcPr>
            <w:tcW w:w="26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38</w:t>
            </w:r>
          </w:p>
        </w:tc>
        <w:tc>
          <w:tcPr>
            <w:tcW w:w="100" w:type="dxa"/>
            <w:vAlign w:val="bottom"/>
            <w:shd w:val="clear" w:color="auto" w:fill="CFF0FC"/>
          </w:tcPr>
          <w:p>
            <w:pPr>
              <w:spacing w:after="0"/>
              <w:rPr>
                <w:sz w:val="18"/>
                <w:szCs w:val="18"/>
                <w:color w:val="auto"/>
              </w:rPr>
            </w:pPr>
          </w:p>
        </w:tc>
        <w:tc>
          <w:tcPr>
            <w:tcW w:w="120" w:type="dxa"/>
            <w:vAlign w:val="bottom"/>
          </w:tcPr>
          <w:p>
            <w:pPr>
              <w:spacing w:after="0"/>
              <w:rPr>
                <w:sz w:val="18"/>
                <w:szCs w:val="18"/>
                <w:color w:val="auto"/>
              </w:rPr>
            </w:pPr>
          </w:p>
        </w:tc>
      </w:tr>
      <w:tr>
        <w:trPr>
          <w:trHeight w:val="215"/>
        </w:trPr>
        <w:tc>
          <w:tcPr>
            <w:tcW w:w="4120" w:type="dxa"/>
            <w:vAlign w:val="bottom"/>
          </w:tcPr>
          <w:p>
            <w:pPr>
              <w:ind w:left="20"/>
              <w:spacing w:after="0" w:line="215" w:lineRule="exact"/>
              <w:rPr>
                <w:sz w:val="20"/>
                <w:szCs w:val="20"/>
                <w:color w:val="auto"/>
              </w:rPr>
            </w:pPr>
            <w:r>
              <w:rPr>
                <w:rFonts w:ascii="Calibri" w:cs="Calibri" w:eastAsia="Calibri" w:hAnsi="Calibri"/>
                <w:sz w:val="18"/>
                <w:szCs w:val="18"/>
                <w:color w:val="auto"/>
              </w:rPr>
              <w:t>2028</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221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37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7"/>
        </w:trPr>
        <w:tc>
          <w:tcPr>
            <w:tcW w:w="412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2029</w:t>
            </w:r>
          </w:p>
        </w:tc>
        <w:tc>
          <w:tcPr>
            <w:tcW w:w="9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tcBorders>
              <w:right w:val="single" w:sz="8" w:color="CFF0FC"/>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210</w:t>
            </w:r>
          </w:p>
        </w:tc>
        <w:tc>
          <w:tcPr>
            <w:tcW w:w="26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36</w:t>
            </w:r>
          </w:p>
        </w:tc>
        <w:tc>
          <w:tcPr>
            <w:tcW w:w="100" w:type="dxa"/>
            <w:vAlign w:val="bottom"/>
            <w:shd w:val="clear" w:color="auto" w:fill="CFF0FC"/>
          </w:tcPr>
          <w:p>
            <w:pPr>
              <w:spacing w:after="0"/>
              <w:rPr>
                <w:sz w:val="18"/>
                <w:szCs w:val="18"/>
                <w:color w:val="auto"/>
              </w:rPr>
            </w:pPr>
          </w:p>
        </w:tc>
        <w:tc>
          <w:tcPr>
            <w:tcW w:w="120" w:type="dxa"/>
            <w:vAlign w:val="bottom"/>
          </w:tcPr>
          <w:p>
            <w:pPr>
              <w:spacing w:after="0"/>
              <w:rPr>
                <w:sz w:val="18"/>
                <w:szCs w:val="18"/>
                <w:color w:val="auto"/>
              </w:rPr>
            </w:pPr>
          </w:p>
        </w:tc>
      </w:tr>
      <w:tr>
        <w:trPr>
          <w:trHeight w:val="215"/>
        </w:trPr>
        <w:tc>
          <w:tcPr>
            <w:tcW w:w="4120" w:type="dxa"/>
            <w:vAlign w:val="bottom"/>
          </w:tcPr>
          <w:p>
            <w:pPr>
              <w:ind w:left="20"/>
              <w:spacing w:after="0" w:line="215" w:lineRule="exact"/>
              <w:rPr>
                <w:sz w:val="20"/>
                <w:szCs w:val="20"/>
                <w:color w:val="auto"/>
              </w:rPr>
            </w:pPr>
            <w:r>
              <w:rPr>
                <w:rFonts w:ascii="Calibri" w:cs="Calibri" w:eastAsia="Calibri" w:hAnsi="Calibri"/>
                <w:sz w:val="18"/>
                <w:szCs w:val="18"/>
                <w:color w:val="auto"/>
              </w:rPr>
              <w:t>2030 - 2034</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894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163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-3830320</wp:posOffset>
            </wp:positionV>
            <wp:extent cx="68580"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-3830320</wp:posOffset>
            </wp:positionV>
            <wp:extent cx="68580"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-3830320</wp:posOffset>
            </wp:positionV>
            <wp:extent cx="68580"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-3830320</wp:posOffset>
            </wp:positionV>
            <wp:extent cx="68580"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-3830320</wp:posOffset>
            </wp:positionV>
            <wp:extent cx="77470"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-2690495</wp:posOffset>
            </wp:positionV>
            <wp:extent cx="68580"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-2690495</wp:posOffset>
            </wp:positionV>
            <wp:extent cx="68580"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-2690495</wp:posOffset>
            </wp:positionV>
            <wp:extent cx="6858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-2690495</wp:posOffset>
            </wp:positionV>
            <wp:extent cx="6858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-2690495</wp:posOffset>
            </wp:positionV>
            <wp:extent cx="77470"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-1550035</wp:posOffset>
            </wp:positionV>
            <wp:extent cx="68580"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-1550035</wp:posOffset>
            </wp:positionV>
            <wp:extent cx="6858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-1550035</wp:posOffset>
            </wp:positionV>
            <wp:extent cx="6858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-1550035</wp:posOffset>
            </wp:positionV>
            <wp:extent cx="68580"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-1550035</wp:posOffset>
            </wp:positionV>
            <wp:extent cx="7747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04" w:name="page105"/>
    <w:bookmarkEnd w:id="104"/>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20: OTHER POSTRETIREMENT BENEFITS</w:t>
      </w:r>
    </w:p>
    <w:p>
      <w:pPr>
        <w:spacing w:after="0" w:line="185" w:lineRule="exact"/>
        <w:rPr>
          <w:sz w:val="20"/>
          <w:szCs w:val="20"/>
          <w:color w:val="auto"/>
        </w:rPr>
      </w:pPr>
    </w:p>
    <w:p>
      <w:pPr>
        <w:spacing w:after="0"/>
        <w:rPr>
          <w:sz w:val="20"/>
          <w:szCs w:val="20"/>
          <w:color w:val="auto"/>
        </w:rPr>
      </w:pPr>
      <w:r>
        <w:rPr>
          <w:rFonts w:ascii="Calibri" w:cs="Calibri" w:eastAsia="Calibri" w:hAnsi="Calibri"/>
          <w:sz w:val="18"/>
          <w:szCs w:val="18"/>
          <w:color w:val="auto"/>
        </w:rPr>
        <w:t>In Canada, Kodak provides medical, dental, life insurance, and survivor income benefts to eligible retrees. The plan is closed to new partcipants.</w:t>
      </w:r>
    </w:p>
    <w:p>
      <w:pPr>
        <w:spacing w:after="0" w:line="235" w:lineRule="auto"/>
        <w:rPr>
          <w:sz w:val="20"/>
          <w:szCs w:val="20"/>
          <w:color w:val="auto"/>
        </w:rPr>
      </w:pPr>
      <w:r>
        <w:rPr>
          <w:rFonts w:ascii="Calibri" w:cs="Calibri" w:eastAsia="Calibri" w:hAnsi="Calibri"/>
          <w:sz w:val="18"/>
          <w:szCs w:val="18"/>
          <w:color w:val="auto"/>
        </w:rPr>
        <w:t>Informaton on the Canada other postretrement beneft plan is presented below.</w:t>
      </w:r>
    </w:p>
    <w:p>
      <w:pPr>
        <w:spacing w:after="0" w:line="173" w:lineRule="exact"/>
        <w:rPr>
          <w:sz w:val="20"/>
          <w:szCs w:val="20"/>
          <w:color w:val="auto"/>
        </w:rPr>
      </w:pPr>
    </w:p>
    <w:p>
      <w:pPr>
        <w:spacing w:after="0"/>
        <w:rPr>
          <w:sz w:val="20"/>
          <w:szCs w:val="20"/>
          <w:color w:val="auto"/>
        </w:rPr>
      </w:pPr>
      <w:r>
        <w:rPr>
          <w:rFonts w:ascii="Calibri" w:cs="Calibri" w:eastAsia="Calibri" w:hAnsi="Calibri"/>
          <w:sz w:val="18"/>
          <w:szCs w:val="18"/>
          <w:color w:val="auto"/>
        </w:rPr>
        <w:t>The measurement date used to determine the net beneft obligaton for the Canada other postretrement beneft plan is December 31.</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color w:val="auto"/>
        </w:rPr>
        <w:t>Changes in Kodak’s beneft obligaton and funded status were as follows:</w:t>
      </w:r>
    </w:p>
    <w:p>
      <w:pPr>
        <w:spacing w:after="0" w:line="212" w:lineRule="exact"/>
        <w:rPr>
          <w:sz w:val="20"/>
          <w:szCs w:val="20"/>
          <w:color w:val="auto"/>
        </w:rPr>
      </w:pPr>
    </w:p>
    <w:p>
      <w:pPr>
        <w:ind w:left="8380"/>
        <w:spacing w:after="0"/>
        <w:rPr>
          <w:sz w:val="20"/>
          <w:szCs w:val="20"/>
          <w:color w:val="auto"/>
        </w:rPr>
      </w:pPr>
      <w:r>
        <w:rPr>
          <w:rFonts w:ascii="Calibri" w:cs="Calibri" w:eastAsia="Calibri" w:hAnsi="Calibri"/>
          <w:sz w:val="18"/>
          <w:szCs w:val="18"/>
          <w:b w:val="1"/>
          <w:bCs w:val="1"/>
          <w:color w:val="auto"/>
        </w:rPr>
        <w:t>Year Ended December 31,</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620" w:type="dxa"/>
            <w:vAlign w:val="bottom"/>
          </w:tcPr>
          <w:p>
            <w:pPr>
              <w:ind w:left="20"/>
              <w:spacing w:after="0"/>
              <w:rPr>
                <w:sz w:val="20"/>
                <w:szCs w:val="20"/>
                <w:color w:val="auto"/>
              </w:rPr>
            </w:pPr>
            <w:r>
              <w:rPr>
                <w:rFonts w:ascii="Calibri" w:cs="Calibri" w:eastAsia="Calibri" w:hAnsi="Calibri"/>
                <w:sz w:val="14"/>
                <w:szCs w:val="14"/>
                <w:color w:val="auto"/>
              </w:rPr>
              <w:t>(in millions)</w:t>
            </w: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Calibri" w:cs="Calibri" w:eastAsia="Calibri" w:hAnsi="Calibri"/>
                <w:sz w:val="18"/>
                <w:szCs w:val="18"/>
                <w:b w:val="1"/>
                <w:bCs w:val="1"/>
                <w:color w:val="auto"/>
              </w:rPr>
              <w:t>2024</w:t>
            </w:r>
          </w:p>
        </w:tc>
        <w:tc>
          <w:tcPr>
            <w:tcW w:w="28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Calibri" w:cs="Calibri" w:eastAsia="Calibri" w:hAnsi="Calibri"/>
                <w:sz w:val="18"/>
                <w:szCs w:val="18"/>
                <w:b w:val="1"/>
                <w:bCs w:val="1"/>
                <w:color w:val="auto"/>
              </w:rPr>
              <w:t>2023</w:t>
            </w:r>
          </w:p>
        </w:tc>
        <w:tc>
          <w:tcPr>
            <w:tcW w:w="100" w:type="dxa"/>
            <w:vAlign w:val="bottom"/>
          </w:tcPr>
          <w:p>
            <w:pPr>
              <w:spacing w:after="0"/>
              <w:rPr>
                <w:sz w:val="19"/>
                <w:szCs w:val="19"/>
                <w:color w:val="auto"/>
              </w:rPr>
            </w:pPr>
          </w:p>
        </w:tc>
      </w:tr>
      <w:tr>
        <w:trPr>
          <w:trHeight w:val="210"/>
        </w:trPr>
        <w:tc>
          <w:tcPr>
            <w:tcW w:w="762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color w:val="auto"/>
              </w:rPr>
              <w:t>Net beneft obligaton at beginning of period</w:t>
            </w:r>
          </w:p>
        </w:tc>
        <w:tc>
          <w:tcPr>
            <w:tcW w:w="360" w:type="dxa"/>
            <w:vAlign w:val="bottom"/>
            <w:shd w:val="clear" w:color="auto" w:fill="CFF0FC"/>
          </w:tcPr>
          <w:p>
            <w:pPr>
              <w:jc w:val="right"/>
              <w:ind w:right="170"/>
              <w:spacing w:after="0" w:line="210" w:lineRule="exact"/>
              <w:rPr>
                <w:sz w:val="20"/>
                <w:szCs w:val="20"/>
                <w:color w:val="auto"/>
              </w:rPr>
            </w:pPr>
            <w:r>
              <w:rPr>
                <w:rFonts w:ascii="Calibri" w:cs="Calibri" w:eastAsia="Calibri" w:hAnsi="Calibri"/>
                <w:sz w:val="18"/>
                <w:szCs w:val="18"/>
                <w:color w:val="auto"/>
                <w:w w:val="87"/>
              </w:rPr>
              <w:t>$</w:t>
            </w:r>
          </w:p>
        </w:tc>
        <w:tc>
          <w:tcPr>
            <w:tcW w:w="120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43</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line="210" w:lineRule="exact"/>
              <w:rPr>
                <w:sz w:val="20"/>
                <w:szCs w:val="20"/>
                <w:color w:val="auto"/>
              </w:rPr>
            </w:pPr>
            <w:r>
              <w:rPr>
                <w:rFonts w:ascii="Calibri" w:cs="Calibri" w:eastAsia="Calibri" w:hAnsi="Calibri"/>
                <w:sz w:val="18"/>
                <w:szCs w:val="18"/>
                <w:color w:val="auto"/>
                <w:w w:val="87"/>
              </w:rPr>
              <w:t>$</w:t>
            </w:r>
          </w:p>
        </w:tc>
        <w:tc>
          <w:tcPr>
            <w:tcW w:w="122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43</w:t>
            </w:r>
          </w:p>
        </w:tc>
        <w:tc>
          <w:tcPr>
            <w:tcW w:w="100" w:type="dxa"/>
            <w:vAlign w:val="bottom"/>
            <w:shd w:val="clear" w:color="auto" w:fill="CFF0FC"/>
          </w:tcPr>
          <w:p>
            <w:pPr>
              <w:spacing w:after="0"/>
              <w:rPr>
                <w:sz w:val="18"/>
                <w:szCs w:val="18"/>
                <w:color w:val="auto"/>
              </w:rPr>
            </w:pPr>
          </w:p>
        </w:tc>
      </w:tr>
      <w:tr>
        <w:trPr>
          <w:trHeight w:val="215"/>
        </w:trPr>
        <w:tc>
          <w:tcPr>
            <w:tcW w:w="7620" w:type="dxa"/>
            <w:vAlign w:val="bottom"/>
          </w:tcPr>
          <w:p>
            <w:pPr>
              <w:ind w:left="200"/>
              <w:spacing w:after="0" w:line="215" w:lineRule="exact"/>
              <w:rPr>
                <w:sz w:val="20"/>
                <w:szCs w:val="20"/>
                <w:color w:val="auto"/>
              </w:rPr>
            </w:pPr>
            <w:r>
              <w:rPr>
                <w:rFonts w:ascii="Calibri" w:cs="Calibri" w:eastAsia="Calibri" w:hAnsi="Calibri"/>
                <w:sz w:val="18"/>
                <w:szCs w:val="18"/>
                <w:color w:val="auto"/>
              </w:rPr>
              <w:t>Interest cost</w:t>
            </w:r>
          </w:p>
        </w:tc>
        <w:tc>
          <w:tcPr>
            <w:tcW w:w="360" w:type="dxa"/>
            <w:vAlign w:val="bottom"/>
          </w:tcPr>
          <w:p>
            <w:pPr>
              <w:spacing w:after="0"/>
              <w:rPr>
                <w:sz w:val="18"/>
                <w:szCs w:val="18"/>
                <w:color w:val="auto"/>
              </w:rPr>
            </w:pPr>
          </w:p>
        </w:tc>
        <w:tc>
          <w:tcPr>
            <w:tcW w:w="1200" w:type="dxa"/>
            <w:vAlign w:val="bottom"/>
          </w:tcPr>
          <w:p>
            <w:pPr>
              <w:jc w:val="right"/>
              <w:spacing w:after="0" w:line="215" w:lineRule="exact"/>
              <w:rPr>
                <w:sz w:val="20"/>
                <w:szCs w:val="20"/>
                <w:color w:val="auto"/>
              </w:rPr>
            </w:pPr>
            <w:r>
              <w:rPr>
                <w:rFonts w:ascii="Calibri" w:cs="Calibri" w:eastAsia="Calibri" w:hAnsi="Calibri"/>
                <w:sz w:val="18"/>
                <w:szCs w:val="18"/>
                <w:color w:val="auto"/>
              </w:rPr>
              <w:t>1</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line="215" w:lineRule="exact"/>
              <w:rPr>
                <w:sz w:val="20"/>
                <w:szCs w:val="20"/>
                <w:color w:val="auto"/>
              </w:rPr>
            </w:pPr>
            <w:r>
              <w:rPr>
                <w:rFonts w:ascii="Calibri" w:cs="Calibri" w:eastAsia="Calibri" w:hAnsi="Calibri"/>
                <w:sz w:val="18"/>
                <w:szCs w:val="18"/>
                <w:color w:val="auto"/>
              </w:rPr>
              <w:t>2</w:t>
            </w:r>
          </w:p>
        </w:tc>
        <w:tc>
          <w:tcPr>
            <w:tcW w:w="100" w:type="dxa"/>
            <w:vAlign w:val="bottom"/>
          </w:tcPr>
          <w:p>
            <w:pPr>
              <w:spacing w:after="0"/>
              <w:rPr>
                <w:sz w:val="18"/>
                <w:szCs w:val="18"/>
                <w:color w:val="auto"/>
              </w:rPr>
            </w:pPr>
          </w:p>
        </w:tc>
      </w:tr>
      <w:tr>
        <w:trPr>
          <w:trHeight w:val="217"/>
        </w:trPr>
        <w:tc>
          <w:tcPr>
            <w:tcW w:w="7620" w:type="dxa"/>
            <w:vAlign w:val="bottom"/>
            <w:shd w:val="clear" w:color="auto" w:fill="CFF0FC"/>
          </w:tcPr>
          <w:p>
            <w:pPr>
              <w:ind w:left="200"/>
              <w:spacing w:after="0" w:line="216" w:lineRule="exact"/>
              <w:rPr>
                <w:sz w:val="20"/>
                <w:szCs w:val="20"/>
                <w:color w:val="auto"/>
              </w:rPr>
            </w:pPr>
            <w:r>
              <w:rPr>
                <w:rFonts w:ascii="Calibri" w:cs="Calibri" w:eastAsia="Calibri" w:hAnsi="Calibri"/>
                <w:sz w:val="18"/>
                <w:szCs w:val="18"/>
                <w:color w:val="auto"/>
              </w:rPr>
              <w:t>Actuarial loss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20"/>
              <w:spacing w:after="0" w:line="216" w:lineRule="exact"/>
              <w:rPr>
                <w:sz w:val="20"/>
                <w:szCs w:val="20"/>
                <w:color w:val="auto"/>
              </w:rPr>
            </w:pPr>
            <w:r>
              <w:rPr>
                <w:rFonts w:ascii="Calibri" w:cs="Calibri" w:eastAsia="Calibri" w:hAnsi="Calibri"/>
                <w:sz w:val="18"/>
                <w:szCs w:val="18"/>
                <w:color w:val="auto"/>
              </w:rPr>
              <w:t>—</w:t>
            </w:r>
          </w:p>
        </w:tc>
      </w:tr>
      <w:tr>
        <w:trPr>
          <w:trHeight w:val="215"/>
        </w:trPr>
        <w:tc>
          <w:tcPr>
            <w:tcW w:w="7620" w:type="dxa"/>
            <w:vAlign w:val="bottom"/>
          </w:tcPr>
          <w:p>
            <w:pPr>
              <w:ind w:left="200"/>
              <w:spacing w:after="0" w:line="215" w:lineRule="exact"/>
              <w:rPr>
                <w:sz w:val="20"/>
                <w:szCs w:val="20"/>
                <w:color w:val="auto"/>
              </w:rPr>
            </w:pPr>
            <w:r>
              <w:rPr>
                <w:rFonts w:ascii="Calibri" w:cs="Calibri" w:eastAsia="Calibri" w:hAnsi="Calibri"/>
                <w:sz w:val="18"/>
                <w:szCs w:val="18"/>
                <w:color w:val="auto"/>
              </w:rPr>
              <w:t>Beneft payments</w:t>
            </w:r>
          </w:p>
        </w:tc>
        <w:tc>
          <w:tcPr>
            <w:tcW w:w="360" w:type="dxa"/>
            <w:vAlign w:val="bottom"/>
          </w:tcPr>
          <w:p>
            <w:pPr>
              <w:spacing w:after="0"/>
              <w:rPr>
                <w:sz w:val="18"/>
                <w:szCs w:val="18"/>
                <w:color w:val="auto"/>
              </w:rPr>
            </w:pPr>
          </w:p>
        </w:tc>
        <w:tc>
          <w:tcPr>
            <w:tcW w:w="1480" w:type="dxa"/>
            <w:vAlign w:val="bottom"/>
            <w:gridSpan w:val="2"/>
          </w:tcPr>
          <w:p>
            <w:pPr>
              <w:jc w:val="right"/>
              <w:ind w:right="220"/>
              <w:spacing w:after="0" w:line="215" w:lineRule="exact"/>
              <w:rPr>
                <w:sz w:val="20"/>
                <w:szCs w:val="20"/>
                <w:color w:val="auto"/>
              </w:rPr>
            </w:pPr>
            <w:r>
              <w:rPr>
                <w:rFonts w:ascii="Calibri" w:cs="Calibri" w:eastAsia="Calibri" w:hAnsi="Calibri"/>
                <w:sz w:val="18"/>
                <w:szCs w:val="18"/>
                <w:color w:val="auto"/>
              </w:rPr>
              <w:t>(2 )</w:t>
            </w:r>
          </w:p>
        </w:tc>
        <w:tc>
          <w:tcPr>
            <w:tcW w:w="340" w:type="dxa"/>
            <w:vAlign w:val="bottom"/>
          </w:tcPr>
          <w:p>
            <w:pPr>
              <w:spacing w:after="0"/>
              <w:rPr>
                <w:sz w:val="18"/>
                <w:szCs w:val="18"/>
                <w:color w:val="auto"/>
              </w:rPr>
            </w:pPr>
          </w:p>
        </w:tc>
        <w:tc>
          <w:tcPr>
            <w:tcW w:w="132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(2 )</w:t>
            </w:r>
          </w:p>
        </w:tc>
      </w:tr>
      <w:tr>
        <w:trPr>
          <w:trHeight w:val="249"/>
        </w:trPr>
        <w:tc>
          <w:tcPr>
            <w:tcW w:w="7620" w:type="dxa"/>
            <w:vAlign w:val="bottom"/>
            <w:tcBorders>
              <w:bottom w:val="single" w:sz="8" w:color="CFF0FC"/>
            </w:tcBorders>
            <w:shd w:val="clear" w:color="auto" w:fill="CFF0FC"/>
          </w:tcPr>
          <w:p>
            <w:pPr>
              <w:ind w:left="20"/>
              <w:spacing w:after="0" w:line="209" w:lineRule="exact"/>
              <w:rPr>
                <w:sz w:val="20"/>
                <w:szCs w:val="20"/>
                <w:color w:val="auto"/>
              </w:rPr>
            </w:pPr>
            <w:r>
              <w:rPr>
                <w:rFonts w:ascii="Calibri" w:cs="Calibri" w:eastAsia="Calibri" w:hAnsi="Calibri"/>
                <w:sz w:val="18"/>
                <w:szCs w:val="18"/>
                <w:color w:val="auto"/>
              </w:rPr>
              <w:t>Net beneft obligaton at end of period</w:t>
            </w:r>
          </w:p>
        </w:tc>
        <w:tc>
          <w:tcPr>
            <w:tcW w:w="360" w:type="dxa"/>
            <w:vAlign w:val="bottom"/>
            <w:tcBorders>
              <w:top w:val="single" w:sz="8" w:color="auto"/>
              <w:bottom w:val="single" w:sz="8" w:color="auto"/>
            </w:tcBorders>
            <w:shd w:val="clear" w:color="auto" w:fill="CFF0FC"/>
          </w:tcPr>
          <w:p>
            <w:pPr>
              <w:jc w:val="right"/>
              <w:ind w:right="170"/>
              <w:spacing w:after="0" w:line="209" w:lineRule="exact"/>
              <w:rPr>
                <w:sz w:val="20"/>
                <w:szCs w:val="20"/>
                <w:color w:val="auto"/>
              </w:rPr>
            </w:pPr>
            <w:r>
              <w:rPr>
                <w:rFonts w:ascii="Calibri" w:cs="Calibri" w:eastAsia="Calibri" w:hAnsi="Calibri"/>
                <w:sz w:val="18"/>
                <w:szCs w:val="18"/>
                <w:color w:val="auto"/>
                <w:w w:val="87"/>
              </w:rPr>
              <w:t>$</w:t>
            </w:r>
          </w:p>
        </w:tc>
        <w:tc>
          <w:tcPr>
            <w:tcW w:w="1200" w:type="dxa"/>
            <w:vAlign w:val="bottom"/>
            <w:tcBorders>
              <w:top w:val="single" w:sz="8" w:color="auto"/>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43</w:t>
            </w:r>
          </w:p>
        </w:tc>
        <w:tc>
          <w:tcPr>
            <w:tcW w:w="2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top w:val="single" w:sz="8" w:color="auto"/>
              <w:bottom w:val="single" w:sz="8" w:color="auto"/>
            </w:tcBorders>
            <w:shd w:val="clear" w:color="auto" w:fill="CFF0FC"/>
          </w:tcPr>
          <w:p>
            <w:pPr>
              <w:jc w:val="right"/>
              <w:ind w:right="150"/>
              <w:spacing w:after="0" w:line="209" w:lineRule="exact"/>
              <w:rPr>
                <w:sz w:val="20"/>
                <w:szCs w:val="20"/>
                <w:color w:val="auto"/>
              </w:rPr>
            </w:pPr>
            <w:r>
              <w:rPr>
                <w:rFonts w:ascii="Calibri" w:cs="Calibri" w:eastAsia="Calibri" w:hAnsi="Calibri"/>
                <w:sz w:val="18"/>
                <w:szCs w:val="18"/>
                <w:color w:val="auto"/>
                <w:w w:val="87"/>
              </w:rPr>
              <w:t>$</w:t>
            </w:r>
          </w:p>
        </w:tc>
        <w:tc>
          <w:tcPr>
            <w:tcW w:w="1220" w:type="dxa"/>
            <w:vAlign w:val="bottom"/>
            <w:tcBorders>
              <w:top w:val="single" w:sz="8" w:color="auto"/>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43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390"/>
        </w:trPr>
        <w:tc>
          <w:tcPr>
            <w:tcW w:w="7620" w:type="dxa"/>
            <w:vAlign w:val="bottom"/>
          </w:tcPr>
          <w:p>
            <w:pPr>
              <w:ind w:left="20"/>
              <w:spacing w:after="0"/>
              <w:rPr>
                <w:sz w:val="20"/>
                <w:szCs w:val="20"/>
                <w:color w:val="auto"/>
              </w:rPr>
            </w:pPr>
            <w:r>
              <w:rPr>
                <w:rFonts w:ascii="Calibri" w:cs="Calibri" w:eastAsia="Calibri" w:hAnsi="Calibri"/>
                <w:sz w:val="18"/>
                <w:szCs w:val="18"/>
                <w:color w:val="auto"/>
              </w:rPr>
              <w:t>Underfunded status at end of period</w:t>
            </w:r>
          </w:p>
        </w:tc>
        <w:tc>
          <w:tcPr>
            <w:tcW w:w="360" w:type="dxa"/>
            <w:vAlign w:val="bottom"/>
          </w:tcPr>
          <w:p>
            <w:pPr>
              <w:spacing w:after="0"/>
              <w:rPr>
                <w:sz w:val="24"/>
                <w:szCs w:val="24"/>
                <w:color w:val="auto"/>
              </w:rPr>
            </w:pPr>
          </w:p>
        </w:tc>
        <w:tc>
          <w:tcPr>
            <w:tcW w:w="1480" w:type="dxa"/>
            <w:vAlign w:val="bottom"/>
            <w:gridSpan w:val="2"/>
          </w:tcPr>
          <w:p>
            <w:pPr>
              <w:jc w:val="right"/>
              <w:ind w:right="220"/>
              <w:spacing w:after="0"/>
              <w:rPr>
                <w:sz w:val="20"/>
                <w:szCs w:val="20"/>
                <w:color w:val="auto"/>
              </w:rPr>
            </w:pPr>
            <w:r>
              <w:rPr>
                <w:rFonts w:ascii="Calibri" w:cs="Calibri" w:eastAsia="Calibri" w:hAnsi="Calibri"/>
                <w:sz w:val="18"/>
                <w:szCs w:val="18"/>
                <w:color w:val="auto"/>
              </w:rPr>
              <w:t>(43 )</w:t>
            </w:r>
          </w:p>
        </w:tc>
        <w:tc>
          <w:tcPr>
            <w:tcW w:w="340" w:type="dxa"/>
            <w:vAlign w:val="bottom"/>
          </w:tcPr>
          <w:p>
            <w:pPr>
              <w:spacing w:after="0"/>
              <w:rPr>
                <w:sz w:val="24"/>
                <w:szCs w:val="24"/>
                <w:color w:val="auto"/>
              </w:rPr>
            </w:pPr>
          </w:p>
        </w:tc>
        <w:tc>
          <w:tcPr>
            <w:tcW w:w="1320" w:type="dxa"/>
            <w:vAlign w:val="bottom"/>
            <w:gridSpan w:val="2"/>
          </w:tcPr>
          <w:p>
            <w:pPr>
              <w:jc w:val="right"/>
              <w:ind w:right="40"/>
              <w:spacing w:after="0"/>
              <w:rPr>
                <w:sz w:val="20"/>
                <w:szCs w:val="20"/>
                <w:color w:val="auto"/>
              </w:rPr>
            </w:pPr>
            <w:r>
              <w:rPr>
                <w:rFonts w:ascii="Calibri" w:cs="Calibri" w:eastAsia="Calibri" w:hAnsi="Calibri"/>
                <w:sz w:val="18"/>
                <w:szCs w:val="18"/>
                <w:color w:val="auto"/>
              </w:rPr>
              <w:t>(43 )</w:t>
            </w:r>
          </w:p>
        </w:tc>
      </w:tr>
      <w:tr>
        <w:trPr>
          <w:trHeight w:val="432"/>
        </w:trPr>
        <w:tc>
          <w:tcPr>
            <w:tcW w:w="7620" w:type="dxa"/>
            <w:vAlign w:val="bottom"/>
          </w:tcPr>
          <w:p>
            <w:pPr>
              <w:spacing w:after="0"/>
              <w:rPr>
                <w:sz w:val="20"/>
                <w:szCs w:val="20"/>
                <w:color w:val="auto"/>
              </w:rPr>
            </w:pPr>
            <w:r>
              <w:rPr>
                <w:rFonts w:ascii="Calibri" w:cs="Calibri" w:eastAsia="Calibri" w:hAnsi="Calibri"/>
                <w:sz w:val="18"/>
                <w:szCs w:val="18"/>
                <w:color w:val="auto"/>
              </w:rPr>
              <w:t>Amounts recognized in the Consolidated Statement of Financial Positon consist of:</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-558800</wp:posOffset>
            </wp:positionV>
            <wp:extent cx="68580"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-541655</wp:posOffset>
            </wp:positionV>
            <wp:extent cx="6858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-558800</wp:posOffset>
            </wp:positionV>
            <wp:extent cx="68580"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-541655</wp:posOffset>
            </wp:positionV>
            <wp:extent cx="68580"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92" w:lineRule="exact"/>
        <w:rPr>
          <w:sz w:val="20"/>
          <w:szCs w:val="20"/>
          <w:color w:val="auto"/>
        </w:rPr>
      </w:pPr>
    </w:p>
    <w:p>
      <w:pPr>
        <w:ind w:left="8600"/>
        <w:spacing w:after="0"/>
        <w:rPr>
          <w:sz w:val="20"/>
          <w:szCs w:val="20"/>
          <w:color w:val="auto"/>
        </w:rPr>
      </w:pPr>
      <w:r>
        <w:rPr>
          <w:rFonts w:ascii="Calibri" w:cs="Calibri" w:eastAsia="Calibri" w:hAnsi="Calibri"/>
          <w:sz w:val="18"/>
          <w:szCs w:val="18"/>
          <w:b w:val="1"/>
          <w:bCs w:val="1"/>
          <w:color w:val="auto"/>
        </w:rPr>
        <w:t>As of December 31,</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620" w:type="dxa"/>
            <w:vAlign w:val="bottom"/>
          </w:tcPr>
          <w:p>
            <w:pPr>
              <w:ind w:left="20"/>
              <w:spacing w:after="0"/>
              <w:rPr>
                <w:sz w:val="20"/>
                <w:szCs w:val="20"/>
                <w:color w:val="auto"/>
              </w:rPr>
            </w:pPr>
            <w:r>
              <w:rPr>
                <w:rFonts w:ascii="Calibri" w:cs="Calibri" w:eastAsia="Calibri" w:hAnsi="Calibri"/>
                <w:sz w:val="14"/>
                <w:szCs w:val="14"/>
                <w:color w:val="auto"/>
              </w:rPr>
              <w:t>(in millions)</w:t>
            </w: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Calibri" w:cs="Calibri" w:eastAsia="Calibri" w:hAnsi="Calibri"/>
                <w:sz w:val="18"/>
                <w:szCs w:val="18"/>
                <w:b w:val="1"/>
                <w:bCs w:val="1"/>
                <w:color w:val="auto"/>
              </w:rPr>
              <w:t>2024</w:t>
            </w:r>
          </w:p>
        </w:tc>
        <w:tc>
          <w:tcPr>
            <w:tcW w:w="280" w:type="dxa"/>
            <w:vAlign w:val="bottom"/>
            <w:tcBorders>
              <w:top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510"/>
              <w:spacing w:after="0"/>
              <w:rPr>
                <w:sz w:val="20"/>
                <w:szCs w:val="20"/>
                <w:color w:val="auto"/>
              </w:rPr>
            </w:pPr>
            <w:r>
              <w:rPr>
                <w:rFonts w:ascii="Calibri" w:cs="Calibri" w:eastAsia="Calibri" w:hAnsi="Calibri"/>
                <w:sz w:val="18"/>
                <w:szCs w:val="18"/>
                <w:b w:val="1"/>
                <w:bCs w:val="1"/>
                <w:color w:val="auto"/>
                <w:w w:val="98"/>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62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color w:val="auto"/>
              </w:rPr>
              <w:t>Other current liabilites</w:t>
            </w:r>
          </w:p>
        </w:tc>
        <w:tc>
          <w:tcPr>
            <w:tcW w:w="360" w:type="dxa"/>
            <w:vAlign w:val="bottom"/>
            <w:shd w:val="clear" w:color="auto" w:fill="CFF0FC"/>
          </w:tcPr>
          <w:p>
            <w:pPr>
              <w:jc w:val="right"/>
              <w:ind w:right="170"/>
              <w:spacing w:after="0" w:line="210" w:lineRule="exact"/>
              <w:rPr>
                <w:sz w:val="20"/>
                <w:szCs w:val="20"/>
                <w:color w:val="auto"/>
              </w:rPr>
            </w:pPr>
            <w:r>
              <w:rPr>
                <w:rFonts w:ascii="Calibri" w:cs="Calibri" w:eastAsia="Calibri" w:hAnsi="Calibri"/>
                <w:sz w:val="18"/>
                <w:szCs w:val="18"/>
                <w:color w:val="auto"/>
                <w:w w:val="87"/>
              </w:rPr>
              <w:t>$</w:t>
            </w:r>
          </w:p>
        </w:tc>
        <w:tc>
          <w:tcPr>
            <w:tcW w:w="120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3</w:t>
            </w:r>
          </w:p>
        </w:tc>
        <w:tc>
          <w:tcPr>
            <w:tcW w:w="28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390"/>
              <w:spacing w:after="0" w:line="210" w:lineRule="exact"/>
              <w:rPr>
                <w:sz w:val="20"/>
                <w:szCs w:val="20"/>
                <w:color w:val="auto"/>
              </w:rPr>
            </w:pPr>
            <w:r>
              <w:rPr>
                <w:rFonts w:ascii="Calibri" w:cs="Calibri" w:eastAsia="Calibri" w:hAnsi="Calibri"/>
                <w:sz w:val="18"/>
                <w:szCs w:val="18"/>
                <w:color w:val="auto"/>
                <w:w w:val="87"/>
              </w:rPr>
              <w:t>$</w:t>
            </w:r>
          </w:p>
        </w:tc>
        <w:tc>
          <w:tcPr>
            <w:tcW w:w="98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620" w:type="dxa"/>
            <w:vAlign w:val="bottom"/>
          </w:tcPr>
          <w:p>
            <w:pPr>
              <w:ind w:left="20"/>
              <w:spacing w:after="0" w:line="215" w:lineRule="exact"/>
              <w:rPr>
                <w:sz w:val="20"/>
                <w:szCs w:val="20"/>
                <w:color w:val="auto"/>
              </w:rPr>
            </w:pPr>
            <w:r>
              <w:rPr>
                <w:rFonts w:ascii="Calibri" w:cs="Calibri" w:eastAsia="Calibri" w:hAnsi="Calibri"/>
                <w:sz w:val="18"/>
                <w:szCs w:val="18"/>
                <w:color w:val="auto"/>
              </w:rPr>
              <w:t>Pension and other postretrement liabilites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40</w:t>
            </w:r>
          </w:p>
        </w:tc>
        <w:tc>
          <w:tcPr>
            <w:tcW w:w="28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6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0"/>
              <w:spacing w:after="0" w:line="209" w:lineRule="exact"/>
              <w:rPr>
                <w:sz w:val="20"/>
                <w:szCs w:val="20"/>
                <w:color w:val="auto"/>
              </w:rPr>
            </w:pPr>
            <w:r>
              <w:rPr>
                <w:rFonts w:ascii="Calibri" w:cs="Calibri" w:eastAsia="Calibri" w:hAnsi="Calibri"/>
                <w:sz w:val="18"/>
                <w:szCs w:val="18"/>
                <w:color w:val="auto"/>
                <w:w w:val="87"/>
              </w:rPr>
              <w:t>$</w:t>
            </w:r>
          </w:p>
        </w:tc>
        <w:tc>
          <w:tcPr>
            <w:tcW w:w="120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43</w:t>
            </w:r>
          </w:p>
        </w:tc>
        <w:tc>
          <w:tcPr>
            <w:tcW w:w="28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ind w:right="390"/>
              <w:spacing w:after="0" w:line="209" w:lineRule="exact"/>
              <w:rPr>
                <w:sz w:val="20"/>
                <w:szCs w:val="20"/>
                <w:color w:val="auto"/>
              </w:rPr>
            </w:pPr>
            <w:r>
              <w:rPr>
                <w:rFonts w:ascii="Calibri" w:cs="Calibri" w:eastAsia="Calibri" w:hAnsi="Calibri"/>
                <w:sz w:val="18"/>
                <w:szCs w:val="18"/>
                <w:color w:val="auto"/>
                <w:w w:val="87"/>
              </w:rPr>
              <w:t>$</w:t>
            </w:r>
          </w:p>
        </w:tc>
        <w:tc>
          <w:tcPr>
            <w:tcW w:w="98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43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390"/>
        </w:trPr>
        <w:tc>
          <w:tcPr>
            <w:tcW w:w="7620" w:type="dxa"/>
            <w:vAlign w:val="bottom"/>
          </w:tcPr>
          <w:p>
            <w:pPr>
              <w:spacing w:after="0"/>
              <w:rPr>
                <w:sz w:val="20"/>
                <w:szCs w:val="20"/>
                <w:color w:val="auto"/>
              </w:rPr>
            </w:pPr>
            <w:r>
              <w:rPr>
                <w:rFonts w:ascii="Calibri" w:cs="Calibri" w:eastAsia="Calibri" w:hAnsi="Calibri"/>
                <w:sz w:val="18"/>
                <w:szCs w:val="18"/>
                <w:color w:val="auto"/>
              </w:rPr>
              <w:t>Amounts recognized in Accumulated other comprehensive (loss) income consist of:</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60" w:type="dxa"/>
            <w:vAlign w:val="bottom"/>
            <w:gridSpan w:val="3"/>
          </w:tcPr>
          <w:p>
            <w:pPr>
              <w:jc w:val="right"/>
              <w:spacing w:after="0"/>
              <w:rPr>
                <w:sz w:val="20"/>
                <w:szCs w:val="20"/>
                <w:color w:val="auto"/>
              </w:rPr>
            </w:pPr>
            <w:r>
              <w:rPr>
                <w:rFonts w:ascii="Calibri" w:cs="Calibri" w:eastAsia="Calibri" w:hAnsi="Calibri"/>
                <w:sz w:val="18"/>
                <w:szCs w:val="18"/>
                <w:b w:val="1"/>
                <w:bCs w:val="1"/>
                <w:color w:val="auto"/>
              </w:rPr>
              <w:t>As of December 31,</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76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620" w:type="dxa"/>
            <w:vAlign w:val="bottom"/>
          </w:tcPr>
          <w:p>
            <w:pPr>
              <w:ind w:left="20"/>
              <w:spacing w:after="0"/>
              <w:rPr>
                <w:sz w:val="20"/>
                <w:szCs w:val="20"/>
                <w:color w:val="auto"/>
              </w:rPr>
            </w:pPr>
            <w:r>
              <w:rPr>
                <w:rFonts w:ascii="Calibri" w:cs="Calibri" w:eastAsia="Calibri" w:hAnsi="Calibri"/>
                <w:sz w:val="14"/>
                <w:szCs w:val="14"/>
                <w:color w:val="auto"/>
              </w:rPr>
              <w:t>(in millions)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0"/>
              <w:spacing w:after="0" w:line="209" w:lineRule="exact"/>
              <w:rPr>
                <w:sz w:val="20"/>
                <w:szCs w:val="20"/>
                <w:color w:val="auto"/>
              </w:rPr>
            </w:pPr>
            <w:r>
              <w:rPr>
                <w:rFonts w:ascii="Calibri" w:cs="Calibri" w:eastAsia="Calibri" w:hAnsi="Calibri"/>
                <w:sz w:val="18"/>
                <w:szCs w:val="18"/>
                <w:b w:val="1"/>
                <w:bCs w:val="1"/>
                <w:color w:val="auto"/>
              </w:rPr>
              <w:t>2024</w:t>
            </w:r>
          </w:p>
        </w:tc>
        <w:tc>
          <w:tcPr>
            <w:tcW w:w="28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10"/>
              <w:spacing w:after="0" w:line="209" w:lineRule="exact"/>
              <w:rPr>
                <w:sz w:val="20"/>
                <w:szCs w:val="20"/>
                <w:color w:val="auto"/>
              </w:rPr>
            </w:pPr>
            <w:r>
              <w:rPr>
                <w:rFonts w:ascii="Calibri" w:cs="Calibri" w:eastAsia="Calibri" w:hAnsi="Calibri"/>
                <w:sz w:val="18"/>
                <w:szCs w:val="18"/>
                <w:b w:val="1"/>
                <w:bCs w:val="1"/>
                <w:color w:val="auto"/>
                <w:w w:val="98"/>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2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color w:val="auto"/>
              </w:rPr>
              <w:t>Net actuarial gain</w:t>
            </w:r>
          </w:p>
        </w:tc>
        <w:tc>
          <w:tcPr>
            <w:tcW w:w="360" w:type="dxa"/>
            <w:vAlign w:val="bottom"/>
            <w:shd w:val="clear" w:color="auto" w:fill="CFF0FC"/>
          </w:tcPr>
          <w:p>
            <w:pPr>
              <w:jc w:val="right"/>
              <w:ind w:right="170"/>
              <w:spacing w:after="0" w:line="210" w:lineRule="exact"/>
              <w:rPr>
                <w:sz w:val="20"/>
                <w:szCs w:val="20"/>
                <w:color w:val="auto"/>
              </w:rPr>
            </w:pPr>
            <w:r>
              <w:rPr>
                <w:rFonts w:ascii="Calibri" w:cs="Calibri" w:eastAsia="Calibri" w:hAnsi="Calibri"/>
                <w:sz w:val="18"/>
                <w:szCs w:val="18"/>
                <w:color w:val="auto"/>
                <w:w w:val="87"/>
              </w:rPr>
              <w:t>$</w:t>
            </w:r>
          </w:p>
        </w:tc>
        <w:tc>
          <w:tcPr>
            <w:tcW w:w="120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8</w:t>
            </w:r>
          </w:p>
        </w:tc>
        <w:tc>
          <w:tcPr>
            <w:tcW w:w="28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390"/>
              <w:spacing w:after="0" w:line="210" w:lineRule="exact"/>
              <w:rPr>
                <w:sz w:val="20"/>
                <w:szCs w:val="20"/>
                <w:color w:val="auto"/>
              </w:rPr>
            </w:pPr>
            <w:r>
              <w:rPr>
                <w:rFonts w:ascii="Calibri" w:cs="Calibri" w:eastAsia="Calibri" w:hAnsi="Calibri"/>
                <w:sz w:val="18"/>
                <w:szCs w:val="18"/>
                <w:color w:val="auto"/>
                <w:w w:val="87"/>
              </w:rPr>
              <w:t>$</w:t>
            </w:r>
          </w:p>
        </w:tc>
        <w:tc>
          <w:tcPr>
            <w:tcW w:w="98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10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09"/>
        </w:trPr>
        <w:tc>
          <w:tcPr>
            <w:tcW w:w="7620" w:type="dxa"/>
            <w:vAlign w:val="bottom"/>
          </w:tcPr>
          <w:p>
            <w:pPr>
              <w:spacing w:after="0"/>
              <w:rPr>
                <w:sz w:val="20"/>
                <w:szCs w:val="20"/>
                <w:color w:val="auto"/>
              </w:rPr>
            </w:pPr>
            <w:r>
              <w:rPr>
                <w:rFonts w:ascii="Calibri" w:cs="Calibri" w:eastAsia="Calibri" w:hAnsi="Calibri"/>
                <w:sz w:val="18"/>
                <w:szCs w:val="18"/>
                <w:color w:val="auto"/>
              </w:rPr>
              <w:t>Changes in beneft obligatons recognized in Other comprehensive (loss) income consist of:</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140" w:type="dxa"/>
            <w:vAlign w:val="bottom"/>
            <w:gridSpan w:val="5"/>
          </w:tcPr>
          <w:p>
            <w:pPr>
              <w:jc w:val="right"/>
              <w:ind w:right="860"/>
              <w:spacing w:after="0"/>
              <w:rPr>
                <w:sz w:val="20"/>
                <w:szCs w:val="20"/>
                <w:color w:val="auto"/>
              </w:rPr>
            </w:pPr>
            <w:r>
              <w:rPr>
                <w:rFonts w:ascii="Calibri" w:cs="Calibri" w:eastAsia="Calibri" w:hAnsi="Calibri"/>
                <w:sz w:val="18"/>
                <w:szCs w:val="18"/>
                <w:b w:val="1"/>
                <w:bCs w:val="1"/>
                <w:color w:val="auto"/>
              </w:rPr>
              <w:t>Year Ended December 31,</w:t>
            </w:r>
          </w:p>
        </w:tc>
        <w:tc>
          <w:tcPr>
            <w:tcW w:w="0" w:type="dxa"/>
            <w:vAlign w:val="bottom"/>
          </w:tcPr>
          <w:p>
            <w:pPr>
              <w:spacing w:after="0"/>
              <w:rPr>
                <w:sz w:val="1"/>
                <w:szCs w:val="1"/>
                <w:color w:val="auto"/>
              </w:rPr>
            </w:pPr>
          </w:p>
        </w:tc>
      </w:tr>
      <w:tr>
        <w:trPr>
          <w:trHeight w:val="23"/>
        </w:trPr>
        <w:tc>
          <w:tcPr>
            <w:tcW w:w="7620" w:type="dxa"/>
            <w:vAlign w:val="bottom"/>
            <w:vMerge w:val="restart"/>
          </w:tcPr>
          <w:p>
            <w:pPr>
              <w:ind w:left="20"/>
              <w:spacing w:after="0"/>
              <w:rPr>
                <w:sz w:val="20"/>
                <w:szCs w:val="20"/>
                <w:color w:val="auto"/>
              </w:rPr>
            </w:pPr>
            <w:r>
              <w:rPr>
                <w:rFonts w:ascii="Calibri" w:cs="Calibri" w:eastAsia="Calibri" w:hAnsi="Calibri"/>
                <w:sz w:val="18"/>
                <w:szCs w:val="18"/>
                <w:color w:val="auto"/>
              </w:rPr>
              <w:t>(in millions)</w:t>
            </w: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620" w:type="dxa"/>
            <w:vAlign w:val="bottom"/>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0"/>
              <w:spacing w:after="0" w:line="209" w:lineRule="exact"/>
              <w:rPr>
                <w:sz w:val="20"/>
                <w:szCs w:val="20"/>
                <w:color w:val="auto"/>
              </w:rPr>
            </w:pPr>
            <w:r>
              <w:rPr>
                <w:rFonts w:ascii="Calibri" w:cs="Calibri" w:eastAsia="Calibri" w:hAnsi="Calibri"/>
                <w:sz w:val="18"/>
                <w:szCs w:val="18"/>
                <w:b w:val="1"/>
                <w:bCs w:val="1"/>
                <w:color w:val="auto"/>
              </w:rPr>
              <w:t>2024</w:t>
            </w:r>
          </w:p>
        </w:tc>
        <w:tc>
          <w:tcPr>
            <w:tcW w:w="28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10"/>
              <w:spacing w:after="0" w:line="209" w:lineRule="exact"/>
              <w:rPr>
                <w:sz w:val="20"/>
                <w:szCs w:val="20"/>
                <w:color w:val="auto"/>
              </w:rPr>
            </w:pPr>
            <w:r>
              <w:rPr>
                <w:rFonts w:ascii="Calibri" w:cs="Calibri" w:eastAsia="Calibri" w:hAnsi="Calibri"/>
                <w:sz w:val="18"/>
                <w:szCs w:val="18"/>
                <w:b w:val="1"/>
                <w:bCs w:val="1"/>
                <w:color w:val="auto"/>
                <w:w w:val="98"/>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2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color w:val="auto"/>
              </w:rPr>
              <w:t>Newly established loss</w:t>
            </w:r>
          </w:p>
        </w:tc>
        <w:tc>
          <w:tcPr>
            <w:tcW w:w="360" w:type="dxa"/>
            <w:vAlign w:val="bottom"/>
            <w:shd w:val="clear" w:color="auto" w:fill="CFF0FC"/>
          </w:tcPr>
          <w:p>
            <w:pPr>
              <w:jc w:val="right"/>
              <w:ind w:right="170"/>
              <w:spacing w:after="0" w:line="210" w:lineRule="exact"/>
              <w:rPr>
                <w:sz w:val="20"/>
                <w:szCs w:val="20"/>
                <w:color w:val="auto"/>
              </w:rPr>
            </w:pPr>
            <w:r>
              <w:rPr>
                <w:rFonts w:ascii="Calibri" w:cs="Calibri" w:eastAsia="Calibri" w:hAnsi="Calibri"/>
                <w:sz w:val="18"/>
                <w:szCs w:val="18"/>
                <w:color w:val="auto"/>
                <w:w w:val="87"/>
              </w:rPr>
              <w:t>$</w:t>
            </w:r>
          </w:p>
        </w:tc>
        <w:tc>
          <w:tcPr>
            <w:tcW w:w="1480" w:type="dxa"/>
            <w:vAlign w:val="bottom"/>
            <w:gridSpan w:val="2"/>
            <w:shd w:val="clear" w:color="auto" w:fill="CFF0FC"/>
          </w:tcPr>
          <w:p>
            <w:pPr>
              <w:jc w:val="right"/>
              <w:ind w:right="220"/>
              <w:spacing w:after="0" w:line="210" w:lineRule="exact"/>
              <w:rPr>
                <w:sz w:val="20"/>
                <w:szCs w:val="20"/>
                <w:color w:val="auto"/>
              </w:rPr>
            </w:pPr>
            <w:r>
              <w:rPr>
                <w:rFonts w:ascii="Calibri" w:cs="Calibri" w:eastAsia="Calibri" w:hAnsi="Calibri"/>
                <w:sz w:val="18"/>
                <w:szCs w:val="18"/>
                <w:color w:val="auto"/>
              </w:rPr>
              <w:t>(1 )</w:t>
            </w:r>
          </w:p>
        </w:tc>
        <w:tc>
          <w:tcPr>
            <w:tcW w:w="580" w:type="dxa"/>
            <w:vAlign w:val="bottom"/>
            <w:shd w:val="clear" w:color="auto" w:fill="CFF0FC"/>
          </w:tcPr>
          <w:p>
            <w:pPr>
              <w:jc w:val="right"/>
              <w:ind w:right="390"/>
              <w:spacing w:after="0" w:line="210" w:lineRule="exact"/>
              <w:rPr>
                <w:sz w:val="20"/>
                <w:szCs w:val="20"/>
                <w:color w:val="auto"/>
              </w:rPr>
            </w:pPr>
            <w:r>
              <w:rPr>
                <w:rFonts w:ascii="Calibri" w:cs="Calibri" w:eastAsia="Calibri" w:hAnsi="Calibri"/>
                <w:sz w:val="18"/>
                <w:szCs w:val="18"/>
                <w:color w:val="auto"/>
                <w:w w:val="87"/>
              </w:rPr>
              <w:t>$</w:t>
            </w:r>
          </w:p>
        </w:tc>
        <w:tc>
          <w:tcPr>
            <w:tcW w:w="1080" w:type="dxa"/>
            <w:vAlign w:val="bottom"/>
            <w:gridSpan w:val="2"/>
            <w:shd w:val="clear" w:color="auto" w:fill="CFF0FC"/>
          </w:tcPr>
          <w:p>
            <w:pPr>
              <w:jc w:val="right"/>
              <w:ind w:right="120"/>
              <w:spacing w:after="0" w:line="210"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15"/>
        </w:trPr>
        <w:tc>
          <w:tcPr>
            <w:tcW w:w="7620" w:type="dxa"/>
            <w:vAlign w:val="bottom"/>
          </w:tcPr>
          <w:p>
            <w:pPr>
              <w:ind w:left="20"/>
              <w:spacing w:after="0" w:line="215" w:lineRule="exact"/>
              <w:rPr>
                <w:sz w:val="20"/>
                <w:szCs w:val="20"/>
                <w:color w:val="auto"/>
              </w:rPr>
            </w:pPr>
            <w:r>
              <w:rPr>
                <w:rFonts w:ascii="Calibri" w:cs="Calibri" w:eastAsia="Calibri" w:hAnsi="Calibri"/>
                <w:sz w:val="18"/>
                <w:szCs w:val="18"/>
                <w:color w:val="auto"/>
              </w:rPr>
              <w:t>Amortzaton of:</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FF0FC"/>
          </w:tcPr>
          <w:p>
            <w:pPr>
              <w:ind w:left="100"/>
              <w:spacing w:after="0" w:line="216" w:lineRule="exact"/>
              <w:rPr>
                <w:sz w:val="20"/>
                <w:szCs w:val="20"/>
                <w:color w:val="auto"/>
              </w:rPr>
            </w:pPr>
            <w:r>
              <w:rPr>
                <w:rFonts w:ascii="Calibri" w:cs="Calibri" w:eastAsia="Calibri" w:hAnsi="Calibri"/>
                <w:sz w:val="18"/>
                <w:szCs w:val="18"/>
                <w:color w:val="auto"/>
              </w:rPr>
              <w:t>Net actuarial gain</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20"/>
              <w:spacing w:after="0" w:line="216" w:lineRule="exact"/>
              <w:rPr>
                <w:sz w:val="20"/>
                <w:szCs w:val="20"/>
                <w:color w:val="auto"/>
              </w:rPr>
            </w:pPr>
            <w:r>
              <w:rPr>
                <w:rFonts w:ascii="Calibri" w:cs="Calibri" w:eastAsia="Calibri" w:hAnsi="Calibri"/>
                <w:sz w:val="18"/>
                <w:szCs w:val="18"/>
                <w:color w:val="auto"/>
              </w:rPr>
              <w:t>(1 )</w:t>
            </w:r>
          </w:p>
        </w:tc>
        <w:tc>
          <w:tcPr>
            <w:tcW w:w="5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line="216" w:lineRule="exact"/>
              <w:rPr>
                <w:sz w:val="20"/>
                <w:szCs w:val="20"/>
                <w:color w:val="auto"/>
              </w:rPr>
            </w:pPr>
            <w:r>
              <w:rPr>
                <w:rFonts w:ascii="Calibri" w:cs="Calibri" w:eastAsia="Calibri" w:hAnsi="Calibri"/>
                <w:sz w:val="18"/>
                <w:szCs w:val="18"/>
                <w:color w:val="auto"/>
              </w:rPr>
              <w:t>(1 )</w:t>
            </w:r>
          </w:p>
        </w:tc>
        <w:tc>
          <w:tcPr>
            <w:tcW w:w="0" w:type="dxa"/>
            <w:vAlign w:val="bottom"/>
          </w:tcPr>
          <w:p>
            <w:pPr>
              <w:spacing w:after="0"/>
              <w:rPr>
                <w:sz w:val="1"/>
                <w:szCs w:val="1"/>
                <w:color w:val="auto"/>
              </w:rPr>
            </w:pPr>
          </w:p>
        </w:tc>
      </w:tr>
      <w:tr>
        <w:trPr>
          <w:trHeight w:val="20"/>
        </w:trPr>
        <w:tc>
          <w:tcPr>
            <w:tcW w:w="76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20" w:type="dxa"/>
            <w:vAlign w:val="bottom"/>
          </w:tcPr>
          <w:p>
            <w:pPr>
              <w:ind w:left="20"/>
              <w:spacing w:after="0" w:line="209" w:lineRule="exact"/>
              <w:rPr>
                <w:sz w:val="20"/>
                <w:szCs w:val="20"/>
                <w:color w:val="auto"/>
              </w:rPr>
            </w:pPr>
            <w:r>
              <w:rPr>
                <w:rFonts w:ascii="Calibri" w:cs="Calibri" w:eastAsia="Calibri" w:hAnsi="Calibri"/>
                <w:sz w:val="18"/>
                <w:szCs w:val="18"/>
                <w:color w:val="auto"/>
              </w:rPr>
              <w:t>Total loss recognized in Other comprehensive (loss) income</w:t>
            </w:r>
          </w:p>
        </w:tc>
        <w:tc>
          <w:tcPr>
            <w:tcW w:w="360" w:type="dxa"/>
            <w:vAlign w:val="bottom"/>
          </w:tcPr>
          <w:p>
            <w:pPr>
              <w:jc w:val="right"/>
              <w:ind w:right="170"/>
              <w:spacing w:after="0" w:line="209" w:lineRule="exact"/>
              <w:rPr>
                <w:sz w:val="20"/>
                <w:szCs w:val="20"/>
                <w:color w:val="auto"/>
              </w:rPr>
            </w:pPr>
            <w:r>
              <w:rPr>
                <w:rFonts w:ascii="Calibri" w:cs="Calibri" w:eastAsia="Calibri" w:hAnsi="Calibri"/>
                <w:sz w:val="18"/>
                <w:szCs w:val="18"/>
                <w:color w:val="auto"/>
                <w:w w:val="87"/>
              </w:rPr>
              <w:t>$</w:t>
            </w:r>
          </w:p>
        </w:tc>
        <w:tc>
          <w:tcPr>
            <w:tcW w:w="1480" w:type="dxa"/>
            <w:vAlign w:val="bottom"/>
            <w:gridSpan w:val="2"/>
          </w:tcPr>
          <w:p>
            <w:pPr>
              <w:jc w:val="right"/>
              <w:ind w:right="220"/>
              <w:spacing w:after="0" w:line="209" w:lineRule="exact"/>
              <w:rPr>
                <w:sz w:val="20"/>
                <w:szCs w:val="20"/>
                <w:color w:val="auto"/>
              </w:rPr>
            </w:pPr>
            <w:r>
              <w:rPr>
                <w:rFonts w:ascii="Calibri" w:cs="Calibri" w:eastAsia="Calibri" w:hAnsi="Calibri"/>
                <w:sz w:val="18"/>
                <w:szCs w:val="18"/>
                <w:color w:val="auto"/>
              </w:rPr>
              <w:t>(2 )</w:t>
            </w:r>
          </w:p>
        </w:tc>
        <w:tc>
          <w:tcPr>
            <w:tcW w:w="580" w:type="dxa"/>
            <w:vAlign w:val="bottom"/>
          </w:tcPr>
          <w:p>
            <w:pPr>
              <w:jc w:val="right"/>
              <w:ind w:right="390"/>
              <w:spacing w:after="0" w:line="209" w:lineRule="exact"/>
              <w:rPr>
                <w:sz w:val="20"/>
                <w:szCs w:val="20"/>
                <w:color w:val="auto"/>
              </w:rPr>
            </w:pPr>
            <w:r>
              <w:rPr>
                <w:rFonts w:ascii="Calibri" w:cs="Calibri" w:eastAsia="Calibri" w:hAnsi="Calibri"/>
                <w:sz w:val="18"/>
                <w:szCs w:val="18"/>
                <w:color w:val="auto"/>
                <w:w w:val="87"/>
              </w:rPr>
              <w:t>$</w:t>
            </w:r>
          </w:p>
        </w:tc>
        <w:tc>
          <w:tcPr>
            <w:tcW w:w="1080" w:type="dxa"/>
            <w:vAlign w:val="bottom"/>
            <w:gridSpan w:val="2"/>
          </w:tcPr>
          <w:p>
            <w:pPr>
              <w:jc w:val="right"/>
              <w:ind w:right="40"/>
              <w:spacing w:after="0" w:line="209" w:lineRule="exact"/>
              <w:rPr>
                <w:sz w:val="20"/>
                <w:szCs w:val="20"/>
                <w:color w:val="auto"/>
              </w:rPr>
            </w:pPr>
            <w:r>
              <w:rPr>
                <w:rFonts w:ascii="Calibri" w:cs="Calibri" w:eastAsia="Calibri" w:hAnsi="Calibri"/>
                <w:sz w:val="18"/>
                <w:szCs w:val="18"/>
                <w:color w:val="auto"/>
              </w:rPr>
              <w:t>(1 )</w:t>
            </w: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-2150745</wp:posOffset>
            </wp:positionV>
            <wp:extent cx="68580"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-2134235</wp:posOffset>
            </wp:positionV>
            <wp:extent cx="68580"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-2150745</wp:posOffset>
            </wp:positionV>
            <wp:extent cx="68580"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-2134235</wp:posOffset>
            </wp:positionV>
            <wp:extent cx="68580"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-170815</wp:posOffset>
            </wp:positionV>
            <wp:extent cx="68580"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-170815</wp:posOffset>
            </wp:positionV>
            <wp:extent cx="68580"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Calibri" w:cs="Calibri" w:eastAsia="Calibri" w:hAnsi="Calibri"/>
          <w:sz w:val="18"/>
          <w:szCs w:val="18"/>
          <w:color w:val="auto"/>
        </w:rPr>
        <w:t>Other postretrement beneft cost included: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140" w:type="dxa"/>
            <w:vAlign w:val="bottom"/>
            <w:gridSpan w:val="8"/>
          </w:tcPr>
          <w:p>
            <w:pPr>
              <w:jc w:val="right"/>
              <w:ind w:right="190"/>
              <w:spacing w:after="0"/>
              <w:rPr>
                <w:sz w:val="20"/>
                <w:szCs w:val="20"/>
                <w:color w:val="auto"/>
              </w:rPr>
            </w:pPr>
            <w:r>
              <w:rPr>
                <w:rFonts w:ascii="Calibri" w:cs="Calibri" w:eastAsia="Calibri" w:hAnsi="Calibri"/>
                <w:sz w:val="18"/>
                <w:szCs w:val="18"/>
                <w:b w:val="1"/>
                <w:bCs w:val="1"/>
                <w:color w:val="auto"/>
              </w:rPr>
              <w:t>Year Ended December 31,</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
        </w:trPr>
        <w:tc>
          <w:tcPr>
            <w:tcW w:w="65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9"/>
        </w:trPr>
        <w:tc>
          <w:tcPr>
            <w:tcW w:w="6560" w:type="dxa"/>
            <w:vAlign w:val="bottom"/>
          </w:tcPr>
          <w:p>
            <w:pPr>
              <w:ind w:left="20"/>
              <w:spacing w:after="0"/>
              <w:rPr>
                <w:sz w:val="20"/>
                <w:szCs w:val="20"/>
                <w:color w:val="auto"/>
              </w:rPr>
            </w:pPr>
            <w:r>
              <w:rPr>
                <w:rFonts w:ascii="Calibri" w:cs="Calibri" w:eastAsia="Calibri" w:hAnsi="Calibri"/>
                <w:sz w:val="14"/>
                <w:szCs w:val="14"/>
                <w:color w:val="auto"/>
              </w:rPr>
              <w:t>(in millions)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line="209" w:lineRule="exact"/>
              <w:rPr>
                <w:sz w:val="20"/>
                <w:szCs w:val="20"/>
                <w:color w:val="auto"/>
              </w:rPr>
            </w:pPr>
            <w:r>
              <w:rPr>
                <w:rFonts w:ascii="Calibri" w:cs="Calibri" w:eastAsia="Calibri" w:hAnsi="Calibri"/>
                <w:sz w:val="18"/>
                <w:szCs w:val="18"/>
                <w:b w:val="1"/>
                <w:bCs w:val="1"/>
                <w:color w:val="auto"/>
              </w:rPr>
              <w:t>2024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0"/>
              <w:spacing w:after="0" w:line="209" w:lineRule="exact"/>
              <w:rPr>
                <w:sz w:val="20"/>
                <w:szCs w:val="20"/>
                <w:color w:val="auto"/>
              </w:rPr>
            </w:pPr>
            <w:r>
              <w:rPr>
                <w:rFonts w:ascii="Calibri" w:cs="Calibri" w:eastAsia="Calibri" w:hAnsi="Calibri"/>
                <w:sz w:val="18"/>
                <w:szCs w:val="18"/>
                <w:b w:val="1"/>
                <w:bCs w:val="1"/>
                <w:color w:val="auto"/>
              </w:rPr>
              <w:t>2023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line="209" w:lineRule="exact"/>
              <w:rPr>
                <w:sz w:val="20"/>
                <w:szCs w:val="20"/>
                <w:color w:val="auto"/>
              </w:rPr>
            </w:pPr>
            <w:r>
              <w:rPr>
                <w:rFonts w:ascii="Calibri" w:cs="Calibri" w:eastAsia="Calibri" w:hAnsi="Calibri"/>
                <w:sz w:val="18"/>
                <w:szCs w:val="18"/>
                <w:b w:val="1"/>
                <w:bCs w:val="1"/>
                <w:color w:val="auto"/>
              </w:rPr>
              <w:t>2022</w:t>
            </w:r>
          </w:p>
        </w:tc>
        <w:tc>
          <w:tcPr>
            <w:tcW w:w="100" w:type="dxa"/>
            <w:vAlign w:val="bottom"/>
          </w:tcPr>
          <w:p>
            <w:pPr>
              <w:spacing w:after="0"/>
              <w:rPr>
                <w:sz w:val="18"/>
                <w:szCs w:val="18"/>
                <w:color w:val="auto"/>
              </w:rPr>
            </w:pPr>
          </w:p>
        </w:tc>
      </w:tr>
      <w:tr>
        <w:trPr>
          <w:trHeight w:val="209"/>
        </w:trPr>
        <w:tc>
          <w:tcPr>
            <w:tcW w:w="6560" w:type="dxa"/>
            <w:vAlign w:val="bottom"/>
            <w:tcBorders>
              <w:bottom w:val="single" w:sz="8" w:color="CFF0FC"/>
            </w:tcBorders>
            <w:shd w:val="clear" w:color="auto" w:fill="CFF0FC"/>
          </w:tcPr>
          <w:p>
            <w:pPr>
              <w:ind w:left="20"/>
              <w:spacing w:after="0" w:line="209" w:lineRule="exact"/>
              <w:rPr>
                <w:sz w:val="20"/>
                <w:szCs w:val="20"/>
                <w:color w:val="auto"/>
              </w:rPr>
            </w:pPr>
            <w:r>
              <w:rPr>
                <w:rFonts w:ascii="Calibri" w:cs="Calibri" w:eastAsia="Calibri" w:hAnsi="Calibri"/>
                <w:sz w:val="18"/>
                <w:szCs w:val="18"/>
                <w:color w:val="auto"/>
              </w:rPr>
              <w:t>Components of net postretrement beneft cost:</w:t>
            </w: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560" w:type="dxa"/>
            <w:vAlign w:val="bottom"/>
          </w:tcPr>
          <w:p>
            <w:pPr>
              <w:ind w:left="200"/>
              <w:spacing w:after="0" w:line="209" w:lineRule="exact"/>
              <w:rPr>
                <w:sz w:val="20"/>
                <w:szCs w:val="20"/>
                <w:color w:val="auto"/>
              </w:rPr>
            </w:pPr>
            <w:r>
              <w:rPr>
                <w:rFonts w:ascii="Calibri" w:cs="Calibri" w:eastAsia="Calibri" w:hAnsi="Calibri"/>
                <w:sz w:val="18"/>
                <w:szCs w:val="18"/>
                <w:color w:val="auto"/>
              </w:rPr>
              <w:t>Service cost</w:t>
            </w:r>
          </w:p>
        </w:tc>
        <w:tc>
          <w:tcPr>
            <w:tcW w:w="300" w:type="dxa"/>
            <w:vAlign w:val="bottom"/>
          </w:tcPr>
          <w:p>
            <w:pPr>
              <w:jc w:val="right"/>
              <w:ind w:right="90"/>
              <w:spacing w:after="0" w:line="209" w:lineRule="exact"/>
              <w:rPr>
                <w:sz w:val="20"/>
                <w:szCs w:val="20"/>
                <w:color w:val="auto"/>
              </w:rPr>
            </w:pPr>
            <w:r>
              <w:rPr>
                <w:rFonts w:ascii="Calibri" w:cs="Calibri" w:eastAsia="Calibri" w:hAnsi="Calibri"/>
                <w:sz w:val="18"/>
                <w:szCs w:val="18"/>
                <w:color w:val="auto"/>
              </w:rPr>
              <w:t>$</w:t>
            </w:r>
          </w:p>
        </w:tc>
        <w:tc>
          <w:tcPr>
            <w:tcW w:w="1280" w:type="dxa"/>
            <w:vAlign w:val="bottom"/>
            <w:gridSpan w:val="3"/>
          </w:tcPr>
          <w:p>
            <w:pPr>
              <w:jc w:val="right"/>
              <w:ind w:right="280"/>
              <w:spacing w:after="0" w:line="209" w:lineRule="exact"/>
              <w:rPr>
                <w:sz w:val="20"/>
                <w:szCs w:val="20"/>
                <w:color w:val="auto"/>
              </w:rPr>
            </w:pPr>
            <w:r>
              <w:rPr>
                <w:rFonts w:ascii="Calibri" w:cs="Calibri" w:eastAsia="Calibri" w:hAnsi="Calibri"/>
                <w:sz w:val="18"/>
                <w:szCs w:val="18"/>
                <w:color w:val="auto"/>
              </w:rPr>
              <w:t>—</w:t>
            </w:r>
          </w:p>
        </w:tc>
        <w:tc>
          <w:tcPr>
            <w:tcW w:w="280" w:type="dxa"/>
            <w:vAlign w:val="bottom"/>
          </w:tcPr>
          <w:p>
            <w:pPr>
              <w:jc w:val="right"/>
              <w:ind w:right="90"/>
              <w:spacing w:after="0" w:line="209" w:lineRule="exact"/>
              <w:rPr>
                <w:sz w:val="20"/>
                <w:szCs w:val="20"/>
                <w:color w:val="auto"/>
              </w:rPr>
            </w:pPr>
            <w:r>
              <w:rPr>
                <w:rFonts w:ascii="Calibri" w:cs="Calibri" w:eastAsia="Calibri" w:hAnsi="Calibri"/>
                <w:sz w:val="18"/>
                <w:szCs w:val="18"/>
                <w:color w:val="auto"/>
                <w:w w:val="87"/>
              </w:rPr>
              <w:t>$</w:t>
            </w:r>
          </w:p>
        </w:tc>
        <w:tc>
          <w:tcPr>
            <w:tcW w:w="1280" w:type="dxa"/>
            <w:vAlign w:val="bottom"/>
            <w:gridSpan w:val="3"/>
          </w:tcPr>
          <w:p>
            <w:pPr>
              <w:jc w:val="right"/>
              <w:ind w:right="260"/>
              <w:spacing w:after="0" w:line="209" w:lineRule="exact"/>
              <w:rPr>
                <w:sz w:val="20"/>
                <w:szCs w:val="20"/>
                <w:color w:val="auto"/>
              </w:rPr>
            </w:pPr>
            <w:r>
              <w:rPr>
                <w:rFonts w:ascii="Calibri" w:cs="Calibri" w:eastAsia="Calibri" w:hAnsi="Calibri"/>
                <w:sz w:val="18"/>
                <w:szCs w:val="18"/>
                <w:color w:val="auto"/>
              </w:rPr>
              <w:t>—</w:t>
            </w:r>
          </w:p>
        </w:tc>
        <w:tc>
          <w:tcPr>
            <w:tcW w:w="300" w:type="dxa"/>
            <w:vAlign w:val="bottom"/>
          </w:tcPr>
          <w:p>
            <w:pPr>
              <w:jc w:val="right"/>
              <w:ind w:right="110"/>
              <w:spacing w:after="0" w:line="209" w:lineRule="exact"/>
              <w:rPr>
                <w:sz w:val="20"/>
                <w:szCs w:val="20"/>
                <w:color w:val="auto"/>
              </w:rPr>
            </w:pPr>
            <w:r>
              <w:rPr>
                <w:rFonts w:ascii="Calibri" w:cs="Calibri" w:eastAsia="Calibri" w:hAnsi="Calibri"/>
                <w:sz w:val="18"/>
                <w:szCs w:val="18"/>
                <w:color w:val="auto"/>
                <w:w w:val="87"/>
              </w:rPr>
              <w:t>$</w:t>
            </w:r>
          </w:p>
        </w:tc>
        <w:tc>
          <w:tcPr>
            <w:tcW w:w="1120" w:type="dxa"/>
            <w:vAlign w:val="bottom"/>
            <w:gridSpan w:val="2"/>
          </w:tcPr>
          <w:p>
            <w:pPr>
              <w:jc w:val="right"/>
              <w:ind w:right="120"/>
              <w:spacing w:after="0" w:line="209" w:lineRule="exact"/>
              <w:rPr>
                <w:sz w:val="20"/>
                <w:szCs w:val="20"/>
                <w:color w:val="auto"/>
              </w:rPr>
            </w:pPr>
            <w:r>
              <w:rPr>
                <w:rFonts w:ascii="Calibri" w:cs="Calibri" w:eastAsia="Calibri" w:hAnsi="Calibri"/>
                <w:sz w:val="18"/>
                <w:szCs w:val="18"/>
                <w:color w:val="auto"/>
              </w:rPr>
              <w:t>—</w:t>
            </w:r>
          </w:p>
        </w:tc>
      </w:tr>
      <w:tr>
        <w:trPr>
          <w:trHeight w:val="20"/>
        </w:trPr>
        <w:tc>
          <w:tcPr>
            <w:tcW w:w="65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560" w:type="dxa"/>
            <w:vAlign w:val="bottom"/>
            <w:tcBorders>
              <w:bottom w:val="single" w:sz="8" w:color="CFF0FC"/>
            </w:tcBorders>
            <w:shd w:val="clear" w:color="auto" w:fill="CFF0FC"/>
          </w:tcPr>
          <w:p>
            <w:pPr>
              <w:ind w:left="200"/>
              <w:spacing w:after="0" w:line="196" w:lineRule="exact"/>
              <w:rPr>
                <w:sz w:val="20"/>
                <w:szCs w:val="20"/>
                <w:color w:val="auto"/>
              </w:rPr>
            </w:pPr>
            <w:r>
              <w:rPr>
                <w:rFonts w:ascii="Calibri" w:cs="Calibri" w:eastAsia="Calibri" w:hAnsi="Calibri"/>
                <w:sz w:val="18"/>
                <w:szCs w:val="18"/>
                <w:color w:val="auto"/>
              </w:rPr>
              <w:t>Interest cost</w:t>
            </w:r>
          </w:p>
        </w:tc>
        <w:tc>
          <w:tcPr>
            <w:tcW w:w="3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Calibri" w:cs="Calibri" w:eastAsia="Calibri" w:hAnsi="Calibri"/>
                <w:sz w:val="18"/>
                <w:szCs w:val="18"/>
                <w:color w:val="auto"/>
              </w:rPr>
              <w:t>1</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Calibri" w:cs="Calibri" w:eastAsia="Calibri" w:hAnsi="Calibri"/>
                <w:sz w:val="18"/>
                <w:szCs w:val="18"/>
                <w:color w:val="auto"/>
              </w:rPr>
              <w:t>2</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Calibri" w:cs="Calibri" w:eastAsia="Calibri" w:hAnsi="Calibri"/>
                <w:sz w:val="18"/>
                <w:szCs w:val="18"/>
                <w:color w:val="auto"/>
              </w:rPr>
              <w:t>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209"/>
        </w:trPr>
        <w:tc>
          <w:tcPr>
            <w:tcW w:w="6560" w:type="dxa"/>
            <w:vAlign w:val="bottom"/>
          </w:tcPr>
          <w:p>
            <w:pPr>
              <w:ind w:left="20"/>
              <w:spacing w:after="0" w:line="209" w:lineRule="exact"/>
              <w:rPr>
                <w:sz w:val="20"/>
                <w:szCs w:val="20"/>
                <w:color w:val="auto"/>
              </w:rPr>
            </w:pPr>
            <w:r>
              <w:rPr>
                <w:rFonts w:ascii="Calibri" w:cs="Calibri" w:eastAsia="Calibri" w:hAnsi="Calibri"/>
                <w:sz w:val="18"/>
                <w:szCs w:val="18"/>
                <w:color w:val="auto"/>
              </w:rPr>
              <w:t>Amortzaton of:</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6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Actuarial gain</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line="216" w:lineRule="exact"/>
              <w:rPr>
                <w:sz w:val="20"/>
                <w:szCs w:val="20"/>
                <w:color w:val="auto"/>
              </w:rPr>
            </w:pPr>
            <w:r>
              <w:rPr>
                <w:rFonts w:ascii="Calibri" w:cs="Calibri" w:eastAsia="Calibri" w:hAnsi="Calibri"/>
                <w:sz w:val="18"/>
                <w:szCs w:val="18"/>
                <w:color w:val="auto"/>
              </w:rPr>
              <w:t>(1 )</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line="216" w:lineRule="exact"/>
              <w:rPr>
                <w:sz w:val="20"/>
                <w:szCs w:val="20"/>
                <w:color w:val="auto"/>
              </w:rPr>
            </w:pPr>
            <w:r>
              <w:rPr>
                <w:rFonts w:ascii="Calibri" w:cs="Calibri" w:eastAsia="Calibri" w:hAnsi="Calibri"/>
                <w:sz w:val="18"/>
                <w:szCs w:val="18"/>
                <w:color w:val="auto"/>
              </w:rPr>
              <w:t>(1 )</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line="216" w:lineRule="exact"/>
              <w:rPr>
                <w:sz w:val="20"/>
                <w:szCs w:val="20"/>
                <w:color w:val="auto"/>
              </w:rPr>
            </w:pPr>
            <w:r>
              <w:rPr>
                <w:rFonts w:ascii="Calibri" w:cs="Calibri" w:eastAsia="Calibri" w:hAnsi="Calibri"/>
                <w:sz w:val="18"/>
                <w:szCs w:val="18"/>
                <w:color w:val="auto"/>
              </w:rPr>
              <w:t>—</w:t>
            </w:r>
          </w:p>
        </w:tc>
      </w:tr>
      <w:tr>
        <w:trPr>
          <w:trHeight w:val="210"/>
        </w:trPr>
        <w:tc>
          <w:tcPr>
            <w:tcW w:w="6560" w:type="dxa"/>
            <w:vAlign w:val="bottom"/>
            <w:tcBorders>
              <w:top w:val="single" w:sz="8" w:color="CFF0FC"/>
            </w:tcBorders>
          </w:tcPr>
          <w:p>
            <w:pPr>
              <w:ind w:left="20"/>
              <w:spacing w:after="0" w:line="209" w:lineRule="exact"/>
              <w:rPr>
                <w:sz w:val="20"/>
                <w:szCs w:val="20"/>
                <w:color w:val="auto"/>
              </w:rPr>
            </w:pPr>
            <w:r>
              <w:rPr>
                <w:rFonts w:ascii="Calibri" w:cs="Calibri" w:eastAsia="Calibri" w:hAnsi="Calibri"/>
                <w:sz w:val="18"/>
                <w:szCs w:val="18"/>
                <w:color w:val="auto"/>
              </w:rPr>
              <w:t>Other postretrement beneft cost from contnuing operatons</w:t>
            </w:r>
          </w:p>
        </w:tc>
        <w:tc>
          <w:tcPr>
            <w:tcW w:w="300" w:type="dxa"/>
            <w:vAlign w:val="bottom"/>
            <w:tcBorders>
              <w:top w:val="single" w:sz="8" w:color="auto"/>
              <w:bottom w:val="single" w:sz="8" w:color="auto"/>
            </w:tcBorders>
          </w:tcPr>
          <w:p>
            <w:pPr>
              <w:jc w:val="right"/>
              <w:ind w:right="90"/>
              <w:spacing w:after="0" w:line="209" w:lineRule="exact"/>
              <w:rPr>
                <w:sz w:val="20"/>
                <w:szCs w:val="20"/>
                <w:color w:val="auto"/>
              </w:rPr>
            </w:pPr>
            <w:r>
              <w:rPr>
                <w:rFonts w:ascii="Calibri" w:cs="Calibri" w:eastAsia="Calibri" w:hAnsi="Calibri"/>
                <w:sz w:val="18"/>
                <w:szCs w:val="18"/>
                <w:color w:val="auto"/>
              </w:rPr>
              <w:t>$</w:t>
            </w:r>
          </w:p>
        </w:tc>
        <w:tc>
          <w:tcPr>
            <w:tcW w:w="1020" w:type="dxa"/>
            <w:vAlign w:val="bottom"/>
            <w:tcBorders>
              <w:top w:val="single" w:sz="8" w:color="auto"/>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w:t>
            </w:r>
          </w:p>
        </w:tc>
        <w:tc>
          <w:tcPr>
            <w:tcW w:w="260" w:type="dxa"/>
            <w:vAlign w:val="bottom"/>
            <w:tcBorders>
              <w:top w:val="single" w:sz="8" w:color="CFF0FC"/>
            </w:tcBorders>
            <w:gridSpan w:val="2"/>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line="209" w:lineRule="exact"/>
              <w:rPr>
                <w:sz w:val="20"/>
                <w:szCs w:val="20"/>
                <w:color w:val="auto"/>
              </w:rPr>
            </w:pPr>
            <w:r>
              <w:rPr>
                <w:rFonts w:ascii="Calibri" w:cs="Calibri" w:eastAsia="Calibri" w:hAnsi="Calibri"/>
                <w:sz w:val="18"/>
                <w:szCs w:val="18"/>
                <w:color w:val="auto"/>
                <w:w w:val="87"/>
              </w:rPr>
              <w:t>$</w:t>
            </w:r>
          </w:p>
        </w:tc>
        <w:tc>
          <w:tcPr>
            <w:tcW w:w="1020" w:type="dxa"/>
            <w:vAlign w:val="bottom"/>
            <w:tcBorders>
              <w:top w:val="single" w:sz="8" w:color="auto"/>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1</w:t>
            </w:r>
          </w:p>
        </w:tc>
        <w:tc>
          <w:tcPr>
            <w:tcW w:w="12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line="209" w:lineRule="exact"/>
              <w:rPr>
                <w:sz w:val="20"/>
                <w:szCs w:val="20"/>
                <w:color w:val="auto"/>
              </w:rPr>
            </w:pPr>
            <w:r>
              <w:rPr>
                <w:rFonts w:ascii="Calibri" w:cs="Calibri" w:eastAsia="Calibri" w:hAnsi="Calibri"/>
                <w:sz w:val="18"/>
                <w:szCs w:val="18"/>
                <w:color w:val="auto"/>
                <w:w w:val="87"/>
              </w:rPr>
              <w:t>$</w:t>
            </w:r>
          </w:p>
        </w:tc>
        <w:tc>
          <w:tcPr>
            <w:tcW w:w="1020" w:type="dxa"/>
            <w:vAlign w:val="bottom"/>
            <w:tcBorders>
              <w:top w:val="single" w:sz="8" w:color="auto"/>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1</w:t>
            </w:r>
          </w:p>
        </w:tc>
        <w:tc>
          <w:tcPr>
            <w:tcW w:w="100" w:type="dxa"/>
            <w:vAlign w:val="bottom"/>
            <w:tcBorders>
              <w:top w:val="single" w:sz="8" w:color="CFF0FC"/>
            </w:tcBorders>
          </w:tcPr>
          <w:p>
            <w:pPr>
              <w:spacing w:after="0"/>
              <w:rPr>
                <w:sz w:val="18"/>
                <w:szCs w:val="18"/>
                <w:color w:val="auto"/>
              </w:rPr>
            </w:pPr>
          </w:p>
        </w:tc>
      </w:tr>
      <w:tr>
        <w:trPr>
          <w:trHeight w:val="20"/>
        </w:trPr>
        <w:tc>
          <w:tcPr>
            <w:tcW w:w="6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-762000</wp:posOffset>
            </wp:positionV>
            <wp:extent cx="68580"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-762000</wp:posOffset>
            </wp:positionV>
            <wp:extent cx="68580"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-762000</wp:posOffset>
            </wp:positionV>
            <wp:extent cx="68580"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-453390</wp:posOffset>
            </wp:positionV>
            <wp:extent cx="68580"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-453390</wp:posOffset>
            </wp:positionV>
            <wp:extent cx="68580"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-453390</wp:posOffset>
            </wp:positionV>
            <wp:extent cx="68580"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-170815</wp:posOffset>
            </wp:positionV>
            <wp:extent cx="68580"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-170815</wp:posOffset>
            </wp:positionV>
            <wp:extent cx="6858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-170815</wp:posOffset>
            </wp:positionV>
            <wp:extent cx="68580"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85" w:lineRule="exact"/>
        <w:rPr>
          <w:sz w:val="20"/>
          <w:szCs w:val="20"/>
          <w:color w:val="auto"/>
        </w:rPr>
      </w:pPr>
    </w:p>
    <w:p>
      <w:pPr>
        <w:spacing w:after="0"/>
        <w:rPr>
          <w:sz w:val="20"/>
          <w:szCs w:val="20"/>
          <w:color w:val="auto"/>
        </w:rPr>
      </w:pPr>
      <w:r>
        <w:rPr>
          <w:rFonts w:ascii="Calibri" w:cs="Calibri" w:eastAsia="Calibri" w:hAnsi="Calibri"/>
          <w:sz w:val="18"/>
          <w:szCs w:val="18"/>
          <w:color w:val="auto"/>
        </w:rPr>
        <w:t>The weighted-average assumptons used to determine the net beneft obligatons were as follows:</w:t>
      </w:r>
    </w:p>
    <w:p>
      <w:pPr>
        <w:spacing w:after="0" w:line="185" w:lineRule="exact"/>
        <w:rPr>
          <w:sz w:val="20"/>
          <w:szCs w:val="20"/>
          <w:color w:val="auto"/>
        </w:rPr>
      </w:pPr>
    </w:p>
    <w:p>
      <w:pPr>
        <w:jc w:val="center"/>
        <w:ind w:right="-139"/>
        <w:spacing w:after="0"/>
        <w:rPr>
          <w:sz w:val="20"/>
          <w:szCs w:val="20"/>
          <w:color w:val="auto"/>
        </w:rPr>
      </w:pPr>
      <w:r>
        <w:rPr>
          <w:rFonts w:ascii="Calibri" w:cs="Calibri" w:eastAsia="Calibri" w:hAnsi="Calibri"/>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2" w:right="459" w:bottom="1440" w:gutter="0" w:footer="0" w:header="0"/>
        </w:sectPr>
      </w:pPr>
    </w:p>
    <w:bookmarkStart w:id="105" w:name="page106"/>
    <w:bookmarkEnd w:id="105"/>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60" w:type="dxa"/>
            <w:vAlign w:val="bottom"/>
            <w:gridSpan w:val="5"/>
          </w:tcPr>
          <w:p>
            <w:pPr>
              <w:jc w:val="center"/>
              <w:ind w:left="410"/>
              <w:spacing w:after="0"/>
              <w:rPr>
                <w:sz w:val="20"/>
                <w:szCs w:val="20"/>
                <w:color w:val="auto"/>
              </w:rPr>
            </w:pPr>
            <w:r>
              <w:rPr>
                <w:rFonts w:ascii="Calibri" w:cs="Calibri" w:eastAsia="Calibri" w:hAnsi="Calibri"/>
                <w:sz w:val="18"/>
                <w:szCs w:val="18"/>
                <w:b w:val="1"/>
                <w:bCs w:val="1"/>
                <w:color w:val="auto"/>
                <w:w w:val="97"/>
              </w:rPr>
              <w:t>As of December 31,</w:t>
            </w: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
        </w:trPr>
        <w:tc>
          <w:tcPr>
            <w:tcW w:w="6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9"/>
        </w:trPr>
        <w:tc>
          <w:tcPr>
            <w:tcW w:w="6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10"/>
              <w:spacing w:after="0" w:line="209" w:lineRule="exact"/>
              <w:rPr>
                <w:sz w:val="20"/>
                <w:szCs w:val="20"/>
                <w:color w:val="auto"/>
              </w:rPr>
            </w:pPr>
            <w:r>
              <w:rPr>
                <w:rFonts w:ascii="Calibri" w:cs="Calibri" w:eastAsia="Calibri" w:hAnsi="Calibri"/>
                <w:sz w:val="18"/>
                <w:szCs w:val="18"/>
                <w:b w:val="1"/>
                <w:bCs w:val="1"/>
                <w:color w:val="auto"/>
              </w:rPr>
              <w:t>2024</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10"/>
              <w:spacing w:after="0" w:line="209" w:lineRule="exact"/>
              <w:rPr>
                <w:sz w:val="20"/>
                <w:szCs w:val="20"/>
                <w:color w:val="auto"/>
              </w:rPr>
            </w:pPr>
            <w:r>
              <w:rPr>
                <w:rFonts w:ascii="Calibri" w:cs="Calibri" w:eastAsia="Calibri" w:hAnsi="Calibri"/>
                <w:sz w:val="18"/>
                <w:szCs w:val="18"/>
                <w:b w:val="1"/>
                <w:bCs w:val="1"/>
                <w:color w:val="auto"/>
                <w:w w:val="98"/>
              </w:rPr>
              <w:t>2023</w:t>
            </w:r>
          </w:p>
        </w:tc>
        <w:tc>
          <w:tcPr>
            <w:tcW w:w="160" w:type="dxa"/>
            <w:vAlign w:val="bottom"/>
          </w:tcPr>
          <w:p>
            <w:pPr>
              <w:spacing w:after="0"/>
              <w:rPr>
                <w:sz w:val="18"/>
                <w:szCs w:val="18"/>
                <w:color w:val="auto"/>
              </w:rPr>
            </w:pPr>
          </w:p>
        </w:tc>
      </w:tr>
      <w:tr>
        <w:trPr>
          <w:trHeight w:val="210"/>
        </w:trPr>
        <w:tc>
          <w:tcPr>
            <w:tcW w:w="642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color w:val="auto"/>
              </w:rPr>
              <w:t>Discount rate</w:t>
            </w: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00"/>
              <w:spacing w:after="0" w:line="210" w:lineRule="exact"/>
              <w:rPr>
                <w:sz w:val="20"/>
                <w:szCs w:val="20"/>
                <w:color w:val="auto"/>
              </w:rPr>
            </w:pPr>
            <w:r>
              <w:rPr>
                <w:rFonts w:ascii="Calibri" w:cs="Calibri" w:eastAsia="Calibri" w:hAnsi="Calibri"/>
                <w:sz w:val="18"/>
                <w:szCs w:val="18"/>
                <w:color w:val="auto"/>
              </w:rPr>
              <w:t>4.51 %</w:t>
            </w: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0"/>
              <w:spacing w:after="0" w:line="210" w:lineRule="exact"/>
              <w:rPr>
                <w:sz w:val="20"/>
                <w:szCs w:val="20"/>
                <w:color w:val="auto"/>
              </w:rPr>
            </w:pPr>
            <w:r>
              <w:rPr>
                <w:rFonts w:ascii="Calibri" w:cs="Calibri" w:eastAsia="Calibri" w:hAnsi="Calibri"/>
                <w:sz w:val="18"/>
                <w:szCs w:val="18"/>
                <w:color w:val="auto"/>
              </w:rPr>
              <w:t>4.64 %</w:t>
            </w:r>
          </w:p>
        </w:tc>
      </w:tr>
      <w:tr>
        <w:trPr>
          <w:trHeight w:val="215"/>
        </w:trPr>
        <w:tc>
          <w:tcPr>
            <w:tcW w:w="6420" w:type="dxa"/>
            <w:vAlign w:val="bottom"/>
          </w:tcPr>
          <w:p>
            <w:pPr>
              <w:ind w:left="20"/>
              <w:spacing w:after="0" w:line="215" w:lineRule="exact"/>
              <w:rPr>
                <w:sz w:val="20"/>
                <w:szCs w:val="20"/>
                <w:color w:val="auto"/>
              </w:rPr>
            </w:pPr>
            <w:r>
              <w:rPr>
                <w:rFonts w:ascii="Calibri" w:cs="Calibri" w:eastAsia="Calibri" w:hAnsi="Calibri"/>
                <w:sz w:val="18"/>
                <w:szCs w:val="18"/>
                <w:color w:val="auto"/>
              </w:rPr>
              <w:t>Salary increase rate</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100"/>
              <w:spacing w:after="0" w:line="215" w:lineRule="exact"/>
              <w:rPr>
                <w:sz w:val="20"/>
                <w:szCs w:val="20"/>
                <w:color w:val="auto"/>
              </w:rPr>
            </w:pPr>
            <w:r>
              <w:rPr>
                <w:rFonts w:ascii="Calibri" w:cs="Calibri" w:eastAsia="Calibri" w:hAnsi="Calibri"/>
                <w:sz w:val="18"/>
                <w:szCs w:val="18"/>
                <w:color w:val="auto"/>
              </w:rPr>
              <w:t>1.90 %</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1.85 %</w:t>
            </w:r>
          </w:p>
        </w:tc>
      </w:tr>
      <w:tr>
        <w:trPr>
          <w:trHeight w:val="410"/>
        </w:trPr>
        <w:tc>
          <w:tcPr>
            <w:tcW w:w="8020" w:type="dxa"/>
            <w:vAlign w:val="bottom"/>
            <w:gridSpan w:val="4"/>
          </w:tcPr>
          <w:p>
            <w:pPr>
              <w:spacing w:after="0"/>
              <w:rPr>
                <w:sz w:val="20"/>
                <w:szCs w:val="20"/>
                <w:color w:val="auto"/>
              </w:rPr>
            </w:pPr>
            <w:r>
              <w:rPr>
                <w:rFonts w:ascii="Calibri" w:cs="Calibri" w:eastAsia="Calibri" w:hAnsi="Calibri"/>
                <w:sz w:val="18"/>
                <w:szCs w:val="18"/>
                <w:color w:val="auto"/>
              </w:rPr>
              <w:t>The weighted-average assumptons used to determine the net postretrement beneft cost were as follows:</w:t>
            </w: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2"/>
        </w:trPr>
        <w:tc>
          <w:tcPr>
            <w:tcW w:w="6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gridSpan w:val="6"/>
          </w:tcPr>
          <w:p>
            <w:pPr>
              <w:ind w:left="20"/>
              <w:spacing w:after="0"/>
              <w:rPr>
                <w:sz w:val="20"/>
                <w:szCs w:val="20"/>
                <w:color w:val="auto"/>
              </w:rPr>
            </w:pPr>
            <w:r>
              <w:rPr>
                <w:rFonts w:ascii="Calibri" w:cs="Calibri" w:eastAsia="Calibri" w:hAnsi="Calibri"/>
                <w:sz w:val="18"/>
                <w:szCs w:val="18"/>
                <w:b w:val="1"/>
                <w:bCs w:val="1"/>
                <w:color w:val="auto"/>
              </w:rPr>
              <w:t>Year Ended December 31,</w:t>
            </w: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
        </w:trPr>
        <w:tc>
          <w:tcPr>
            <w:tcW w:w="64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9"/>
        </w:trPr>
        <w:tc>
          <w:tcPr>
            <w:tcW w:w="6420" w:type="dxa"/>
            <w:vAlign w:val="bottom"/>
          </w:tcPr>
          <w:p>
            <w:pPr>
              <w:spacing w:after="0"/>
              <w:rPr>
                <w:sz w:val="18"/>
                <w:szCs w:val="18"/>
                <w:color w:val="auto"/>
              </w:rPr>
            </w:pPr>
          </w:p>
        </w:tc>
        <w:tc>
          <w:tcPr>
            <w:tcW w:w="1100" w:type="dxa"/>
            <w:vAlign w:val="bottom"/>
            <w:tcBorders>
              <w:bottom w:val="single" w:sz="8" w:color="auto"/>
            </w:tcBorders>
          </w:tcPr>
          <w:p>
            <w:pPr>
              <w:jc w:val="right"/>
              <w:ind w:right="170"/>
              <w:spacing w:after="0" w:line="209" w:lineRule="exact"/>
              <w:rPr>
                <w:sz w:val="20"/>
                <w:szCs w:val="20"/>
                <w:color w:val="auto"/>
              </w:rPr>
            </w:pPr>
            <w:r>
              <w:rPr>
                <w:rFonts w:ascii="Calibri" w:cs="Calibri" w:eastAsia="Calibri" w:hAnsi="Calibri"/>
                <w:sz w:val="18"/>
                <w:szCs w:val="18"/>
                <w:b w:val="1"/>
                <w:bCs w:val="1"/>
                <w:color w:val="auto"/>
              </w:rPr>
              <w:t>2024</w:t>
            </w:r>
          </w:p>
        </w:tc>
        <w:tc>
          <w:tcPr>
            <w:tcW w:w="2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Borders>
              <w:bottom w:val="single" w:sz="8" w:color="auto"/>
            </w:tcBorders>
          </w:tcPr>
          <w:p>
            <w:pPr>
              <w:jc w:val="right"/>
              <w:ind w:right="150"/>
              <w:spacing w:after="0" w:line="209" w:lineRule="exact"/>
              <w:rPr>
                <w:sz w:val="20"/>
                <w:szCs w:val="20"/>
                <w:color w:val="auto"/>
              </w:rPr>
            </w:pPr>
            <w:r>
              <w:rPr>
                <w:rFonts w:ascii="Calibri" w:cs="Calibri" w:eastAsia="Calibri" w:hAnsi="Calibri"/>
                <w:sz w:val="18"/>
                <w:szCs w:val="18"/>
                <w:b w:val="1"/>
                <w:bCs w:val="1"/>
                <w:color w:val="auto"/>
              </w:rPr>
              <w:t>2023</w:t>
            </w:r>
          </w:p>
        </w:tc>
        <w:tc>
          <w:tcPr>
            <w:tcW w:w="2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0"/>
              <w:spacing w:after="0" w:line="209" w:lineRule="exact"/>
              <w:rPr>
                <w:sz w:val="20"/>
                <w:szCs w:val="20"/>
                <w:color w:val="auto"/>
              </w:rPr>
            </w:pPr>
            <w:r>
              <w:rPr>
                <w:rFonts w:ascii="Calibri" w:cs="Calibri" w:eastAsia="Calibri" w:hAnsi="Calibri"/>
                <w:sz w:val="18"/>
                <w:szCs w:val="18"/>
                <w:b w:val="1"/>
                <w:bCs w:val="1"/>
                <w:color w:val="auto"/>
              </w:rPr>
              <w:t>2022</w:t>
            </w:r>
          </w:p>
        </w:tc>
        <w:tc>
          <w:tcPr>
            <w:tcW w:w="160" w:type="dxa"/>
            <w:vAlign w:val="bottom"/>
          </w:tcPr>
          <w:p>
            <w:pPr>
              <w:spacing w:after="0"/>
              <w:rPr>
                <w:sz w:val="18"/>
                <w:szCs w:val="18"/>
                <w:color w:val="auto"/>
              </w:rPr>
            </w:pPr>
          </w:p>
        </w:tc>
      </w:tr>
      <w:tr>
        <w:trPr>
          <w:trHeight w:val="210"/>
        </w:trPr>
        <w:tc>
          <w:tcPr>
            <w:tcW w:w="642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color w:val="auto"/>
              </w:rPr>
              <w:t>Efectve rate for interest cost</w:t>
            </w:r>
          </w:p>
        </w:tc>
        <w:tc>
          <w:tcPr>
            <w:tcW w:w="1600" w:type="dxa"/>
            <w:vAlign w:val="bottom"/>
            <w:gridSpan w:val="3"/>
            <w:shd w:val="clear" w:color="auto" w:fill="CFF0FC"/>
          </w:tcPr>
          <w:p>
            <w:pPr>
              <w:jc w:val="right"/>
              <w:ind w:right="50"/>
              <w:spacing w:after="0" w:line="210" w:lineRule="exact"/>
              <w:rPr>
                <w:sz w:val="20"/>
                <w:szCs w:val="20"/>
                <w:color w:val="auto"/>
              </w:rPr>
            </w:pPr>
            <w:r>
              <w:rPr>
                <w:rFonts w:ascii="Calibri" w:cs="Calibri" w:eastAsia="Calibri" w:hAnsi="Calibri"/>
                <w:sz w:val="18"/>
                <w:szCs w:val="18"/>
                <w:color w:val="auto"/>
              </w:rPr>
              <w:t>4.67 %</w:t>
            </w:r>
          </w:p>
        </w:tc>
        <w:tc>
          <w:tcPr>
            <w:tcW w:w="1600" w:type="dxa"/>
            <w:vAlign w:val="bottom"/>
            <w:gridSpan w:val="4"/>
            <w:shd w:val="clear" w:color="auto" w:fill="CFF0FC"/>
          </w:tcPr>
          <w:p>
            <w:pPr>
              <w:jc w:val="center"/>
              <w:ind w:left="790"/>
              <w:spacing w:after="0" w:line="210" w:lineRule="exact"/>
              <w:rPr>
                <w:sz w:val="20"/>
                <w:szCs w:val="20"/>
                <w:color w:val="auto"/>
              </w:rPr>
            </w:pPr>
            <w:r>
              <w:rPr>
                <w:rFonts w:ascii="Calibri" w:cs="Calibri" w:eastAsia="Calibri" w:hAnsi="Calibri"/>
                <w:sz w:val="18"/>
                <w:szCs w:val="18"/>
                <w:color w:val="auto"/>
                <w:w w:val="98"/>
              </w:rPr>
              <w:t>5.13 %</w:t>
            </w:r>
          </w:p>
        </w:tc>
        <w:tc>
          <w:tcPr>
            <w:tcW w:w="3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0"/>
              <w:spacing w:after="0" w:line="210" w:lineRule="exact"/>
              <w:rPr>
                <w:sz w:val="20"/>
                <w:szCs w:val="20"/>
                <w:color w:val="auto"/>
              </w:rPr>
            </w:pPr>
            <w:r>
              <w:rPr>
                <w:rFonts w:ascii="Calibri" w:cs="Calibri" w:eastAsia="Calibri" w:hAnsi="Calibri"/>
                <w:sz w:val="18"/>
                <w:szCs w:val="18"/>
                <w:color w:val="auto"/>
              </w:rPr>
              <w:t>2.53 %</w:t>
            </w:r>
          </w:p>
        </w:tc>
      </w:tr>
      <w:tr>
        <w:trPr>
          <w:trHeight w:val="215"/>
        </w:trPr>
        <w:tc>
          <w:tcPr>
            <w:tcW w:w="6420" w:type="dxa"/>
            <w:vAlign w:val="bottom"/>
          </w:tcPr>
          <w:p>
            <w:pPr>
              <w:ind w:left="20"/>
              <w:spacing w:after="0" w:line="215" w:lineRule="exact"/>
              <w:rPr>
                <w:sz w:val="20"/>
                <w:szCs w:val="20"/>
                <w:color w:val="auto"/>
              </w:rPr>
            </w:pPr>
            <w:r>
              <w:rPr>
                <w:rFonts w:ascii="Calibri" w:cs="Calibri" w:eastAsia="Calibri" w:hAnsi="Calibri"/>
                <w:sz w:val="18"/>
                <w:szCs w:val="18"/>
                <w:color w:val="auto"/>
              </w:rPr>
              <w:t>Salary increase rate</w:t>
            </w:r>
          </w:p>
        </w:tc>
        <w:tc>
          <w:tcPr>
            <w:tcW w:w="1600" w:type="dxa"/>
            <w:vAlign w:val="bottom"/>
            <w:gridSpan w:val="3"/>
          </w:tcPr>
          <w:p>
            <w:pPr>
              <w:jc w:val="right"/>
              <w:ind w:right="50"/>
              <w:spacing w:after="0" w:line="215" w:lineRule="exact"/>
              <w:rPr>
                <w:sz w:val="20"/>
                <w:szCs w:val="20"/>
                <w:color w:val="auto"/>
              </w:rPr>
            </w:pPr>
            <w:r>
              <w:rPr>
                <w:rFonts w:ascii="Calibri" w:cs="Calibri" w:eastAsia="Calibri" w:hAnsi="Calibri"/>
                <w:sz w:val="18"/>
                <w:szCs w:val="18"/>
                <w:color w:val="auto"/>
              </w:rPr>
              <w:t>1.85 %</w:t>
            </w:r>
          </w:p>
        </w:tc>
        <w:tc>
          <w:tcPr>
            <w:tcW w:w="1600" w:type="dxa"/>
            <w:vAlign w:val="bottom"/>
            <w:gridSpan w:val="4"/>
          </w:tcPr>
          <w:p>
            <w:pPr>
              <w:jc w:val="center"/>
              <w:ind w:left="790"/>
              <w:spacing w:after="0" w:line="215" w:lineRule="exact"/>
              <w:rPr>
                <w:sz w:val="20"/>
                <w:szCs w:val="20"/>
                <w:color w:val="auto"/>
              </w:rPr>
            </w:pPr>
            <w:r>
              <w:rPr>
                <w:rFonts w:ascii="Calibri" w:cs="Calibri" w:eastAsia="Calibri" w:hAnsi="Calibri"/>
                <w:sz w:val="18"/>
                <w:szCs w:val="18"/>
                <w:color w:val="auto"/>
                <w:w w:val="98"/>
              </w:rPr>
              <w:t>2.10 %</w:t>
            </w:r>
          </w:p>
        </w:tc>
        <w:tc>
          <w:tcPr>
            <w:tcW w:w="360" w:type="dxa"/>
            <w:vAlign w:val="bottom"/>
          </w:tcPr>
          <w:p>
            <w:pPr>
              <w:spacing w:after="0"/>
              <w:rPr>
                <w:sz w:val="18"/>
                <w:szCs w:val="18"/>
                <w:color w:val="auto"/>
              </w:rPr>
            </w:pPr>
          </w:p>
        </w:tc>
        <w:tc>
          <w:tcPr>
            <w:tcW w:w="114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1.85 %</w:t>
            </w:r>
          </w:p>
        </w:tc>
      </w:tr>
      <w:tr>
        <w:trPr>
          <w:trHeight w:val="410"/>
        </w:trPr>
        <w:tc>
          <w:tcPr>
            <w:tcW w:w="9980" w:type="dxa"/>
            <w:vAlign w:val="bottom"/>
            <w:gridSpan w:val="9"/>
          </w:tcPr>
          <w:p>
            <w:pPr>
              <w:spacing w:after="0"/>
              <w:rPr>
                <w:sz w:val="20"/>
                <w:szCs w:val="20"/>
                <w:color w:val="auto"/>
              </w:rPr>
            </w:pPr>
            <w:r>
              <w:rPr>
                <w:rFonts w:ascii="Calibri" w:cs="Calibri" w:eastAsia="Calibri" w:hAnsi="Calibri"/>
                <w:sz w:val="18"/>
                <w:szCs w:val="18"/>
                <w:color w:val="auto"/>
              </w:rPr>
              <w:t>The weighted-average assumed healthcare cost trend rates used to compute the other postretrement amounts were as follows:</w:t>
            </w: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2"/>
        </w:trPr>
        <w:tc>
          <w:tcPr>
            <w:tcW w:w="6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right"/>
              <w:ind w:right="510"/>
              <w:spacing w:after="0"/>
              <w:rPr>
                <w:sz w:val="20"/>
                <w:szCs w:val="20"/>
                <w:color w:val="auto"/>
              </w:rPr>
            </w:pPr>
            <w:r>
              <w:rPr>
                <w:rFonts w:ascii="Calibri" w:cs="Calibri" w:eastAsia="Calibri" w:hAnsi="Calibri"/>
                <w:sz w:val="18"/>
                <w:szCs w:val="18"/>
                <w:b w:val="1"/>
                <w:bCs w:val="1"/>
                <w:color w:val="auto"/>
              </w:rPr>
              <w:t>2024</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jc w:val="right"/>
              <w:ind w:right="510"/>
              <w:spacing w:after="0"/>
              <w:rPr>
                <w:sz w:val="20"/>
                <w:szCs w:val="20"/>
                <w:color w:val="auto"/>
              </w:rPr>
            </w:pPr>
            <w:r>
              <w:rPr>
                <w:rFonts w:ascii="Calibri" w:cs="Calibri" w:eastAsia="Calibri" w:hAnsi="Calibri"/>
                <w:sz w:val="18"/>
                <w:szCs w:val="18"/>
                <w:b w:val="1"/>
                <w:bCs w:val="1"/>
                <w:color w:val="auto"/>
                <w:w w:val="98"/>
              </w:rPr>
              <w:t>2023</w:t>
            </w:r>
          </w:p>
        </w:tc>
        <w:tc>
          <w:tcPr>
            <w:tcW w:w="160" w:type="dxa"/>
            <w:vAlign w:val="bottom"/>
          </w:tcPr>
          <w:p>
            <w:pPr>
              <w:spacing w:after="0"/>
              <w:rPr>
                <w:sz w:val="24"/>
                <w:szCs w:val="24"/>
                <w:color w:val="auto"/>
              </w:rPr>
            </w:pPr>
          </w:p>
        </w:tc>
      </w:tr>
      <w:tr>
        <w:trPr>
          <w:trHeight w:val="23"/>
        </w:trPr>
        <w:tc>
          <w:tcPr>
            <w:tcW w:w="6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9"/>
        </w:trPr>
        <w:tc>
          <w:tcPr>
            <w:tcW w:w="6420" w:type="dxa"/>
            <w:vAlign w:val="bottom"/>
            <w:shd w:val="clear" w:color="auto" w:fill="CFF0FC"/>
          </w:tcPr>
          <w:p>
            <w:pPr>
              <w:ind w:left="20"/>
              <w:spacing w:after="0" w:line="209" w:lineRule="exact"/>
              <w:rPr>
                <w:sz w:val="20"/>
                <w:szCs w:val="20"/>
                <w:color w:val="auto"/>
              </w:rPr>
            </w:pPr>
            <w:r>
              <w:rPr>
                <w:rFonts w:ascii="Calibri" w:cs="Calibri" w:eastAsia="Calibri" w:hAnsi="Calibri"/>
                <w:sz w:val="18"/>
                <w:szCs w:val="18"/>
                <w:color w:val="auto"/>
              </w:rPr>
              <w:t>Healthcare cost trend</w:t>
            </w: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00"/>
              <w:spacing w:after="0" w:line="209" w:lineRule="exact"/>
              <w:rPr>
                <w:sz w:val="20"/>
                <w:szCs w:val="20"/>
                <w:color w:val="auto"/>
              </w:rPr>
            </w:pPr>
            <w:r>
              <w:rPr>
                <w:rFonts w:ascii="Calibri" w:cs="Calibri" w:eastAsia="Calibri" w:hAnsi="Calibri"/>
                <w:sz w:val="18"/>
                <w:szCs w:val="18"/>
                <w:color w:val="auto"/>
              </w:rPr>
              <w:t>6.24 %</w:t>
            </w: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0"/>
              <w:spacing w:after="0" w:line="209" w:lineRule="exact"/>
              <w:rPr>
                <w:sz w:val="20"/>
                <w:szCs w:val="20"/>
                <w:color w:val="auto"/>
              </w:rPr>
            </w:pPr>
            <w:r>
              <w:rPr>
                <w:rFonts w:ascii="Calibri" w:cs="Calibri" w:eastAsia="Calibri" w:hAnsi="Calibri"/>
                <w:sz w:val="18"/>
                <w:szCs w:val="18"/>
                <w:color w:val="auto"/>
              </w:rPr>
              <w:t>5.73 %</w:t>
            </w:r>
          </w:p>
        </w:tc>
      </w:tr>
      <w:tr>
        <w:trPr>
          <w:trHeight w:val="215"/>
        </w:trPr>
        <w:tc>
          <w:tcPr>
            <w:tcW w:w="6420" w:type="dxa"/>
            <w:vAlign w:val="bottom"/>
          </w:tcPr>
          <w:p>
            <w:pPr>
              <w:ind w:left="20"/>
              <w:spacing w:after="0" w:line="215" w:lineRule="exact"/>
              <w:rPr>
                <w:sz w:val="20"/>
                <w:szCs w:val="20"/>
                <w:color w:val="auto"/>
              </w:rPr>
            </w:pPr>
            <w:r>
              <w:rPr>
                <w:rFonts w:ascii="Calibri" w:cs="Calibri" w:eastAsia="Calibri" w:hAnsi="Calibri"/>
                <w:sz w:val="18"/>
                <w:szCs w:val="18"/>
                <w:color w:val="auto"/>
              </w:rPr>
              <w:t>Rate to which the cost trend rate is assumed to decline (the ultmate trend rate)</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100"/>
              <w:spacing w:after="0" w:line="215" w:lineRule="exact"/>
              <w:rPr>
                <w:sz w:val="20"/>
                <w:szCs w:val="20"/>
                <w:color w:val="auto"/>
              </w:rPr>
            </w:pPr>
            <w:r>
              <w:rPr>
                <w:rFonts w:ascii="Calibri" w:cs="Calibri" w:eastAsia="Calibri" w:hAnsi="Calibri"/>
                <w:sz w:val="18"/>
                <w:szCs w:val="18"/>
                <w:color w:val="auto"/>
              </w:rPr>
              <w:t>3.47 %</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3.32 %</w:t>
            </w:r>
          </w:p>
        </w:tc>
      </w:tr>
      <w:tr>
        <w:trPr>
          <w:trHeight w:val="217"/>
        </w:trPr>
        <w:tc>
          <w:tcPr>
            <w:tcW w:w="642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Year that the rate reaches the ultmate trend rate</w:t>
            </w: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2038</w:t>
            </w:r>
          </w:p>
        </w:tc>
        <w:tc>
          <w:tcPr>
            <w:tcW w:w="2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2040</w:t>
            </w:r>
          </w:p>
        </w:tc>
        <w:tc>
          <w:tcPr>
            <w:tcW w:w="160" w:type="dxa"/>
            <w:vAlign w:val="bottom"/>
            <w:shd w:val="clear" w:color="auto" w:fill="CFF0FC"/>
          </w:tcPr>
          <w:p>
            <w:pPr>
              <w:spacing w:after="0"/>
              <w:rPr>
                <w:sz w:val="18"/>
                <w:szCs w:val="18"/>
                <w:color w:val="auto"/>
              </w:rPr>
            </w:pPr>
          </w:p>
        </w:tc>
      </w:tr>
      <w:tr>
        <w:trPr>
          <w:trHeight w:val="408"/>
        </w:trPr>
        <w:tc>
          <w:tcPr>
            <w:tcW w:w="8020" w:type="dxa"/>
            <w:vAlign w:val="bottom"/>
            <w:gridSpan w:val="4"/>
          </w:tcPr>
          <w:p>
            <w:pPr>
              <w:spacing w:after="0"/>
              <w:rPr>
                <w:sz w:val="20"/>
                <w:szCs w:val="20"/>
                <w:color w:val="auto"/>
              </w:rPr>
            </w:pPr>
            <w:r>
              <w:rPr>
                <w:rFonts w:ascii="Calibri" w:cs="Calibri" w:eastAsia="Calibri" w:hAnsi="Calibri"/>
                <w:sz w:val="18"/>
                <w:szCs w:val="18"/>
                <w:color w:val="auto"/>
              </w:rPr>
              <w:t>The following other postretrement benefts, which refect expected future service, are expected to be paid:</w:t>
            </w: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22"/>
        </w:trPr>
        <w:tc>
          <w:tcPr>
            <w:tcW w:w="6420" w:type="dxa"/>
            <w:vAlign w:val="bottom"/>
          </w:tcPr>
          <w:p>
            <w:pPr>
              <w:ind w:left="20"/>
              <w:spacing w:after="0"/>
              <w:rPr>
                <w:sz w:val="20"/>
                <w:szCs w:val="20"/>
                <w:color w:val="auto"/>
              </w:rPr>
            </w:pPr>
            <w:r>
              <w:rPr>
                <w:rFonts w:ascii="Calibri" w:cs="Calibri" w:eastAsia="Calibri" w:hAnsi="Calibri"/>
                <w:sz w:val="14"/>
                <w:szCs w:val="14"/>
                <w:color w:val="auto"/>
              </w:rPr>
              <w:t>(in millions)</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
        </w:trPr>
        <w:tc>
          <w:tcPr>
            <w:tcW w:w="6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r>
      <w:tr>
        <w:trPr>
          <w:trHeight w:val="216"/>
        </w:trPr>
        <w:tc>
          <w:tcPr>
            <w:tcW w:w="6420" w:type="dxa"/>
            <w:vAlign w:val="bottom"/>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2025</w:t>
            </w: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00"/>
              <w:spacing w:after="0" w:line="215" w:lineRule="exact"/>
              <w:rPr>
                <w:sz w:val="20"/>
                <w:szCs w:val="20"/>
                <w:color w:val="auto"/>
              </w:rPr>
            </w:pPr>
            <w:r>
              <w:rPr>
                <w:rFonts w:ascii="Calibri" w:cs="Calibri" w:eastAsia="Calibri" w:hAnsi="Calibri"/>
                <w:sz w:val="18"/>
                <w:szCs w:val="18"/>
                <w:color w:val="auto"/>
              </w:rPr>
              <w:t>$</w:t>
            </w: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20"/>
              <w:spacing w:after="0" w:line="215" w:lineRule="exact"/>
              <w:rPr>
                <w:sz w:val="20"/>
                <w:szCs w:val="20"/>
                <w:color w:val="auto"/>
              </w:rPr>
            </w:pPr>
            <w:r>
              <w:rPr>
                <w:rFonts w:ascii="Calibri" w:cs="Calibri" w:eastAsia="Calibri" w:hAnsi="Calibri"/>
                <w:sz w:val="18"/>
                <w:szCs w:val="18"/>
                <w:color w:val="auto"/>
              </w:rPr>
              <w:t>2</w:t>
            </w:r>
          </w:p>
        </w:tc>
      </w:tr>
      <w:tr>
        <w:trPr>
          <w:trHeight w:val="215"/>
        </w:trPr>
        <w:tc>
          <w:tcPr>
            <w:tcW w:w="6420" w:type="dxa"/>
            <w:vAlign w:val="bottom"/>
          </w:tcPr>
          <w:p>
            <w:pPr>
              <w:ind w:left="20"/>
              <w:spacing w:after="0" w:line="215" w:lineRule="exact"/>
              <w:rPr>
                <w:sz w:val="20"/>
                <w:szCs w:val="20"/>
                <w:color w:val="auto"/>
              </w:rPr>
            </w:pPr>
            <w:r>
              <w:rPr>
                <w:rFonts w:ascii="Calibri" w:cs="Calibri" w:eastAsia="Calibri" w:hAnsi="Calibri"/>
                <w:sz w:val="18"/>
                <w:szCs w:val="18"/>
                <w:color w:val="auto"/>
              </w:rPr>
              <w:t>2026</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2</w:t>
            </w:r>
          </w:p>
        </w:tc>
      </w:tr>
      <w:tr>
        <w:trPr>
          <w:trHeight w:val="217"/>
        </w:trPr>
        <w:tc>
          <w:tcPr>
            <w:tcW w:w="642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2027</w:t>
            </w: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20"/>
              <w:spacing w:after="0" w:line="216" w:lineRule="exact"/>
              <w:rPr>
                <w:sz w:val="20"/>
                <w:szCs w:val="20"/>
                <w:color w:val="auto"/>
              </w:rPr>
            </w:pPr>
            <w:r>
              <w:rPr>
                <w:rFonts w:ascii="Calibri" w:cs="Calibri" w:eastAsia="Calibri" w:hAnsi="Calibri"/>
                <w:sz w:val="18"/>
                <w:szCs w:val="18"/>
                <w:color w:val="auto"/>
              </w:rPr>
              <w:t>2</w:t>
            </w:r>
          </w:p>
        </w:tc>
      </w:tr>
      <w:tr>
        <w:trPr>
          <w:trHeight w:val="215"/>
        </w:trPr>
        <w:tc>
          <w:tcPr>
            <w:tcW w:w="6420" w:type="dxa"/>
            <w:vAlign w:val="bottom"/>
          </w:tcPr>
          <w:p>
            <w:pPr>
              <w:ind w:left="20"/>
              <w:spacing w:after="0" w:line="215" w:lineRule="exact"/>
              <w:rPr>
                <w:sz w:val="20"/>
                <w:szCs w:val="20"/>
                <w:color w:val="auto"/>
              </w:rPr>
            </w:pPr>
            <w:r>
              <w:rPr>
                <w:rFonts w:ascii="Calibri" w:cs="Calibri" w:eastAsia="Calibri" w:hAnsi="Calibri"/>
                <w:sz w:val="18"/>
                <w:szCs w:val="18"/>
                <w:color w:val="auto"/>
              </w:rPr>
              <w:t>2028</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2</w:t>
            </w:r>
          </w:p>
        </w:tc>
      </w:tr>
      <w:tr>
        <w:trPr>
          <w:trHeight w:val="217"/>
        </w:trPr>
        <w:tc>
          <w:tcPr>
            <w:tcW w:w="642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2029</w:t>
            </w: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20"/>
              <w:spacing w:after="0" w:line="216" w:lineRule="exact"/>
              <w:rPr>
                <w:sz w:val="20"/>
                <w:szCs w:val="20"/>
                <w:color w:val="auto"/>
              </w:rPr>
            </w:pPr>
            <w:r>
              <w:rPr>
                <w:rFonts w:ascii="Calibri" w:cs="Calibri" w:eastAsia="Calibri" w:hAnsi="Calibri"/>
                <w:sz w:val="18"/>
                <w:szCs w:val="18"/>
                <w:color w:val="auto"/>
              </w:rPr>
              <w:t>2</w:t>
            </w:r>
          </w:p>
        </w:tc>
      </w:tr>
      <w:tr>
        <w:trPr>
          <w:trHeight w:val="215"/>
        </w:trPr>
        <w:tc>
          <w:tcPr>
            <w:tcW w:w="6420" w:type="dxa"/>
            <w:vAlign w:val="bottom"/>
          </w:tcPr>
          <w:p>
            <w:pPr>
              <w:ind w:left="20"/>
              <w:spacing w:after="0" w:line="215" w:lineRule="exact"/>
              <w:rPr>
                <w:sz w:val="20"/>
                <w:szCs w:val="20"/>
                <w:color w:val="auto"/>
              </w:rPr>
            </w:pPr>
            <w:r>
              <w:rPr>
                <w:rFonts w:ascii="Calibri" w:cs="Calibri" w:eastAsia="Calibri" w:hAnsi="Calibri"/>
                <w:sz w:val="18"/>
                <w:szCs w:val="18"/>
                <w:color w:val="auto"/>
              </w:rPr>
              <w:t>2030 - 2034</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11</w:t>
            </w:r>
          </w:p>
        </w:tc>
      </w:tr>
    </w:tbl>
    <w:p>
      <w:pPr>
        <w:spacing w:after="0" w:line="19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21: EARNINGS PER SHARE</w:t>
      </w:r>
    </w:p>
    <w:p>
      <w:pPr>
        <w:spacing w:after="0" w:line="190" w:lineRule="exact"/>
        <w:rPr>
          <w:sz w:val="20"/>
          <w:szCs w:val="20"/>
          <w:color w:val="auto"/>
        </w:rPr>
      </w:pPr>
    </w:p>
    <w:p>
      <w:pPr>
        <w:jc w:val="both"/>
        <w:ind w:right="180"/>
        <w:spacing w:after="0" w:line="235" w:lineRule="auto"/>
        <w:rPr>
          <w:sz w:val="20"/>
          <w:szCs w:val="20"/>
          <w:color w:val="auto"/>
        </w:rPr>
      </w:pPr>
      <w:r>
        <w:rPr>
          <w:rFonts w:ascii="Calibri" w:cs="Calibri" w:eastAsia="Calibri" w:hAnsi="Calibri"/>
          <w:sz w:val="18"/>
          <w:szCs w:val="18"/>
          <w:color w:val="auto"/>
        </w:rPr>
        <w:t>Basic earnings per share are calculated using the weighted-average number of shares of common stock outstanding during the period. Diluted earnings per share calculatons include any dilutve efect of potental common shares. In periods with a net loss from contnuing operatons, diluted earnings per share are calculated using weighted-average basic shares for that period, as utlizing diluted shares would be ant-dilutve to loss per share.</w:t>
      </w:r>
    </w:p>
    <w:p>
      <w:pPr>
        <w:spacing w:after="0" w:line="173" w:lineRule="exact"/>
        <w:rPr>
          <w:sz w:val="20"/>
          <w:szCs w:val="20"/>
          <w:color w:val="auto"/>
        </w:rPr>
      </w:pPr>
    </w:p>
    <w:p>
      <w:pPr>
        <w:spacing w:after="0"/>
        <w:rPr>
          <w:sz w:val="20"/>
          <w:szCs w:val="20"/>
          <w:color w:val="auto"/>
        </w:rPr>
      </w:pPr>
      <w:r>
        <w:rPr>
          <w:rFonts w:ascii="Calibri" w:cs="Calibri" w:eastAsia="Calibri" w:hAnsi="Calibri"/>
          <w:sz w:val="18"/>
          <w:szCs w:val="18"/>
          <w:color w:val="auto"/>
        </w:rPr>
        <w:t>A reconciliaton of the amounts used to calculate basic and diluted earnings per share for the years ended December 31, 2024, 2023 and 2022 follows:</w:t>
      </w:r>
    </w:p>
    <w:p>
      <w:pPr>
        <w:spacing w:after="0" w:line="212" w:lineRule="exact"/>
        <w:rPr>
          <w:sz w:val="20"/>
          <w:szCs w:val="20"/>
          <w:color w:val="auto"/>
        </w:rPr>
      </w:pPr>
    </w:p>
    <w:p>
      <w:pPr>
        <w:ind w:left="8140"/>
        <w:spacing w:after="0"/>
        <w:rPr>
          <w:sz w:val="20"/>
          <w:szCs w:val="20"/>
          <w:color w:val="auto"/>
        </w:rPr>
      </w:pPr>
      <w:r>
        <w:rPr>
          <w:rFonts w:ascii="Calibri" w:cs="Calibri" w:eastAsia="Calibri" w:hAnsi="Calibri"/>
          <w:sz w:val="18"/>
          <w:szCs w:val="18"/>
          <w:b w:val="1"/>
          <w:bCs w:val="1"/>
          <w:color w:val="auto"/>
        </w:rPr>
        <w:t>Year Ended December 31,</w:t>
      </w:r>
    </w:p>
    <w:tbl>
      <w:tblPr>
        <w:tblLayout w:type="fixed"/>
        <w:tblInd w:w="0" w:type="dxa"/>
        <w:tblCellMar>
          <w:top w:w="0" w:type="dxa"/>
          <w:left w:w="0" w:type="dxa"/>
          <w:bottom w:w="0" w:type="dxa"/>
          <w:right w:w="0" w:type="dxa"/>
        </w:tblCellMar>
      </w:tblPr>
      <w:tr>
        <w:trPr>
          <w:trHeight w:val="216"/>
        </w:trPr>
        <w:tc>
          <w:tcPr>
            <w:tcW w:w="5020" w:type="dxa"/>
            <w:vAlign w:val="bottom"/>
          </w:tcPr>
          <w:p>
            <w:pPr>
              <w:ind w:left="20"/>
              <w:spacing w:after="0"/>
              <w:rPr>
                <w:sz w:val="20"/>
                <w:szCs w:val="20"/>
                <w:color w:val="auto"/>
              </w:rPr>
            </w:pPr>
            <w:r>
              <w:rPr>
                <w:rFonts w:ascii="Calibri" w:cs="Calibri" w:eastAsia="Calibri" w:hAnsi="Calibri"/>
                <w:sz w:val="14"/>
                <w:szCs w:val="14"/>
                <w:color w:val="auto"/>
              </w:rPr>
              <w:t>(in millions)</w:t>
            </w:r>
          </w:p>
        </w:tc>
        <w:tc>
          <w:tcPr>
            <w:tcW w:w="2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290"/>
              <w:spacing w:after="0" w:line="216" w:lineRule="exact"/>
              <w:rPr>
                <w:sz w:val="20"/>
                <w:szCs w:val="20"/>
                <w:color w:val="auto"/>
              </w:rPr>
            </w:pPr>
            <w:r>
              <w:rPr>
                <w:rFonts w:ascii="Calibri" w:cs="Calibri" w:eastAsia="Calibri" w:hAnsi="Calibri"/>
                <w:sz w:val="18"/>
                <w:szCs w:val="18"/>
                <w:b w:val="1"/>
                <w:bCs w:val="1"/>
                <w:color w:val="auto"/>
              </w:rPr>
              <w:t>2024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290"/>
              <w:spacing w:after="0" w:line="216" w:lineRule="exact"/>
              <w:rPr>
                <w:sz w:val="20"/>
                <w:szCs w:val="20"/>
                <w:color w:val="auto"/>
              </w:rPr>
            </w:pPr>
            <w:r>
              <w:rPr>
                <w:rFonts w:ascii="Calibri" w:cs="Calibri" w:eastAsia="Calibri" w:hAnsi="Calibri"/>
                <w:sz w:val="18"/>
                <w:szCs w:val="18"/>
                <w:b w:val="1"/>
                <w:bCs w:val="1"/>
                <w:color w:val="auto"/>
              </w:rPr>
              <w:t>2023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290"/>
              <w:spacing w:after="0" w:line="216" w:lineRule="exact"/>
              <w:rPr>
                <w:sz w:val="20"/>
                <w:szCs w:val="20"/>
                <w:color w:val="auto"/>
              </w:rPr>
            </w:pPr>
            <w:r>
              <w:rPr>
                <w:rFonts w:ascii="Calibri" w:cs="Calibri" w:eastAsia="Calibri" w:hAnsi="Calibri"/>
                <w:sz w:val="18"/>
                <w:szCs w:val="18"/>
                <w:b w:val="1"/>
                <w:bCs w:val="1"/>
                <w:color w:val="auto"/>
              </w:rPr>
              <w:t>2022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50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020" w:type="dxa"/>
            <w:vAlign w:val="bottom"/>
            <w:shd w:val="clear" w:color="auto" w:fill="CFF0FC"/>
          </w:tcPr>
          <w:p>
            <w:pPr>
              <w:ind w:left="20"/>
              <w:spacing w:after="0" w:line="209" w:lineRule="exact"/>
              <w:rPr>
                <w:sz w:val="20"/>
                <w:szCs w:val="20"/>
                <w:color w:val="auto"/>
              </w:rPr>
            </w:pPr>
            <w:r>
              <w:rPr>
                <w:rFonts w:ascii="Calibri" w:cs="Calibri" w:eastAsia="Calibri" w:hAnsi="Calibri"/>
                <w:sz w:val="18"/>
                <w:szCs w:val="18"/>
                <w:color w:val="auto"/>
              </w:rPr>
              <w:t>Net income atributable to Eastman Kodak Company</w:t>
            </w:r>
          </w:p>
        </w:tc>
        <w:tc>
          <w:tcPr>
            <w:tcW w:w="2360" w:type="dxa"/>
            <w:vAlign w:val="bottom"/>
            <w:gridSpan w:val="2"/>
            <w:shd w:val="clear" w:color="auto" w:fill="CFF0FC"/>
          </w:tcPr>
          <w:p>
            <w:pPr>
              <w:jc w:val="right"/>
              <w:ind w:right="30"/>
              <w:spacing w:after="0" w:line="209" w:lineRule="exact"/>
              <w:rPr>
                <w:sz w:val="20"/>
                <w:szCs w:val="20"/>
                <w:color w:val="auto"/>
              </w:rPr>
            </w:pPr>
            <w:r>
              <w:rPr>
                <w:rFonts w:ascii="Calibri" w:cs="Calibri" w:eastAsia="Calibri" w:hAnsi="Calibri"/>
                <w:sz w:val="18"/>
                <w:szCs w:val="18"/>
                <w:color w:val="auto"/>
              </w:rPr>
              <w:t>$</w:t>
            </w:r>
          </w:p>
        </w:tc>
        <w:tc>
          <w:tcPr>
            <w:tcW w:w="88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102</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30"/>
              <w:spacing w:after="0" w:line="209" w:lineRule="exact"/>
              <w:rPr>
                <w:sz w:val="20"/>
                <w:szCs w:val="20"/>
                <w:color w:val="auto"/>
              </w:rPr>
            </w:pPr>
            <w:r>
              <w:rPr>
                <w:rFonts w:ascii="Calibri" w:cs="Calibri" w:eastAsia="Calibri" w:hAnsi="Calibri"/>
                <w:sz w:val="18"/>
                <w:szCs w:val="18"/>
                <w:color w:val="auto"/>
              </w:rPr>
              <w:t>$</w:t>
            </w:r>
          </w:p>
        </w:tc>
        <w:tc>
          <w:tcPr>
            <w:tcW w:w="88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75</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line="209" w:lineRule="exact"/>
              <w:rPr>
                <w:sz w:val="20"/>
                <w:szCs w:val="20"/>
                <w:color w:val="auto"/>
              </w:rPr>
            </w:pPr>
            <w:r>
              <w:rPr>
                <w:rFonts w:ascii="Calibri" w:cs="Calibri" w:eastAsia="Calibri" w:hAnsi="Calibri"/>
                <w:sz w:val="18"/>
                <w:szCs w:val="18"/>
                <w:color w:val="auto"/>
                <w:w w:val="87"/>
              </w:rPr>
              <w:t>$</w:t>
            </w:r>
          </w:p>
        </w:tc>
        <w:tc>
          <w:tcPr>
            <w:tcW w:w="88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26</w:t>
            </w:r>
          </w:p>
        </w:tc>
        <w:tc>
          <w:tcPr>
            <w:tcW w:w="100" w:type="dxa"/>
            <w:vAlign w:val="bottom"/>
            <w:shd w:val="clear" w:color="auto" w:fill="CFF0FC"/>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20" w:type="dxa"/>
            <w:vAlign w:val="bottom"/>
          </w:tcPr>
          <w:p>
            <w:pPr>
              <w:ind w:left="200"/>
              <w:spacing w:after="0" w:line="215" w:lineRule="exact"/>
              <w:rPr>
                <w:sz w:val="20"/>
                <w:szCs w:val="20"/>
                <w:color w:val="auto"/>
              </w:rPr>
            </w:pPr>
            <w:r>
              <w:rPr>
                <w:rFonts w:ascii="Calibri" w:cs="Calibri" w:eastAsia="Calibri" w:hAnsi="Calibri"/>
                <w:sz w:val="18"/>
                <w:szCs w:val="18"/>
                <w:color w:val="auto"/>
              </w:rPr>
              <w:t>Less: Preferred Stock cash and accrued dividends</w:t>
            </w:r>
          </w:p>
        </w:tc>
        <w:tc>
          <w:tcPr>
            <w:tcW w:w="2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(4 )</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(4 )</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(4 )</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020" w:type="dxa"/>
            <w:vAlign w:val="bottom"/>
            <w:shd w:val="clear" w:color="auto" w:fill="CFF0FC"/>
          </w:tcPr>
          <w:p>
            <w:pPr>
              <w:ind w:left="200"/>
              <w:spacing w:after="0" w:line="216" w:lineRule="exact"/>
              <w:rPr>
                <w:sz w:val="20"/>
                <w:szCs w:val="20"/>
                <w:color w:val="auto"/>
              </w:rPr>
            </w:pPr>
            <w:r>
              <w:rPr>
                <w:rFonts w:ascii="Calibri" w:cs="Calibri" w:eastAsia="Calibri" w:hAnsi="Calibri"/>
                <w:sz w:val="18"/>
                <w:szCs w:val="18"/>
                <w:color w:val="auto"/>
              </w:rPr>
              <w:t>Less: Preferred Stock in-kind dividends</w:t>
            </w:r>
          </w:p>
        </w:tc>
        <w:tc>
          <w:tcPr>
            <w:tcW w:w="2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00"/>
              <w:spacing w:after="0" w:line="216" w:lineRule="exact"/>
              <w:rPr>
                <w:sz w:val="20"/>
                <w:szCs w:val="20"/>
                <w:color w:val="auto"/>
              </w:rPr>
            </w:pPr>
            <w:r>
              <w:rPr>
                <w:rFonts w:ascii="Calibri" w:cs="Calibri" w:eastAsia="Calibri" w:hAnsi="Calibri"/>
                <w:sz w:val="18"/>
                <w:szCs w:val="18"/>
                <w:color w:val="auto"/>
              </w:rPr>
              <w:t>(6 )</w:t>
            </w:r>
          </w:p>
        </w:tc>
        <w:tc>
          <w:tcPr>
            <w:tcW w:w="2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00"/>
              <w:spacing w:after="0" w:line="216" w:lineRule="exact"/>
              <w:rPr>
                <w:sz w:val="20"/>
                <w:szCs w:val="20"/>
                <w:color w:val="auto"/>
              </w:rPr>
            </w:pPr>
            <w:r>
              <w:rPr>
                <w:rFonts w:ascii="Calibri" w:cs="Calibri" w:eastAsia="Calibri" w:hAnsi="Calibri"/>
                <w:sz w:val="18"/>
                <w:szCs w:val="18"/>
                <w:color w:val="auto"/>
              </w:rPr>
              <w:t>(5 )</w:t>
            </w:r>
          </w:p>
        </w:tc>
        <w:tc>
          <w:tcPr>
            <w:tcW w:w="2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line="216" w:lineRule="exact"/>
              <w:rPr>
                <w:sz w:val="20"/>
                <w:szCs w:val="20"/>
                <w:color w:val="auto"/>
              </w:rPr>
            </w:pPr>
            <w:r>
              <w:rPr>
                <w:rFonts w:ascii="Calibri" w:cs="Calibri" w:eastAsia="Calibri" w:hAnsi="Calibri"/>
                <w:sz w:val="18"/>
                <w:szCs w:val="18"/>
                <w:color w:val="auto"/>
              </w:rPr>
              <w:t>(5 )</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20" w:type="dxa"/>
            <w:vAlign w:val="bottom"/>
          </w:tcPr>
          <w:p>
            <w:pPr>
              <w:ind w:left="200"/>
              <w:spacing w:after="0" w:line="215" w:lineRule="exact"/>
              <w:rPr>
                <w:sz w:val="20"/>
                <w:szCs w:val="20"/>
                <w:color w:val="auto"/>
              </w:rPr>
            </w:pPr>
            <w:r>
              <w:rPr>
                <w:rFonts w:ascii="Calibri" w:cs="Calibri" w:eastAsia="Calibri" w:hAnsi="Calibri"/>
                <w:sz w:val="18"/>
                <w:szCs w:val="18"/>
                <w:color w:val="auto"/>
              </w:rPr>
              <w:t>Less: Preferred Stock deemed dividends</w:t>
            </w:r>
          </w:p>
        </w:tc>
        <w:tc>
          <w:tcPr>
            <w:tcW w:w="2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(2 )</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(2 )</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(2 )</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FF0FC"/>
          </w:tcPr>
          <w:p>
            <w:pPr>
              <w:ind w:left="200"/>
              <w:spacing w:after="0" w:line="216" w:lineRule="exact"/>
              <w:rPr>
                <w:sz w:val="20"/>
                <w:szCs w:val="20"/>
                <w:color w:val="auto"/>
              </w:rPr>
            </w:pPr>
            <w:r>
              <w:rPr>
                <w:rFonts w:ascii="Calibri" w:cs="Calibri" w:eastAsia="Calibri" w:hAnsi="Calibri"/>
                <w:sz w:val="18"/>
                <w:szCs w:val="18"/>
                <w:color w:val="auto"/>
              </w:rPr>
              <w:t>Less: Earnings atributable to Series C Preferred shareholders</w:t>
            </w:r>
          </w:p>
        </w:tc>
        <w:tc>
          <w:tcPr>
            <w:tcW w:w="2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00"/>
              <w:spacing w:after="0" w:line="216" w:lineRule="exact"/>
              <w:rPr>
                <w:sz w:val="20"/>
                <w:szCs w:val="20"/>
                <w:color w:val="auto"/>
              </w:rPr>
            </w:pPr>
            <w:r>
              <w:rPr>
                <w:rFonts w:ascii="Calibri" w:cs="Calibri" w:eastAsia="Calibri" w:hAnsi="Calibri"/>
                <w:sz w:val="18"/>
                <w:szCs w:val="18"/>
                <w:color w:val="auto"/>
              </w:rPr>
              <w:t>(12 )</w:t>
            </w:r>
          </w:p>
        </w:tc>
        <w:tc>
          <w:tcPr>
            <w:tcW w:w="2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00"/>
              <w:spacing w:after="0" w:line="216" w:lineRule="exact"/>
              <w:rPr>
                <w:sz w:val="20"/>
                <w:szCs w:val="20"/>
                <w:color w:val="auto"/>
              </w:rPr>
            </w:pPr>
            <w:r>
              <w:rPr>
                <w:rFonts w:ascii="Calibri" w:cs="Calibri" w:eastAsia="Calibri" w:hAnsi="Calibri"/>
                <w:sz w:val="18"/>
                <w:szCs w:val="18"/>
                <w:color w:val="auto"/>
              </w:rPr>
              <w:t>(8 )</w:t>
            </w:r>
          </w:p>
        </w:tc>
        <w:tc>
          <w:tcPr>
            <w:tcW w:w="2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line="216" w:lineRule="exact"/>
              <w:rPr>
                <w:sz w:val="20"/>
                <w:szCs w:val="20"/>
                <w:color w:val="auto"/>
              </w:rPr>
            </w:pPr>
            <w:r>
              <w:rPr>
                <w:rFonts w:ascii="Calibri" w:cs="Calibri" w:eastAsia="Calibri" w:hAnsi="Calibri"/>
                <w:sz w:val="18"/>
                <w:szCs w:val="18"/>
                <w:color w:val="auto"/>
              </w:rPr>
              <w:t>(2 )</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20" w:type="dxa"/>
            <w:vAlign w:val="bottom"/>
            <w:tcBorders>
              <w:top w:val="single" w:sz="8" w:color="CFF0FC"/>
            </w:tcBorders>
          </w:tcPr>
          <w:p>
            <w:pPr>
              <w:ind w:left="20"/>
              <w:spacing w:after="0" w:line="209" w:lineRule="exact"/>
              <w:rPr>
                <w:sz w:val="20"/>
                <w:szCs w:val="20"/>
                <w:color w:val="auto"/>
              </w:rPr>
            </w:pPr>
            <w:r>
              <w:rPr>
                <w:rFonts w:ascii="Calibri" w:cs="Calibri" w:eastAsia="Calibri" w:hAnsi="Calibri"/>
                <w:sz w:val="18"/>
                <w:szCs w:val="18"/>
                <w:color w:val="auto"/>
              </w:rPr>
              <w:t>Net income available to common shareholders - basic</w:t>
            </w:r>
          </w:p>
        </w:tc>
        <w:tc>
          <w:tcPr>
            <w:tcW w:w="212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30"/>
              <w:spacing w:after="0" w:line="209" w:lineRule="exact"/>
              <w:rPr>
                <w:sz w:val="20"/>
                <w:szCs w:val="20"/>
                <w:color w:val="auto"/>
              </w:rPr>
            </w:pPr>
            <w:r>
              <w:rPr>
                <w:rFonts w:ascii="Calibri" w:cs="Calibri" w:eastAsia="Calibri" w:hAnsi="Calibri"/>
                <w:sz w:val="18"/>
                <w:szCs w:val="18"/>
                <w:color w:val="auto"/>
              </w:rPr>
              <w:t>$</w:t>
            </w:r>
          </w:p>
        </w:tc>
        <w:tc>
          <w:tcPr>
            <w:tcW w:w="880" w:type="dxa"/>
            <w:vAlign w:val="bottom"/>
            <w:tcBorders>
              <w:top w:val="single" w:sz="8" w:color="auto"/>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78</w:t>
            </w:r>
          </w:p>
        </w:tc>
        <w:tc>
          <w:tcPr>
            <w:tcW w:w="26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30"/>
              <w:spacing w:after="0" w:line="209" w:lineRule="exact"/>
              <w:rPr>
                <w:sz w:val="20"/>
                <w:szCs w:val="20"/>
                <w:color w:val="auto"/>
              </w:rPr>
            </w:pPr>
            <w:r>
              <w:rPr>
                <w:rFonts w:ascii="Calibri" w:cs="Calibri" w:eastAsia="Calibri" w:hAnsi="Calibri"/>
                <w:sz w:val="18"/>
                <w:szCs w:val="18"/>
                <w:color w:val="auto"/>
              </w:rPr>
              <w:t>$</w:t>
            </w:r>
          </w:p>
        </w:tc>
        <w:tc>
          <w:tcPr>
            <w:tcW w:w="880" w:type="dxa"/>
            <w:vAlign w:val="bottom"/>
            <w:tcBorders>
              <w:top w:val="single" w:sz="8" w:color="auto"/>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56</w:t>
            </w:r>
          </w:p>
        </w:tc>
        <w:tc>
          <w:tcPr>
            <w:tcW w:w="26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line="209" w:lineRule="exact"/>
              <w:rPr>
                <w:sz w:val="20"/>
                <w:szCs w:val="20"/>
                <w:color w:val="auto"/>
              </w:rPr>
            </w:pPr>
            <w:r>
              <w:rPr>
                <w:rFonts w:ascii="Calibri" w:cs="Calibri" w:eastAsia="Calibri" w:hAnsi="Calibri"/>
                <w:sz w:val="18"/>
                <w:szCs w:val="18"/>
                <w:color w:val="auto"/>
                <w:w w:val="87"/>
              </w:rPr>
              <w:t>$</w:t>
            </w:r>
          </w:p>
        </w:tc>
        <w:tc>
          <w:tcPr>
            <w:tcW w:w="880" w:type="dxa"/>
            <w:vAlign w:val="bottom"/>
            <w:tcBorders>
              <w:top w:val="single" w:sz="8" w:color="auto"/>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13</w:t>
            </w:r>
          </w:p>
        </w:tc>
        <w:tc>
          <w:tcPr>
            <w:tcW w:w="100" w:type="dxa"/>
            <w:vAlign w:val="bottom"/>
            <w:tcBorders>
              <w:top w:val="single" w:sz="8" w:color="CFF0FC"/>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20" w:type="dxa"/>
            <w:vAlign w:val="bottom"/>
            <w:shd w:val="clear" w:color="auto" w:fill="CFF0FC"/>
          </w:tcPr>
          <w:p>
            <w:pPr>
              <w:spacing w:after="0"/>
              <w:rPr>
                <w:sz w:val="17"/>
                <w:szCs w:val="17"/>
                <w:color w:val="auto"/>
              </w:rPr>
            </w:pPr>
          </w:p>
        </w:tc>
        <w:tc>
          <w:tcPr>
            <w:tcW w:w="2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020" w:type="dxa"/>
            <w:vAlign w:val="bottom"/>
          </w:tcPr>
          <w:p>
            <w:pPr>
              <w:ind w:left="20"/>
              <w:spacing w:after="0" w:line="215" w:lineRule="exact"/>
              <w:rPr>
                <w:sz w:val="20"/>
                <w:szCs w:val="20"/>
                <w:color w:val="auto"/>
              </w:rPr>
            </w:pPr>
            <w:r>
              <w:rPr>
                <w:rFonts w:ascii="Calibri" w:cs="Calibri" w:eastAsia="Calibri" w:hAnsi="Calibri"/>
                <w:sz w:val="18"/>
                <w:szCs w:val="18"/>
                <w:color w:val="auto"/>
              </w:rPr>
              <w:t>Efect of dilutve securites:</w:t>
            </w:r>
          </w:p>
        </w:tc>
        <w:tc>
          <w:tcPr>
            <w:tcW w:w="2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Borders>
              <w:bottom w:val="single" w:sz="8" w:color="CFF0FC"/>
            </w:tcBorders>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Add back: Series B preferred stock cash and deemed dividends</w:t>
            </w:r>
          </w:p>
        </w:tc>
        <w:tc>
          <w:tcPr>
            <w:tcW w:w="2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30"/>
              <w:spacing w:after="0" w:line="216" w:lineRule="exact"/>
              <w:rPr>
                <w:sz w:val="20"/>
                <w:szCs w:val="20"/>
                <w:color w:val="auto"/>
              </w:rPr>
            </w:pPr>
            <w:r>
              <w:rPr>
                <w:rFonts w:ascii="Calibri" w:cs="Calibri" w:eastAsia="Calibri" w:hAnsi="Calibri"/>
                <w:sz w:val="18"/>
                <w:szCs w:val="18"/>
                <w:color w:val="auto"/>
              </w:rPr>
              <w:t>$</w:t>
            </w:r>
          </w:p>
        </w:tc>
        <w:tc>
          <w:tcPr>
            <w:tcW w:w="88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5</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30"/>
              <w:spacing w:after="0" w:line="216" w:lineRule="exact"/>
              <w:rPr>
                <w:sz w:val="20"/>
                <w:szCs w:val="20"/>
                <w:color w:val="auto"/>
              </w:rPr>
            </w:pPr>
            <w:r>
              <w:rPr>
                <w:rFonts w:ascii="Calibri" w:cs="Calibri" w:eastAsia="Calibri" w:hAnsi="Calibri"/>
                <w:sz w:val="18"/>
                <w:szCs w:val="18"/>
                <w:color w:val="auto"/>
              </w:rPr>
              <w:t>$</w:t>
            </w:r>
          </w:p>
        </w:tc>
        <w:tc>
          <w:tcPr>
            <w:tcW w:w="88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5</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50"/>
              <w:spacing w:after="0" w:line="216" w:lineRule="exact"/>
              <w:rPr>
                <w:sz w:val="20"/>
                <w:szCs w:val="20"/>
                <w:color w:val="auto"/>
              </w:rPr>
            </w:pPr>
            <w:r>
              <w:rPr>
                <w:rFonts w:ascii="Calibri" w:cs="Calibri" w:eastAsia="Calibri" w:hAnsi="Calibri"/>
                <w:sz w:val="18"/>
                <w:szCs w:val="18"/>
                <w:color w:val="auto"/>
                <w:w w:val="87"/>
              </w:rPr>
              <w:t>$</w:t>
            </w:r>
          </w:p>
        </w:tc>
        <w:tc>
          <w:tcPr>
            <w:tcW w:w="88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20" w:type="dxa"/>
            <w:vAlign w:val="bottom"/>
          </w:tcPr>
          <w:p>
            <w:pPr>
              <w:ind w:left="20"/>
              <w:spacing w:after="0" w:line="209" w:lineRule="exact"/>
              <w:rPr>
                <w:sz w:val="20"/>
                <w:szCs w:val="20"/>
                <w:color w:val="auto"/>
              </w:rPr>
            </w:pPr>
            <w:r>
              <w:rPr>
                <w:rFonts w:ascii="Calibri" w:cs="Calibri" w:eastAsia="Calibri" w:hAnsi="Calibri"/>
                <w:sz w:val="18"/>
                <w:szCs w:val="18"/>
                <w:color w:val="auto"/>
              </w:rPr>
              <w:t>Net earnings available to common shareholders - diluted</w:t>
            </w:r>
          </w:p>
        </w:tc>
        <w:tc>
          <w:tcPr>
            <w:tcW w:w="2360" w:type="dxa"/>
            <w:vAlign w:val="bottom"/>
            <w:gridSpan w:val="2"/>
          </w:tcPr>
          <w:p>
            <w:pPr>
              <w:jc w:val="right"/>
              <w:ind w:right="30"/>
              <w:spacing w:after="0" w:line="209" w:lineRule="exact"/>
              <w:rPr>
                <w:sz w:val="20"/>
                <w:szCs w:val="20"/>
                <w:color w:val="auto"/>
              </w:rPr>
            </w:pPr>
            <w:r>
              <w:rPr>
                <w:rFonts w:ascii="Calibri" w:cs="Calibri" w:eastAsia="Calibri" w:hAnsi="Calibri"/>
                <w:sz w:val="18"/>
                <w:szCs w:val="18"/>
                <w:color w:val="auto"/>
              </w:rPr>
              <w:t>$</w:t>
            </w:r>
          </w:p>
        </w:tc>
        <w:tc>
          <w:tcPr>
            <w:tcW w:w="880" w:type="dxa"/>
            <w:vAlign w:val="bottom"/>
          </w:tcPr>
          <w:p>
            <w:pPr>
              <w:jc w:val="right"/>
              <w:spacing w:after="0" w:line="209" w:lineRule="exact"/>
              <w:rPr>
                <w:sz w:val="20"/>
                <w:szCs w:val="20"/>
                <w:color w:val="auto"/>
              </w:rPr>
            </w:pPr>
            <w:r>
              <w:rPr>
                <w:rFonts w:ascii="Calibri" w:cs="Calibri" w:eastAsia="Calibri" w:hAnsi="Calibri"/>
                <w:sz w:val="18"/>
                <w:szCs w:val="18"/>
                <w:color w:val="auto"/>
              </w:rPr>
              <w:t>83</w:t>
            </w:r>
          </w:p>
        </w:tc>
        <w:tc>
          <w:tcPr>
            <w:tcW w:w="260" w:type="dxa"/>
            <w:vAlign w:val="bottom"/>
          </w:tcPr>
          <w:p>
            <w:pPr>
              <w:spacing w:after="0"/>
              <w:rPr>
                <w:sz w:val="18"/>
                <w:szCs w:val="18"/>
                <w:color w:val="auto"/>
              </w:rPr>
            </w:pPr>
          </w:p>
        </w:tc>
        <w:tc>
          <w:tcPr>
            <w:tcW w:w="240" w:type="dxa"/>
            <w:vAlign w:val="bottom"/>
          </w:tcPr>
          <w:p>
            <w:pPr>
              <w:jc w:val="right"/>
              <w:ind w:right="30"/>
              <w:spacing w:after="0" w:line="209" w:lineRule="exact"/>
              <w:rPr>
                <w:sz w:val="20"/>
                <w:szCs w:val="20"/>
                <w:color w:val="auto"/>
              </w:rPr>
            </w:pPr>
            <w:r>
              <w:rPr>
                <w:rFonts w:ascii="Calibri" w:cs="Calibri" w:eastAsia="Calibri" w:hAnsi="Calibri"/>
                <w:sz w:val="18"/>
                <w:szCs w:val="18"/>
                <w:color w:val="auto"/>
              </w:rPr>
              <w:t>$</w:t>
            </w:r>
          </w:p>
        </w:tc>
        <w:tc>
          <w:tcPr>
            <w:tcW w:w="880" w:type="dxa"/>
            <w:vAlign w:val="bottom"/>
          </w:tcPr>
          <w:p>
            <w:pPr>
              <w:jc w:val="right"/>
              <w:spacing w:after="0" w:line="209" w:lineRule="exact"/>
              <w:rPr>
                <w:sz w:val="20"/>
                <w:szCs w:val="20"/>
                <w:color w:val="auto"/>
              </w:rPr>
            </w:pPr>
            <w:r>
              <w:rPr>
                <w:rFonts w:ascii="Calibri" w:cs="Calibri" w:eastAsia="Calibri" w:hAnsi="Calibri"/>
                <w:sz w:val="18"/>
                <w:szCs w:val="18"/>
                <w:color w:val="auto"/>
              </w:rPr>
              <w:t>61</w:t>
            </w:r>
          </w:p>
        </w:tc>
        <w:tc>
          <w:tcPr>
            <w:tcW w:w="260" w:type="dxa"/>
            <w:vAlign w:val="bottom"/>
          </w:tcPr>
          <w:p>
            <w:pPr>
              <w:spacing w:after="0"/>
              <w:rPr>
                <w:sz w:val="18"/>
                <w:szCs w:val="18"/>
                <w:color w:val="auto"/>
              </w:rPr>
            </w:pPr>
          </w:p>
        </w:tc>
        <w:tc>
          <w:tcPr>
            <w:tcW w:w="240" w:type="dxa"/>
            <w:vAlign w:val="bottom"/>
          </w:tcPr>
          <w:p>
            <w:pPr>
              <w:jc w:val="right"/>
              <w:ind w:right="50"/>
              <w:spacing w:after="0" w:line="209" w:lineRule="exact"/>
              <w:rPr>
                <w:sz w:val="20"/>
                <w:szCs w:val="20"/>
                <w:color w:val="auto"/>
              </w:rPr>
            </w:pPr>
            <w:r>
              <w:rPr>
                <w:rFonts w:ascii="Calibri" w:cs="Calibri" w:eastAsia="Calibri" w:hAnsi="Calibri"/>
                <w:sz w:val="18"/>
                <w:szCs w:val="18"/>
                <w:color w:val="auto"/>
                <w:w w:val="87"/>
              </w:rPr>
              <w:t>$</w:t>
            </w:r>
          </w:p>
        </w:tc>
        <w:tc>
          <w:tcPr>
            <w:tcW w:w="880" w:type="dxa"/>
            <w:vAlign w:val="bottom"/>
          </w:tcPr>
          <w:p>
            <w:pPr>
              <w:jc w:val="right"/>
              <w:spacing w:after="0" w:line="209" w:lineRule="exact"/>
              <w:rPr>
                <w:sz w:val="20"/>
                <w:szCs w:val="20"/>
                <w:color w:val="auto"/>
              </w:rPr>
            </w:pPr>
            <w:r>
              <w:rPr>
                <w:rFonts w:ascii="Calibri" w:cs="Calibri" w:eastAsia="Calibri" w:hAnsi="Calibri"/>
                <w:sz w:val="18"/>
                <w:szCs w:val="18"/>
                <w:color w:val="auto"/>
              </w:rPr>
              <w:t>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120" w:type="dxa"/>
            <w:vAlign w:val="bottom"/>
            <w:vMerge w:val="restart"/>
          </w:tcPr>
          <w:p>
            <w:pPr>
              <w:jc w:val="right"/>
              <w:ind w:right="1290"/>
              <w:spacing w:after="0"/>
              <w:rPr>
                <w:sz w:val="20"/>
                <w:szCs w:val="20"/>
                <w:color w:val="auto"/>
              </w:rPr>
            </w:pPr>
            <w:r>
              <w:rPr>
                <w:rFonts w:ascii="Calibri" w:cs="Calibri" w:eastAsia="Calibri" w:hAnsi="Calibri"/>
                <w:sz w:val="18"/>
                <w:szCs w:val="18"/>
                <w:color w:val="auto"/>
              </w:rPr>
              <w:t>106</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6"/>
        </w:trPr>
        <w:tc>
          <w:tcPr>
            <w:tcW w:w="502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0"/>
        </w:trPr>
        <w:tc>
          <w:tcPr>
            <w:tcW w:w="502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-1473835</wp:posOffset>
            </wp:positionV>
            <wp:extent cx="68580"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-1473835</wp:posOffset>
            </wp:positionV>
            <wp:extent cx="68580"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-1473835</wp:posOffset>
            </wp:positionV>
            <wp:extent cx="68580"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-890905</wp:posOffset>
            </wp:positionV>
            <wp:extent cx="6858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-890905</wp:posOffset>
            </wp:positionV>
            <wp:extent cx="68580"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-890905</wp:posOffset>
            </wp:positionV>
            <wp:extent cx="68580"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20"/>
        </w:trPr>
        <w:tc>
          <w:tcPr>
            <w:tcW w:w="7920" w:type="dxa"/>
            <w:vAlign w:val="bottom"/>
            <w:gridSpan w:val="3"/>
          </w:tcPr>
          <w:p>
            <w:pPr>
              <w:spacing w:after="0"/>
              <w:rPr>
                <w:sz w:val="20"/>
                <w:szCs w:val="20"/>
                <w:color w:val="auto"/>
              </w:rPr>
            </w:pPr>
            <w:r>
              <w:rPr>
                <w:rFonts w:ascii="Calibri" w:cs="Calibri" w:eastAsia="Calibri" w:hAnsi="Calibri"/>
                <w:sz w:val="18"/>
                <w:szCs w:val="18"/>
                <w:b w:val="1"/>
                <w:bCs w:val="1"/>
                <w:color w:val="0000FF"/>
              </w:rPr>
              <w:t>Table of Contents</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739"/>
        </w:trPr>
        <w:tc>
          <w:tcPr>
            <w:tcW w:w="1300" w:type="dxa"/>
            <w:vAlign w:val="bottom"/>
            <w:tcBorders>
              <w:top w:val="single" w:sz="8" w:color="0000FF"/>
            </w:tcBorders>
          </w:tcPr>
          <w:p>
            <w:pPr>
              <w:spacing w:after="0"/>
              <w:rPr>
                <w:sz w:val="24"/>
                <w:szCs w:val="24"/>
                <w:color w:val="auto"/>
              </w:rPr>
            </w:pPr>
          </w:p>
        </w:tc>
        <w:tc>
          <w:tcPr>
            <w:tcW w:w="5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20" w:type="dxa"/>
            <w:vAlign w:val="bottom"/>
            <w:gridSpan w:val="5"/>
          </w:tcPr>
          <w:p>
            <w:pPr>
              <w:ind w:left="200"/>
              <w:spacing w:after="0"/>
              <w:rPr>
                <w:sz w:val="20"/>
                <w:szCs w:val="20"/>
                <w:color w:val="auto"/>
              </w:rPr>
            </w:pPr>
            <w:r>
              <w:rPr>
                <w:rFonts w:ascii="Calibri" w:cs="Calibri" w:eastAsia="Calibri" w:hAnsi="Calibri"/>
                <w:sz w:val="18"/>
                <w:szCs w:val="18"/>
                <w:b w:val="1"/>
                <w:bCs w:val="1"/>
                <w:color w:val="auto"/>
              </w:rPr>
              <w:t>Year Ended December 31,</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920" w:type="dxa"/>
            <w:vAlign w:val="bottom"/>
            <w:gridSpan w:val="3"/>
          </w:tcPr>
          <w:p>
            <w:pPr>
              <w:ind w:left="7520"/>
              <w:spacing w:after="0" w:line="216" w:lineRule="exact"/>
              <w:rPr>
                <w:sz w:val="20"/>
                <w:szCs w:val="20"/>
                <w:color w:val="auto"/>
              </w:rPr>
            </w:pPr>
            <w:r>
              <w:rPr>
                <w:rFonts w:ascii="Calibri" w:cs="Calibri" w:eastAsia="Calibri" w:hAnsi="Calibri"/>
                <w:sz w:val="18"/>
                <w:szCs w:val="18"/>
                <w:b w:val="1"/>
                <w:bCs w:val="1"/>
                <w:color w:val="auto"/>
              </w:rPr>
              <w:t>2024</w:t>
            </w:r>
          </w:p>
        </w:tc>
        <w:tc>
          <w:tcPr>
            <w:tcW w:w="340" w:type="dxa"/>
            <w:vAlign w:val="bottom"/>
          </w:tcPr>
          <w:p>
            <w:pPr>
              <w:spacing w:after="0"/>
              <w:rPr>
                <w:sz w:val="18"/>
                <w:szCs w:val="18"/>
                <w:color w:val="auto"/>
              </w:rPr>
            </w:pPr>
          </w:p>
        </w:tc>
        <w:tc>
          <w:tcPr>
            <w:tcW w:w="1400" w:type="dxa"/>
            <w:vAlign w:val="bottom"/>
            <w:gridSpan w:val="2"/>
          </w:tcPr>
          <w:p>
            <w:pPr>
              <w:jc w:val="right"/>
              <w:ind w:right="290"/>
              <w:spacing w:after="0" w:line="216" w:lineRule="exact"/>
              <w:rPr>
                <w:sz w:val="20"/>
                <w:szCs w:val="20"/>
                <w:color w:val="auto"/>
              </w:rPr>
            </w:pPr>
            <w:r>
              <w:rPr>
                <w:rFonts w:ascii="Calibri" w:cs="Calibri" w:eastAsia="Calibri" w:hAnsi="Calibri"/>
                <w:sz w:val="18"/>
                <w:szCs w:val="18"/>
                <w:b w:val="1"/>
                <w:bCs w:val="1"/>
                <w:color w:val="auto"/>
              </w:rPr>
              <w:t>2023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290"/>
              <w:spacing w:after="0" w:line="216" w:lineRule="exact"/>
              <w:rPr>
                <w:sz w:val="20"/>
                <w:szCs w:val="20"/>
                <w:color w:val="auto"/>
              </w:rPr>
            </w:pPr>
            <w:r>
              <w:rPr>
                <w:rFonts w:ascii="Calibri" w:cs="Calibri" w:eastAsia="Calibri" w:hAnsi="Calibri"/>
                <w:sz w:val="18"/>
                <w:szCs w:val="18"/>
                <w:b w:val="1"/>
                <w:bCs w:val="1"/>
                <w:color w:val="auto"/>
              </w:rPr>
              <w:t>2022</w:t>
            </w:r>
          </w:p>
        </w:tc>
        <w:tc>
          <w:tcPr>
            <w:tcW w:w="100" w:type="dxa"/>
            <w:vAlign w:val="bottom"/>
          </w:tcPr>
          <w:p>
            <w:pPr>
              <w:spacing w:after="0"/>
              <w:rPr>
                <w:sz w:val="18"/>
                <w:szCs w:val="18"/>
                <w:color w:val="auto"/>
              </w:rPr>
            </w:pPr>
          </w:p>
        </w:tc>
      </w:tr>
      <w:tr>
        <w:trPr>
          <w:trHeight w:val="23"/>
        </w:trPr>
        <w:tc>
          <w:tcPr>
            <w:tcW w:w="1300" w:type="dxa"/>
            <w:vAlign w:val="bottom"/>
          </w:tcPr>
          <w:p>
            <w:pPr>
              <w:spacing w:after="0"/>
              <w:rPr>
                <w:sz w:val="2"/>
                <w:szCs w:val="2"/>
                <w:color w:val="auto"/>
              </w:rPr>
            </w:pPr>
          </w:p>
        </w:tc>
        <w:tc>
          <w:tcPr>
            <w:tcW w:w="58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9"/>
        </w:trPr>
        <w:tc>
          <w:tcPr>
            <w:tcW w:w="7920" w:type="dxa"/>
            <w:vAlign w:val="bottom"/>
            <w:gridSpan w:val="3"/>
            <w:shd w:val="clear" w:color="auto" w:fill="CFF0FC"/>
          </w:tcPr>
          <w:p>
            <w:pPr>
              <w:ind w:left="20"/>
              <w:spacing w:after="0" w:line="209" w:lineRule="exact"/>
              <w:rPr>
                <w:sz w:val="20"/>
                <w:szCs w:val="20"/>
                <w:color w:val="auto"/>
              </w:rPr>
            </w:pPr>
            <w:r>
              <w:rPr>
                <w:rFonts w:ascii="Calibri" w:cs="Calibri" w:eastAsia="Calibri" w:hAnsi="Calibri"/>
                <w:sz w:val="18"/>
                <w:szCs w:val="18"/>
                <w:color w:val="auto"/>
              </w:rPr>
              <w:t>Weighted-average common shares outstanding - basic</w:t>
            </w:r>
          </w:p>
        </w:tc>
        <w:tc>
          <w:tcPr>
            <w:tcW w:w="34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80.1</w:t>
            </w:r>
          </w:p>
        </w:tc>
        <w:tc>
          <w:tcPr>
            <w:tcW w:w="1400" w:type="dxa"/>
            <w:vAlign w:val="bottom"/>
            <w:gridSpan w:val="2"/>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79.4</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78.9</w:t>
            </w:r>
          </w:p>
        </w:tc>
        <w:tc>
          <w:tcPr>
            <w:tcW w:w="100" w:type="dxa"/>
            <w:vAlign w:val="bottom"/>
            <w:shd w:val="clear" w:color="auto" w:fill="CFF0FC"/>
          </w:tcPr>
          <w:p>
            <w:pPr>
              <w:spacing w:after="0"/>
              <w:rPr>
                <w:sz w:val="18"/>
                <w:szCs w:val="18"/>
                <w:color w:val="auto"/>
              </w:rPr>
            </w:pPr>
          </w:p>
        </w:tc>
      </w:tr>
      <w:tr>
        <w:trPr>
          <w:trHeight w:val="215"/>
        </w:trPr>
        <w:tc>
          <w:tcPr>
            <w:tcW w:w="7920" w:type="dxa"/>
            <w:vAlign w:val="bottom"/>
            <w:gridSpan w:val="3"/>
          </w:tcPr>
          <w:p>
            <w:pPr>
              <w:ind w:left="20"/>
              <w:spacing w:after="0" w:line="215" w:lineRule="exact"/>
              <w:rPr>
                <w:sz w:val="20"/>
                <w:szCs w:val="20"/>
                <w:color w:val="auto"/>
              </w:rPr>
            </w:pPr>
            <w:r>
              <w:rPr>
                <w:rFonts w:ascii="Calibri" w:cs="Calibri" w:eastAsia="Calibri" w:hAnsi="Calibri"/>
                <w:sz w:val="18"/>
                <w:szCs w:val="18"/>
                <w:color w:val="auto"/>
              </w:rPr>
              <w:t>Efect of dilutve securites:</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7920" w:type="dxa"/>
            <w:vAlign w:val="bottom"/>
            <w:gridSpan w:val="3"/>
            <w:shd w:val="clear" w:color="auto" w:fill="CFF0FC"/>
          </w:tcPr>
          <w:p>
            <w:pPr>
              <w:ind w:left="200"/>
              <w:spacing w:after="0" w:line="216" w:lineRule="exact"/>
              <w:rPr>
                <w:sz w:val="20"/>
                <w:szCs w:val="20"/>
                <w:color w:val="auto"/>
              </w:rPr>
            </w:pPr>
            <w:r>
              <w:rPr>
                <w:rFonts w:ascii="Calibri" w:cs="Calibri" w:eastAsia="Calibri" w:hAnsi="Calibri"/>
                <w:sz w:val="18"/>
                <w:szCs w:val="18"/>
                <w:color w:val="auto"/>
              </w:rPr>
              <w:t>Unvested restricted stock units and awards</w:t>
            </w:r>
          </w:p>
        </w:tc>
        <w:tc>
          <w:tcPr>
            <w:tcW w:w="3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1.6</w:t>
            </w:r>
          </w:p>
        </w:tc>
        <w:tc>
          <w:tcPr>
            <w:tcW w:w="1400" w:type="dxa"/>
            <w:vAlign w:val="bottom"/>
            <w:gridSpan w:val="2"/>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0.9</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0.6</w:t>
            </w:r>
          </w:p>
        </w:tc>
        <w:tc>
          <w:tcPr>
            <w:tcW w:w="100" w:type="dxa"/>
            <w:vAlign w:val="bottom"/>
            <w:shd w:val="clear" w:color="auto" w:fill="CFF0FC"/>
          </w:tcPr>
          <w:p>
            <w:pPr>
              <w:spacing w:after="0"/>
              <w:rPr>
                <w:sz w:val="18"/>
                <w:szCs w:val="18"/>
                <w:color w:val="auto"/>
              </w:rPr>
            </w:pPr>
          </w:p>
        </w:tc>
      </w:tr>
      <w:tr>
        <w:trPr>
          <w:trHeight w:val="215"/>
        </w:trPr>
        <w:tc>
          <w:tcPr>
            <w:tcW w:w="7920" w:type="dxa"/>
            <w:vAlign w:val="bottom"/>
            <w:gridSpan w:val="3"/>
          </w:tcPr>
          <w:p>
            <w:pPr>
              <w:ind w:left="200"/>
              <w:spacing w:after="0" w:line="215" w:lineRule="exact"/>
              <w:rPr>
                <w:sz w:val="20"/>
                <w:szCs w:val="20"/>
                <w:color w:val="auto"/>
              </w:rPr>
            </w:pPr>
            <w:r>
              <w:rPr>
                <w:rFonts w:ascii="Calibri" w:cs="Calibri" w:eastAsia="Calibri" w:hAnsi="Calibri"/>
                <w:sz w:val="18"/>
                <w:szCs w:val="18"/>
                <w:color w:val="auto"/>
              </w:rPr>
              <w:t>Stock optons</w:t>
            </w:r>
          </w:p>
        </w:tc>
        <w:tc>
          <w:tcPr>
            <w:tcW w:w="340" w:type="dxa"/>
            <w:vAlign w:val="bottom"/>
          </w:tcPr>
          <w:p>
            <w:pPr>
              <w:jc w:val="right"/>
              <w:spacing w:after="0" w:line="215" w:lineRule="exact"/>
              <w:rPr>
                <w:sz w:val="20"/>
                <w:szCs w:val="20"/>
                <w:color w:val="auto"/>
              </w:rPr>
            </w:pPr>
            <w:r>
              <w:rPr>
                <w:rFonts w:ascii="Calibri" w:cs="Calibri" w:eastAsia="Calibri" w:hAnsi="Calibri"/>
                <w:sz w:val="18"/>
                <w:szCs w:val="18"/>
                <w:color w:val="auto"/>
              </w:rPr>
              <w:t>1.1</w:t>
            </w:r>
          </w:p>
        </w:tc>
        <w:tc>
          <w:tcPr>
            <w:tcW w:w="140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0.7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line="215" w:lineRule="exact"/>
              <w:rPr>
                <w:sz w:val="20"/>
                <w:szCs w:val="20"/>
                <w:color w:val="auto"/>
              </w:rPr>
            </w:pPr>
            <w:r>
              <w:rPr>
                <w:rFonts w:ascii="Calibri" w:cs="Calibri" w:eastAsia="Calibri" w:hAnsi="Calibri"/>
                <w:sz w:val="18"/>
                <w:szCs w:val="18"/>
                <w:color w:val="auto"/>
              </w:rPr>
              <w:t>1.1</w:t>
            </w:r>
          </w:p>
        </w:tc>
        <w:tc>
          <w:tcPr>
            <w:tcW w:w="100" w:type="dxa"/>
            <w:vAlign w:val="bottom"/>
          </w:tcPr>
          <w:p>
            <w:pPr>
              <w:spacing w:after="0"/>
              <w:rPr>
                <w:sz w:val="18"/>
                <w:szCs w:val="18"/>
                <w:color w:val="auto"/>
              </w:rPr>
            </w:pPr>
          </w:p>
        </w:tc>
      </w:tr>
      <w:tr>
        <w:trPr>
          <w:trHeight w:val="216"/>
        </w:trPr>
        <w:tc>
          <w:tcPr>
            <w:tcW w:w="7120" w:type="dxa"/>
            <w:vAlign w:val="bottom"/>
            <w:tcBorders>
              <w:bottom w:val="single" w:sz="8" w:color="CFF0FC"/>
            </w:tcBorders>
            <w:gridSpan w:val="2"/>
            <w:shd w:val="clear" w:color="auto" w:fill="CFF0FC"/>
          </w:tcPr>
          <w:p>
            <w:pPr>
              <w:ind w:left="200"/>
              <w:spacing w:after="0" w:line="216" w:lineRule="exact"/>
              <w:rPr>
                <w:sz w:val="20"/>
                <w:szCs w:val="20"/>
                <w:color w:val="auto"/>
              </w:rPr>
            </w:pPr>
            <w:r>
              <w:rPr>
                <w:rFonts w:ascii="Calibri" w:cs="Calibri" w:eastAsia="Calibri" w:hAnsi="Calibri"/>
                <w:sz w:val="18"/>
                <w:szCs w:val="18"/>
                <w:color w:val="auto"/>
              </w:rPr>
              <w:t>Series B Preferred Stock</w:t>
            </w:r>
          </w:p>
        </w:tc>
        <w:tc>
          <w:tcPr>
            <w:tcW w:w="80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9.5</w:t>
            </w:r>
          </w:p>
        </w:tc>
        <w:tc>
          <w:tcPr>
            <w:tcW w:w="26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9.5</w:t>
            </w: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920" w:type="dxa"/>
            <w:vAlign w:val="bottom"/>
            <w:gridSpan w:val="3"/>
          </w:tcPr>
          <w:p>
            <w:pPr>
              <w:ind w:left="20"/>
              <w:spacing w:after="0" w:line="209" w:lineRule="exact"/>
              <w:rPr>
                <w:sz w:val="20"/>
                <w:szCs w:val="20"/>
                <w:color w:val="auto"/>
              </w:rPr>
            </w:pPr>
            <w:r>
              <w:rPr>
                <w:rFonts w:ascii="Calibri" w:cs="Calibri" w:eastAsia="Calibri" w:hAnsi="Calibri"/>
                <w:sz w:val="18"/>
                <w:szCs w:val="18"/>
                <w:color w:val="auto"/>
              </w:rPr>
              <w:t>Weighted-average common shares outstanding - diluted</w:t>
            </w:r>
          </w:p>
        </w:tc>
        <w:tc>
          <w:tcPr>
            <w:tcW w:w="340" w:type="dxa"/>
            <w:vAlign w:val="bottom"/>
          </w:tcPr>
          <w:p>
            <w:pPr>
              <w:jc w:val="right"/>
              <w:spacing w:after="0" w:line="209" w:lineRule="exact"/>
              <w:rPr>
                <w:sz w:val="20"/>
                <w:szCs w:val="20"/>
                <w:color w:val="auto"/>
              </w:rPr>
            </w:pPr>
            <w:r>
              <w:rPr>
                <w:rFonts w:ascii="Calibri" w:cs="Calibri" w:eastAsia="Calibri" w:hAnsi="Calibri"/>
                <w:sz w:val="18"/>
                <w:szCs w:val="18"/>
                <w:color w:val="auto"/>
              </w:rPr>
              <w:t>92.3</w:t>
            </w:r>
          </w:p>
        </w:tc>
        <w:tc>
          <w:tcPr>
            <w:tcW w:w="1400" w:type="dxa"/>
            <w:vAlign w:val="bottom"/>
            <w:gridSpan w:val="2"/>
          </w:tcPr>
          <w:p>
            <w:pPr>
              <w:jc w:val="right"/>
              <w:spacing w:after="0" w:line="209" w:lineRule="exact"/>
              <w:rPr>
                <w:sz w:val="20"/>
                <w:szCs w:val="20"/>
                <w:color w:val="auto"/>
              </w:rPr>
            </w:pPr>
            <w:r>
              <w:rPr>
                <w:rFonts w:ascii="Calibri" w:cs="Calibri" w:eastAsia="Calibri" w:hAnsi="Calibri"/>
                <w:sz w:val="18"/>
                <w:szCs w:val="18"/>
                <w:color w:val="auto"/>
              </w:rPr>
              <w:t>90.5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line="209" w:lineRule="exact"/>
              <w:rPr>
                <w:sz w:val="20"/>
                <w:szCs w:val="20"/>
                <w:color w:val="auto"/>
              </w:rPr>
            </w:pPr>
            <w:r>
              <w:rPr>
                <w:rFonts w:ascii="Calibri" w:cs="Calibri" w:eastAsia="Calibri" w:hAnsi="Calibri"/>
                <w:sz w:val="18"/>
                <w:szCs w:val="18"/>
                <w:color w:val="auto"/>
              </w:rPr>
              <w:t>80.6</w:t>
            </w:r>
          </w:p>
        </w:tc>
        <w:tc>
          <w:tcPr>
            <w:tcW w:w="100" w:type="dxa"/>
            <w:vAlign w:val="bottom"/>
          </w:tcPr>
          <w:p>
            <w:pPr>
              <w:spacing w:after="0"/>
              <w:rPr>
                <w:sz w:val="18"/>
                <w:szCs w:val="18"/>
                <w:color w:val="auto"/>
              </w:rPr>
            </w:pPr>
          </w:p>
        </w:tc>
      </w:tr>
      <w:tr>
        <w:trPr>
          <w:trHeight w:val="20"/>
        </w:trPr>
        <w:tc>
          <w:tcPr>
            <w:tcW w:w="130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-170815</wp:posOffset>
            </wp:positionV>
            <wp:extent cx="77470"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-170815</wp:posOffset>
            </wp:positionV>
            <wp:extent cx="68580"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-170815</wp:posOffset>
            </wp:positionV>
            <wp:extent cx="68580"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ind w:right="300"/>
        <w:spacing w:after="0" w:line="235" w:lineRule="auto"/>
        <w:rPr>
          <w:sz w:val="20"/>
          <w:szCs w:val="20"/>
          <w:color w:val="auto"/>
        </w:rPr>
      </w:pPr>
      <w:r>
        <w:rPr>
          <w:rFonts w:ascii="Calibri" w:cs="Calibri" w:eastAsia="Calibri" w:hAnsi="Calibri"/>
          <w:sz w:val="18"/>
          <w:szCs w:val="18"/>
          <w:color w:val="auto"/>
        </w:rPr>
        <w:t>The computaton of diluted earnings per share for the year ended December 31, 2024 excludes the impact of (1) the assumed conversion of 1.2 million shares of Series C Preferred Stock, (2) the assumed exercise of 2.6 million outstanding employee stock optons and (3) the assumed vestng of 0.2 million unvested restricted stock units because the efects would have been ant-dilutve.</w:t>
      </w:r>
    </w:p>
    <w:p>
      <w:pPr>
        <w:spacing w:after="0" w:line="219" w:lineRule="exact"/>
        <w:rPr>
          <w:sz w:val="20"/>
          <w:szCs w:val="20"/>
          <w:color w:val="auto"/>
        </w:rPr>
      </w:pPr>
    </w:p>
    <w:p>
      <w:pPr>
        <w:jc w:val="both"/>
        <w:ind w:right="400"/>
        <w:spacing w:after="0" w:line="235" w:lineRule="auto"/>
        <w:rPr>
          <w:sz w:val="20"/>
          <w:szCs w:val="20"/>
          <w:color w:val="auto"/>
        </w:rPr>
      </w:pPr>
      <w:r>
        <w:rPr>
          <w:rFonts w:ascii="Calibri" w:cs="Calibri" w:eastAsia="Calibri" w:hAnsi="Calibri"/>
          <w:sz w:val="18"/>
          <w:szCs w:val="18"/>
          <w:color w:val="auto"/>
        </w:rPr>
        <w:t>The computaton of diluted earnings per share for the year ended December 31, 2023 excluded the impact of (1) the assumed conversion of 1.1 million shares of Series C Preferred Stock and (2) the assumed exercise of 3.9 million outstanding employee stock optons because they would have been ant-dilutve.</w:t>
      </w:r>
    </w:p>
    <w:p>
      <w:pPr>
        <w:spacing w:after="0" w:line="192" w:lineRule="exact"/>
        <w:rPr>
          <w:sz w:val="20"/>
          <w:szCs w:val="20"/>
          <w:color w:val="auto"/>
        </w:rPr>
      </w:pPr>
    </w:p>
    <w:p>
      <w:pPr>
        <w:jc w:val="both"/>
        <w:ind w:right="120"/>
        <w:spacing w:after="0" w:line="235" w:lineRule="auto"/>
        <w:rPr>
          <w:sz w:val="20"/>
          <w:szCs w:val="20"/>
          <w:color w:val="auto"/>
        </w:rPr>
      </w:pPr>
      <w:r>
        <w:rPr>
          <w:rFonts w:ascii="Calibri" w:cs="Calibri" w:eastAsia="Calibri" w:hAnsi="Calibri"/>
          <w:sz w:val="18"/>
          <w:szCs w:val="18"/>
          <w:color w:val="auto"/>
        </w:rPr>
        <w:t>The computaton of diluted earnings per share for the year ended December 31, 2022 excluded the impact of (1) the assumed conversion of $25 million of Convertble Notes, (2) the assumed conversion of 1.0 million shares of Series B Preferred Stock, (3) the assumed conversion of 1.1 million shares of Series C Preferred Stock and (4) the assumed exercise of 3.3 million outstanding employee stock optons because they would have been ant-dilutve.</w:t>
      </w:r>
    </w:p>
    <w:p>
      <w:pPr>
        <w:spacing w:after="0" w:line="17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22: STOCK-BASED COMPENSATION</w:t>
      </w:r>
    </w:p>
    <w:p>
      <w:pPr>
        <w:spacing w:after="0" w:line="177" w:lineRule="exact"/>
        <w:rPr>
          <w:sz w:val="20"/>
          <w:szCs w:val="20"/>
          <w:color w:val="auto"/>
        </w:rPr>
      </w:pPr>
    </w:p>
    <w:p>
      <w:pPr>
        <w:ind w:right="180"/>
        <w:spacing w:after="0" w:line="235" w:lineRule="auto"/>
        <w:rPr>
          <w:sz w:val="20"/>
          <w:szCs w:val="20"/>
          <w:color w:val="auto"/>
        </w:rPr>
      </w:pPr>
      <w:r>
        <w:rPr>
          <w:rFonts w:ascii="Calibri" w:cs="Calibri" w:eastAsia="Calibri" w:hAnsi="Calibri"/>
          <w:sz w:val="18"/>
          <w:szCs w:val="18"/>
          <w:color w:val="auto"/>
        </w:rPr>
        <w:t>Kodak’s stock incentve plan is the 2013 Omnibus Incentve Plan (as restated and further amended, the “2013 Plan”). The 2013 Plan is administered by the Compensaton, Nominatng and Governance Commitee of the Board of Directors.</w:t>
      </w:r>
    </w:p>
    <w:p>
      <w:pPr>
        <w:spacing w:after="0" w:line="191"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Ofcers, directors and employees of the Company and its consolidated subsidiaries are eligible to receive awards. Stock optons are generally non-qualifed, are at exercise prices equal to or greater than the closing price of Kodak’s stock on the date of grant and expire seven years or ten years afer the grant date. Stock-based compensaton awards granted under Kodak’s stock incentve plan are generally subject to a three-year vestng period from the date of grant, or a later date as determined by the Compensaton, Nominatng and Governance Commitee. Awards are subject to setlement in newly-issued shares of common stock. Unless sooner terminated by the Compensaton, Nominatng and Governance Commitee, no awards may be granted under the 2013 Plan afer May 15, 2034.</w:t>
      </w:r>
    </w:p>
    <w:p>
      <w:pPr>
        <w:spacing w:after="0" w:line="181"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The maximum number of shares of common stock available for grant under the 2013 Plan is 20.0 million. For stock opton grants awarded on or prior to May 19, 2021, for the number of shares available for grant under the 2013 Plan, a stock opton counted as a fracton of a share, based on the fair market value of the stock opton relatve to the closing stock price on the date of grant. For stock opton awards granted afer May 19, 2021, a stock opton counts as one share. Each restricted stock unit and restricted stock award counts as one share. The total number of shares of common stock registered for issuance under the 2013 Plan is approximately 13.5 million. In additon, under the 2013 Plan, the maximum number of shares available for the grant of incentve stock optons is 2.0 million shares. The maximum number of shares as to which stock optons or stock appreciaton rights may be granted to any one person under the 2013 Plan in any calendar year is 2.5 million shares.</w:t>
      </w:r>
    </w:p>
    <w:p>
      <w:pPr>
        <w:spacing w:after="0" w:line="181" w:lineRule="exact"/>
        <w:rPr>
          <w:sz w:val="20"/>
          <w:szCs w:val="20"/>
          <w:color w:val="auto"/>
        </w:rPr>
      </w:pPr>
    </w:p>
    <w:p>
      <w:pPr>
        <w:ind w:right="100"/>
        <w:spacing w:after="0" w:line="235" w:lineRule="auto"/>
        <w:rPr>
          <w:sz w:val="20"/>
          <w:szCs w:val="20"/>
          <w:color w:val="auto"/>
        </w:rPr>
      </w:pPr>
      <w:r>
        <w:rPr>
          <w:rFonts w:ascii="Calibri" w:cs="Calibri" w:eastAsia="Calibri" w:hAnsi="Calibri"/>
          <w:sz w:val="18"/>
          <w:szCs w:val="18"/>
          <w:color w:val="auto"/>
        </w:rPr>
        <w:t>The maximum number of awards that may be granted to any non-employee director under the 2013 Plan in any calendar year may not exceed a number of awards with a grant date fair value of $450,000, computed as of the grant date.</w:t>
      </w:r>
    </w:p>
    <w:p>
      <w:pPr>
        <w:spacing w:after="0" w:line="191" w:lineRule="exact"/>
        <w:rPr>
          <w:sz w:val="20"/>
          <w:szCs w:val="20"/>
          <w:color w:val="auto"/>
        </w:rPr>
      </w:pPr>
    </w:p>
    <w:p>
      <w:pPr>
        <w:ind w:right="100"/>
        <w:spacing w:after="0" w:line="252" w:lineRule="auto"/>
        <w:rPr>
          <w:sz w:val="20"/>
          <w:szCs w:val="20"/>
          <w:color w:val="auto"/>
        </w:rPr>
      </w:pPr>
      <w:r>
        <w:rPr>
          <w:rFonts w:ascii="Calibri" w:cs="Calibri" w:eastAsia="Calibri" w:hAnsi="Calibri"/>
          <w:sz w:val="17"/>
          <w:szCs w:val="17"/>
          <w:color w:val="auto"/>
        </w:rPr>
        <w:t>Compensaton expense is recognized on a straight-line basis over the service or performance period for each separately vestng tranche of the award and is adjusted for actual forfeitures before vestng. Kodak assesses the likelihood that performance-based shares will be earned based on the probability of meetng the performance criteria. For those performance-based awards that are deemed probable of achievement, expense is recorded, and for those awards that are deemed not probable of achievement, no expense is recorded. Kodak assesses the probability of achievement each quarter.</w:t>
      </w:r>
    </w:p>
    <w:p>
      <w:pPr>
        <w:spacing w:after="0" w:line="163" w:lineRule="exact"/>
        <w:rPr>
          <w:sz w:val="20"/>
          <w:szCs w:val="20"/>
          <w:color w:val="auto"/>
        </w:rPr>
      </w:pPr>
    </w:p>
    <w:p>
      <w:pPr>
        <w:jc w:val="center"/>
        <w:ind w:right="-79"/>
        <w:spacing w:after="0"/>
        <w:rPr>
          <w:sz w:val="20"/>
          <w:szCs w:val="20"/>
          <w:color w:val="auto"/>
        </w:rPr>
      </w:pPr>
      <w:r>
        <w:rPr>
          <w:rFonts w:ascii="Calibri" w:cs="Calibri" w:eastAsia="Calibri" w:hAnsi="Calibri"/>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2" w:right="399" w:bottom="1440" w:gutter="0" w:footer="0" w:header="0"/>
        </w:sectPr>
      </w:pPr>
    </w:p>
    <w:bookmarkStart w:id="107" w:name="page108"/>
    <w:bookmarkEnd w:id="107"/>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Restricted Stock Units and Restricted Stock awards</w:t>
      </w:r>
    </w:p>
    <w:p>
      <w:pPr>
        <w:spacing w:after="0" w:line="177" w:lineRule="exact"/>
        <w:rPr>
          <w:sz w:val="20"/>
          <w:szCs w:val="20"/>
          <w:color w:val="auto"/>
        </w:rPr>
      </w:pPr>
    </w:p>
    <w:p>
      <w:pPr>
        <w:ind w:right="160"/>
        <w:spacing w:after="0" w:line="235" w:lineRule="auto"/>
        <w:rPr>
          <w:sz w:val="20"/>
          <w:szCs w:val="20"/>
          <w:color w:val="auto"/>
        </w:rPr>
      </w:pPr>
      <w:r>
        <w:rPr>
          <w:rFonts w:ascii="Calibri" w:cs="Calibri" w:eastAsia="Calibri" w:hAnsi="Calibri"/>
          <w:sz w:val="18"/>
          <w:szCs w:val="18"/>
          <w:color w:val="auto"/>
        </w:rPr>
        <w:t>Restricted stock units and restricted stock awards are payable in shares of the Company common stock upon vestng. The fair value of restricted stock units and restricted stock awards without a market conditon is based on the closing market price of the Company’s stock on the grant date. The following inputs were used for restricted stock units issued in 2023 with a market conditon (there were no restricted stock units issued in 2024 or 2022 with a market conditon):</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20" w:type="dxa"/>
            <w:vAlign w:val="bottom"/>
            <w:gridSpan w:val="2"/>
          </w:tcPr>
          <w:p>
            <w:pPr>
              <w:jc w:val="center"/>
              <w:ind w:right="500"/>
              <w:spacing w:after="0"/>
              <w:rPr>
                <w:sz w:val="20"/>
                <w:szCs w:val="20"/>
                <w:color w:val="auto"/>
              </w:rPr>
            </w:pPr>
            <w:r>
              <w:rPr>
                <w:rFonts w:ascii="Calibri" w:cs="Calibri" w:eastAsia="Calibri" w:hAnsi="Calibri"/>
                <w:sz w:val="18"/>
                <w:szCs w:val="18"/>
                <w:b w:val="1"/>
                <w:bCs w:val="1"/>
                <w:color w:val="auto"/>
                <w:w w:val="99"/>
              </w:rPr>
              <w:t>Year Ended</w:t>
            </w:r>
          </w:p>
        </w:tc>
      </w:tr>
      <w:tr>
        <w:trPr>
          <w:trHeight w:val="216"/>
        </w:trPr>
        <w:tc>
          <w:tcPr>
            <w:tcW w:w="8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20" w:type="dxa"/>
            <w:vAlign w:val="bottom"/>
            <w:gridSpan w:val="2"/>
          </w:tcPr>
          <w:p>
            <w:pPr>
              <w:jc w:val="center"/>
              <w:ind w:right="500"/>
              <w:spacing w:after="0" w:line="216" w:lineRule="exact"/>
              <w:rPr>
                <w:sz w:val="20"/>
                <w:szCs w:val="20"/>
                <w:color w:val="auto"/>
              </w:rPr>
            </w:pPr>
            <w:r>
              <w:rPr>
                <w:rFonts w:ascii="Calibri" w:cs="Calibri" w:eastAsia="Calibri" w:hAnsi="Calibri"/>
                <w:sz w:val="18"/>
                <w:szCs w:val="18"/>
                <w:b w:val="1"/>
                <w:bCs w:val="1"/>
                <w:color w:val="auto"/>
                <w:w w:val="96"/>
              </w:rPr>
              <w:t>December 31,</w:t>
            </w:r>
          </w:p>
        </w:tc>
      </w:tr>
      <w:tr>
        <w:trPr>
          <w:trHeight w:val="216"/>
        </w:trPr>
        <w:tc>
          <w:tcPr>
            <w:tcW w:w="8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60" w:type="dxa"/>
            <w:vAlign w:val="bottom"/>
          </w:tcPr>
          <w:p>
            <w:pPr>
              <w:jc w:val="center"/>
              <w:ind w:right="250"/>
              <w:spacing w:after="0" w:line="216" w:lineRule="exact"/>
              <w:rPr>
                <w:sz w:val="20"/>
                <w:szCs w:val="20"/>
                <w:color w:val="auto"/>
              </w:rPr>
            </w:pPr>
            <w:r>
              <w:rPr>
                <w:rFonts w:ascii="Calibri" w:cs="Calibri" w:eastAsia="Calibri" w:hAnsi="Calibri"/>
                <w:sz w:val="18"/>
                <w:szCs w:val="18"/>
                <w:b w:val="1"/>
                <w:bCs w:val="1"/>
                <w:color w:val="auto"/>
                <w:w w:val="98"/>
              </w:rPr>
              <w:t>2023</w:t>
            </w:r>
          </w:p>
        </w:tc>
        <w:tc>
          <w:tcPr>
            <w:tcW w:w="160" w:type="dxa"/>
            <w:vAlign w:val="bottom"/>
          </w:tcPr>
          <w:p>
            <w:pPr>
              <w:spacing w:after="0"/>
              <w:rPr>
                <w:sz w:val="18"/>
                <w:szCs w:val="18"/>
                <w:color w:val="auto"/>
              </w:rPr>
            </w:pPr>
          </w:p>
        </w:tc>
      </w:tr>
      <w:tr>
        <w:trPr>
          <w:trHeight w:val="23"/>
        </w:trPr>
        <w:tc>
          <w:tcPr>
            <w:tcW w:w="87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10"/>
        </w:trPr>
        <w:tc>
          <w:tcPr>
            <w:tcW w:w="8760" w:type="dxa"/>
            <w:vAlign w:val="bottom"/>
            <w:shd w:val="clear" w:color="auto" w:fill="CFF0FC"/>
          </w:tcPr>
          <w:p>
            <w:pPr>
              <w:ind w:left="20"/>
              <w:spacing w:after="0" w:line="209" w:lineRule="exact"/>
              <w:rPr>
                <w:sz w:val="20"/>
                <w:szCs w:val="20"/>
                <w:color w:val="auto"/>
              </w:rPr>
            </w:pPr>
            <w:r>
              <w:rPr>
                <w:rFonts w:ascii="Calibri" w:cs="Calibri" w:eastAsia="Calibri" w:hAnsi="Calibri"/>
                <w:sz w:val="18"/>
                <w:szCs w:val="18"/>
                <w:color w:val="auto"/>
              </w:rPr>
              <w:t>Fair value of restricted stock units granted</w:t>
            </w:r>
          </w:p>
        </w:tc>
        <w:tc>
          <w:tcPr>
            <w:tcW w:w="340" w:type="dxa"/>
            <w:vAlign w:val="bottom"/>
            <w:shd w:val="clear" w:color="auto" w:fill="CFF0FC"/>
          </w:tcPr>
          <w:p>
            <w:pPr>
              <w:jc w:val="right"/>
              <w:ind w:right="150"/>
              <w:spacing w:after="0" w:line="209" w:lineRule="exact"/>
              <w:rPr>
                <w:sz w:val="20"/>
                <w:szCs w:val="20"/>
                <w:color w:val="auto"/>
              </w:rPr>
            </w:pPr>
            <w:r>
              <w:rPr>
                <w:rFonts w:ascii="Calibri" w:cs="Calibri" w:eastAsia="Calibri" w:hAnsi="Calibri"/>
                <w:sz w:val="18"/>
                <w:szCs w:val="18"/>
                <w:color w:val="auto"/>
                <w:w w:val="87"/>
              </w:rPr>
              <w:t>$</w:t>
            </w:r>
          </w:p>
        </w:tc>
        <w:tc>
          <w:tcPr>
            <w:tcW w:w="186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3.03</w:t>
            </w:r>
          </w:p>
        </w:tc>
        <w:tc>
          <w:tcPr>
            <w:tcW w:w="160" w:type="dxa"/>
            <w:vAlign w:val="bottom"/>
            <w:shd w:val="clear" w:color="auto" w:fill="CFF0FC"/>
          </w:tcPr>
          <w:p>
            <w:pPr>
              <w:spacing w:after="0"/>
              <w:rPr>
                <w:sz w:val="18"/>
                <w:szCs w:val="18"/>
                <w:color w:val="auto"/>
              </w:rPr>
            </w:pPr>
          </w:p>
        </w:tc>
      </w:tr>
      <w:tr>
        <w:trPr>
          <w:trHeight w:val="215"/>
        </w:trPr>
        <w:tc>
          <w:tcPr>
            <w:tcW w:w="8760" w:type="dxa"/>
            <w:vAlign w:val="bottom"/>
          </w:tcPr>
          <w:p>
            <w:pPr>
              <w:ind w:left="20"/>
              <w:spacing w:after="0" w:line="215" w:lineRule="exact"/>
              <w:rPr>
                <w:sz w:val="20"/>
                <w:szCs w:val="20"/>
                <w:color w:val="auto"/>
              </w:rPr>
            </w:pPr>
            <w:r>
              <w:rPr>
                <w:rFonts w:ascii="Calibri" w:cs="Calibri" w:eastAsia="Calibri" w:hAnsi="Calibri"/>
                <w:sz w:val="18"/>
                <w:szCs w:val="18"/>
                <w:color w:val="auto"/>
              </w:rPr>
              <w:t>Risk-free interest rate</w:t>
            </w:r>
          </w:p>
        </w:tc>
        <w:tc>
          <w:tcPr>
            <w:tcW w:w="340" w:type="dxa"/>
            <w:vAlign w:val="bottom"/>
          </w:tcPr>
          <w:p>
            <w:pPr>
              <w:spacing w:after="0"/>
              <w:rPr>
                <w:sz w:val="18"/>
                <w:szCs w:val="18"/>
                <w:color w:val="auto"/>
              </w:rPr>
            </w:pPr>
          </w:p>
        </w:tc>
        <w:tc>
          <w:tcPr>
            <w:tcW w:w="202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3.80 %</w:t>
            </w:r>
          </w:p>
        </w:tc>
      </w:tr>
      <w:tr>
        <w:trPr>
          <w:trHeight w:val="217"/>
        </w:trPr>
        <w:tc>
          <w:tcPr>
            <w:tcW w:w="876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Term (in years)</w:t>
            </w:r>
          </w:p>
        </w:tc>
        <w:tc>
          <w:tcPr>
            <w:tcW w:w="340" w:type="dxa"/>
            <w:vAlign w:val="bottom"/>
            <w:shd w:val="clear" w:color="auto" w:fill="CFF0FC"/>
          </w:tcPr>
          <w:p>
            <w:pPr>
              <w:spacing w:after="0"/>
              <w:rPr>
                <w:sz w:val="18"/>
                <w:szCs w:val="18"/>
                <w:color w:val="auto"/>
              </w:rPr>
            </w:pPr>
          </w:p>
        </w:tc>
        <w:tc>
          <w:tcPr>
            <w:tcW w:w="18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3.0</w:t>
            </w:r>
          </w:p>
        </w:tc>
        <w:tc>
          <w:tcPr>
            <w:tcW w:w="160" w:type="dxa"/>
            <w:vAlign w:val="bottom"/>
            <w:shd w:val="clear" w:color="auto" w:fill="CFF0FC"/>
          </w:tcPr>
          <w:p>
            <w:pPr>
              <w:spacing w:after="0"/>
              <w:rPr>
                <w:sz w:val="18"/>
                <w:szCs w:val="18"/>
                <w:color w:val="auto"/>
              </w:rPr>
            </w:pPr>
          </w:p>
        </w:tc>
      </w:tr>
      <w:tr>
        <w:trPr>
          <w:trHeight w:val="215"/>
        </w:trPr>
        <w:tc>
          <w:tcPr>
            <w:tcW w:w="8760" w:type="dxa"/>
            <w:vAlign w:val="bottom"/>
          </w:tcPr>
          <w:p>
            <w:pPr>
              <w:ind w:left="20"/>
              <w:spacing w:after="0" w:line="215" w:lineRule="exact"/>
              <w:rPr>
                <w:sz w:val="20"/>
                <w:szCs w:val="20"/>
                <w:color w:val="auto"/>
              </w:rPr>
            </w:pPr>
            <w:r>
              <w:rPr>
                <w:rFonts w:ascii="Calibri" w:cs="Calibri" w:eastAsia="Calibri" w:hAnsi="Calibri"/>
                <w:sz w:val="18"/>
                <w:szCs w:val="18"/>
                <w:color w:val="auto"/>
              </w:rPr>
              <w:t>Volatlity</w:t>
            </w:r>
          </w:p>
        </w:tc>
        <w:tc>
          <w:tcPr>
            <w:tcW w:w="340" w:type="dxa"/>
            <w:vAlign w:val="bottom"/>
          </w:tcPr>
          <w:p>
            <w:pPr>
              <w:spacing w:after="0"/>
              <w:rPr>
                <w:sz w:val="18"/>
                <w:szCs w:val="18"/>
                <w:color w:val="auto"/>
              </w:rPr>
            </w:pPr>
          </w:p>
        </w:tc>
        <w:tc>
          <w:tcPr>
            <w:tcW w:w="202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60 %</w:t>
            </w:r>
          </w:p>
        </w:tc>
      </w:tr>
      <w:tr>
        <w:trPr>
          <w:trHeight w:val="217"/>
        </w:trPr>
        <w:tc>
          <w:tcPr>
            <w:tcW w:w="876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Weighted-average expected dividend yield</w:t>
            </w:r>
          </w:p>
        </w:tc>
        <w:tc>
          <w:tcPr>
            <w:tcW w:w="340" w:type="dxa"/>
            <w:vAlign w:val="bottom"/>
            <w:shd w:val="clear" w:color="auto" w:fill="CFF0FC"/>
          </w:tcPr>
          <w:p>
            <w:pPr>
              <w:spacing w:after="0"/>
              <w:rPr>
                <w:sz w:val="18"/>
                <w:szCs w:val="18"/>
                <w:color w:val="auto"/>
              </w:rPr>
            </w:pPr>
          </w:p>
        </w:tc>
        <w:tc>
          <w:tcPr>
            <w:tcW w:w="2020" w:type="dxa"/>
            <w:vAlign w:val="bottom"/>
            <w:gridSpan w:val="2"/>
            <w:shd w:val="clear" w:color="auto" w:fill="CFF0FC"/>
          </w:tcPr>
          <w:p>
            <w:pPr>
              <w:jc w:val="right"/>
              <w:ind w:right="20"/>
              <w:spacing w:after="0" w:line="216" w:lineRule="exact"/>
              <w:rPr>
                <w:sz w:val="20"/>
                <w:szCs w:val="20"/>
                <w:color w:val="auto"/>
              </w:rPr>
            </w:pPr>
            <w:r>
              <w:rPr>
                <w:rFonts w:ascii="Calibri" w:cs="Calibri" w:eastAsia="Calibri" w:hAnsi="Calibri"/>
                <w:sz w:val="18"/>
                <w:szCs w:val="18"/>
                <w:color w:val="auto"/>
              </w:rPr>
              <w:t>0.00 %</w:t>
            </w:r>
          </w:p>
        </w:tc>
      </w:tr>
    </w:tbl>
    <w:p>
      <w:pPr>
        <w:spacing w:after="0" w:line="194" w:lineRule="exact"/>
        <w:rPr>
          <w:sz w:val="20"/>
          <w:szCs w:val="20"/>
          <w:color w:val="auto"/>
        </w:rPr>
      </w:pPr>
    </w:p>
    <w:p>
      <w:pPr>
        <w:ind w:right="200"/>
        <w:spacing w:after="0" w:line="235" w:lineRule="auto"/>
        <w:rPr>
          <w:sz w:val="20"/>
          <w:szCs w:val="20"/>
          <w:color w:val="auto"/>
        </w:rPr>
      </w:pPr>
      <w:r>
        <w:rPr>
          <w:rFonts w:ascii="Calibri" w:cs="Calibri" w:eastAsia="Calibri" w:hAnsi="Calibri"/>
          <w:sz w:val="18"/>
          <w:szCs w:val="18"/>
          <w:color w:val="auto"/>
        </w:rPr>
        <w:t>Compensaton cost related to restricted stock units and restricted stock awards was $6 million, $4 million and $4 million for the years ended December 31, 2024, 2023 and 2022, respectvely.</w:t>
      </w:r>
    </w:p>
    <w:p>
      <w:pPr>
        <w:spacing w:after="0" w:line="177" w:lineRule="exact"/>
        <w:rPr>
          <w:sz w:val="20"/>
          <w:szCs w:val="20"/>
          <w:color w:val="auto"/>
        </w:rPr>
      </w:pPr>
    </w:p>
    <w:p>
      <w:pPr>
        <w:ind w:right="180"/>
        <w:spacing w:after="0" w:line="235" w:lineRule="auto"/>
        <w:rPr>
          <w:sz w:val="20"/>
          <w:szCs w:val="20"/>
          <w:color w:val="auto"/>
        </w:rPr>
      </w:pPr>
      <w:r>
        <w:rPr>
          <w:rFonts w:ascii="Calibri" w:cs="Calibri" w:eastAsia="Calibri" w:hAnsi="Calibri"/>
          <w:sz w:val="18"/>
          <w:szCs w:val="18"/>
          <w:color w:val="auto"/>
        </w:rPr>
        <w:t>The weighted average grant date fair value of restricted stock units and awards granted for the years ended December 31, 2024, 2023 and 2022 was $5.29, $3.90 and $4.60, respectvely. The total fair value of restricted stock units and awards that vested was $8 million, $4 million and $5 million for the years ended December 31, 2024, 2023 and 2022. As of December 31, 2024, there was $4 million of unrecognized compensaton cost related to restricted stock units. The cost is expected to be recognized over a weighted average period of 1.5 years.</w:t>
      </w:r>
    </w:p>
    <w:p>
      <w:pPr>
        <w:spacing w:after="0" w:line="188"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summarizes informaton about unvested restricted stock unit and award actvity for the year ended December 31, 2024:</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94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Calibri" w:cs="Calibri" w:eastAsia="Calibri" w:hAnsi="Calibri"/>
                <w:sz w:val="18"/>
                <w:szCs w:val="18"/>
                <w:b w:val="1"/>
                <w:bCs w:val="1"/>
                <w:color w:val="auto"/>
                <w:w w:val="97"/>
              </w:rPr>
              <w:t>Restricted</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gridSpan w:val="2"/>
          </w:tcPr>
          <w:p>
            <w:pPr>
              <w:jc w:val="center"/>
              <w:ind w:right="280"/>
              <w:spacing w:after="0"/>
              <w:rPr>
                <w:sz w:val="20"/>
                <w:szCs w:val="20"/>
                <w:color w:val="auto"/>
              </w:rPr>
            </w:pPr>
            <w:r>
              <w:rPr>
                <w:rFonts w:ascii="Calibri" w:cs="Calibri" w:eastAsia="Calibri" w:hAnsi="Calibri"/>
                <w:sz w:val="18"/>
                <w:szCs w:val="18"/>
                <w:b w:val="1"/>
                <w:bCs w:val="1"/>
                <w:color w:val="auto"/>
                <w:w w:val="97"/>
              </w:rPr>
              <w:t>Weighted-Average</w:t>
            </w:r>
          </w:p>
        </w:tc>
      </w:tr>
      <w:tr>
        <w:trPr>
          <w:trHeight w:val="216"/>
        </w:trPr>
        <w:tc>
          <w:tcPr>
            <w:tcW w:w="6940" w:type="dxa"/>
            <w:vAlign w:val="bottom"/>
          </w:tcPr>
          <w:p>
            <w:pPr>
              <w:spacing w:after="0"/>
              <w:rPr>
                <w:sz w:val="18"/>
                <w:szCs w:val="18"/>
                <w:color w:val="auto"/>
              </w:rPr>
            </w:pPr>
          </w:p>
        </w:tc>
        <w:tc>
          <w:tcPr>
            <w:tcW w:w="190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8"/>
              </w:rPr>
              <w:t>Stock</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gridSpan w:val="2"/>
          </w:tcPr>
          <w:p>
            <w:pPr>
              <w:jc w:val="center"/>
              <w:ind w:right="280"/>
              <w:spacing w:after="0" w:line="216" w:lineRule="exact"/>
              <w:rPr>
                <w:sz w:val="20"/>
                <w:szCs w:val="20"/>
                <w:color w:val="auto"/>
              </w:rPr>
            </w:pPr>
            <w:r>
              <w:rPr>
                <w:rFonts w:ascii="Calibri" w:cs="Calibri" w:eastAsia="Calibri" w:hAnsi="Calibri"/>
                <w:sz w:val="18"/>
                <w:szCs w:val="18"/>
                <w:b w:val="1"/>
                <w:bCs w:val="1"/>
                <w:color w:val="auto"/>
                <w:w w:val="97"/>
              </w:rPr>
              <w:t>Grant Date</w:t>
            </w:r>
          </w:p>
        </w:tc>
      </w:tr>
      <w:tr>
        <w:trPr>
          <w:trHeight w:val="216"/>
        </w:trPr>
        <w:tc>
          <w:tcPr>
            <w:tcW w:w="6940" w:type="dxa"/>
            <w:vAlign w:val="bottom"/>
          </w:tcPr>
          <w:p>
            <w:pPr>
              <w:spacing w:after="0"/>
              <w:rPr>
                <w:sz w:val="18"/>
                <w:szCs w:val="18"/>
                <w:color w:val="auto"/>
              </w:rPr>
            </w:pPr>
          </w:p>
        </w:tc>
        <w:tc>
          <w:tcPr>
            <w:tcW w:w="190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8"/>
              </w:rPr>
              <w:t>Units/Awards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gridSpan w:val="2"/>
          </w:tcPr>
          <w:p>
            <w:pPr>
              <w:jc w:val="center"/>
              <w:ind w:right="280"/>
              <w:spacing w:after="0" w:line="216" w:lineRule="exact"/>
              <w:rPr>
                <w:sz w:val="20"/>
                <w:szCs w:val="20"/>
                <w:color w:val="auto"/>
              </w:rPr>
            </w:pPr>
            <w:r>
              <w:rPr>
                <w:rFonts w:ascii="Calibri" w:cs="Calibri" w:eastAsia="Calibri" w:hAnsi="Calibri"/>
                <w:sz w:val="18"/>
                <w:szCs w:val="18"/>
                <w:b w:val="1"/>
                <w:bCs w:val="1"/>
                <w:color w:val="auto"/>
                <w:w w:val="97"/>
              </w:rPr>
              <w:t>Fair Values</w:t>
            </w:r>
          </w:p>
        </w:tc>
      </w:tr>
      <w:tr>
        <w:trPr>
          <w:trHeight w:val="23"/>
        </w:trPr>
        <w:tc>
          <w:tcPr>
            <w:tcW w:w="694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9"/>
        </w:trPr>
        <w:tc>
          <w:tcPr>
            <w:tcW w:w="6940" w:type="dxa"/>
            <w:vAlign w:val="bottom"/>
            <w:shd w:val="clear" w:color="auto" w:fill="CFF0FC"/>
          </w:tcPr>
          <w:p>
            <w:pPr>
              <w:ind w:left="20"/>
              <w:spacing w:after="0" w:line="209" w:lineRule="exact"/>
              <w:rPr>
                <w:sz w:val="20"/>
                <w:szCs w:val="20"/>
                <w:color w:val="auto"/>
              </w:rPr>
            </w:pPr>
            <w:r>
              <w:rPr>
                <w:rFonts w:ascii="Calibri" w:cs="Calibri" w:eastAsia="Calibri" w:hAnsi="Calibri"/>
                <w:sz w:val="18"/>
                <w:szCs w:val="18"/>
                <w:color w:val="auto"/>
              </w:rPr>
              <w:t>Outstanding on December 31, 2023</w:t>
            </w:r>
          </w:p>
        </w:tc>
        <w:tc>
          <w:tcPr>
            <w:tcW w:w="190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2,537,584</w:t>
            </w:r>
          </w:p>
        </w:tc>
        <w:tc>
          <w:tcPr>
            <w:tcW w:w="480" w:type="dxa"/>
            <w:vAlign w:val="bottom"/>
            <w:gridSpan w:val="2"/>
            <w:shd w:val="clear" w:color="auto" w:fill="CFF0FC"/>
          </w:tcPr>
          <w:p>
            <w:pPr>
              <w:jc w:val="right"/>
              <w:ind w:right="80"/>
              <w:spacing w:after="0" w:line="209" w:lineRule="exact"/>
              <w:rPr>
                <w:sz w:val="20"/>
                <w:szCs w:val="20"/>
                <w:color w:val="auto"/>
              </w:rPr>
            </w:pPr>
            <w:r>
              <w:rPr>
                <w:rFonts w:ascii="Calibri" w:cs="Calibri" w:eastAsia="Calibri" w:hAnsi="Calibri"/>
                <w:sz w:val="18"/>
                <w:szCs w:val="18"/>
                <w:color w:val="auto"/>
              </w:rPr>
              <w:t>$</w:t>
            </w:r>
          </w:p>
        </w:tc>
        <w:tc>
          <w:tcPr>
            <w:tcW w:w="170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4.44</w:t>
            </w:r>
          </w:p>
        </w:tc>
        <w:tc>
          <w:tcPr>
            <w:tcW w:w="100" w:type="dxa"/>
            <w:vAlign w:val="bottom"/>
            <w:shd w:val="clear" w:color="auto" w:fill="CFF0FC"/>
          </w:tcPr>
          <w:p>
            <w:pPr>
              <w:spacing w:after="0"/>
              <w:rPr>
                <w:sz w:val="18"/>
                <w:szCs w:val="18"/>
                <w:color w:val="auto"/>
              </w:rPr>
            </w:pPr>
          </w:p>
        </w:tc>
      </w:tr>
      <w:tr>
        <w:trPr>
          <w:trHeight w:val="215"/>
        </w:trPr>
        <w:tc>
          <w:tcPr>
            <w:tcW w:w="6940" w:type="dxa"/>
            <w:vAlign w:val="bottom"/>
          </w:tcPr>
          <w:p>
            <w:pPr>
              <w:ind w:left="200"/>
              <w:spacing w:after="0" w:line="215" w:lineRule="exact"/>
              <w:rPr>
                <w:sz w:val="20"/>
                <w:szCs w:val="20"/>
                <w:color w:val="auto"/>
              </w:rPr>
            </w:pPr>
            <w:r>
              <w:rPr>
                <w:rFonts w:ascii="Calibri" w:cs="Calibri" w:eastAsia="Calibri" w:hAnsi="Calibri"/>
                <w:sz w:val="18"/>
                <w:szCs w:val="18"/>
                <w:color w:val="auto"/>
              </w:rPr>
              <w:t>Granted</w:t>
            </w:r>
          </w:p>
        </w:tc>
        <w:tc>
          <w:tcPr>
            <w:tcW w:w="1900" w:type="dxa"/>
            <w:vAlign w:val="bottom"/>
          </w:tcPr>
          <w:p>
            <w:pPr>
              <w:jc w:val="right"/>
              <w:spacing w:after="0" w:line="215" w:lineRule="exact"/>
              <w:rPr>
                <w:sz w:val="20"/>
                <w:szCs w:val="20"/>
                <w:color w:val="auto"/>
              </w:rPr>
            </w:pPr>
            <w:r>
              <w:rPr>
                <w:rFonts w:ascii="Calibri" w:cs="Calibri" w:eastAsia="Calibri" w:hAnsi="Calibri"/>
                <w:sz w:val="18"/>
                <w:szCs w:val="18"/>
                <w:color w:val="auto"/>
              </w:rPr>
              <w:t>715,022</w:t>
            </w:r>
          </w:p>
        </w:tc>
        <w:tc>
          <w:tcPr>
            <w:tcW w:w="480" w:type="dxa"/>
            <w:vAlign w:val="bottom"/>
            <w:gridSpan w:val="2"/>
          </w:tcPr>
          <w:p>
            <w:pPr>
              <w:jc w:val="right"/>
              <w:ind w:right="80"/>
              <w:spacing w:after="0" w:line="215" w:lineRule="exact"/>
              <w:rPr>
                <w:sz w:val="20"/>
                <w:szCs w:val="20"/>
                <w:color w:val="auto"/>
              </w:rPr>
            </w:pPr>
            <w:r>
              <w:rPr>
                <w:rFonts w:ascii="Calibri" w:cs="Calibri" w:eastAsia="Calibri" w:hAnsi="Calibri"/>
                <w:sz w:val="18"/>
                <w:szCs w:val="18"/>
                <w:color w:val="auto"/>
              </w:rPr>
              <w:t>$</w:t>
            </w:r>
          </w:p>
        </w:tc>
        <w:tc>
          <w:tcPr>
            <w:tcW w:w="1700" w:type="dxa"/>
            <w:vAlign w:val="bottom"/>
          </w:tcPr>
          <w:p>
            <w:pPr>
              <w:jc w:val="right"/>
              <w:spacing w:after="0" w:line="215" w:lineRule="exact"/>
              <w:rPr>
                <w:sz w:val="20"/>
                <w:szCs w:val="20"/>
                <w:color w:val="auto"/>
              </w:rPr>
            </w:pPr>
            <w:r>
              <w:rPr>
                <w:rFonts w:ascii="Calibri" w:cs="Calibri" w:eastAsia="Calibri" w:hAnsi="Calibri"/>
                <w:sz w:val="18"/>
                <w:szCs w:val="18"/>
                <w:color w:val="auto"/>
              </w:rPr>
              <w:t>5.29</w:t>
            </w:r>
          </w:p>
        </w:tc>
        <w:tc>
          <w:tcPr>
            <w:tcW w:w="100" w:type="dxa"/>
            <w:vAlign w:val="bottom"/>
          </w:tcPr>
          <w:p>
            <w:pPr>
              <w:spacing w:after="0"/>
              <w:rPr>
                <w:sz w:val="18"/>
                <w:szCs w:val="18"/>
                <w:color w:val="auto"/>
              </w:rPr>
            </w:pPr>
          </w:p>
        </w:tc>
      </w:tr>
      <w:tr>
        <w:trPr>
          <w:trHeight w:val="217"/>
        </w:trPr>
        <w:tc>
          <w:tcPr>
            <w:tcW w:w="6940" w:type="dxa"/>
            <w:vAlign w:val="bottom"/>
            <w:shd w:val="clear" w:color="auto" w:fill="CFF0FC"/>
          </w:tcPr>
          <w:p>
            <w:pPr>
              <w:ind w:left="200"/>
              <w:spacing w:after="0" w:line="216" w:lineRule="exact"/>
              <w:rPr>
                <w:sz w:val="20"/>
                <w:szCs w:val="20"/>
                <w:color w:val="auto"/>
              </w:rPr>
            </w:pPr>
            <w:r>
              <w:rPr>
                <w:rFonts w:ascii="Calibri" w:cs="Calibri" w:eastAsia="Calibri" w:hAnsi="Calibri"/>
                <w:sz w:val="18"/>
                <w:szCs w:val="18"/>
                <w:color w:val="auto"/>
              </w:rPr>
              <w:t>Vested</w:t>
            </w:r>
          </w:p>
        </w:tc>
        <w:tc>
          <w:tcPr>
            <w:tcW w:w="19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1,351,572</w:t>
            </w:r>
          </w:p>
        </w:tc>
        <w:tc>
          <w:tcPr>
            <w:tcW w:w="480" w:type="dxa"/>
            <w:vAlign w:val="bottom"/>
            <w:gridSpan w:val="2"/>
            <w:shd w:val="clear" w:color="auto" w:fill="CFF0FC"/>
          </w:tcPr>
          <w:p>
            <w:pPr>
              <w:jc w:val="right"/>
              <w:ind w:right="80"/>
              <w:spacing w:after="0" w:line="216" w:lineRule="exact"/>
              <w:rPr>
                <w:sz w:val="20"/>
                <w:szCs w:val="20"/>
                <w:color w:val="auto"/>
              </w:rPr>
            </w:pPr>
            <w:r>
              <w:rPr>
                <w:rFonts w:ascii="Calibri" w:cs="Calibri" w:eastAsia="Calibri" w:hAnsi="Calibri"/>
                <w:sz w:val="18"/>
                <w:szCs w:val="18"/>
                <w:color w:val="auto"/>
              </w:rPr>
              <w:t>$</w:t>
            </w:r>
          </w:p>
        </w:tc>
        <w:tc>
          <w:tcPr>
            <w:tcW w:w="17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5.00</w:t>
            </w:r>
          </w:p>
        </w:tc>
        <w:tc>
          <w:tcPr>
            <w:tcW w:w="100" w:type="dxa"/>
            <w:vAlign w:val="bottom"/>
            <w:shd w:val="clear" w:color="auto" w:fill="CFF0FC"/>
          </w:tcPr>
          <w:p>
            <w:pPr>
              <w:spacing w:after="0"/>
              <w:rPr>
                <w:sz w:val="18"/>
                <w:szCs w:val="18"/>
                <w:color w:val="auto"/>
              </w:rPr>
            </w:pPr>
          </w:p>
        </w:tc>
      </w:tr>
      <w:tr>
        <w:trPr>
          <w:trHeight w:val="215"/>
        </w:trPr>
        <w:tc>
          <w:tcPr>
            <w:tcW w:w="6940" w:type="dxa"/>
            <w:vAlign w:val="bottom"/>
          </w:tcPr>
          <w:p>
            <w:pPr>
              <w:ind w:left="200"/>
              <w:spacing w:after="0" w:line="215" w:lineRule="exact"/>
              <w:rPr>
                <w:sz w:val="20"/>
                <w:szCs w:val="20"/>
                <w:color w:val="auto"/>
              </w:rPr>
            </w:pPr>
            <w:r>
              <w:rPr>
                <w:rFonts w:ascii="Calibri" w:cs="Calibri" w:eastAsia="Calibri" w:hAnsi="Calibri"/>
                <w:sz w:val="18"/>
                <w:szCs w:val="18"/>
                <w:color w:val="auto"/>
              </w:rPr>
              <w:t>Forfeited</w:t>
            </w:r>
          </w:p>
        </w:tc>
        <w:tc>
          <w:tcPr>
            <w:tcW w:w="19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3,334</w:t>
            </w:r>
          </w:p>
        </w:tc>
        <w:tc>
          <w:tcPr>
            <w:tcW w:w="480" w:type="dxa"/>
            <w:vAlign w:val="bottom"/>
            <w:gridSpan w:val="2"/>
          </w:tcPr>
          <w:p>
            <w:pPr>
              <w:jc w:val="right"/>
              <w:ind w:right="80"/>
              <w:spacing w:after="0" w:line="215" w:lineRule="exact"/>
              <w:rPr>
                <w:sz w:val="20"/>
                <w:szCs w:val="20"/>
                <w:color w:val="auto"/>
              </w:rPr>
            </w:pPr>
            <w:r>
              <w:rPr>
                <w:rFonts w:ascii="Calibri" w:cs="Calibri" w:eastAsia="Calibri" w:hAnsi="Calibri"/>
                <w:sz w:val="18"/>
                <w:szCs w:val="18"/>
                <w:color w:val="auto"/>
              </w:rPr>
              <w:t>$</w:t>
            </w:r>
          </w:p>
        </w:tc>
        <w:tc>
          <w:tcPr>
            <w:tcW w:w="1700" w:type="dxa"/>
            <w:vAlign w:val="bottom"/>
          </w:tcPr>
          <w:p>
            <w:pPr>
              <w:jc w:val="right"/>
              <w:spacing w:after="0" w:line="215" w:lineRule="exact"/>
              <w:rPr>
                <w:sz w:val="20"/>
                <w:szCs w:val="20"/>
                <w:color w:val="auto"/>
              </w:rPr>
            </w:pPr>
            <w:r>
              <w:rPr>
                <w:rFonts w:ascii="Calibri" w:cs="Calibri" w:eastAsia="Calibri" w:hAnsi="Calibri"/>
                <w:sz w:val="18"/>
                <w:szCs w:val="18"/>
                <w:color w:val="auto"/>
              </w:rPr>
              <w:t>7.23</w:t>
            </w:r>
          </w:p>
        </w:tc>
        <w:tc>
          <w:tcPr>
            <w:tcW w:w="100" w:type="dxa"/>
            <w:vAlign w:val="bottom"/>
          </w:tcPr>
          <w:p>
            <w:pPr>
              <w:spacing w:after="0"/>
              <w:rPr>
                <w:sz w:val="18"/>
                <w:szCs w:val="18"/>
                <w:color w:val="auto"/>
              </w:rPr>
            </w:pPr>
          </w:p>
        </w:tc>
      </w:tr>
      <w:tr>
        <w:trPr>
          <w:trHeight w:val="250"/>
        </w:trPr>
        <w:tc>
          <w:tcPr>
            <w:tcW w:w="6940" w:type="dxa"/>
            <w:vAlign w:val="bottom"/>
            <w:tcBorders>
              <w:bottom w:val="single" w:sz="8" w:color="CFF0FC"/>
            </w:tcBorders>
            <w:shd w:val="clear" w:color="auto" w:fill="CFF0FC"/>
          </w:tcPr>
          <w:p>
            <w:pPr>
              <w:ind w:left="20"/>
              <w:spacing w:after="0" w:line="210" w:lineRule="exact"/>
              <w:rPr>
                <w:sz w:val="20"/>
                <w:szCs w:val="20"/>
                <w:color w:val="auto"/>
              </w:rPr>
            </w:pPr>
            <w:r>
              <w:rPr>
                <w:rFonts w:ascii="Calibri" w:cs="Calibri" w:eastAsia="Calibri" w:hAnsi="Calibri"/>
                <w:sz w:val="18"/>
                <w:szCs w:val="18"/>
                <w:color w:val="auto"/>
              </w:rPr>
              <w:t>Outstanding on December 31, 2024</w:t>
            </w:r>
          </w:p>
        </w:tc>
        <w:tc>
          <w:tcPr>
            <w:tcW w:w="1900" w:type="dxa"/>
            <w:vAlign w:val="bottom"/>
            <w:tcBorders>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1,897,700</w:t>
            </w:r>
          </w:p>
        </w:tc>
        <w:tc>
          <w:tcPr>
            <w:tcW w:w="480" w:type="dxa"/>
            <w:vAlign w:val="bottom"/>
            <w:tcBorders>
              <w:bottom w:val="single" w:sz="8" w:color="CFF0FC"/>
            </w:tcBorders>
            <w:gridSpan w:val="2"/>
            <w:shd w:val="clear" w:color="auto" w:fill="CFF0FC"/>
          </w:tcPr>
          <w:p>
            <w:pPr>
              <w:jc w:val="right"/>
              <w:ind w:right="80"/>
              <w:spacing w:after="0" w:line="210" w:lineRule="exact"/>
              <w:rPr>
                <w:sz w:val="20"/>
                <w:szCs w:val="20"/>
                <w:color w:val="auto"/>
              </w:rPr>
            </w:pPr>
            <w:r>
              <w:rPr>
                <w:rFonts w:ascii="Calibri" w:cs="Calibri" w:eastAsia="Calibri" w:hAnsi="Calibri"/>
                <w:sz w:val="18"/>
                <w:szCs w:val="18"/>
                <w:color w:val="auto"/>
              </w:rPr>
              <w:t>$</w:t>
            </w:r>
          </w:p>
        </w:tc>
        <w:tc>
          <w:tcPr>
            <w:tcW w:w="1700" w:type="dxa"/>
            <w:vAlign w:val="bottom"/>
            <w:tcBorders>
              <w:bottom w:val="single" w:sz="8" w:color="CFF0FC"/>
            </w:tcBorders>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4.36</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-24765</wp:posOffset>
            </wp:positionV>
            <wp:extent cx="68580"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-7620</wp:posOffset>
            </wp:positionV>
            <wp:extent cx="68580"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ind w:right="840"/>
        <w:spacing w:after="0" w:line="235" w:lineRule="auto"/>
        <w:rPr>
          <w:sz w:val="20"/>
          <w:szCs w:val="20"/>
          <w:color w:val="auto"/>
        </w:rPr>
      </w:pPr>
      <w:r>
        <w:rPr>
          <w:rFonts w:ascii="Calibri" w:cs="Calibri" w:eastAsia="Calibri" w:hAnsi="Calibri"/>
          <w:sz w:val="18"/>
          <w:szCs w:val="18"/>
          <w:color w:val="auto"/>
        </w:rPr>
        <w:t>In additon to the outstanding unvested restricted stock units and awards per the above table, there are also 443,057 vested restricted stock units outstanding as of December 31, 2024 with a weighted average grant date fair value of $5.80.</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Stock Optons</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summarizes informaton about stock opton actvity for the year ended December 31, 2024:</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Calibri" w:cs="Calibri" w:eastAsia="Calibri" w:hAnsi="Calibri"/>
                <w:sz w:val="18"/>
                <w:szCs w:val="18"/>
                <w:b w:val="1"/>
                <w:bCs w:val="1"/>
                <w:color w:val="auto"/>
                <w:w w:val="97"/>
              </w:rPr>
              <w:t>Average</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5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center"/>
              <w:ind w:right="70"/>
              <w:spacing w:after="0" w:line="216" w:lineRule="exact"/>
              <w:rPr>
                <w:sz w:val="20"/>
                <w:szCs w:val="20"/>
                <w:color w:val="auto"/>
              </w:rPr>
            </w:pPr>
            <w:r>
              <w:rPr>
                <w:rFonts w:ascii="Calibri" w:cs="Calibri" w:eastAsia="Calibri" w:hAnsi="Calibri"/>
                <w:sz w:val="18"/>
                <w:szCs w:val="18"/>
                <w:b w:val="1"/>
                <w:bCs w:val="1"/>
                <w:color w:val="auto"/>
                <w:w w:val="98"/>
              </w:rPr>
              <w:t>Weighted</w:t>
            </w:r>
          </w:p>
        </w:tc>
        <w:tc>
          <w:tcPr>
            <w:tcW w:w="220" w:type="dxa"/>
            <w:vAlign w:val="bottom"/>
          </w:tcPr>
          <w:p>
            <w:pPr>
              <w:spacing w:after="0"/>
              <w:rPr>
                <w:sz w:val="18"/>
                <w:szCs w:val="18"/>
                <w:color w:val="auto"/>
              </w:rPr>
            </w:pPr>
          </w:p>
        </w:tc>
        <w:tc>
          <w:tcPr>
            <w:tcW w:w="126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8"/>
              </w:rPr>
              <w:t>Remaining</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60"/>
              <w:spacing w:after="0" w:line="216" w:lineRule="exact"/>
              <w:rPr>
                <w:sz w:val="20"/>
                <w:szCs w:val="20"/>
                <w:color w:val="auto"/>
              </w:rPr>
            </w:pPr>
            <w:r>
              <w:rPr>
                <w:rFonts w:ascii="Calibri" w:cs="Calibri" w:eastAsia="Calibri" w:hAnsi="Calibri"/>
                <w:sz w:val="18"/>
                <w:szCs w:val="18"/>
                <w:b w:val="1"/>
                <w:bCs w:val="1"/>
                <w:color w:val="auto"/>
                <w:w w:val="99"/>
              </w:rPr>
              <w:t>Aggregate</w:t>
            </w:r>
          </w:p>
        </w:tc>
        <w:tc>
          <w:tcPr>
            <w:tcW w:w="120" w:type="dxa"/>
            <w:vAlign w:val="bottom"/>
          </w:tcPr>
          <w:p>
            <w:pPr>
              <w:spacing w:after="0"/>
              <w:rPr>
                <w:sz w:val="18"/>
                <w:szCs w:val="18"/>
                <w:color w:val="auto"/>
              </w:rPr>
            </w:pPr>
          </w:p>
        </w:tc>
      </w:tr>
      <w:tr>
        <w:trPr>
          <w:trHeight w:val="216"/>
        </w:trPr>
        <w:tc>
          <w:tcPr>
            <w:tcW w:w="5300" w:type="dxa"/>
            <w:vAlign w:val="bottom"/>
          </w:tcPr>
          <w:p>
            <w:pPr>
              <w:spacing w:after="0"/>
              <w:rPr>
                <w:sz w:val="18"/>
                <w:szCs w:val="18"/>
                <w:color w:val="auto"/>
              </w:rPr>
            </w:pPr>
          </w:p>
        </w:tc>
        <w:tc>
          <w:tcPr>
            <w:tcW w:w="1280" w:type="dxa"/>
            <w:vAlign w:val="bottom"/>
          </w:tcPr>
          <w:p>
            <w:pPr>
              <w:ind w:left="400"/>
              <w:spacing w:after="0" w:line="216" w:lineRule="exact"/>
              <w:rPr>
                <w:sz w:val="20"/>
                <w:szCs w:val="20"/>
                <w:color w:val="auto"/>
              </w:rPr>
            </w:pPr>
            <w:r>
              <w:rPr>
                <w:rFonts w:ascii="Calibri" w:cs="Calibri" w:eastAsia="Calibri" w:hAnsi="Calibri"/>
                <w:sz w:val="18"/>
                <w:szCs w:val="18"/>
                <w:b w:val="1"/>
                <w:bCs w:val="1"/>
                <w:color w:val="auto"/>
              </w:rPr>
              <w:t>Shares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center"/>
              <w:ind w:right="70"/>
              <w:spacing w:after="0" w:line="216" w:lineRule="exact"/>
              <w:rPr>
                <w:sz w:val="20"/>
                <w:szCs w:val="20"/>
                <w:color w:val="auto"/>
              </w:rPr>
            </w:pPr>
            <w:r>
              <w:rPr>
                <w:rFonts w:ascii="Calibri" w:cs="Calibri" w:eastAsia="Calibri" w:hAnsi="Calibri"/>
                <w:sz w:val="18"/>
                <w:szCs w:val="18"/>
                <w:b w:val="1"/>
                <w:bCs w:val="1"/>
                <w:color w:val="auto"/>
                <w:w w:val="98"/>
              </w:rPr>
              <w:t>Exercise</w:t>
            </w:r>
          </w:p>
        </w:tc>
        <w:tc>
          <w:tcPr>
            <w:tcW w:w="220" w:type="dxa"/>
            <w:vAlign w:val="bottom"/>
          </w:tcPr>
          <w:p>
            <w:pPr>
              <w:spacing w:after="0"/>
              <w:rPr>
                <w:sz w:val="18"/>
                <w:szCs w:val="18"/>
                <w:color w:val="auto"/>
              </w:rPr>
            </w:pPr>
          </w:p>
        </w:tc>
        <w:tc>
          <w:tcPr>
            <w:tcW w:w="126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8"/>
              </w:rPr>
              <w:t>Contractual</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60"/>
              <w:spacing w:after="0" w:line="216" w:lineRule="exact"/>
              <w:rPr>
                <w:sz w:val="20"/>
                <w:szCs w:val="20"/>
                <w:color w:val="auto"/>
              </w:rPr>
            </w:pPr>
            <w:r>
              <w:rPr>
                <w:rFonts w:ascii="Calibri" w:cs="Calibri" w:eastAsia="Calibri" w:hAnsi="Calibri"/>
                <w:sz w:val="18"/>
                <w:szCs w:val="18"/>
                <w:b w:val="1"/>
                <w:bCs w:val="1"/>
                <w:color w:val="auto"/>
                <w:w w:val="99"/>
              </w:rPr>
              <w:t>Intrinsic</w:t>
            </w:r>
          </w:p>
        </w:tc>
        <w:tc>
          <w:tcPr>
            <w:tcW w:w="120" w:type="dxa"/>
            <w:vAlign w:val="bottom"/>
          </w:tcPr>
          <w:p>
            <w:pPr>
              <w:spacing w:after="0"/>
              <w:rPr>
                <w:sz w:val="18"/>
                <w:szCs w:val="18"/>
                <w:color w:val="auto"/>
              </w:rPr>
            </w:pPr>
          </w:p>
        </w:tc>
      </w:tr>
      <w:tr>
        <w:trPr>
          <w:trHeight w:val="216"/>
        </w:trPr>
        <w:tc>
          <w:tcPr>
            <w:tcW w:w="5300" w:type="dxa"/>
            <w:vAlign w:val="bottom"/>
          </w:tcPr>
          <w:p>
            <w:pPr>
              <w:spacing w:after="0"/>
              <w:rPr>
                <w:sz w:val="18"/>
                <w:szCs w:val="18"/>
                <w:color w:val="auto"/>
              </w:rPr>
            </w:pPr>
          </w:p>
        </w:tc>
        <w:tc>
          <w:tcPr>
            <w:tcW w:w="1280" w:type="dxa"/>
            <w:vAlign w:val="bottom"/>
          </w:tcPr>
          <w:p>
            <w:pPr>
              <w:ind w:left="420"/>
              <w:spacing w:after="0" w:line="216" w:lineRule="exact"/>
              <w:rPr>
                <w:sz w:val="20"/>
                <w:szCs w:val="20"/>
                <w:color w:val="auto"/>
              </w:rPr>
            </w:pPr>
            <w:r>
              <w:rPr>
                <w:rFonts w:ascii="Calibri" w:cs="Calibri" w:eastAsia="Calibri" w:hAnsi="Calibri"/>
                <w:sz w:val="18"/>
                <w:szCs w:val="18"/>
                <w:b w:val="1"/>
                <w:bCs w:val="1"/>
                <w:color w:val="auto"/>
              </w:rPr>
              <w:t>Under</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center"/>
              <w:ind w:right="70"/>
              <w:spacing w:after="0" w:line="216" w:lineRule="exact"/>
              <w:rPr>
                <w:sz w:val="20"/>
                <w:szCs w:val="20"/>
                <w:color w:val="auto"/>
              </w:rPr>
            </w:pPr>
            <w:r>
              <w:rPr>
                <w:rFonts w:ascii="Calibri" w:cs="Calibri" w:eastAsia="Calibri" w:hAnsi="Calibri"/>
                <w:sz w:val="18"/>
                <w:szCs w:val="18"/>
                <w:b w:val="1"/>
                <w:bCs w:val="1"/>
                <w:color w:val="auto"/>
                <w:w w:val="97"/>
              </w:rPr>
              <w:t>Price</w:t>
            </w:r>
          </w:p>
        </w:tc>
        <w:tc>
          <w:tcPr>
            <w:tcW w:w="220" w:type="dxa"/>
            <w:vAlign w:val="bottom"/>
          </w:tcPr>
          <w:p>
            <w:pPr>
              <w:spacing w:after="0"/>
              <w:rPr>
                <w:sz w:val="18"/>
                <w:szCs w:val="18"/>
                <w:color w:val="auto"/>
              </w:rPr>
            </w:pPr>
          </w:p>
        </w:tc>
        <w:tc>
          <w:tcPr>
            <w:tcW w:w="126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6"/>
              </w:rPr>
              <w:t>Life</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80"/>
              <w:spacing w:after="0" w:line="216" w:lineRule="exact"/>
              <w:rPr>
                <w:sz w:val="20"/>
                <w:szCs w:val="20"/>
                <w:color w:val="auto"/>
              </w:rPr>
            </w:pPr>
            <w:r>
              <w:rPr>
                <w:rFonts w:ascii="Calibri" w:cs="Calibri" w:eastAsia="Calibri" w:hAnsi="Calibri"/>
                <w:sz w:val="18"/>
                <w:szCs w:val="18"/>
                <w:b w:val="1"/>
                <w:bCs w:val="1"/>
                <w:color w:val="auto"/>
                <w:w w:val="98"/>
              </w:rPr>
              <w:t>Value</w:t>
            </w:r>
          </w:p>
        </w:tc>
        <w:tc>
          <w:tcPr>
            <w:tcW w:w="120" w:type="dxa"/>
            <w:vAlign w:val="bottom"/>
          </w:tcPr>
          <w:p>
            <w:pPr>
              <w:spacing w:after="0"/>
              <w:rPr>
                <w:sz w:val="18"/>
                <w:szCs w:val="18"/>
                <w:color w:val="auto"/>
              </w:rPr>
            </w:pPr>
          </w:p>
        </w:tc>
      </w:tr>
      <w:tr>
        <w:trPr>
          <w:trHeight w:val="216"/>
        </w:trPr>
        <w:tc>
          <w:tcPr>
            <w:tcW w:w="5300" w:type="dxa"/>
            <w:vAlign w:val="bottom"/>
          </w:tcPr>
          <w:p>
            <w:pPr>
              <w:spacing w:after="0"/>
              <w:rPr>
                <w:sz w:val="18"/>
                <w:szCs w:val="18"/>
                <w:color w:val="auto"/>
              </w:rPr>
            </w:pPr>
          </w:p>
        </w:tc>
        <w:tc>
          <w:tcPr>
            <w:tcW w:w="1280" w:type="dxa"/>
            <w:vAlign w:val="bottom"/>
          </w:tcPr>
          <w:p>
            <w:pPr>
              <w:ind w:left="380"/>
              <w:spacing w:after="0" w:line="216" w:lineRule="exact"/>
              <w:rPr>
                <w:sz w:val="20"/>
                <w:szCs w:val="20"/>
                <w:color w:val="auto"/>
              </w:rPr>
            </w:pPr>
            <w:r>
              <w:rPr>
                <w:rFonts w:ascii="Calibri" w:cs="Calibri" w:eastAsia="Calibri" w:hAnsi="Calibri"/>
                <w:sz w:val="18"/>
                <w:szCs w:val="18"/>
                <w:b w:val="1"/>
                <w:bCs w:val="1"/>
                <w:color w:val="auto"/>
              </w:rPr>
              <w:t>Opton</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center"/>
              <w:ind w:right="90"/>
              <w:spacing w:after="0" w:line="216" w:lineRule="exact"/>
              <w:rPr>
                <w:sz w:val="20"/>
                <w:szCs w:val="20"/>
                <w:color w:val="auto"/>
              </w:rPr>
            </w:pPr>
            <w:r>
              <w:rPr>
                <w:rFonts w:ascii="Calibri" w:cs="Calibri" w:eastAsia="Calibri" w:hAnsi="Calibri"/>
                <w:sz w:val="18"/>
                <w:szCs w:val="18"/>
                <w:b w:val="1"/>
                <w:bCs w:val="1"/>
                <w:color w:val="auto"/>
                <w:w w:val="97"/>
              </w:rPr>
              <w:t>Per Share</w:t>
            </w:r>
          </w:p>
        </w:tc>
        <w:tc>
          <w:tcPr>
            <w:tcW w:w="220" w:type="dxa"/>
            <w:vAlign w:val="bottom"/>
          </w:tcPr>
          <w:p>
            <w:pPr>
              <w:spacing w:after="0"/>
              <w:rPr>
                <w:sz w:val="18"/>
                <w:szCs w:val="18"/>
                <w:color w:val="auto"/>
              </w:rPr>
            </w:pPr>
          </w:p>
        </w:tc>
        <w:tc>
          <w:tcPr>
            <w:tcW w:w="126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5"/>
              </w:rPr>
              <w:t>(Years)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60"/>
              <w:spacing w:after="0" w:line="216" w:lineRule="exact"/>
              <w:rPr>
                <w:sz w:val="20"/>
                <w:szCs w:val="20"/>
                <w:color w:val="auto"/>
              </w:rPr>
            </w:pPr>
            <w:r>
              <w:rPr>
                <w:rFonts w:ascii="Calibri" w:cs="Calibri" w:eastAsia="Calibri" w:hAnsi="Calibri"/>
                <w:sz w:val="18"/>
                <w:szCs w:val="18"/>
                <w:b w:val="1"/>
                <w:bCs w:val="1"/>
                <w:color w:val="auto"/>
                <w:w w:val="95"/>
              </w:rPr>
              <w:t>($ millions)</w:t>
            </w:r>
          </w:p>
        </w:tc>
        <w:tc>
          <w:tcPr>
            <w:tcW w:w="120" w:type="dxa"/>
            <w:vAlign w:val="bottom"/>
          </w:tcPr>
          <w:p>
            <w:pPr>
              <w:spacing w:after="0"/>
              <w:rPr>
                <w:sz w:val="18"/>
                <w:szCs w:val="18"/>
                <w:color w:val="auto"/>
              </w:rPr>
            </w:pPr>
          </w:p>
        </w:tc>
      </w:tr>
      <w:tr>
        <w:trPr>
          <w:trHeight w:val="23"/>
        </w:trPr>
        <w:tc>
          <w:tcPr>
            <w:tcW w:w="53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09"/>
        </w:trPr>
        <w:tc>
          <w:tcPr>
            <w:tcW w:w="5300" w:type="dxa"/>
            <w:vAlign w:val="bottom"/>
            <w:shd w:val="clear" w:color="auto" w:fill="CFF0FC"/>
          </w:tcPr>
          <w:p>
            <w:pPr>
              <w:ind w:left="20"/>
              <w:spacing w:after="0" w:line="209" w:lineRule="exact"/>
              <w:rPr>
                <w:sz w:val="20"/>
                <w:szCs w:val="20"/>
                <w:color w:val="auto"/>
              </w:rPr>
            </w:pPr>
            <w:r>
              <w:rPr>
                <w:rFonts w:ascii="Calibri" w:cs="Calibri" w:eastAsia="Calibri" w:hAnsi="Calibri"/>
                <w:sz w:val="18"/>
                <w:szCs w:val="18"/>
                <w:color w:val="auto"/>
              </w:rPr>
              <w:t>Outstanding on December 31, 2023</w:t>
            </w:r>
          </w:p>
        </w:tc>
        <w:tc>
          <w:tcPr>
            <w:tcW w:w="128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6,748,108</w:t>
            </w:r>
          </w:p>
        </w:tc>
        <w:tc>
          <w:tcPr>
            <w:tcW w:w="440" w:type="dxa"/>
            <w:vAlign w:val="bottom"/>
            <w:gridSpan w:val="2"/>
            <w:shd w:val="clear" w:color="auto" w:fill="CFF0FC"/>
          </w:tcPr>
          <w:p>
            <w:pPr>
              <w:jc w:val="right"/>
              <w:ind w:right="80"/>
              <w:spacing w:after="0" w:line="209" w:lineRule="exact"/>
              <w:rPr>
                <w:sz w:val="20"/>
                <w:szCs w:val="20"/>
                <w:color w:val="auto"/>
              </w:rPr>
            </w:pPr>
            <w:r>
              <w:rPr>
                <w:rFonts w:ascii="Calibri" w:cs="Calibri" w:eastAsia="Calibri" w:hAnsi="Calibri"/>
                <w:sz w:val="18"/>
                <w:szCs w:val="18"/>
                <w:color w:val="auto"/>
              </w:rPr>
              <w:t>$</w:t>
            </w:r>
          </w:p>
        </w:tc>
        <w:tc>
          <w:tcPr>
            <w:tcW w:w="104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6.75</w:t>
            </w: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Pr>
          <w:p>
            <w:pPr>
              <w:spacing w:after="0"/>
              <w:rPr>
                <w:sz w:val="18"/>
                <w:szCs w:val="18"/>
                <w:color w:val="auto"/>
              </w:rPr>
            </w:pPr>
          </w:p>
        </w:tc>
      </w:tr>
      <w:tr>
        <w:trPr>
          <w:trHeight w:val="215"/>
        </w:trPr>
        <w:tc>
          <w:tcPr>
            <w:tcW w:w="5300" w:type="dxa"/>
            <w:vAlign w:val="bottom"/>
          </w:tcPr>
          <w:p>
            <w:pPr>
              <w:ind w:left="200"/>
              <w:spacing w:after="0" w:line="215" w:lineRule="exact"/>
              <w:rPr>
                <w:sz w:val="20"/>
                <w:szCs w:val="20"/>
                <w:color w:val="auto"/>
              </w:rPr>
            </w:pPr>
            <w:r>
              <w:rPr>
                <w:rFonts w:ascii="Calibri" w:cs="Calibri" w:eastAsia="Calibri" w:hAnsi="Calibri"/>
                <w:sz w:val="18"/>
                <w:szCs w:val="18"/>
                <w:color w:val="auto"/>
              </w:rPr>
              <w:t>Granted</w:t>
            </w:r>
          </w:p>
        </w:tc>
        <w:tc>
          <w:tcPr>
            <w:tcW w:w="128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440" w:type="dxa"/>
            <w:vAlign w:val="bottom"/>
            <w:gridSpan w:val="2"/>
          </w:tcPr>
          <w:p>
            <w:pPr>
              <w:jc w:val="right"/>
              <w:ind w:right="80"/>
              <w:spacing w:after="0" w:line="215" w:lineRule="exact"/>
              <w:rPr>
                <w:sz w:val="20"/>
                <w:szCs w:val="20"/>
                <w:color w:val="auto"/>
              </w:rPr>
            </w:pPr>
            <w:r>
              <w:rPr>
                <w:rFonts w:ascii="Calibri" w:cs="Calibri" w:eastAsia="Calibri" w:hAnsi="Calibri"/>
                <w:sz w:val="18"/>
                <w:szCs w:val="18"/>
                <w:color w:val="auto"/>
              </w:rPr>
              <w:t>$</w:t>
            </w: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7"/>
        </w:trPr>
        <w:tc>
          <w:tcPr>
            <w:tcW w:w="5300" w:type="dxa"/>
            <w:vAlign w:val="bottom"/>
            <w:shd w:val="clear" w:color="auto" w:fill="CFF0FC"/>
          </w:tcPr>
          <w:p>
            <w:pPr>
              <w:ind w:left="200"/>
              <w:spacing w:after="0" w:line="216" w:lineRule="exact"/>
              <w:rPr>
                <w:sz w:val="20"/>
                <w:szCs w:val="20"/>
                <w:color w:val="auto"/>
              </w:rPr>
            </w:pPr>
            <w:r>
              <w:rPr>
                <w:rFonts w:ascii="Calibri" w:cs="Calibri" w:eastAsia="Calibri" w:hAnsi="Calibri"/>
                <w:sz w:val="18"/>
                <w:szCs w:val="18"/>
                <w:color w:val="auto"/>
              </w:rPr>
              <w:t>Expired</w:t>
            </w:r>
          </w:p>
        </w:tc>
        <w:tc>
          <w:tcPr>
            <w:tcW w:w="12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479,350</w:t>
            </w:r>
          </w:p>
        </w:tc>
        <w:tc>
          <w:tcPr>
            <w:tcW w:w="440" w:type="dxa"/>
            <w:vAlign w:val="bottom"/>
            <w:gridSpan w:val="2"/>
            <w:shd w:val="clear" w:color="auto" w:fill="CFF0FC"/>
          </w:tcPr>
          <w:p>
            <w:pPr>
              <w:jc w:val="right"/>
              <w:ind w:right="80"/>
              <w:spacing w:after="0" w:line="216" w:lineRule="exact"/>
              <w:rPr>
                <w:sz w:val="20"/>
                <w:szCs w:val="20"/>
                <w:color w:val="auto"/>
              </w:rPr>
            </w:pPr>
            <w:r>
              <w:rPr>
                <w:rFonts w:ascii="Calibri" w:cs="Calibri" w:eastAsia="Calibri" w:hAnsi="Calibri"/>
                <w:sz w:val="18"/>
                <w:szCs w:val="18"/>
                <w:color w:val="auto"/>
              </w:rPr>
              <w:t>$</w:t>
            </w:r>
          </w:p>
        </w:tc>
        <w:tc>
          <w:tcPr>
            <w:tcW w:w="10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12.46</w:t>
            </w: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Pr>
          <w:p>
            <w:pPr>
              <w:spacing w:after="0"/>
              <w:rPr>
                <w:sz w:val="18"/>
                <w:szCs w:val="18"/>
                <w:color w:val="auto"/>
              </w:rPr>
            </w:pPr>
          </w:p>
        </w:tc>
      </w:tr>
      <w:tr>
        <w:trPr>
          <w:trHeight w:val="215"/>
        </w:trPr>
        <w:tc>
          <w:tcPr>
            <w:tcW w:w="5300" w:type="dxa"/>
            <w:vAlign w:val="bottom"/>
          </w:tcPr>
          <w:p>
            <w:pPr>
              <w:ind w:left="200"/>
              <w:spacing w:after="0" w:line="215" w:lineRule="exact"/>
              <w:rPr>
                <w:sz w:val="20"/>
                <w:szCs w:val="20"/>
                <w:color w:val="auto"/>
              </w:rPr>
            </w:pPr>
            <w:r>
              <w:rPr>
                <w:rFonts w:ascii="Calibri" w:cs="Calibri" w:eastAsia="Calibri" w:hAnsi="Calibri"/>
                <w:sz w:val="18"/>
                <w:szCs w:val="18"/>
                <w:color w:val="auto"/>
              </w:rPr>
              <w:t>Exercised</w:t>
            </w:r>
          </w:p>
        </w:tc>
        <w:tc>
          <w:tcPr>
            <w:tcW w:w="12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46,441</w:t>
            </w:r>
          </w:p>
        </w:tc>
        <w:tc>
          <w:tcPr>
            <w:tcW w:w="440" w:type="dxa"/>
            <w:vAlign w:val="bottom"/>
            <w:gridSpan w:val="2"/>
          </w:tcPr>
          <w:p>
            <w:pPr>
              <w:jc w:val="right"/>
              <w:ind w:right="80"/>
              <w:spacing w:after="0" w:line="215" w:lineRule="exact"/>
              <w:rPr>
                <w:sz w:val="20"/>
                <w:szCs w:val="20"/>
                <w:color w:val="auto"/>
              </w:rPr>
            </w:pPr>
            <w:r>
              <w:rPr>
                <w:rFonts w:ascii="Calibri" w:cs="Calibri" w:eastAsia="Calibri" w:hAnsi="Calibri"/>
                <w:sz w:val="18"/>
                <w:szCs w:val="18"/>
                <w:color w:val="auto"/>
              </w:rPr>
              <w:t>$</w:t>
            </w: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3.53</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50"/>
        </w:trPr>
        <w:tc>
          <w:tcPr>
            <w:tcW w:w="5300" w:type="dxa"/>
            <w:vAlign w:val="bottom"/>
            <w:tcBorders>
              <w:bottom w:val="single" w:sz="8" w:color="CFF0FC"/>
            </w:tcBorders>
            <w:shd w:val="clear" w:color="auto" w:fill="CFF0FC"/>
          </w:tcPr>
          <w:p>
            <w:pPr>
              <w:ind w:left="20"/>
              <w:spacing w:after="0" w:line="210" w:lineRule="exact"/>
              <w:rPr>
                <w:sz w:val="20"/>
                <w:szCs w:val="20"/>
                <w:color w:val="auto"/>
              </w:rPr>
            </w:pPr>
            <w:r>
              <w:rPr>
                <w:rFonts w:ascii="Calibri" w:cs="Calibri" w:eastAsia="Calibri" w:hAnsi="Calibri"/>
                <w:sz w:val="18"/>
                <w:szCs w:val="18"/>
                <w:color w:val="auto"/>
              </w:rPr>
              <w:t>Outstanding on December 31, 2024</w:t>
            </w:r>
          </w:p>
        </w:tc>
        <w:tc>
          <w:tcPr>
            <w:tcW w:w="1280" w:type="dxa"/>
            <w:vAlign w:val="bottom"/>
            <w:tcBorders>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6,222,317</w:t>
            </w:r>
          </w:p>
        </w:tc>
        <w:tc>
          <w:tcPr>
            <w:tcW w:w="440" w:type="dxa"/>
            <w:vAlign w:val="bottom"/>
            <w:tcBorders>
              <w:bottom w:val="single" w:sz="8" w:color="CFF0FC"/>
            </w:tcBorders>
            <w:gridSpan w:val="2"/>
            <w:shd w:val="clear" w:color="auto" w:fill="CFF0FC"/>
          </w:tcPr>
          <w:p>
            <w:pPr>
              <w:jc w:val="right"/>
              <w:ind w:right="80"/>
              <w:spacing w:after="0" w:line="210" w:lineRule="exact"/>
              <w:rPr>
                <w:sz w:val="20"/>
                <w:szCs w:val="20"/>
                <w:color w:val="auto"/>
              </w:rPr>
            </w:pPr>
            <w:r>
              <w:rPr>
                <w:rFonts w:ascii="Calibri" w:cs="Calibri" w:eastAsia="Calibri" w:hAnsi="Calibri"/>
                <w:sz w:val="18"/>
                <w:szCs w:val="18"/>
                <w:color w:val="auto"/>
              </w:rPr>
              <w:t>$</w:t>
            </w:r>
          </w:p>
        </w:tc>
        <w:tc>
          <w:tcPr>
            <w:tcW w:w="1040" w:type="dxa"/>
            <w:vAlign w:val="bottom"/>
            <w:tcBorders>
              <w:bottom w:val="single" w:sz="8" w:color="CFF0FC"/>
            </w:tcBorders>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6.34</w:t>
            </w:r>
          </w:p>
        </w:tc>
        <w:tc>
          <w:tcPr>
            <w:tcW w:w="1480" w:type="dxa"/>
            <w:vAlign w:val="bottom"/>
            <w:tcBorders>
              <w:bottom w:val="single" w:sz="8" w:color="CFF0FC"/>
            </w:tcBorders>
            <w:gridSpan w:val="2"/>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2.57</w:t>
            </w:r>
          </w:p>
        </w:tc>
        <w:tc>
          <w:tcPr>
            <w:tcW w:w="400" w:type="dxa"/>
            <w:vAlign w:val="bottom"/>
            <w:tcBorders>
              <w:bottom w:val="single" w:sz="8" w:color="CFF0FC"/>
            </w:tcBorders>
            <w:gridSpan w:val="2"/>
            <w:shd w:val="clear" w:color="auto" w:fill="CFF0FC"/>
          </w:tcPr>
          <w:p>
            <w:pPr>
              <w:jc w:val="right"/>
              <w:ind w:right="60"/>
              <w:spacing w:after="0" w:line="210" w:lineRule="exact"/>
              <w:rPr>
                <w:sz w:val="20"/>
                <w:szCs w:val="20"/>
                <w:color w:val="auto"/>
              </w:rPr>
            </w:pPr>
            <w:r>
              <w:rPr>
                <w:rFonts w:ascii="Calibri" w:cs="Calibri" w:eastAsia="Calibri" w:hAnsi="Calibri"/>
                <w:sz w:val="18"/>
                <w:szCs w:val="18"/>
                <w:color w:val="auto"/>
              </w:rPr>
              <w:t>$</w:t>
            </w:r>
          </w:p>
        </w:tc>
        <w:tc>
          <w:tcPr>
            <w:tcW w:w="1080" w:type="dxa"/>
            <w:vAlign w:val="bottom"/>
            <w:tcBorders>
              <w:bottom w:val="single" w:sz="8" w:color="CFF0FC"/>
            </w:tcBorders>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13</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Pr>
          <w:p>
            <w:pPr>
              <w:spacing w:after="0"/>
              <w:rPr>
                <w:sz w:val="21"/>
                <w:szCs w:val="21"/>
                <w:color w:val="auto"/>
              </w:rPr>
            </w:pPr>
          </w:p>
        </w:tc>
      </w:tr>
      <w:tr>
        <w:trPr>
          <w:trHeight w:val="196"/>
        </w:trPr>
        <w:tc>
          <w:tcPr>
            <w:tcW w:w="5300" w:type="dxa"/>
            <w:vAlign w:val="bottom"/>
          </w:tcPr>
          <w:p>
            <w:pPr>
              <w:ind w:left="20"/>
              <w:spacing w:after="0" w:line="196" w:lineRule="exact"/>
              <w:rPr>
                <w:sz w:val="20"/>
                <w:szCs w:val="20"/>
                <w:color w:val="auto"/>
              </w:rPr>
            </w:pPr>
            <w:r>
              <w:rPr>
                <w:rFonts w:ascii="Calibri" w:cs="Calibri" w:eastAsia="Calibri" w:hAnsi="Calibri"/>
                <w:sz w:val="18"/>
                <w:szCs w:val="18"/>
                <w:color w:val="auto"/>
              </w:rPr>
              <w:t>Exercisable on December 31, 2024</w:t>
            </w:r>
          </w:p>
        </w:tc>
        <w:tc>
          <w:tcPr>
            <w:tcW w:w="1280" w:type="dxa"/>
            <w:vAlign w:val="bottom"/>
          </w:tcPr>
          <w:p>
            <w:pPr>
              <w:jc w:val="right"/>
              <w:spacing w:after="0" w:line="196" w:lineRule="exact"/>
              <w:rPr>
                <w:sz w:val="20"/>
                <w:szCs w:val="20"/>
                <w:color w:val="auto"/>
              </w:rPr>
            </w:pPr>
            <w:r>
              <w:rPr>
                <w:rFonts w:ascii="Calibri" w:cs="Calibri" w:eastAsia="Calibri" w:hAnsi="Calibri"/>
                <w:sz w:val="18"/>
                <w:szCs w:val="18"/>
                <w:color w:val="auto"/>
              </w:rPr>
              <w:t>6,180,650</w:t>
            </w:r>
          </w:p>
        </w:tc>
        <w:tc>
          <w:tcPr>
            <w:tcW w:w="440" w:type="dxa"/>
            <w:vAlign w:val="bottom"/>
            <w:gridSpan w:val="2"/>
          </w:tcPr>
          <w:p>
            <w:pPr>
              <w:jc w:val="right"/>
              <w:ind w:right="80"/>
              <w:spacing w:after="0" w:line="196" w:lineRule="exact"/>
              <w:rPr>
                <w:sz w:val="20"/>
                <w:szCs w:val="20"/>
                <w:color w:val="auto"/>
              </w:rPr>
            </w:pPr>
            <w:r>
              <w:rPr>
                <w:rFonts w:ascii="Calibri" w:cs="Calibri" w:eastAsia="Calibri" w:hAnsi="Calibri"/>
                <w:sz w:val="18"/>
                <w:szCs w:val="18"/>
                <w:color w:val="auto"/>
              </w:rPr>
              <w:t>$</w:t>
            </w:r>
          </w:p>
        </w:tc>
        <w:tc>
          <w:tcPr>
            <w:tcW w:w="1040" w:type="dxa"/>
            <w:vAlign w:val="bottom"/>
          </w:tcPr>
          <w:p>
            <w:pPr>
              <w:jc w:val="right"/>
              <w:spacing w:after="0" w:line="196" w:lineRule="exact"/>
              <w:rPr>
                <w:sz w:val="20"/>
                <w:szCs w:val="20"/>
                <w:color w:val="auto"/>
              </w:rPr>
            </w:pPr>
            <w:r>
              <w:rPr>
                <w:rFonts w:ascii="Calibri" w:cs="Calibri" w:eastAsia="Calibri" w:hAnsi="Calibri"/>
                <w:sz w:val="18"/>
                <w:szCs w:val="18"/>
                <w:color w:val="auto"/>
              </w:rPr>
              <w:t>6.35</w:t>
            </w:r>
          </w:p>
        </w:tc>
        <w:tc>
          <w:tcPr>
            <w:tcW w:w="1480" w:type="dxa"/>
            <w:vAlign w:val="bottom"/>
            <w:gridSpan w:val="2"/>
          </w:tcPr>
          <w:p>
            <w:pPr>
              <w:jc w:val="right"/>
              <w:spacing w:after="0" w:line="196" w:lineRule="exact"/>
              <w:rPr>
                <w:sz w:val="20"/>
                <w:szCs w:val="20"/>
                <w:color w:val="auto"/>
              </w:rPr>
            </w:pPr>
            <w:r>
              <w:rPr>
                <w:rFonts w:ascii="Calibri" w:cs="Calibri" w:eastAsia="Calibri" w:hAnsi="Calibri"/>
                <w:sz w:val="18"/>
                <w:szCs w:val="18"/>
                <w:color w:val="auto"/>
              </w:rPr>
              <w:t>2.55</w:t>
            </w:r>
          </w:p>
        </w:tc>
        <w:tc>
          <w:tcPr>
            <w:tcW w:w="400" w:type="dxa"/>
            <w:vAlign w:val="bottom"/>
            <w:gridSpan w:val="2"/>
          </w:tcPr>
          <w:p>
            <w:pPr>
              <w:jc w:val="right"/>
              <w:ind w:right="60"/>
              <w:spacing w:after="0" w:line="196" w:lineRule="exact"/>
              <w:rPr>
                <w:sz w:val="20"/>
                <w:szCs w:val="20"/>
                <w:color w:val="auto"/>
              </w:rPr>
            </w:pPr>
            <w:r>
              <w:rPr>
                <w:rFonts w:ascii="Calibri" w:cs="Calibri" w:eastAsia="Calibri" w:hAnsi="Calibri"/>
                <w:sz w:val="18"/>
                <w:szCs w:val="18"/>
                <w:color w:val="auto"/>
              </w:rPr>
              <w:t>$</w:t>
            </w:r>
          </w:p>
        </w:tc>
        <w:tc>
          <w:tcPr>
            <w:tcW w:w="1080" w:type="dxa"/>
            <w:vAlign w:val="bottom"/>
          </w:tcPr>
          <w:p>
            <w:pPr>
              <w:jc w:val="right"/>
              <w:spacing w:after="0" w:line="196" w:lineRule="exact"/>
              <w:rPr>
                <w:sz w:val="20"/>
                <w:szCs w:val="20"/>
                <w:color w:val="auto"/>
              </w:rPr>
            </w:pPr>
            <w:r>
              <w:rPr>
                <w:rFonts w:ascii="Calibri" w:cs="Calibri" w:eastAsia="Calibri" w:hAnsi="Calibri"/>
                <w:sz w:val="18"/>
                <w:szCs w:val="18"/>
                <w:color w:val="auto"/>
              </w:rPr>
              <w:t>13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7"/>
        </w:trPr>
        <w:tc>
          <w:tcPr>
            <w:tcW w:w="530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Expected to vest December 31, 2024</w:t>
            </w:r>
          </w:p>
        </w:tc>
        <w:tc>
          <w:tcPr>
            <w:tcW w:w="12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6,222,317</w:t>
            </w:r>
          </w:p>
        </w:tc>
        <w:tc>
          <w:tcPr>
            <w:tcW w:w="440" w:type="dxa"/>
            <w:vAlign w:val="bottom"/>
            <w:gridSpan w:val="2"/>
            <w:shd w:val="clear" w:color="auto" w:fill="CFF0FC"/>
          </w:tcPr>
          <w:p>
            <w:pPr>
              <w:jc w:val="right"/>
              <w:ind w:right="80"/>
              <w:spacing w:after="0" w:line="216" w:lineRule="exact"/>
              <w:rPr>
                <w:sz w:val="20"/>
                <w:szCs w:val="20"/>
                <w:color w:val="auto"/>
              </w:rPr>
            </w:pPr>
            <w:r>
              <w:rPr>
                <w:rFonts w:ascii="Calibri" w:cs="Calibri" w:eastAsia="Calibri" w:hAnsi="Calibri"/>
                <w:sz w:val="18"/>
                <w:szCs w:val="18"/>
                <w:color w:val="auto"/>
              </w:rPr>
              <w:t>$</w:t>
            </w:r>
          </w:p>
        </w:tc>
        <w:tc>
          <w:tcPr>
            <w:tcW w:w="10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6.34</w:t>
            </w:r>
          </w:p>
        </w:tc>
        <w:tc>
          <w:tcPr>
            <w:tcW w:w="1480" w:type="dxa"/>
            <w:vAlign w:val="bottom"/>
            <w:gridSpan w:val="2"/>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2.57</w:t>
            </w:r>
          </w:p>
        </w:tc>
        <w:tc>
          <w:tcPr>
            <w:tcW w:w="400" w:type="dxa"/>
            <w:vAlign w:val="bottom"/>
            <w:gridSpan w:val="2"/>
            <w:shd w:val="clear" w:color="auto" w:fill="CFF0FC"/>
          </w:tcPr>
          <w:p>
            <w:pPr>
              <w:jc w:val="right"/>
              <w:ind w:right="60"/>
              <w:spacing w:after="0" w:line="216" w:lineRule="exact"/>
              <w:rPr>
                <w:sz w:val="20"/>
                <w:szCs w:val="20"/>
                <w:color w:val="auto"/>
              </w:rPr>
            </w:pPr>
            <w:r>
              <w:rPr>
                <w:rFonts w:ascii="Calibri" w:cs="Calibri" w:eastAsia="Calibri" w:hAnsi="Calibri"/>
                <w:sz w:val="18"/>
                <w:szCs w:val="18"/>
                <w:color w:val="auto"/>
              </w:rPr>
              <w:t>$</w:t>
            </w:r>
          </w:p>
        </w:tc>
        <w:tc>
          <w:tcPr>
            <w:tcW w:w="10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13</w:t>
            </w:r>
          </w:p>
        </w:tc>
        <w:tc>
          <w:tcPr>
            <w:tcW w:w="100" w:type="dxa"/>
            <w:vAlign w:val="bottom"/>
            <w:shd w:val="clear" w:color="auto" w:fill="CFF0FC"/>
          </w:tcPr>
          <w:p>
            <w:pPr>
              <w:spacing w:after="0"/>
              <w:rPr>
                <w:sz w:val="18"/>
                <w:szCs w:val="18"/>
                <w:color w:val="auto"/>
              </w:rPr>
            </w:pPr>
          </w:p>
        </w:tc>
        <w:tc>
          <w:tcPr>
            <w:tcW w:w="120" w:type="dxa"/>
            <w:vAlign w:val="bottom"/>
          </w:tcPr>
          <w:p>
            <w:pPr>
              <w:spacing w:after="0"/>
              <w:rPr>
                <w:sz w:val="18"/>
                <w:szCs w:val="18"/>
                <w:color w:val="auto"/>
              </w:rPr>
            </w:pPr>
          </w:p>
        </w:tc>
      </w:tr>
      <w:tr>
        <w:trPr>
          <w:trHeight w:val="598"/>
        </w:trPr>
        <w:tc>
          <w:tcPr>
            <w:tcW w:w="5300" w:type="dxa"/>
            <w:vAlign w:val="bottom"/>
          </w:tcPr>
          <w:p>
            <w:pPr>
              <w:spacing w:after="0"/>
              <w:rPr>
                <w:sz w:val="24"/>
                <w:szCs w:val="24"/>
                <w:color w:val="auto"/>
              </w:rPr>
            </w:pPr>
          </w:p>
        </w:tc>
        <w:tc>
          <w:tcPr>
            <w:tcW w:w="1280" w:type="dxa"/>
            <w:vAlign w:val="bottom"/>
          </w:tcPr>
          <w:p>
            <w:pPr>
              <w:jc w:val="right"/>
              <w:ind w:right="730"/>
              <w:spacing w:after="0"/>
              <w:rPr>
                <w:sz w:val="20"/>
                <w:szCs w:val="20"/>
                <w:color w:val="auto"/>
              </w:rPr>
            </w:pPr>
            <w:r>
              <w:rPr>
                <w:rFonts w:ascii="Calibri" w:cs="Calibri" w:eastAsia="Calibri" w:hAnsi="Calibri"/>
                <w:sz w:val="18"/>
                <w:szCs w:val="18"/>
                <w:color w:val="auto"/>
              </w:rPr>
              <w:t>108</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516"/>
        </w:trPr>
        <w:tc>
          <w:tcPr>
            <w:tcW w:w="53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-1019175</wp:posOffset>
            </wp:positionV>
            <wp:extent cx="76835"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-1002030</wp:posOffset>
            </wp:positionV>
            <wp:extent cx="76835"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08" w:name="page109"/>
    <w:bookmarkEnd w:id="108"/>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The aggregate intrinsic value represents the total pretax intrinsic value that opton holders would have received had all opton holders exercised their optons on the last trading day of the year. The aggregate intrinsic value is the diference between the Kodak closing stock price on the last trading day of the year and the exercise price, multplied by the number of in-the-money optons. The intrinsic values of optons outstanding, exercisable or expected to vest as of December 31, 2024 were each $13 million.</w:t>
      </w:r>
    </w:p>
    <w:p>
      <w:pPr>
        <w:spacing w:after="0" w:line="192" w:lineRule="exact"/>
        <w:rPr>
          <w:sz w:val="20"/>
          <w:szCs w:val="20"/>
          <w:color w:val="auto"/>
        </w:rPr>
      </w:pPr>
    </w:p>
    <w:p>
      <w:pPr>
        <w:jc w:val="both"/>
        <w:ind w:right="80"/>
        <w:spacing w:after="0" w:line="235" w:lineRule="auto"/>
        <w:rPr>
          <w:sz w:val="20"/>
          <w:szCs w:val="20"/>
          <w:color w:val="auto"/>
        </w:rPr>
      </w:pPr>
      <w:r>
        <w:rPr>
          <w:rFonts w:ascii="Calibri" w:cs="Calibri" w:eastAsia="Calibri" w:hAnsi="Calibri"/>
          <w:sz w:val="18"/>
          <w:szCs w:val="18"/>
          <w:color w:val="auto"/>
        </w:rPr>
        <w:t>There were no optons granted in the years ended December 31, 2024 and 2022. The weighted average grant date fair value of optons granted for the year ended December 31, 2023 was $2.87. The total fair value of optons that vested during the years ended December 31, 2024, 2023 and 2022 was less than $1 million, $1 million and $2 million, respectvely. Compensaton cost related to stock optons for the years ended December 31, 2024, 2023 and 2022 was less than $1 million, $3 million and $1 million, respectvely.</w:t>
      </w:r>
    </w:p>
    <w:p>
      <w:pPr>
        <w:spacing w:after="0" w:line="179" w:lineRule="exact"/>
        <w:rPr>
          <w:sz w:val="20"/>
          <w:szCs w:val="20"/>
          <w:color w:val="auto"/>
        </w:rPr>
      </w:pPr>
    </w:p>
    <w:p>
      <w:pPr>
        <w:ind w:right="620"/>
        <w:spacing w:after="0" w:line="235" w:lineRule="auto"/>
        <w:rPr>
          <w:sz w:val="20"/>
          <w:szCs w:val="20"/>
          <w:color w:val="auto"/>
        </w:rPr>
      </w:pPr>
      <w:r>
        <w:rPr>
          <w:rFonts w:ascii="Calibri" w:cs="Calibri" w:eastAsia="Calibri" w:hAnsi="Calibri"/>
          <w:sz w:val="18"/>
          <w:szCs w:val="18"/>
          <w:color w:val="auto"/>
        </w:rPr>
        <w:t>As of December 31, 2024, there was less than $1 million of unrecognized compensaton cost related to stock optons, which will be recognized over a weighted average period of 1.3 years.</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color w:val="auto"/>
        </w:rPr>
        <w:t>There were less than 1 million optons exercised in the years ended December 31, 2024, 2023 and 2022.</w:t>
      </w:r>
    </w:p>
    <w:p>
      <w:pPr>
        <w:spacing w:after="0" w:line="190"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Kodak utlizes the Black-Scholes opton valuaton model to estmate the fair value of stock optons that do not have a market conditon for award vestng and the latce-based method to estmate the fair value of stock optons with a market conditon for award vestng.</w:t>
      </w:r>
    </w:p>
    <w:p>
      <w:pPr>
        <w:spacing w:after="0" w:line="177" w:lineRule="exact"/>
        <w:rPr>
          <w:sz w:val="20"/>
          <w:szCs w:val="20"/>
          <w:color w:val="auto"/>
        </w:rPr>
      </w:pPr>
    </w:p>
    <w:p>
      <w:pPr>
        <w:jc w:val="both"/>
        <w:ind w:right="120"/>
        <w:spacing w:after="0" w:line="235" w:lineRule="auto"/>
        <w:rPr>
          <w:sz w:val="20"/>
          <w:szCs w:val="20"/>
          <w:color w:val="auto"/>
        </w:rPr>
      </w:pPr>
      <w:r>
        <w:rPr>
          <w:rFonts w:ascii="Calibri" w:cs="Calibri" w:eastAsia="Calibri" w:hAnsi="Calibri"/>
          <w:sz w:val="18"/>
          <w:szCs w:val="18"/>
          <w:color w:val="auto"/>
        </w:rPr>
        <w:t>The expected term of optons granted is the period of tme the optons are expected to be outstanding and is calculated using a simplifed method based on the opton’s vestng period and original contractual term. The Company uses the historical volatlity of the Company’s stock to estmate expected volatlity. The risk-free rate was based on the yield on U.S. Treasury notes with a term equal to the opton’s expected term.</w:t>
      </w:r>
    </w:p>
    <w:p>
      <w:pPr>
        <w:spacing w:after="0" w:line="178" w:lineRule="exact"/>
        <w:rPr>
          <w:sz w:val="20"/>
          <w:szCs w:val="20"/>
          <w:color w:val="auto"/>
        </w:rPr>
      </w:pPr>
    </w:p>
    <w:p>
      <w:pPr>
        <w:ind w:right="100"/>
        <w:spacing w:after="0" w:line="235" w:lineRule="auto"/>
        <w:rPr>
          <w:sz w:val="20"/>
          <w:szCs w:val="20"/>
          <w:color w:val="auto"/>
        </w:rPr>
      </w:pPr>
      <w:r>
        <w:rPr>
          <w:rFonts w:ascii="Calibri" w:cs="Calibri" w:eastAsia="Calibri" w:hAnsi="Calibri"/>
          <w:sz w:val="18"/>
          <w:szCs w:val="18"/>
          <w:color w:val="auto"/>
        </w:rPr>
        <w:t>The following inputs were used for the valuaton of stock opton grants issued without a market conditon in the year ended December 31, 2023 (there were no stock opton grants issued in the years ended December 31, 2024 and 2022):</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20" w:type="dxa"/>
            <w:vAlign w:val="bottom"/>
            <w:gridSpan w:val="2"/>
          </w:tcPr>
          <w:p>
            <w:pPr>
              <w:jc w:val="center"/>
              <w:ind w:right="500"/>
              <w:spacing w:after="0"/>
              <w:rPr>
                <w:sz w:val="20"/>
                <w:szCs w:val="20"/>
                <w:color w:val="auto"/>
              </w:rPr>
            </w:pPr>
            <w:r>
              <w:rPr>
                <w:rFonts w:ascii="Calibri" w:cs="Calibri" w:eastAsia="Calibri" w:hAnsi="Calibri"/>
                <w:sz w:val="18"/>
                <w:szCs w:val="18"/>
                <w:b w:val="1"/>
                <w:bCs w:val="1"/>
                <w:color w:val="auto"/>
                <w:w w:val="99"/>
              </w:rPr>
              <w:t>Year Ended</w:t>
            </w:r>
          </w:p>
        </w:tc>
        <w:tc>
          <w:tcPr>
            <w:tcW w:w="0" w:type="dxa"/>
            <w:vAlign w:val="bottom"/>
          </w:tcPr>
          <w:p>
            <w:pPr>
              <w:spacing w:after="0"/>
              <w:rPr>
                <w:sz w:val="1"/>
                <w:szCs w:val="1"/>
                <w:color w:val="auto"/>
              </w:rPr>
            </w:pPr>
          </w:p>
        </w:tc>
      </w:tr>
      <w:tr>
        <w:trPr>
          <w:trHeight w:val="216"/>
        </w:trPr>
        <w:tc>
          <w:tcPr>
            <w:tcW w:w="8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20" w:type="dxa"/>
            <w:vAlign w:val="bottom"/>
            <w:gridSpan w:val="2"/>
          </w:tcPr>
          <w:p>
            <w:pPr>
              <w:jc w:val="center"/>
              <w:ind w:right="500"/>
              <w:spacing w:after="0" w:line="216" w:lineRule="exact"/>
              <w:rPr>
                <w:sz w:val="20"/>
                <w:szCs w:val="20"/>
                <w:color w:val="auto"/>
              </w:rPr>
            </w:pPr>
            <w:r>
              <w:rPr>
                <w:rFonts w:ascii="Calibri" w:cs="Calibri" w:eastAsia="Calibri" w:hAnsi="Calibri"/>
                <w:sz w:val="18"/>
                <w:szCs w:val="18"/>
                <w:b w:val="1"/>
                <w:bCs w:val="1"/>
                <w:color w:val="auto"/>
                <w:w w:val="96"/>
              </w:rPr>
              <w:t>December 31,</w:t>
            </w:r>
          </w:p>
        </w:tc>
        <w:tc>
          <w:tcPr>
            <w:tcW w:w="0" w:type="dxa"/>
            <w:vAlign w:val="bottom"/>
          </w:tcPr>
          <w:p>
            <w:pPr>
              <w:spacing w:after="0"/>
              <w:rPr>
                <w:sz w:val="1"/>
                <w:szCs w:val="1"/>
                <w:color w:val="auto"/>
              </w:rPr>
            </w:pPr>
          </w:p>
        </w:tc>
      </w:tr>
      <w:tr>
        <w:trPr>
          <w:trHeight w:val="216"/>
        </w:trPr>
        <w:tc>
          <w:tcPr>
            <w:tcW w:w="8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60" w:type="dxa"/>
            <w:vAlign w:val="bottom"/>
          </w:tcPr>
          <w:p>
            <w:pPr>
              <w:jc w:val="center"/>
              <w:ind w:right="250"/>
              <w:spacing w:after="0" w:line="216" w:lineRule="exact"/>
              <w:rPr>
                <w:sz w:val="20"/>
                <w:szCs w:val="20"/>
                <w:color w:val="auto"/>
              </w:rPr>
            </w:pPr>
            <w:r>
              <w:rPr>
                <w:rFonts w:ascii="Calibri" w:cs="Calibri" w:eastAsia="Calibri" w:hAnsi="Calibri"/>
                <w:sz w:val="18"/>
                <w:szCs w:val="18"/>
                <w:b w:val="1"/>
                <w:bCs w:val="1"/>
                <w:color w:val="auto"/>
                <w:w w:val="98"/>
              </w:rPr>
              <w:t>2023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8760" w:type="dxa"/>
            <w:vAlign w:val="bottom"/>
            <w:vMerge w:val="restart"/>
          </w:tcPr>
          <w:p>
            <w:pPr>
              <w:ind w:left="60"/>
              <w:spacing w:after="0"/>
              <w:rPr>
                <w:sz w:val="20"/>
                <w:szCs w:val="20"/>
                <w:color w:val="auto"/>
              </w:rPr>
            </w:pPr>
            <w:r>
              <w:rPr>
                <w:rFonts w:ascii="Calibri" w:cs="Calibri" w:eastAsia="Calibri" w:hAnsi="Calibri"/>
                <w:sz w:val="18"/>
                <w:szCs w:val="18"/>
                <w:color w:val="auto"/>
              </w:rPr>
              <w:t>Weighted-average fair value of optons granted</w:t>
            </w:r>
          </w:p>
        </w:tc>
        <w:tc>
          <w:tcPr>
            <w:tcW w:w="3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760" w:type="dxa"/>
            <w:vAlign w:val="bottom"/>
            <w:vMerge w:val="continue"/>
          </w:tcPr>
          <w:p>
            <w:pPr>
              <w:spacing w:after="0"/>
              <w:rPr>
                <w:sz w:val="18"/>
                <w:szCs w:val="18"/>
                <w:color w:val="auto"/>
              </w:rPr>
            </w:pPr>
          </w:p>
        </w:tc>
        <w:tc>
          <w:tcPr>
            <w:tcW w:w="340" w:type="dxa"/>
            <w:vAlign w:val="bottom"/>
          </w:tcPr>
          <w:p>
            <w:pPr>
              <w:jc w:val="right"/>
              <w:ind w:right="150"/>
              <w:spacing w:after="0" w:line="209" w:lineRule="exact"/>
              <w:rPr>
                <w:sz w:val="20"/>
                <w:szCs w:val="20"/>
                <w:color w:val="auto"/>
              </w:rPr>
            </w:pPr>
            <w:r>
              <w:rPr>
                <w:rFonts w:ascii="Calibri" w:cs="Calibri" w:eastAsia="Calibri" w:hAnsi="Calibri"/>
                <w:sz w:val="18"/>
                <w:szCs w:val="18"/>
                <w:color w:val="auto"/>
                <w:w w:val="87"/>
              </w:rPr>
              <w:t>$</w:t>
            </w:r>
          </w:p>
        </w:tc>
        <w:tc>
          <w:tcPr>
            <w:tcW w:w="1860" w:type="dxa"/>
            <w:vAlign w:val="bottom"/>
          </w:tcPr>
          <w:p>
            <w:pPr>
              <w:jc w:val="right"/>
              <w:spacing w:after="0" w:line="209" w:lineRule="exact"/>
              <w:rPr>
                <w:sz w:val="20"/>
                <w:szCs w:val="20"/>
                <w:color w:val="auto"/>
              </w:rPr>
            </w:pPr>
            <w:r>
              <w:rPr>
                <w:rFonts w:ascii="Calibri" w:cs="Calibri" w:eastAsia="Calibri" w:hAnsi="Calibri"/>
                <w:sz w:val="18"/>
                <w:szCs w:val="18"/>
                <w:color w:val="auto"/>
              </w:rPr>
              <w:t>3.48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760" w:type="dxa"/>
            <w:vAlign w:val="bottom"/>
            <w:shd w:val="clear" w:color="auto" w:fill="CFF0FC"/>
          </w:tcPr>
          <w:p>
            <w:pPr>
              <w:ind w:left="60"/>
              <w:spacing w:after="0" w:line="216" w:lineRule="exact"/>
              <w:rPr>
                <w:sz w:val="20"/>
                <w:szCs w:val="20"/>
                <w:color w:val="auto"/>
              </w:rPr>
            </w:pPr>
            <w:r>
              <w:rPr>
                <w:rFonts w:ascii="Calibri" w:cs="Calibri" w:eastAsia="Calibri" w:hAnsi="Calibri"/>
                <w:sz w:val="18"/>
                <w:szCs w:val="18"/>
                <w:color w:val="auto"/>
              </w:rPr>
              <w:t>Weighted-average risk-free interest rate</w:t>
            </w:r>
          </w:p>
        </w:tc>
        <w:tc>
          <w:tcPr>
            <w:tcW w:w="340" w:type="dxa"/>
            <w:vAlign w:val="bottom"/>
            <w:shd w:val="clear" w:color="auto" w:fill="CFF0FC"/>
          </w:tcPr>
          <w:p>
            <w:pPr>
              <w:spacing w:after="0"/>
              <w:rPr>
                <w:sz w:val="18"/>
                <w:szCs w:val="18"/>
                <w:color w:val="auto"/>
              </w:rPr>
            </w:pPr>
          </w:p>
        </w:tc>
        <w:tc>
          <w:tcPr>
            <w:tcW w:w="2020" w:type="dxa"/>
            <w:vAlign w:val="bottom"/>
            <w:gridSpan w:val="2"/>
            <w:shd w:val="clear" w:color="auto" w:fill="CFF0FC"/>
          </w:tcPr>
          <w:p>
            <w:pPr>
              <w:jc w:val="right"/>
              <w:ind w:right="20"/>
              <w:spacing w:after="0" w:line="216" w:lineRule="exact"/>
              <w:rPr>
                <w:sz w:val="20"/>
                <w:szCs w:val="20"/>
                <w:color w:val="auto"/>
              </w:rPr>
            </w:pPr>
            <w:r>
              <w:rPr>
                <w:rFonts w:ascii="Calibri" w:cs="Calibri" w:eastAsia="Calibri" w:hAnsi="Calibri"/>
                <w:sz w:val="18"/>
                <w:szCs w:val="18"/>
                <w:color w:val="auto"/>
              </w:rPr>
              <w:t>3.75 %</w:t>
            </w:r>
          </w:p>
        </w:tc>
        <w:tc>
          <w:tcPr>
            <w:tcW w:w="0" w:type="dxa"/>
            <w:vAlign w:val="bottom"/>
          </w:tcPr>
          <w:p>
            <w:pPr>
              <w:spacing w:after="0"/>
              <w:rPr>
                <w:sz w:val="1"/>
                <w:szCs w:val="1"/>
                <w:color w:val="auto"/>
              </w:rPr>
            </w:pPr>
          </w:p>
        </w:tc>
      </w:tr>
      <w:tr>
        <w:trPr>
          <w:trHeight w:val="215"/>
        </w:trPr>
        <w:tc>
          <w:tcPr>
            <w:tcW w:w="8760" w:type="dxa"/>
            <w:vAlign w:val="bottom"/>
          </w:tcPr>
          <w:p>
            <w:pPr>
              <w:ind w:left="60"/>
              <w:spacing w:after="0" w:line="215" w:lineRule="exact"/>
              <w:rPr>
                <w:sz w:val="20"/>
                <w:szCs w:val="20"/>
                <w:color w:val="auto"/>
              </w:rPr>
            </w:pPr>
            <w:r>
              <w:rPr>
                <w:rFonts w:ascii="Calibri" w:cs="Calibri" w:eastAsia="Calibri" w:hAnsi="Calibri"/>
                <w:sz w:val="18"/>
                <w:szCs w:val="18"/>
                <w:color w:val="auto"/>
              </w:rPr>
              <w:t>Expected opton lives (in years)</w:t>
            </w:r>
          </w:p>
        </w:tc>
        <w:tc>
          <w:tcPr>
            <w:tcW w:w="340" w:type="dxa"/>
            <w:vAlign w:val="bottom"/>
          </w:tcPr>
          <w:p>
            <w:pPr>
              <w:spacing w:after="0"/>
              <w:rPr>
                <w:sz w:val="18"/>
                <w:szCs w:val="18"/>
                <w:color w:val="auto"/>
              </w:rPr>
            </w:pPr>
          </w:p>
        </w:tc>
        <w:tc>
          <w:tcPr>
            <w:tcW w:w="1860" w:type="dxa"/>
            <w:vAlign w:val="bottom"/>
          </w:tcPr>
          <w:p>
            <w:pPr>
              <w:jc w:val="right"/>
              <w:spacing w:after="0" w:line="215" w:lineRule="exact"/>
              <w:rPr>
                <w:sz w:val="20"/>
                <w:szCs w:val="20"/>
                <w:color w:val="auto"/>
              </w:rPr>
            </w:pPr>
            <w:r>
              <w:rPr>
                <w:rFonts w:ascii="Calibri" w:cs="Calibri" w:eastAsia="Calibri" w:hAnsi="Calibri"/>
                <w:sz w:val="18"/>
                <w:szCs w:val="18"/>
                <w:color w:val="auto"/>
              </w:rPr>
              <w:t>4.5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760" w:type="dxa"/>
            <w:vAlign w:val="bottom"/>
            <w:shd w:val="clear" w:color="auto" w:fill="CFF0FC"/>
          </w:tcPr>
          <w:p>
            <w:pPr>
              <w:ind w:left="60"/>
              <w:spacing w:after="0" w:line="216" w:lineRule="exact"/>
              <w:rPr>
                <w:sz w:val="20"/>
                <w:szCs w:val="20"/>
                <w:color w:val="auto"/>
              </w:rPr>
            </w:pPr>
            <w:r>
              <w:rPr>
                <w:rFonts w:ascii="Calibri" w:cs="Calibri" w:eastAsia="Calibri" w:hAnsi="Calibri"/>
                <w:sz w:val="18"/>
                <w:szCs w:val="18"/>
                <w:color w:val="auto"/>
              </w:rPr>
              <w:t>Weighted-average volatlity</w:t>
            </w:r>
          </w:p>
        </w:tc>
        <w:tc>
          <w:tcPr>
            <w:tcW w:w="340" w:type="dxa"/>
            <w:vAlign w:val="bottom"/>
            <w:shd w:val="clear" w:color="auto" w:fill="CFF0FC"/>
          </w:tcPr>
          <w:p>
            <w:pPr>
              <w:spacing w:after="0"/>
              <w:rPr>
                <w:sz w:val="18"/>
                <w:szCs w:val="18"/>
                <w:color w:val="auto"/>
              </w:rPr>
            </w:pPr>
          </w:p>
        </w:tc>
        <w:tc>
          <w:tcPr>
            <w:tcW w:w="2020" w:type="dxa"/>
            <w:vAlign w:val="bottom"/>
            <w:gridSpan w:val="2"/>
            <w:shd w:val="clear" w:color="auto" w:fill="CFF0FC"/>
          </w:tcPr>
          <w:p>
            <w:pPr>
              <w:jc w:val="right"/>
              <w:ind w:right="20"/>
              <w:spacing w:after="0" w:line="216" w:lineRule="exact"/>
              <w:rPr>
                <w:sz w:val="20"/>
                <w:szCs w:val="20"/>
                <w:color w:val="auto"/>
              </w:rPr>
            </w:pPr>
            <w:r>
              <w:rPr>
                <w:rFonts w:ascii="Calibri" w:cs="Calibri" w:eastAsia="Calibri" w:hAnsi="Calibri"/>
                <w:sz w:val="18"/>
                <w:szCs w:val="18"/>
                <w:color w:val="auto"/>
              </w:rPr>
              <w:t>120 %</w:t>
            </w:r>
          </w:p>
        </w:tc>
        <w:tc>
          <w:tcPr>
            <w:tcW w:w="0" w:type="dxa"/>
            <w:vAlign w:val="bottom"/>
          </w:tcPr>
          <w:p>
            <w:pPr>
              <w:spacing w:after="0"/>
              <w:rPr>
                <w:sz w:val="1"/>
                <w:szCs w:val="1"/>
                <w:color w:val="auto"/>
              </w:rPr>
            </w:pPr>
          </w:p>
        </w:tc>
      </w:tr>
      <w:tr>
        <w:trPr>
          <w:trHeight w:val="215"/>
        </w:trPr>
        <w:tc>
          <w:tcPr>
            <w:tcW w:w="8760" w:type="dxa"/>
            <w:vAlign w:val="bottom"/>
          </w:tcPr>
          <w:p>
            <w:pPr>
              <w:ind w:left="60"/>
              <w:spacing w:after="0" w:line="215" w:lineRule="exact"/>
              <w:rPr>
                <w:sz w:val="20"/>
                <w:szCs w:val="20"/>
                <w:color w:val="auto"/>
              </w:rPr>
            </w:pPr>
            <w:r>
              <w:rPr>
                <w:rFonts w:ascii="Calibri" w:cs="Calibri" w:eastAsia="Calibri" w:hAnsi="Calibri"/>
                <w:sz w:val="18"/>
                <w:szCs w:val="18"/>
                <w:color w:val="auto"/>
              </w:rPr>
              <w:t>Expected dividend yield</w:t>
            </w:r>
          </w:p>
        </w:tc>
        <w:tc>
          <w:tcPr>
            <w:tcW w:w="340" w:type="dxa"/>
            <w:vAlign w:val="bottom"/>
          </w:tcPr>
          <w:p>
            <w:pPr>
              <w:spacing w:after="0"/>
              <w:rPr>
                <w:sz w:val="18"/>
                <w:szCs w:val="18"/>
                <w:color w:val="auto"/>
              </w:rPr>
            </w:pPr>
          </w:p>
        </w:tc>
        <w:tc>
          <w:tcPr>
            <w:tcW w:w="202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0 %</w:t>
            </w:r>
          </w:p>
        </w:tc>
        <w:tc>
          <w:tcPr>
            <w:tcW w:w="0" w:type="dxa"/>
            <w:vAlign w:val="bottom"/>
          </w:tcPr>
          <w:p>
            <w:pPr>
              <w:spacing w:after="0"/>
              <w:rPr>
                <w:sz w:val="1"/>
                <w:szCs w:val="1"/>
                <w:color w:val="auto"/>
              </w:rPr>
            </w:pPr>
          </w:p>
        </w:tc>
      </w:tr>
      <w:tr>
        <w:trPr>
          <w:trHeight w:val="410"/>
        </w:trPr>
        <w:tc>
          <w:tcPr>
            <w:tcW w:w="9100" w:type="dxa"/>
            <w:vAlign w:val="bottom"/>
            <w:gridSpan w:val="2"/>
          </w:tcPr>
          <w:p>
            <w:pPr>
              <w:spacing w:after="0"/>
              <w:rPr>
                <w:sz w:val="20"/>
                <w:szCs w:val="20"/>
                <w:color w:val="auto"/>
              </w:rPr>
            </w:pPr>
            <w:r>
              <w:rPr>
                <w:rFonts w:ascii="Calibri" w:cs="Calibri" w:eastAsia="Calibri" w:hAnsi="Calibri"/>
                <w:sz w:val="18"/>
                <w:szCs w:val="18"/>
                <w:color w:val="auto"/>
              </w:rPr>
              <w:t>The following inputs were used in the latce-based valuaton of stock opton grants issued with a market conditon in 2023:</w:t>
            </w:r>
          </w:p>
        </w:tc>
        <w:tc>
          <w:tcPr>
            <w:tcW w:w="1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20" w:type="dxa"/>
            <w:vAlign w:val="bottom"/>
            <w:gridSpan w:val="2"/>
          </w:tcPr>
          <w:p>
            <w:pPr>
              <w:jc w:val="center"/>
              <w:ind w:right="500"/>
              <w:spacing w:after="0"/>
              <w:rPr>
                <w:sz w:val="20"/>
                <w:szCs w:val="20"/>
                <w:color w:val="auto"/>
              </w:rPr>
            </w:pPr>
            <w:r>
              <w:rPr>
                <w:rFonts w:ascii="Calibri" w:cs="Calibri" w:eastAsia="Calibri" w:hAnsi="Calibri"/>
                <w:sz w:val="18"/>
                <w:szCs w:val="18"/>
                <w:b w:val="1"/>
                <w:bCs w:val="1"/>
                <w:color w:val="auto"/>
                <w:w w:val="99"/>
              </w:rPr>
              <w:t>Year Ended</w:t>
            </w:r>
          </w:p>
        </w:tc>
        <w:tc>
          <w:tcPr>
            <w:tcW w:w="0" w:type="dxa"/>
            <w:vAlign w:val="bottom"/>
          </w:tcPr>
          <w:p>
            <w:pPr>
              <w:spacing w:after="0"/>
              <w:rPr>
                <w:sz w:val="1"/>
                <w:szCs w:val="1"/>
                <w:color w:val="auto"/>
              </w:rPr>
            </w:pPr>
          </w:p>
        </w:tc>
      </w:tr>
      <w:tr>
        <w:trPr>
          <w:trHeight w:val="216"/>
        </w:trPr>
        <w:tc>
          <w:tcPr>
            <w:tcW w:w="8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20" w:type="dxa"/>
            <w:vAlign w:val="bottom"/>
            <w:gridSpan w:val="2"/>
          </w:tcPr>
          <w:p>
            <w:pPr>
              <w:jc w:val="center"/>
              <w:ind w:right="500"/>
              <w:spacing w:after="0" w:line="216" w:lineRule="exact"/>
              <w:rPr>
                <w:sz w:val="20"/>
                <w:szCs w:val="20"/>
                <w:color w:val="auto"/>
              </w:rPr>
            </w:pPr>
            <w:r>
              <w:rPr>
                <w:rFonts w:ascii="Calibri" w:cs="Calibri" w:eastAsia="Calibri" w:hAnsi="Calibri"/>
                <w:sz w:val="18"/>
                <w:szCs w:val="18"/>
                <w:b w:val="1"/>
                <w:bCs w:val="1"/>
                <w:color w:val="auto"/>
                <w:w w:val="96"/>
              </w:rPr>
              <w:t>December 31,</w:t>
            </w:r>
          </w:p>
        </w:tc>
        <w:tc>
          <w:tcPr>
            <w:tcW w:w="0" w:type="dxa"/>
            <w:vAlign w:val="bottom"/>
          </w:tcPr>
          <w:p>
            <w:pPr>
              <w:spacing w:after="0"/>
              <w:rPr>
                <w:sz w:val="1"/>
                <w:szCs w:val="1"/>
                <w:color w:val="auto"/>
              </w:rPr>
            </w:pPr>
          </w:p>
        </w:tc>
      </w:tr>
      <w:tr>
        <w:trPr>
          <w:trHeight w:val="216"/>
        </w:trPr>
        <w:tc>
          <w:tcPr>
            <w:tcW w:w="8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60" w:type="dxa"/>
            <w:vAlign w:val="bottom"/>
          </w:tcPr>
          <w:p>
            <w:pPr>
              <w:jc w:val="center"/>
              <w:ind w:right="250"/>
              <w:spacing w:after="0" w:line="216" w:lineRule="exact"/>
              <w:rPr>
                <w:sz w:val="20"/>
                <w:szCs w:val="20"/>
                <w:color w:val="auto"/>
              </w:rPr>
            </w:pPr>
            <w:r>
              <w:rPr>
                <w:rFonts w:ascii="Calibri" w:cs="Calibri" w:eastAsia="Calibri" w:hAnsi="Calibri"/>
                <w:sz w:val="18"/>
                <w:szCs w:val="18"/>
                <w:b w:val="1"/>
                <w:bCs w:val="1"/>
                <w:color w:val="auto"/>
                <w:w w:val="98"/>
              </w:rPr>
              <w:t>2023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87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760" w:type="dxa"/>
            <w:vAlign w:val="bottom"/>
            <w:shd w:val="clear" w:color="auto" w:fill="CFF0FC"/>
          </w:tcPr>
          <w:p>
            <w:pPr>
              <w:ind w:left="20"/>
              <w:spacing w:after="0" w:line="209" w:lineRule="exact"/>
              <w:rPr>
                <w:sz w:val="20"/>
                <w:szCs w:val="20"/>
                <w:color w:val="auto"/>
              </w:rPr>
            </w:pPr>
            <w:r>
              <w:rPr>
                <w:rFonts w:ascii="Calibri" w:cs="Calibri" w:eastAsia="Calibri" w:hAnsi="Calibri"/>
                <w:sz w:val="18"/>
                <w:szCs w:val="18"/>
                <w:color w:val="auto"/>
              </w:rPr>
              <w:t>Fair value of optons granted</w:t>
            </w:r>
          </w:p>
        </w:tc>
        <w:tc>
          <w:tcPr>
            <w:tcW w:w="340" w:type="dxa"/>
            <w:vAlign w:val="bottom"/>
            <w:shd w:val="clear" w:color="auto" w:fill="CFF0FC"/>
          </w:tcPr>
          <w:p>
            <w:pPr>
              <w:jc w:val="right"/>
              <w:ind w:right="150"/>
              <w:spacing w:after="0" w:line="209" w:lineRule="exact"/>
              <w:rPr>
                <w:sz w:val="20"/>
                <w:szCs w:val="20"/>
                <w:color w:val="auto"/>
              </w:rPr>
            </w:pPr>
            <w:r>
              <w:rPr>
                <w:rFonts w:ascii="Calibri" w:cs="Calibri" w:eastAsia="Calibri" w:hAnsi="Calibri"/>
                <w:sz w:val="18"/>
                <w:szCs w:val="18"/>
                <w:color w:val="auto"/>
                <w:w w:val="87"/>
              </w:rPr>
              <w:t>$</w:t>
            </w:r>
          </w:p>
        </w:tc>
        <w:tc>
          <w:tcPr>
            <w:tcW w:w="186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2.25</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760" w:type="dxa"/>
            <w:vAlign w:val="bottom"/>
          </w:tcPr>
          <w:p>
            <w:pPr>
              <w:ind w:left="20"/>
              <w:spacing w:after="0" w:line="215" w:lineRule="exact"/>
              <w:rPr>
                <w:sz w:val="20"/>
                <w:szCs w:val="20"/>
                <w:color w:val="auto"/>
              </w:rPr>
            </w:pPr>
            <w:r>
              <w:rPr>
                <w:rFonts w:ascii="Calibri" w:cs="Calibri" w:eastAsia="Calibri" w:hAnsi="Calibri"/>
                <w:sz w:val="18"/>
                <w:szCs w:val="18"/>
                <w:color w:val="auto"/>
              </w:rPr>
              <w:t>Risk-free interest rate</w:t>
            </w:r>
          </w:p>
        </w:tc>
        <w:tc>
          <w:tcPr>
            <w:tcW w:w="340" w:type="dxa"/>
            <w:vAlign w:val="bottom"/>
          </w:tcPr>
          <w:p>
            <w:pPr>
              <w:spacing w:after="0"/>
              <w:rPr>
                <w:sz w:val="18"/>
                <w:szCs w:val="18"/>
                <w:color w:val="auto"/>
              </w:rPr>
            </w:pPr>
          </w:p>
        </w:tc>
        <w:tc>
          <w:tcPr>
            <w:tcW w:w="202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3.80 %</w:t>
            </w:r>
          </w:p>
        </w:tc>
        <w:tc>
          <w:tcPr>
            <w:tcW w:w="0" w:type="dxa"/>
            <w:vAlign w:val="bottom"/>
          </w:tcPr>
          <w:p>
            <w:pPr>
              <w:spacing w:after="0"/>
              <w:rPr>
                <w:sz w:val="1"/>
                <w:szCs w:val="1"/>
                <w:color w:val="auto"/>
              </w:rPr>
            </w:pPr>
          </w:p>
        </w:tc>
      </w:tr>
      <w:tr>
        <w:trPr>
          <w:trHeight w:val="217"/>
        </w:trPr>
        <w:tc>
          <w:tcPr>
            <w:tcW w:w="876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Term (in years)</w:t>
            </w:r>
          </w:p>
        </w:tc>
        <w:tc>
          <w:tcPr>
            <w:tcW w:w="340" w:type="dxa"/>
            <w:vAlign w:val="bottom"/>
            <w:shd w:val="clear" w:color="auto" w:fill="CFF0FC"/>
          </w:tcPr>
          <w:p>
            <w:pPr>
              <w:spacing w:after="0"/>
              <w:rPr>
                <w:sz w:val="18"/>
                <w:szCs w:val="18"/>
                <w:color w:val="auto"/>
              </w:rPr>
            </w:pPr>
          </w:p>
        </w:tc>
        <w:tc>
          <w:tcPr>
            <w:tcW w:w="18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3.0</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760" w:type="dxa"/>
            <w:vAlign w:val="bottom"/>
          </w:tcPr>
          <w:p>
            <w:pPr>
              <w:ind w:left="20"/>
              <w:spacing w:after="0" w:line="215" w:lineRule="exact"/>
              <w:rPr>
                <w:sz w:val="20"/>
                <w:szCs w:val="20"/>
                <w:color w:val="auto"/>
              </w:rPr>
            </w:pPr>
            <w:r>
              <w:rPr>
                <w:rFonts w:ascii="Calibri" w:cs="Calibri" w:eastAsia="Calibri" w:hAnsi="Calibri"/>
                <w:sz w:val="18"/>
                <w:szCs w:val="18"/>
                <w:color w:val="auto"/>
              </w:rPr>
              <w:t>Volatlity</w:t>
            </w:r>
          </w:p>
        </w:tc>
        <w:tc>
          <w:tcPr>
            <w:tcW w:w="340" w:type="dxa"/>
            <w:vAlign w:val="bottom"/>
          </w:tcPr>
          <w:p>
            <w:pPr>
              <w:spacing w:after="0"/>
              <w:rPr>
                <w:sz w:val="18"/>
                <w:szCs w:val="18"/>
                <w:color w:val="auto"/>
              </w:rPr>
            </w:pPr>
          </w:p>
        </w:tc>
        <w:tc>
          <w:tcPr>
            <w:tcW w:w="202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60 %</w:t>
            </w:r>
          </w:p>
        </w:tc>
        <w:tc>
          <w:tcPr>
            <w:tcW w:w="0" w:type="dxa"/>
            <w:vAlign w:val="bottom"/>
          </w:tcPr>
          <w:p>
            <w:pPr>
              <w:spacing w:after="0"/>
              <w:rPr>
                <w:sz w:val="1"/>
                <w:szCs w:val="1"/>
                <w:color w:val="auto"/>
              </w:rPr>
            </w:pPr>
          </w:p>
        </w:tc>
      </w:tr>
      <w:tr>
        <w:trPr>
          <w:trHeight w:val="217"/>
        </w:trPr>
        <w:tc>
          <w:tcPr>
            <w:tcW w:w="876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Weighted-average expected dividend yield</w:t>
            </w:r>
          </w:p>
        </w:tc>
        <w:tc>
          <w:tcPr>
            <w:tcW w:w="340" w:type="dxa"/>
            <w:vAlign w:val="bottom"/>
            <w:shd w:val="clear" w:color="auto" w:fill="CFF0FC"/>
          </w:tcPr>
          <w:p>
            <w:pPr>
              <w:spacing w:after="0"/>
              <w:rPr>
                <w:sz w:val="18"/>
                <w:szCs w:val="18"/>
                <w:color w:val="auto"/>
              </w:rPr>
            </w:pPr>
          </w:p>
        </w:tc>
        <w:tc>
          <w:tcPr>
            <w:tcW w:w="2020" w:type="dxa"/>
            <w:vAlign w:val="bottom"/>
            <w:gridSpan w:val="2"/>
            <w:shd w:val="clear" w:color="auto" w:fill="CFF0FC"/>
          </w:tcPr>
          <w:p>
            <w:pPr>
              <w:jc w:val="right"/>
              <w:ind w:right="20"/>
              <w:spacing w:after="0" w:line="216" w:lineRule="exact"/>
              <w:rPr>
                <w:sz w:val="20"/>
                <w:szCs w:val="20"/>
                <w:color w:val="auto"/>
              </w:rPr>
            </w:pPr>
            <w:r>
              <w:rPr>
                <w:rFonts w:ascii="Calibri" w:cs="Calibri" w:eastAsia="Calibri" w:hAnsi="Calibri"/>
                <w:sz w:val="18"/>
                <w:szCs w:val="18"/>
                <w:color w:val="auto"/>
              </w:rPr>
              <w:t>0.00 %</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On February 16, 2023, the Compensaton, Nominatng and Governance Commitee of the Board of Directors approved extending the expiraton dates for non-qualifed stock optons awarded between 2016 and 2020 to 21 currently actve employees and directors. No other terms were modifed. The contractual terms were extended from approximately seven years to approximately ten years. In November 2023 the extended expiraton date of certain optons was rescinded. The change in the terms of the awards was accounted for as a modifcaton. As a result of the modifcaton, Kodak recognized $2 million of incremental compensaton expense in the year-ended 2023, refectng the incremental fair value of the 3.5 million awards that were modifed over the fair value of the original awards immediately before the modifcaton. The fair value of the awards was calculated using a binomial latce-based valuaton model. The key assumptons used in the fair value calculatons were:</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57720" cy="425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220"/>
        </w:trPr>
        <w:tc>
          <w:tcPr>
            <w:tcW w:w="5860" w:type="dxa"/>
            <w:vAlign w:val="bottom"/>
            <w:gridSpan w:val="2"/>
          </w:tcPr>
          <w:p>
            <w:pPr>
              <w:spacing w:after="0"/>
              <w:rPr>
                <w:sz w:val="20"/>
                <w:szCs w:val="20"/>
                <w:color w:val="auto"/>
              </w:rPr>
            </w:pPr>
            <w:r>
              <w:rPr>
                <w:rFonts w:ascii="Calibri" w:cs="Calibri" w:eastAsia="Calibri" w:hAnsi="Calibri"/>
                <w:sz w:val="18"/>
                <w:szCs w:val="18"/>
                <w:b w:val="1"/>
                <w:bCs w:val="1"/>
                <w:color w:val="0000FF"/>
              </w:rPr>
              <w:t>Table of Contents</w:t>
            </w:r>
          </w:p>
        </w:tc>
        <w:tc>
          <w:tcPr>
            <w:tcW w:w="2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739"/>
        </w:trPr>
        <w:tc>
          <w:tcPr>
            <w:tcW w:w="1300" w:type="dxa"/>
            <w:vAlign w:val="bottom"/>
            <w:tcBorders>
              <w:top w:val="single" w:sz="8" w:color="0000FF"/>
            </w:tcBorders>
          </w:tcPr>
          <w:p>
            <w:pPr>
              <w:spacing w:after="0"/>
              <w:rPr>
                <w:sz w:val="24"/>
                <w:szCs w:val="24"/>
                <w:color w:val="auto"/>
              </w:rPr>
            </w:pPr>
          </w:p>
        </w:tc>
        <w:tc>
          <w:tcPr>
            <w:tcW w:w="4560" w:type="dxa"/>
            <w:vAlign w:val="bottom"/>
          </w:tcPr>
          <w:p>
            <w:pPr>
              <w:spacing w:after="0"/>
              <w:rPr>
                <w:sz w:val="24"/>
                <w:szCs w:val="24"/>
                <w:color w:val="auto"/>
              </w:rPr>
            </w:pPr>
          </w:p>
        </w:tc>
        <w:tc>
          <w:tcPr>
            <w:tcW w:w="3300" w:type="dxa"/>
            <w:vAlign w:val="bottom"/>
            <w:gridSpan w:val="3"/>
          </w:tcPr>
          <w:p>
            <w:pPr>
              <w:jc w:val="center"/>
              <w:ind w:left="1890"/>
              <w:spacing w:after="0"/>
              <w:rPr>
                <w:sz w:val="20"/>
                <w:szCs w:val="20"/>
                <w:color w:val="auto"/>
              </w:rPr>
            </w:pPr>
            <w:r>
              <w:rPr>
                <w:rFonts w:ascii="Calibri" w:cs="Calibri" w:eastAsia="Calibri" w:hAnsi="Calibri"/>
                <w:sz w:val="18"/>
                <w:szCs w:val="18"/>
                <w:b w:val="1"/>
                <w:bCs w:val="1"/>
                <w:color w:val="auto"/>
                <w:w w:val="98"/>
              </w:rPr>
              <w:t>February 16, 2023</w:t>
            </w:r>
          </w:p>
        </w:tc>
        <w:tc>
          <w:tcPr>
            <w:tcW w:w="1960" w:type="dxa"/>
            <w:vAlign w:val="bottom"/>
          </w:tcPr>
          <w:p>
            <w:pPr>
              <w:spacing w:after="0"/>
              <w:rPr>
                <w:sz w:val="24"/>
                <w:szCs w:val="24"/>
                <w:color w:val="auto"/>
              </w:rPr>
            </w:pPr>
          </w:p>
        </w:tc>
      </w:tr>
      <w:tr>
        <w:trPr>
          <w:trHeight w:val="216"/>
        </w:trPr>
        <w:tc>
          <w:tcPr>
            <w:tcW w:w="130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3300" w:type="dxa"/>
            <w:vAlign w:val="bottom"/>
            <w:gridSpan w:val="3"/>
          </w:tcPr>
          <w:p>
            <w:pPr>
              <w:jc w:val="center"/>
              <w:ind w:left="1870"/>
              <w:spacing w:after="0" w:line="216" w:lineRule="exact"/>
              <w:rPr>
                <w:sz w:val="20"/>
                <w:szCs w:val="20"/>
                <w:color w:val="auto"/>
              </w:rPr>
            </w:pPr>
            <w:r>
              <w:rPr>
                <w:rFonts w:ascii="Calibri" w:cs="Calibri" w:eastAsia="Calibri" w:hAnsi="Calibri"/>
                <w:sz w:val="18"/>
                <w:szCs w:val="18"/>
                <w:b w:val="1"/>
                <w:bCs w:val="1"/>
                <w:color w:val="auto"/>
              </w:rPr>
              <w:t>Opton Award</w:t>
            </w:r>
          </w:p>
        </w:tc>
        <w:tc>
          <w:tcPr>
            <w:tcW w:w="19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3300" w:type="dxa"/>
            <w:vAlign w:val="bottom"/>
            <w:gridSpan w:val="3"/>
          </w:tcPr>
          <w:p>
            <w:pPr>
              <w:jc w:val="center"/>
              <w:ind w:left="1890"/>
              <w:spacing w:after="0" w:line="216" w:lineRule="exact"/>
              <w:rPr>
                <w:sz w:val="20"/>
                <w:szCs w:val="20"/>
                <w:color w:val="auto"/>
              </w:rPr>
            </w:pPr>
            <w:r>
              <w:rPr>
                <w:rFonts w:ascii="Calibri" w:cs="Calibri" w:eastAsia="Calibri" w:hAnsi="Calibri"/>
                <w:sz w:val="18"/>
                <w:szCs w:val="18"/>
                <w:b w:val="1"/>
                <w:bCs w:val="1"/>
                <w:color w:val="auto"/>
              </w:rPr>
              <w:t>Modifcatons</w:t>
            </w:r>
          </w:p>
        </w:tc>
        <w:tc>
          <w:tcPr>
            <w:tcW w:w="1960" w:type="dxa"/>
            <w:vAlign w:val="bottom"/>
          </w:tcPr>
          <w:p>
            <w:pPr>
              <w:spacing w:after="0"/>
              <w:rPr>
                <w:sz w:val="18"/>
                <w:szCs w:val="18"/>
                <w:color w:val="auto"/>
              </w:rPr>
            </w:pPr>
          </w:p>
        </w:tc>
      </w:tr>
      <w:tr>
        <w:trPr>
          <w:trHeight w:val="23"/>
        </w:trPr>
        <w:tc>
          <w:tcPr>
            <w:tcW w:w="1300" w:type="dxa"/>
            <w:vAlign w:val="bottom"/>
          </w:tcPr>
          <w:p>
            <w:pPr>
              <w:spacing w:after="0"/>
              <w:rPr>
                <w:sz w:val="2"/>
                <w:szCs w:val="2"/>
                <w:color w:val="auto"/>
              </w:rPr>
            </w:pPr>
          </w:p>
        </w:tc>
        <w:tc>
          <w:tcPr>
            <w:tcW w:w="4560" w:type="dxa"/>
            <w:vAlign w:val="bottom"/>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09"/>
        </w:trPr>
        <w:tc>
          <w:tcPr>
            <w:tcW w:w="130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3300" w:type="dxa"/>
            <w:vAlign w:val="bottom"/>
            <w:gridSpan w:val="3"/>
          </w:tcPr>
          <w:p>
            <w:pPr>
              <w:ind w:left="560"/>
              <w:spacing w:after="0" w:line="209" w:lineRule="exact"/>
              <w:rPr>
                <w:sz w:val="20"/>
                <w:szCs w:val="20"/>
                <w:color w:val="auto"/>
              </w:rPr>
            </w:pPr>
            <w:r>
              <w:rPr>
                <w:rFonts w:ascii="Calibri" w:cs="Calibri" w:eastAsia="Calibri" w:hAnsi="Calibri"/>
                <w:sz w:val="18"/>
                <w:szCs w:val="18"/>
                <w:b w:val="1"/>
                <w:bCs w:val="1"/>
                <w:color w:val="auto"/>
              </w:rPr>
              <w:t>Immediately Before</w:t>
            </w:r>
          </w:p>
        </w:tc>
        <w:tc>
          <w:tcPr>
            <w:tcW w:w="1960" w:type="dxa"/>
            <w:vAlign w:val="bottom"/>
          </w:tcPr>
          <w:p>
            <w:pPr>
              <w:ind w:left="20"/>
              <w:spacing w:after="0" w:line="209" w:lineRule="exact"/>
              <w:rPr>
                <w:sz w:val="20"/>
                <w:szCs w:val="20"/>
                <w:color w:val="auto"/>
              </w:rPr>
            </w:pPr>
            <w:r>
              <w:rPr>
                <w:rFonts w:ascii="Calibri" w:cs="Calibri" w:eastAsia="Calibri" w:hAnsi="Calibri"/>
                <w:sz w:val="18"/>
                <w:szCs w:val="18"/>
                <w:b w:val="1"/>
                <w:bCs w:val="1"/>
                <w:color w:val="auto"/>
              </w:rPr>
              <w:t>Immediately Afer</w:t>
            </w:r>
          </w:p>
        </w:tc>
      </w:tr>
      <w:tr>
        <w:trPr>
          <w:trHeight w:val="210"/>
        </w:trPr>
        <w:tc>
          <w:tcPr>
            <w:tcW w:w="5860" w:type="dxa"/>
            <w:vAlign w:val="bottom"/>
            <w:gridSpan w:val="2"/>
            <w:shd w:val="clear" w:color="auto" w:fill="CFF0FC"/>
          </w:tcPr>
          <w:p>
            <w:pPr>
              <w:ind w:left="20"/>
              <w:spacing w:after="0" w:line="210" w:lineRule="exact"/>
              <w:rPr>
                <w:sz w:val="20"/>
                <w:szCs w:val="20"/>
                <w:color w:val="auto"/>
              </w:rPr>
            </w:pPr>
            <w:r>
              <w:rPr>
                <w:rFonts w:ascii="Calibri" w:cs="Calibri" w:eastAsia="Calibri" w:hAnsi="Calibri"/>
                <w:sz w:val="18"/>
                <w:szCs w:val="18"/>
                <w:color w:val="auto"/>
              </w:rPr>
              <w:t>Range of fair values</w:t>
            </w:r>
          </w:p>
        </w:tc>
        <w:tc>
          <w:tcPr>
            <w:tcW w:w="2560" w:type="dxa"/>
            <w:vAlign w:val="bottom"/>
            <w:tcBorders>
              <w:top w:val="single" w:sz="8" w:color="auto"/>
            </w:tcBorders>
            <w:shd w:val="clear" w:color="auto" w:fill="CFF0FC"/>
          </w:tcPr>
          <w:p>
            <w:pPr>
              <w:jc w:val="center"/>
              <w:spacing w:after="0" w:line="210" w:lineRule="exact"/>
              <w:rPr>
                <w:sz w:val="20"/>
                <w:szCs w:val="20"/>
                <w:color w:val="auto"/>
              </w:rPr>
            </w:pPr>
            <w:r>
              <w:rPr>
                <w:rFonts w:ascii="Calibri" w:cs="Calibri" w:eastAsia="Calibri" w:hAnsi="Calibri"/>
                <w:sz w:val="18"/>
                <w:szCs w:val="18"/>
                <w:color w:val="auto"/>
                <w:w w:val="97"/>
              </w:rPr>
              <w:t>0.000 - 2.1414</w:t>
            </w:r>
          </w:p>
        </w:tc>
        <w:tc>
          <w:tcPr>
            <w:tcW w:w="140" w:type="dxa"/>
            <w:vAlign w:val="bottom"/>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960" w:type="dxa"/>
            <w:vAlign w:val="bottom"/>
            <w:tcBorders>
              <w:top w:val="single" w:sz="8" w:color="auto"/>
            </w:tcBorders>
            <w:shd w:val="clear" w:color="auto" w:fill="CFF0FC"/>
          </w:tcPr>
          <w:p>
            <w:pPr>
              <w:jc w:val="center"/>
              <w:ind w:right="490"/>
              <w:spacing w:after="0" w:line="210" w:lineRule="exact"/>
              <w:rPr>
                <w:sz w:val="20"/>
                <w:szCs w:val="20"/>
                <w:color w:val="auto"/>
              </w:rPr>
            </w:pPr>
            <w:r>
              <w:rPr>
                <w:rFonts w:ascii="Calibri" w:cs="Calibri" w:eastAsia="Calibri" w:hAnsi="Calibri"/>
                <w:sz w:val="18"/>
                <w:szCs w:val="18"/>
                <w:color w:val="auto"/>
                <w:w w:val="97"/>
              </w:rPr>
              <w:t>1.322 - 2.2424</w:t>
            </w:r>
          </w:p>
        </w:tc>
      </w:tr>
      <w:tr>
        <w:trPr>
          <w:trHeight w:val="215"/>
        </w:trPr>
        <w:tc>
          <w:tcPr>
            <w:tcW w:w="5860" w:type="dxa"/>
            <w:vAlign w:val="bottom"/>
            <w:gridSpan w:val="2"/>
          </w:tcPr>
          <w:p>
            <w:pPr>
              <w:ind w:left="20"/>
              <w:spacing w:after="0" w:line="215" w:lineRule="exact"/>
              <w:rPr>
                <w:sz w:val="20"/>
                <w:szCs w:val="20"/>
                <w:color w:val="auto"/>
              </w:rPr>
            </w:pPr>
            <w:r>
              <w:rPr>
                <w:rFonts w:ascii="Calibri" w:cs="Calibri" w:eastAsia="Calibri" w:hAnsi="Calibri"/>
                <w:sz w:val="18"/>
                <w:szCs w:val="18"/>
                <w:color w:val="auto"/>
              </w:rPr>
              <w:t>Range of risk-free interest rates</w:t>
            </w:r>
          </w:p>
        </w:tc>
        <w:tc>
          <w:tcPr>
            <w:tcW w:w="2560" w:type="dxa"/>
            <w:vAlign w:val="bottom"/>
          </w:tcPr>
          <w:p>
            <w:pPr>
              <w:jc w:val="center"/>
              <w:spacing w:after="0" w:line="215" w:lineRule="exact"/>
              <w:rPr>
                <w:sz w:val="20"/>
                <w:szCs w:val="20"/>
                <w:color w:val="auto"/>
              </w:rPr>
            </w:pPr>
            <w:r>
              <w:rPr>
                <w:rFonts w:ascii="Calibri" w:cs="Calibri" w:eastAsia="Calibri" w:hAnsi="Calibri"/>
                <w:sz w:val="18"/>
                <w:szCs w:val="18"/>
                <w:color w:val="auto"/>
                <w:w w:val="96"/>
              </w:rPr>
              <w:t>3.82% - 4.99%</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960" w:type="dxa"/>
            <w:vAlign w:val="bottom"/>
          </w:tcPr>
          <w:p>
            <w:pPr>
              <w:jc w:val="center"/>
              <w:ind w:right="510"/>
              <w:spacing w:after="0" w:line="215" w:lineRule="exact"/>
              <w:rPr>
                <w:sz w:val="20"/>
                <w:szCs w:val="20"/>
                <w:color w:val="auto"/>
              </w:rPr>
            </w:pPr>
            <w:r>
              <w:rPr>
                <w:rFonts w:ascii="Calibri" w:cs="Calibri" w:eastAsia="Calibri" w:hAnsi="Calibri"/>
                <w:sz w:val="18"/>
                <w:szCs w:val="18"/>
                <w:color w:val="auto"/>
                <w:w w:val="96"/>
              </w:rPr>
              <w:t>3.82% - 4.99%</w:t>
            </w:r>
          </w:p>
        </w:tc>
      </w:tr>
      <w:tr>
        <w:trPr>
          <w:trHeight w:val="217"/>
        </w:trPr>
        <w:tc>
          <w:tcPr>
            <w:tcW w:w="5860" w:type="dxa"/>
            <w:vAlign w:val="bottom"/>
            <w:gridSpan w:val="2"/>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Range of remaining contractual terms (in years)</w:t>
            </w:r>
          </w:p>
        </w:tc>
        <w:tc>
          <w:tcPr>
            <w:tcW w:w="2560" w:type="dxa"/>
            <w:vAlign w:val="bottom"/>
            <w:shd w:val="clear" w:color="auto" w:fill="CFF0FC"/>
          </w:tcPr>
          <w:p>
            <w:pPr>
              <w:jc w:val="center"/>
              <w:spacing w:after="0" w:line="216" w:lineRule="exact"/>
              <w:rPr>
                <w:sz w:val="20"/>
                <w:szCs w:val="20"/>
                <w:color w:val="auto"/>
              </w:rPr>
            </w:pPr>
            <w:r>
              <w:rPr>
                <w:rFonts w:ascii="Calibri" w:cs="Calibri" w:eastAsia="Calibri" w:hAnsi="Calibri"/>
                <w:sz w:val="18"/>
                <w:szCs w:val="18"/>
                <w:color w:val="auto"/>
                <w:w w:val="98"/>
              </w:rPr>
              <w:t>0.37 - 4.25</w:t>
            </w: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960" w:type="dxa"/>
            <w:vAlign w:val="bottom"/>
            <w:shd w:val="clear" w:color="auto" w:fill="CFF0FC"/>
          </w:tcPr>
          <w:p>
            <w:pPr>
              <w:jc w:val="center"/>
              <w:ind w:right="510"/>
              <w:spacing w:after="0" w:line="216" w:lineRule="exact"/>
              <w:rPr>
                <w:sz w:val="20"/>
                <w:szCs w:val="20"/>
                <w:color w:val="auto"/>
              </w:rPr>
            </w:pPr>
            <w:r>
              <w:rPr>
                <w:rFonts w:ascii="Calibri" w:cs="Calibri" w:eastAsia="Calibri" w:hAnsi="Calibri"/>
                <w:sz w:val="18"/>
                <w:szCs w:val="18"/>
                <w:color w:val="auto"/>
                <w:w w:val="98"/>
              </w:rPr>
              <w:t>3.37 - 7.25</w:t>
            </w:r>
          </w:p>
        </w:tc>
      </w:tr>
      <w:tr>
        <w:trPr>
          <w:trHeight w:val="215"/>
        </w:trPr>
        <w:tc>
          <w:tcPr>
            <w:tcW w:w="5860" w:type="dxa"/>
            <w:vAlign w:val="bottom"/>
            <w:gridSpan w:val="2"/>
          </w:tcPr>
          <w:p>
            <w:pPr>
              <w:ind w:left="20"/>
              <w:spacing w:after="0" w:line="215" w:lineRule="exact"/>
              <w:rPr>
                <w:sz w:val="20"/>
                <w:szCs w:val="20"/>
                <w:color w:val="auto"/>
              </w:rPr>
            </w:pPr>
            <w:r>
              <w:rPr>
                <w:rFonts w:ascii="Calibri" w:cs="Calibri" w:eastAsia="Calibri" w:hAnsi="Calibri"/>
                <w:sz w:val="18"/>
                <w:szCs w:val="18"/>
                <w:color w:val="auto"/>
              </w:rPr>
              <w:t>Range of weighted volatlites</w:t>
            </w:r>
          </w:p>
        </w:tc>
        <w:tc>
          <w:tcPr>
            <w:tcW w:w="2560" w:type="dxa"/>
            <w:vAlign w:val="bottom"/>
          </w:tcPr>
          <w:p>
            <w:pPr>
              <w:jc w:val="center"/>
              <w:spacing w:after="0" w:line="215" w:lineRule="exact"/>
              <w:rPr>
                <w:sz w:val="20"/>
                <w:szCs w:val="20"/>
                <w:color w:val="auto"/>
              </w:rPr>
            </w:pPr>
            <w:r>
              <w:rPr>
                <w:rFonts w:ascii="Calibri" w:cs="Calibri" w:eastAsia="Calibri" w:hAnsi="Calibri"/>
                <w:sz w:val="18"/>
                <w:szCs w:val="18"/>
                <w:color w:val="auto"/>
                <w:w w:val="97"/>
              </w:rPr>
              <w:t>66.96% - 103.39%</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960" w:type="dxa"/>
            <w:vAlign w:val="bottom"/>
          </w:tcPr>
          <w:p>
            <w:pPr>
              <w:jc w:val="center"/>
              <w:ind w:right="510"/>
              <w:spacing w:after="0" w:line="215" w:lineRule="exact"/>
              <w:rPr>
                <w:sz w:val="20"/>
                <w:szCs w:val="20"/>
                <w:color w:val="auto"/>
              </w:rPr>
            </w:pPr>
            <w:r>
              <w:rPr>
                <w:rFonts w:ascii="Calibri" w:cs="Calibri" w:eastAsia="Calibri" w:hAnsi="Calibri"/>
                <w:sz w:val="18"/>
                <w:szCs w:val="18"/>
                <w:color w:val="auto"/>
                <w:w w:val="97"/>
              </w:rPr>
              <w:t>66.96% - 103.39%</w:t>
            </w:r>
          </w:p>
        </w:tc>
      </w:tr>
      <w:tr>
        <w:trPr>
          <w:trHeight w:val="217"/>
        </w:trPr>
        <w:tc>
          <w:tcPr>
            <w:tcW w:w="5860" w:type="dxa"/>
            <w:vAlign w:val="bottom"/>
            <w:gridSpan w:val="2"/>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Expected dividend yield</w:t>
            </w:r>
          </w:p>
        </w:tc>
        <w:tc>
          <w:tcPr>
            <w:tcW w:w="2560" w:type="dxa"/>
            <w:vAlign w:val="bottom"/>
            <w:shd w:val="clear" w:color="auto" w:fill="CFF0FC"/>
          </w:tcPr>
          <w:p>
            <w:pPr>
              <w:jc w:val="center"/>
              <w:spacing w:after="0" w:line="216" w:lineRule="exact"/>
              <w:rPr>
                <w:sz w:val="20"/>
                <w:szCs w:val="20"/>
                <w:color w:val="auto"/>
              </w:rPr>
            </w:pPr>
            <w:r>
              <w:rPr>
                <w:rFonts w:ascii="Calibri" w:cs="Calibri" w:eastAsia="Calibri" w:hAnsi="Calibri"/>
                <w:sz w:val="18"/>
                <w:szCs w:val="18"/>
                <w:color w:val="auto"/>
                <w:w w:val="98"/>
              </w:rPr>
              <w:t>0.00%</w:t>
            </w: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960" w:type="dxa"/>
            <w:vAlign w:val="bottom"/>
            <w:shd w:val="clear" w:color="auto" w:fill="CFF0FC"/>
          </w:tcPr>
          <w:p>
            <w:pPr>
              <w:jc w:val="center"/>
              <w:ind w:right="510"/>
              <w:spacing w:after="0" w:line="216" w:lineRule="exact"/>
              <w:rPr>
                <w:sz w:val="20"/>
                <w:szCs w:val="20"/>
                <w:color w:val="auto"/>
              </w:rPr>
            </w:pPr>
            <w:r>
              <w:rPr>
                <w:rFonts w:ascii="Calibri" w:cs="Calibri" w:eastAsia="Calibri" w:hAnsi="Calibri"/>
                <w:sz w:val="18"/>
                <w:szCs w:val="18"/>
                <w:color w:val="auto"/>
                <w:w w:val="98"/>
              </w:rPr>
              <w:t>0.00%</w:t>
            </w:r>
          </w:p>
        </w:tc>
      </w:tr>
      <w:tr>
        <w:trPr>
          <w:trHeight w:val="215"/>
        </w:trPr>
        <w:tc>
          <w:tcPr>
            <w:tcW w:w="5860" w:type="dxa"/>
            <w:vAlign w:val="bottom"/>
            <w:gridSpan w:val="2"/>
          </w:tcPr>
          <w:p>
            <w:pPr>
              <w:ind w:left="20"/>
              <w:spacing w:after="0" w:line="215" w:lineRule="exact"/>
              <w:rPr>
                <w:sz w:val="20"/>
                <w:szCs w:val="20"/>
                <w:color w:val="auto"/>
              </w:rPr>
            </w:pPr>
            <w:r>
              <w:rPr>
                <w:rFonts w:ascii="Calibri" w:cs="Calibri" w:eastAsia="Calibri" w:hAnsi="Calibri"/>
                <w:sz w:val="18"/>
                <w:szCs w:val="18"/>
                <w:color w:val="auto"/>
              </w:rPr>
              <w:t>Early exercise model</w:t>
            </w:r>
          </w:p>
        </w:tc>
        <w:tc>
          <w:tcPr>
            <w:tcW w:w="2560" w:type="dxa"/>
            <w:vAlign w:val="bottom"/>
          </w:tcPr>
          <w:p>
            <w:pPr>
              <w:jc w:val="center"/>
              <w:spacing w:after="0" w:line="215" w:lineRule="exact"/>
              <w:rPr>
                <w:sz w:val="20"/>
                <w:szCs w:val="20"/>
                <w:color w:val="auto"/>
              </w:rPr>
            </w:pPr>
            <w:r>
              <w:rPr>
                <w:rFonts w:ascii="Calibri" w:cs="Calibri" w:eastAsia="Calibri" w:hAnsi="Calibri"/>
                <w:sz w:val="18"/>
                <w:szCs w:val="18"/>
                <w:color w:val="auto"/>
                <w:w w:val="96"/>
              </w:rPr>
              <w:t>2.5</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960" w:type="dxa"/>
            <w:vAlign w:val="bottom"/>
          </w:tcPr>
          <w:p>
            <w:pPr>
              <w:jc w:val="center"/>
              <w:ind w:right="490"/>
              <w:spacing w:after="0" w:line="215" w:lineRule="exact"/>
              <w:rPr>
                <w:sz w:val="20"/>
                <w:szCs w:val="20"/>
                <w:color w:val="auto"/>
              </w:rPr>
            </w:pPr>
            <w:r>
              <w:rPr>
                <w:rFonts w:ascii="Calibri" w:cs="Calibri" w:eastAsia="Calibri" w:hAnsi="Calibri"/>
                <w:sz w:val="18"/>
                <w:szCs w:val="18"/>
                <w:color w:val="auto"/>
                <w:w w:val="96"/>
              </w:rPr>
              <w:t>2.5</w:t>
            </w:r>
          </w:p>
        </w:tc>
      </w:tr>
      <w:tr>
        <w:trPr>
          <w:trHeight w:val="217"/>
        </w:trPr>
        <w:tc>
          <w:tcPr>
            <w:tcW w:w="5860" w:type="dxa"/>
            <w:vAlign w:val="bottom"/>
            <w:gridSpan w:val="2"/>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Number of tmes steps</w:t>
            </w:r>
          </w:p>
        </w:tc>
        <w:tc>
          <w:tcPr>
            <w:tcW w:w="2560" w:type="dxa"/>
            <w:vAlign w:val="bottom"/>
            <w:shd w:val="clear" w:color="auto" w:fill="CFF0FC"/>
          </w:tcPr>
          <w:p>
            <w:pPr>
              <w:jc w:val="center"/>
              <w:spacing w:after="0" w:line="216" w:lineRule="exact"/>
              <w:rPr>
                <w:sz w:val="20"/>
                <w:szCs w:val="20"/>
                <w:color w:val="auto"/>
              </w:rPr>
            </w:pPr>
            <w:r>
              <w:rPr>
                <w:rFonts w:ascii="Calibri" w:cs="Calibri" w:eastAsia="Calibri" w:hAnsi="Calibri"/>
                <w:sz w:val="18"/>
                <w:szCs w:val="18"/>
                <w:color w:val="auto"/>
              </w:rPr>
              <w:t>500</w:t>
            </w: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960" w:type="dxa"/>
            <w:vAlign w:val="bottom"/>
            <w:shd w:val="clear" w:color="auto" w:fill="CFF0FC"/>
          </w:tcPr>
          <w:p>
            <w:pPr>
              <w:jc w:val="center"/>
              <w:ind w:right="510"/>
              <w:spacing w:after="0" w:line="216" w:lineRule="exact"/>
              <w:rPr>
                <w:sz w:val="20"/>
                <w:szCs w:val="20"/>
                <w:color w:val="auto"/>
              </w:rPr>
            </w:pPr>
            <w:r>
              <w:rPr>
                <w:rFonts w:ascii="Calibri" w:cs="Calibri" w:eastAsia="Calibri" w:hAnsi="Calibri"/>
                <w:sz w:val="18"/>
                <w:szCs w:val="18"/>
                <w:color w:val="auto"/>
              </w:rPr>
              <w:t>500</w:t>
            </w:r>
          </w:p>
        </w:tc>
      </w:tr>
    </w:tbl>
    <w:p>
      <w:pPr>
        <w:spacing w:after="0" w:line="194" w:lineRule="exact"/>
        <w:rPr>
          <w:sz w:val="20"/>
          <w:szCs w:val="20"/>
          <w:color w:val="auto"/>
        </w:rPr>
      </w:pPr>
    </w:p>
    <w:p>
      <w:pPr>
        <w:spacing w:after="0" w:line="250" w:lineRule="auto"/>
        <w:rPr>
          <w:sz w:val="20"/>
          <w:szCs w:val="20"/>
          <w:color w:val="auto"/>
        </w:rPr>
      </w:pPr>
      <w:r>
        <w:rPr>
          <w:rFonts w:ascii="Calibri" w:cs="Calibri" w:eastAsia="Calibri" w:hAnsi="Calibri"/>
          <w:sz w:val="17"/>
          <w:szCs w:val="17"/>
          <w:color w:val="auto"/>
        </w:rPr>
        <w:t>On February 26, 2021 James V. Contnenza, Executve Chairman and Chief Executve Ofcer of Kodak, and the Company entered into an Executve Chairman and CEO Agreement, as amended on November 29, 2023 and November 30, 2022 (the “Employment Agreement”). The Employment Agreement is efectve for a three-year period ending on February 26, 2027. Pursuant to the Employment Agreement, Mr. Contnenza will not have the right to exercise any stock optons granted to him in February 2019 or July 2020 to the extent that, afer giving efect to the issuance of the Company’s common stock resultng from such exercise, Mr. Contnenza (together with his afliates and any person actng as a group), would benefcially own more than 4.99% of the then issued and outstanding shares of Common Stock (the “Benefcial Ownership Limitaton”). The Benefcial Ownership Limitaton shall cease and be of no further force and efect upon a Change of Control (as such term is defned in the Company’s Amended and Restated 2013 Omnibus Incentve Plan). The restrictons on the exercisability of previous stock opton awards were a modifcaton of the original awards. As the February 2019 and July 2020 stock optons were fully vested prior to the modifcaton date and there was no incremental value provided in the modifcaton, no additonal compensaton expense was recognized.</w:t>
      </w:r>
    </w:p>
    <w:p>
      <w:pPr>
        <w:spacing w:after="0" w:line="18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23: SHAREHOLDERS</w:t>
      </w:r>
      <w:r>
        <w:rPr>
          <w:rFonts w:ascii="Calibri" w:cs="Calibri" w:eastAsia="Calibri" w:hAnsi="Calibri"/>
          <w:sz w:val="18"/>
          <w:szCs w:val="18"/>
          <w:color w:val="auto"/>
        </w:rPr>
        <w:t>’</w:t>
      </w:r>
      <w:r>
        <w:rPr>
          <w:rFonts w:ascii="Calibri" w:cs="Calibri" w:eastAsia="Calibri" w:hAnsi="Calibri"/>
          <w:sz w:val="18"/>
          <w:szCs w:val="18"/>
          <w:b w:val="1"/>
          <w:bCs w:val="1"/>
          <w:color w:val="auto"/>
        </w:rPr>
        <w:t xml:space="preserve"> EQUITY</w:t>
      </w:r>
    </w:p>
    <w:p>
      <w:pPr>
        <w:spacing w:after="0" w:line="177"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color w:val="auto"/>
        </w:rPr>
        <w:t>The Company has 560 million shares of authorized stock, consistng of: (i) 500 million shares of common stock, par value $0.01 per share, and (ii) 60 million shares of preferred stock, no par value, issuable in one or more series. As of December 31, 2024, there were 80.5 million shares of common stock outstanding, 1.0 million shares of Series B preferred stock issued and outstanding, and 1.2 million shares of Series C preferred stock issued and outstanding. At December 31, 2023, there were 79.6 million shares of common stock outstanding, 1.0 million shares of Series B preferred stock issued and outstanding, and 1.1 million shares of Series C preferred stock issued and outstanding.</w:t>
      </w:r>
    </w:p>
    <w:p>
      <w:pPr>
        <w:spacing w:after="0" w:line="17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Treasury Stock</w:t>
      </w:r>
    </w:p>
    <w:p>
      <w:pPr>
        <w:spacing w:after="0" w:line="185" w:lineRule="exact"/>
        <w:rPr>
          <w:sz w:val="20"/>
          <w:szCs w:val="20"/>
          <w:color w:val="auto"/>
        </w:rPr>
      </w:pPr>
    </w:p>
    <w:p>
      <w:pPr>
        <w:spacing w:after="0"/>
        <w:rPr>
          <w:sz w:val="20"/>
          <w:szCs w:val="20"/>
          <w:color w:val="auto"/>
        </w:rPr>
      </w:pPr>
      <w:r>
        <w:rPr>
          <w:rFonts w:ascii="Calibri" w:cs="Calibri" w:eastAsia="Calibri" w:hAnsi="Calibri"/>
          <w:sz w:val="18"/>
          <w:szCs w:val="18"/>
          <w:color w:val="auto"/>
        </w:rPr>
        <w:t>Treasury stock consisted of approximately 1.3 million and 1.0 million shares at December 31, 2024 and 2023, respectvely.</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Registraton Statements</w:t>
      </w:r>
    </w:p>
    <w:p>
      <w:pPr>
        <w:spacing w:after="0" w:line="177"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On August 10, 2021, the Company fled a Registraton Statement on Form S-3 (Registraton No. 254352) to register for possible resale from tme to tme of up to 44,490,032 shares of common stock, subject to adjustments for stock splits, stock dividends and reclassifcatons and similar transactons (the “Resale Shares”). The Company registered the Resale Shares to satsfy its obligatons under the following agreements:</w:t>
      </w:r>
    </w:p>
    <w:p>
      <w:pPr>
        <w:spacing w:after="0" w:line="192" w:lineRule="exact"/>
        <w:rPr>
          <w:sz w:val="20"/>
          <w:szCs w:val="20"/>
          <w:color w:val="auto"/>
        </w:rPr>
      </w:pPr>
    </w:p>
    <w:p>
      <w:pPr>
        <w:ind w:left="540" w:right="60" w:hanging="263"/>
        <w:spacing w:after="0" w:line="235" w:lineRule="auto"/>
        <w:tabs>
          <w:tab w:leader="none" w:pos="540" w:val="left"/>
        </w:tabs>
        <w:numPr>
          <w:ilvl w:val="0"/>
          <w:numId w:val="43"/>
        </w:numPr>
        <w:rPr>
          <w:rFonts w:ascii="Calibri" w:cs="Calibri" w:eastAsia="Calibri" w:hAnsi="Calibri"/>
          <w:sz w:val="18"/>
          <w:szCs w:val="18"/>
          <w:color w:val="auto"/>
        </w:rPr>
      </w:pPr>
      <w:r>
        <w:rPr>
          <w:rFonts w:ascii="Calibri" w:cs="Calibri" w:eastAsia="Calibri" w:hAnsi="Calibri"/>
          <w:sz w:val="18"/>
          <w:szCs w:val="18"/>
          <w:color w:val="auto"/>
        </w:rPr>
        <w:t>A registraton rights agreement (the “Backstop Registraton Rights Agreement”), dated as of September 3, 2013, between the Company and GSO Capital Partners LP, on behalf of various managed funds, BlueMountain Capital Management, LLC, on behalf of various managed funds, George Karfunkel, United Equites Commodites Company, Momar Corporaton and Contrarian Capital Management, LLC, on behalf of Contrarian Funds, LLC, which, prior to the expiraton of the Backstop Registraton Rights Agreement on October 16, 2021, required the registraton of certain shares of common stock.</w:t>
      </w:r>
    </w:p>
    <w:p>
      <w:pPr>
        <w:spacing w:after="0" w:line="179" w:lineRule="exact"/>
        <w:rPr>
          <w:rFonts w:ascii="Calibri" w:cs="Calibri" w:eastAsia="Calibri" w:hAnsi="Calibri"/>
          <w:sz w:val="18"/>
          <w:szCs w:val="18"/>
          <w:color w:val="auto"/>
        </w:rPr>
      </w:pPr>
    </w:p>
    <w:p>
      <w:pPr>
        <w:ind w:left="540" w:right="40" w:hanging="263"/>
        <w:spacing w:after="0" w:line="235" w:lineRule="auto"/>
        <w:tabs>
          <w:tab w:leader="none" w:pos="540" w:val="left"/>
        </w:tabs>
        <w:numPr>
          <w:ilvl w:val="0"/>
          <w:numId w:val="43"/>
        </w:numPr>
        <w:rPr>
          <w:rFonts w:ascii="Calibri" w:cs="Calibri" w:eastAsia="Calibri" w:hAnsi="Calibri"/>
          <w:sz w:val="18"/>
          <w:szCs w:val="18"/>
          <w:color w:val="auto"/>
        </w:rPr>
      </w:pPr>
      <w:r>
        <w:rPr>
          <w:rFonts w:ascii="Calibri" w:cs="Calibri" w:eastAsia="Calibri" w:hAnsi="Calibri"/>
          <w:sz w:val="18"/>
          <w:szCs w:val="18"/>
          <w:color w:val="auto"/>
        </w:rPr>
        <w:t>A Series A Preferred Stock repurchase and exchange agreement, dated as of February 26, 2021, with Southeastern Asset Management, Inc. (“Southeastern”) and Longleaf Partners Small-Cap Fund, C2W Partners Master Fund Limited and Deseret Mutual Pension Trust, which are investment funds managed by Southeastern (such investment funds, collectvely, the “Purchasers”), extending the registraton rights provided under a registraton rights agreement, dated as of November 15, 2016, with Southeastern and the Purchasers, to shares of the Company's common stock issuable upon conversion of 1,000,000 shares of Series B Preferred Stock (as defned herein) issued thereunder.</w:t>
      </w:r>
    </w:p>
    <w:p>
      <w:pPr>
        <w:spacing w:after="0" w:line="179" w:lineRule="exact"/>
        <w:rPr>
          <w:rFonts w:ascii="Calibri" w:cs="Calibri" w:eastAsia="Calibri" w:hAnsi="Calibri"/>
          <w:sz w:val="18"/>
          <w:szCs w:val="18"/>
          <w:color w:val="auto"/>
        </w:rPr>
      </w:pPr>
    </w:p>
    <w:p>
      <w:pPr>
        <w:ind w:left="540" w:right="100" w:hanging="263"/>
        <w:spacing w:after="0" w:line="235" w:lineRule="auto"/>
        <w:tabs>
          <w:tab w:leader="none" w:pos="540" w:val="left"/>
        </w:tabs>
        <w:numPr>
          <w:ilvl w:val="0"/>
          <w:numId w:val="43"/>
        </w:numPr>
        <w:rPr>
          <w:rFonts w:ascii="Calibri" w:cs="Calibri" w:eastAsia="Calibri" w:hAnsi="Calibri"/>
          <w:sz w:val="18"/>
          <w:szCs w:val="18"/>
          <w:color w:val="auto"/>
        </w:rPr>
      </w:pPr>
      <w:r>
        <w:rPr>
          <w:rFonts w:ascii="Calibri" w:cs="Calibri" w:eastAsia="Calibri" w:hAnsi="Calibri"/>
          <w:sz w:val="18"/>
          <w:szCs w:val="18"/>
          <w:color w:val="auto"/>
        </w:rPr>
        <w:t>A registraton rights agreement, dated as of February 26, 2021, with GO EK Ventures IV, LLC (the “Investor”), a fund managed by Grand Oaks Capital, providing the Investor with registraton rights in respect of shares of the Company's common stock</w:t>
      </w:r>
    </w:p>
    <w:p>
      <w:pPr>
        <w:spacing w:after="0" w:line="186"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311150</wp:posOffset>
            </wp:positionV>
            <wp:extent cx="7157720" cy="425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2" w:right="359" w:bottom="1440" w:gutter="0" w:footer="0" w:header="0"/>
        </w:sectPr>
      </w:pPr>
    </w:p>
    <w:bookmarkStart w:id="110" w:name="page111"/>
    <w:bookmarkEnd w:id="110"/>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40" w:right="220"/>
        <w:spacing w:after="0" w:line="235" w:lineRule="auto"/>
        <w:rPr>
          <w:sz w:val="20"/>
          <w:szCs w:val="20"/>
          <w:color w:val="auto"/>
        </w:rPr>
      </w:pPr>
      <w:r>
        <w:rPr>
          <w:rFonts w:ascii="Calibri" w:cs="Calibri" w:eastAsia="Calibri" w:hAnsi="Calibri"/>
          <w:sz w:val="18"/>
          <w:szCs w:val="18"/>
          <w:color w:val="auto"/>
        </w:rPr>
        <w:t>issuable upon conversion of 1,000,000 shares of Series C Preferred Stock (as defned herein) issued pursuant to a Series C Preferred Stock purchase agreement, dated as of February 26, 2021, with the Investor; and</w:t>
      </w:r>
    </w:p>
    <w:p>
      <w:pPr>
        <w:spacing w:after="0" w:line="177" w:lineRule="exact"/>
        <w:rPr>
          <w:sz w:val="20"/>
          <w:szCs w:val="20"/>
          <w:color w:val="auto"/>
        </w:rPr>
      </w:pPr>
    </w:p>
    <w:p>
      <w:pPr>
        <w:ind w:left="540" w:right="120" w:hanging="263"/>
        <w:spacing w:after="0" w:line="252" w:lineRule="auto"/>
        <w:tabs>
          <w:tab w:leader="none" w:pos="540" w:val="left"/>
        </w:tabs>
        <w:numPr>
          <w:ilvl w:val="0"/>
          <w:numId w:val="44"/>
        </w:numPr>
        <w:rPr>
          <w:rFonts w:ascii="Calibri" w:cs="Calibri" w:eastAsia="Calibri" w:hAnsi="Calibri"/>
          <w:sz w:val="17"/>
          <w:szCs w:val="17"/>
          <w:color w:val="auto"/>
        </w:rPr>
      </w:pPr>
      <w:r>
        <w:rPr>
          <w:rFonts w:ascii="Calibri" w:cs="Calibri" w:eastAsia="Calibri" w:hAnsi="Calibri"/>
          <w:sz w:val="17"/>
          <w:szCs w:val="17"/>
          <w:color w:val="auto"/>
        </w:rPr>
        <w:t>A securites registraton rights agreement, dated as of February 26, 2021, with certain funds afliated with KLIM (the “Buyers”), providing the Buyers with registraton rights in respect of (i) 1,000,000 shares of the Company's common stock and (ii) shares of the Company's common stock issuable upon conversion of $25,000,000 aggregate principal amount of the Company's 5.0% unsecured convertble promissory notes due May 28, 2026, in each case, issued in a private placement transacton pursuant to a securites purchase agreement, dated as of February 26, 2021, with the Buyers.</w:t>
      </w:r>
    </w:p>
    <w:p>
      <w:pPr>
        <w:spacing w:after="0" w:line="168"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On August 8, 2024, the Company fled a shelf Registraton Statement on Form S-3 (Registraton No. 281403) for the ofer and sale of securites from tme to tme in one or more oferings of up to $500,000,000 of common stock, preferred stock, debt securites, warrants, depositary shares, purchase contracts, guarantees and units. This Registraton Statement replaced an equivalent shelf Registraton Statement on Form S-3 (Registraton No. 254353) originally declared efectve on August 12, 2021 which was expiring. The Company will fle a prospectus supplement to include the specifc terms of any ofering or sale under either of these shelf registraton statements. At December 31, 2024, the Company had not made any oferings or sales of securites pursuant to either of these registraton statements.</w:t>
      </w:r>
    </w:p>
    <w:p>
      <w:pPr>
        <w:spacing w:after="0" w:line="18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24: OTHER COMPREHENSIVE (LOSS) INCOME</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color w:val="auto"/>
        </w:rPr>
        <w:t>The changes in Other comprehensive (loss) income by component, were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0" w:type="dxa"/>
            <w:vAlign w:val="bottom"/>
            <w:gridSpan w:val="4"/>
          </w:tcPr>
          <w:p>
            <w:pPr>
              <w:jc w:val="right"/>
              <w:ind w:right="60"/>
              <w:spacing w:after="0"/>
              <w:rPr>
                <w:sz w:val="20"/>
                <w:szCs w:val="20"/>
                <w:color w:val="auto"/>
              </w:rPr>
            </w:pPr>
            <w:r>
              <w:rPr>
                <w:rFonts w:ascii="Calibri" w:cs="Calibri" w:eastAsia="Calibri" w:hAnsi="Calibri"/>
                <w:sz w:val="18"/>
                <w:szCs w:val="18"/>
                <w:b w:val="1"/>
                <w:bCs w:val="1"/>
                <w:color w:val="auto"/>
                <w:w w:val="99"/>
              </w:rPr>
              <w:t>Year Ended December 31,</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6"/>
        </w:trPr>
        <w:tc>
          <w:tcPr>
            <w:tcW w:w="6160" w:type="dxa"/>
            <w:vAlign w:val="bottom"/>
          </w:tcPr>
          <w:p>
            <w:pPr>
              <w:ind w:left="20"/>
              <w:spacing w:after="0"/>
              <w:rPr>
                <w:sz w:val="20"/>
                <w:szCs w:val="20"/>
                <w:color w:val="auto"/>
              </w:rPr>
            </w:pPr>
            <w:r>
              <w:rPr>
                <w:rFonts w:ascii="Calibri" w:cs="Calibri" w:eastAsia="Calibri" w:hAnsi="Calibri"/>
                <w:sz w:val="14"/>
                <w:szCs w:val="14"/>
                <w:color w:val="auto"/>
              </w:rPr>
              <w:t>(in millions)</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line="216" w:lineRule="exact"/>
              <w:rPr>
                <w:sz w:val="20"/>
                <w:szCs w:val="20"/>
                <w:color w:val="auto"/>
              </w:rPr>
            </w:pPr>
            <w:r>
              <w:rPr>
                <w:rFonts w:ascii="Calibri" w:cs="Calibri" w:eastAsia="Calibri" w:hAnsi="Calibri"/>
                <w:sz w:val="18"/>
                <w:szCs w:val="18"/>
                <w:b w:val="1"/>
                <w:bCs w:val="1"/>
                <w:color w:val="auto"/>
              </w:rPr>
              <w:t>2024</w:t>
            </w:r>
          </w:p>
        </w:tc>
        <w:tc>
          <w:tcPr>
            <w:tcW w:w="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line="216" w:lineRule="exact"/>
              <w:rPr>
                <w:sz w:val="20"/>
                <w:szCs w:val="20"/>
                <w:color w:val="auto"/>
              </w:rPr>
            </w:pPr>
            <w:r>
              <w:rPr>
                <w:rFonts w:ascii="Calibri" w:cs="Calibri" w:eastAsia="Calibri" w:hAnsi="Calibri"/>
                <w:sz w:val="18"/>
                <w:szCs w:val="18"/>
                <w:b w:val="1"/>
                <w:bCs w:val="1"/>
                <w:color w:val="auto"/>
              </w:rPr>
              <w:t>2023</w:t>
            </w:r>
          </w:p>
        </w:tc>
        <w:tc>
          <w:tcPr>
            <w:tcW w:w="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line="216" w:lineRule="exact"/>
              <w:rPr>
                <w:sz w:val="20"/>
                <w:szCs w:val="20"/>
                <w:color w:val="auto"/>
              </w:rPr>
            </w:pPr>
            <w:r>
              <w:rPr>
                <w:rFonts w:ascii="Calibri" w:cs="Calibri" w:eastAsia="Calibri" w:hAnsi="Calibri"/>
                <w:sz w:val="18"/>
                <w:szCs w:val="18"/>
                <w:b w:val="1"/>
                <w:bCs w:val="1"/>
                <w:color w:val="auto"/>
              </w:rPr>
              <w:t>2022</w:t>
            </w:r>
          </w:p>
        </w:tc>
        <w:tc>
          <w:tcPr>
            <w:tcW w:w="120" w:type="dxa"/>
            <w:vAlign w:val="bottom"/>
          </w:tcPr>
          <w:p>
            <w:pPr>
              <w:spacing w:after="0"/>
              <w:rPr>
                <w:sz w:val="20"/>
                <w:szCs w:val="20"/>
                <w:color w:val="auto"/>
              </w:rPr>
            </w:pPr>
          </w:p>
        </w:tc>
      </w:tr>
      <w:tr>
        <w:trPr>
          <w:trHeight w:val="213"/>
        </w:trPr>
        <w:tc>
          <w:tcPr>
            <w:tcW w:w="6160" w:type="dxa"/>
            <w:vAlign w:val="bottom"/>
            <w:shd w:val="clear" w:color="auto" w:fill="CFF0FC"/>
          </w:tcPr>
          <w:p>
            <w:pPr>
              <w:ind w:left="20"/>
              <w:spacing w:after="0" w:line="213" w:lineRule="exact"/>
              <w:rPr>
                <w:sz w:val="20"/>
                <w:szCs w:val="20"/>
                <w:color w:val="auto"/>
              </w:rPr>
            </w:pPr>
            <w:r>
              <w:rPr>
                <w:rFonts w:ascii="Calibri" w:cs="Calibri" w:eastAsia="Calibri" w:hAnsi="Calibri"/>
                <w:sz w:val="18"/>
                <w:szCs w:val="18"/>
                <w:b w:val="1"/>
                <w:bCs w:val="1"/>
                <w:color w:val="auto"/>
              </w:rPr>
              <w:t>Currency translaton adjustments</w:t>
            </w: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60" w:type="dxa"/>
            <w:vAlign w:val="bottom"/>
            <w:tcBorders>
              <w:left w:val="single" w:sz="8" w:color="CFF0FC"/>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5"/>
        </w:trPr>
        <w:tc>
          <w:tcPr>
            <w:tcW w:w="6160" w:type="dxa"/>
            <w:vAlign w:val="bottom"/>
          </w:tcPr>
          <w:p>
            <w:pPr>
              <w:ind w:left="200"/>
              <w:spacing w:after="0" w:line="215" w:lineRule="exact"/>
              <w:rPr>
                <w:sz w:val="20"/>
                <w:szCs w:val="20"/>
                <w:color w:val="auto"/>
              </w:rPr>
            </w:pPr>
            <w:r>
              <w:rPr>
                <w:rFonts w:ascii="Calibri" w:cs="Calibri" w:eastAsia="Calibri" w:hAnsi="Calibri"/>
                <w:sz w:val="18"/>
                <w:szCs w:val="18"/>
                <w:color w:val="auto"/>
              </w:rPr>
              <w:t>Currency translaton adjustments</w:t>
            </w:r>
          </w:p>
        </w:tc>
        <w:tc>
          <w:tcPr>
            <w:tcW w:w="34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w w:val="87"/>
              </w:rPr>
              <w:t>$</w:t>
            </w: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(16 )</w:t>
            </w:r>
          </w:p>
        </w:tc>
        <w:tc>
          <w:tcPr>
            <w:tcW w:w="600" w:type="dxa"/>
            <w:vAlign w:val="bottom"/>
            <w:gridSpan w:val="2"/>
          </w:tcPr>
          <w:p>
            <w:pPr>
              <w:jc w:val="right"/>
              <w:ind w:right="220"/>
              <w:spacing w:after="0" w:line="215" w:lineRule="exact"/>
              <w:rPr>
                <w:sz w:val="20"/>
                <w:szCs w:val="20"/>
                <w:color w:val="auto"/>
              </w:rPr>
            </w:pPr>
            <w:r>
              <w:rPr>
                <w:rFonts w:ascii="Calibri" w:cs="Calibri" w:eastAsia="Calibri" w:hAnsi="Calibri"/>
                <w:sz w:val="18"/>
                <w:szCs w:val="18"/>
                <w:color w:val="auto"/>
              </w:rPr>
              <w:t>$</w:t>
            </w:r>
          </w:p>
        </w:tc>
        <w:tc>
          <w:tcPr>
            <w:tcW w:w="140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(8 )</w:t>
            </w:r>
          </w:p>
        </w:tc>
        <w:tc>
          <w:tcPr>
            <w:tcW w:w="34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w:t>
            </w:r>
          </w:p>
        </w:tc>
        <w:tc>
          <w:tcPr>
            <w:tcW w:w="1260" w:type="dxa"/>
            <w:vAlign w:val="bottom"/>
            <w:gridSpan w:val="2"/>
          </w:tcPr>
          <w:p>
            <w:pPr>
              <w:jc w:val="right"/>
              <w:ind w:right="60"/>
              <w:spacing w:after="0" w:line="215" w:lineRule="exact"/>
              <w:rPr>
                <w:sz w:val="20"/>
                <w:szCs w:val="20"/>
                <w:color w:val="auto"/>
              </w:rPr>
            </w:pPr>
            <w:r>
              <w:rPr>
                <w:rFonts w:ascii="Calibri" w:cs="Calibri" w:eastAsia="Calibri" w:hAnsi="Calibri"/>
                <w:sz w:val="18"/>
                <w:szCs w:val="18"/>
                <w:color w:val="auto"/>
              </w:rPr>
              <w:t>(12 )</w:t>
            </w:r>
          </w:p>
        </w:tc>
      </w:tr>
      <w:tr>
        <w:trPr>
          <w:trHeight w:val="217"/>
        </w:trPr>
        <w:tc>
          <w:tcPr>
            <w:tcW w:w="616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b w:val="1"/>
                <w:bCs w:val="1"/>
                <w:color w:val="auto"/>
              </w:rPr>
              <w:t>Pension and other postretrement beneft plan changes</w:t>
            </w: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60" w:type="dxa"/>
            <w:vAlign w:val="bottom"/>
            <w:tcBorders>
              <w:left w:val="single" w:sz="8" w:color="CFF0FC"/>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5"/>
        </w:trPr>
        <w:tc>
          <w:tcPr>
            <w:tcW w:w="6160" w:type="dxa"/>
            <w:vAlign w:val="bottom"/>
          </w:tcPr>
          <w:p>
            <w:pPr>
              <w:ind w:left="200"/>
              <w:spacing w:after="0" w:line="215" w:lineRule="exact"/>
              <w:rPr>
                <w:sz w:val="20"/>
                <w:szCs w:val="20"/>
                <w:color w:val="auto"/>
              </w:rPr>
            </w:pPr>
            <w:r>
              <w:rPr>
                <w:rFonts w:ascii="Calibri" w:cs="Calibri" w:eastAsia="Calibri" w:hAnsi="Calibri"/>
                <w:sz w:val="18"/>
                <w:szCs w:val="18"/>
                <w:color w:val="auto"/>
              </w:rPr>
              <w:t>Newly established net actuarial (loss) gain</w:t>
            </w:r>
          </w:p>
        </w:tc>
        <w:tc>
          <w:tcPr>
            <w:tcW w:w="340" w:type="dxa"/>
            <w:vAlign w:val="bottom"/>
          </w:tcPr>
          <w:p>
            <w:pPr>
              <w:spacing w:after="0"/>
              <w:rPr>
                <w:sz w:val="18"/>
                <w:szCs w:val="18"/>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(334 )</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(122 )</w:t>
            </w:r>
          </w:p>
        </w:tc>
        <w:tc>
          <w:tcPr>
            <w:tcW w:w="340" w:type="dxa"/>
            <w:vAlign w:val="bottom"/>
          </w:tcPr>
          <w:p>
            <w:pPr>
              <w:spacing w:after="0"/>
              <w:rPr>
                <w:sz w:val="18"/>
                <w:szCs w:val="18"/>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277</w:t>
            </w:r>
          </w:p>
        </w:tc>
        <w:tc>
          <w:tcPr>
            <w:tcW w:w="120" w:type="dxa"/>
            <w:vAlign w:val="bottom"/>
          </w:tcPr>
          <w:p>
            <w:pPr>
              <w:spacing w:after="0"/>
              <w:rPr>
                <w:sz w:val="18"/>
                <w:szCs w:val="18"/>
                <w:color w:val="auto"/>
              </w:rPr>
            </w:pPr>
          </w:p>
        </w:tc>
      </w:tr>
      <w:tr>
        <w:trPr>
          <w:trHeight w:val="217"/>
        </w:trPr>
        <w:tc>
          <w:tcPr>
            <w:tcW w:w="616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Newly established prior service cost</w:t>
            </w: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w:t>
            </w:r>
          </w:p>
        </w:tc>
        <w:tc>
          <w:tcPr>
            <w:tcW w:w="260" w:type="dxa"/>
            <w:vAlign w:val="bottom"/>
            <w:tcBorders>
              <w:left w:val="single" w:sz="8" w:color="CFF0FC"/>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00"/>
              <w:spacing w:after="0" w:line="216" w:lineRule="exact"/>
              <w:rPr>
                <w:sz w:val="20"/>
                <w:szCs w:val="20"/>
                <w:color w:val="auto"/>
              </w:rPr>
            </w:pPr>
            <w:r>
              <w:rPr>
                <w:rFonts w:ascii="Calibri" w:cs="Calibri" w:eastAsia="Calibri" w:hAnsi="Calibri"/>
                <w:sz w:val="18"/>
                <w:szCs w:val="18"/>
                <w:color w:val="auto"/>
              </w:rPr>
              <w:t>(29 )</w:t>
            </w:r>
          </w:p>
        </w:tc>
        <w:tc>
          <w:tcPr>
            <w:tcW w:w="3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60"/>
              <w:spacing w:after="0" w:line="216" w:lineRule="exact"/>
              <w:rPr>
                <w:sz w:val="20"/>
                <w:szCs w:val="20"/>
                <w:color w:val="auto"/>
              </w:rPr>
            </w:pPr>
            <w:r>
              <w:rPr>
                <w:rFonts w:ascii="Calibri" w:cs="Calibri" w:eastAsia="Calibri" w:hAnsi="Calibri"/>
                <w:sz w:val="18"/>
                <w:szCs w:val="18"/>
                <w:color w:val="auto"/>
              </w:rPr>
              <w:t>(28 )</w:t>
            </w:r>
          </w:p>
        </w:tc>
      </w:tr>
      <w:tr>
        <w:trPr>
          <w:trHeight w:val="215"/>
        </w:trPr>
        <w:tc>
          <w:tcPr>
            <w:tcW w:w="6160" w:type="dxa"/>
            <w:vAlign w:val="bottom"/>
          </w:tcPr>
          <w:p>
            <w:pPr>
              <w:ind w:left="200"/>
              <w:spacing w:after="0" w:line="215" w:lineRule="exact"/>
              <w:rPr>
                <w:sz w:val="20"/>
                <w:szCs w:val="20"/>
                <w:color w:val="auto"/>
              </w:rPr>
            </w:pPr>
            <w:r>
              <w:rPr>
                <w:rFonts w:ascii="Calibri" w:cs="Calibri" w:eastAsia="Calibri" w:hAnsi="Calibri"/>
                <w:sz w:val="18"/>
                <w:szCs w:val="18"/>
                <w:color w:val="auto"/>
              </w:rPr>
              <w:t>Tax beneft</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8"/>
                <w:szCs w:val="18"/>
                <w:color w:val="auto"/>
              </w:rPr>
            </w:pPr>
          </w:p>
        </w:tc>
      </w:tr>
      <w:tr>
        <w:trPr>
          <w:trHeight w:val="210"/>
        </w:trPr>
        <w:tc>
          <w:tcPr>
            <w:tcW w:w="6160" w:type="dxa"/>
            <w:vAlign w:val="bottom"/>
            <w:shd w:val="clear" w:color="auto" w:fill="CFF0FC"/>
          </w:tcPr>
          <w:p>
            <w:pPr>
              <w:ind w:left="560"/>
              <w:spacing w:after="0" w:line="209" w:lineRule="exact"/>
              <w:rPr>
                <w:sz w:val="20"/>
                <w:szCs w:val="20"/>
                <w:color w:val="auto"/>
              </w:rPr>
            </w:pPr>
            <w:r>
              <w:rPr>
                <w:rFonts w:ascii="Calibri" w:cs="Calibri" w:eastAsia="Calibri" w:hAnsi="Calibri"/>
                <w:sz w:val="18"/>
                <w:szCs w:val="18"/>
                <w:color w:val="auto"/>
              </w:rPr>
              <w:t>Newly established net actuarial (loss) gain, net of tax</w:t>
            </w: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(334 )</w:t>
            </w:r>
          </w:p>
        </w:tc>
        <w:tc>
          <w:tcPr>
            <w:tcW w:w="260" w:type="dxa"/>
            <w:vAlign w:val="bottom"/>
            <w:tcBorders>
              <w:left w:val="single" w:sz="8" w:color="CFF0FC"/>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00"/>
              <w:spacing w:after="0" w:line="209" w:lineRule="exact"/>
              <w:rPr>
                <w:sz w:val="20"/>
                <w:szCs w:val="20"/>
                <w:color w:val="auto"/>
              </w:rPr>
            </w:pPr>
            <w:r>
              <w:rPr>
                <w:rFonts w:ascii="Calibri" w:cs="Calibri" w:eastAsia="Calibri" w:hAnsi="Calibri"/>
                <w:sz w:val="18"/>
                <w:szCs w:val="18"/>
                <w:color w:val="auto"/>
              </w:rPr>
              <w:t>(151 )</w:t>
            </w: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249</w:t>
            </w:r>
          </w:p>
        </w:tc>
        <w:tc>
          <w:tcPr>
            <w:tcW w:w="120" w:type="dxa"/>
            <w:vAlign w:val="bottom"/>
            <w:shd w:val="clear" w:color="auto" w:fill="CFF0FC"/>
          </w:tcPr>
          <w:p>
            <w:pPr>
              <w:spacing w:after="0"/>
              <w:rPr>
                <w:sz w:val="18"/>
                <w:szCs w:val="18"/>
                <w:color w:val="auto"/>
              </w:rPr>
            </w:pPr>
          </w:p>
        </w:tc>
      </w:tr>
      <w:tr>
        <w:trPr>
          <w:trHeight w:val="209"/>
        </w:trPr>
        <w:tc>
          <w:tcPr>
            <w:tcW w:w="6160" w:type="dxa"/>
            <w:vAlign w:val="bottom"/>
            <w:tcBorders>
              <w:top w:val="single" w:sz="8" w:color="CFF0FC"/>
            </w:tcBorders>
          </w:tcPr>
          <w:p>
            <w:pPr>
              <w:ind w:left="200"/>
              <w:spacing w:after="0" w:line="209" w:lineRule="exact"/>
              <w:rPr>
                <w:sz w:val="20"/>
                <w:szCs w:val="20"/>
                <w:color w:val="auto"/>
              </w:rPr>
            </w:pPr>
            <w:r>
              <w:rPr>
                <w:rFonts w:ascii="Calibri" w:cs="Calibri" w:eastAsia="Calibri" w:hAnsi="Calibri"/>
                <w:sz w:val="18"/>
                <w:szCs w:val="18"/>
                <w:color w:val="auto"/>
              </w:rPr>
              <w:t>Reclassifcaton adjustments:</w:t>
            </w: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r>
      <w:tr>
        <w:trPr>
          <w:trHeight w:val="217"/>
        </w:trPr>
        <w:tc>
          <w:tcPr>
            <w:tcW w:w="6160" w:type="dxa"/>
            <w:vAlign w:val="bottom"/>
            <w:shd w:val="clear" w:color="auto" w:fill="CFF0FC"/>
          </w:tcPr>
          <w:p>
            <w:pPr>
              <w:ind w:left="380"/>
              <w:spacing w:after="0" w:line="216" w:lineRule="exact"/>
              <w:rPr>
                <w:sz w:val="20"/>
                <w:szCs w:val="20"/>
                <w:color w:val="auto"/>
              </w:rPr>
            </w:pPr>
            <w:r>
              <w:rPr>
                <w:rFonts w:ascii="Calibri" w:cs="Calibri" w:eastAsia="Calibri" w:hAnsi="Calibri"/>
                <w:sz w:val="18"/>
                <w:szCs w:val="18"/>
                <w:color w:val="auto"/>
              </w:rPr>
              <w:t>Amortzaton of prior service credit (cost)</w:t>
            </w: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11</w:t>
            </w:r>
          </w:p>
        </w:tc>
        <w:tc>
          <w:tcPr>
            <w:tcW w:w="260" w:type="dxa"/>
            <w:vAlign w:val="bottom"/>
            <w:tcBorders>
              <w:left w:val="single" w:sz="8" w:color="CFF0FC"/>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9</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60"/>
              <w:spacing w:after="0" w:line="216" w:lineRule="exact"/>
              <w:rPr>
                <w:sz w:val="20"/>
                <w:szCs w:val="20"/>
                <w:color w:val="auto"/>
              </w:rPr>
            </w:pPr>
            <w:r>
              <w:rPr>
                <w:rFonts w:ascii="Calibri" w:cs="Calibri" w:eastAsia="Calibri" w:hAnsi="Calibri"/>
                <w:sz w:val="18"/>
                <w:szCs w:val="18"/>
                <w:color w:val="auto"/>
              </w:rPr>
              <w:t>(4 )</w:t>
            </w:r>
          </w:p>
        </w:tc>
      </w:tr>
      <w:tr>
        <w:trPr>
          <w:trHeight w:val="215"/>
        </w:trPr>
        <w:tc>
          <w:tcPr>
            <w:tcW w:w="6160" w:type="dxa"/>
            <w:vAlign w:val="bottom"/>
          </w:tcPr>
          <w:p>
            <w:pPr>
              <w:ind w:left="380"/>
              <w:spacing w:after="0" w:line="215" w:lineRule="exact"/>
              <w:rPr>
                <w:sz w:val="20"/>
                <w:szCs w:val="20"/>
                <w:color w:val="auto"/>
              </w:rPr>
            </w:pPr>
            <w:r>
              <w:rPr>
                <w:rFonts w:ascii="Calibri" w:cs="Calibri" w:eastAsia="Calibri" w:hAnsi="Calibri"/>
                <w:sz w:val="18"/>
                <w:szCs w:val="18"/>
                <w:color w:val="auto"/>
              </w:rPr>
              <w:t>Amortzaton of actuarial (gains) losses</w:t>
            </w:r>
          </w:p>
        </w:tc>
        <w:tc>
          <w:tcPr>
            <w:tcW w:w="340" w:type="dxa"/>
            <w:vAlign w:val="bottom"/>
          </w:tcPr>
          <w:p>
            <w:pPr>
              <w:spacing w:after="0"/>
              <w:rPr>
                <w:sz w:val="18"/>
                <w:szCs w:val="18"/>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(38 )</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(31 )</w:t>
            </w:r>
          </w:p>
        </w:tc>
        <w:tc>
          <w:tcPr>
            <w:tcW w:w="340" w:type="dxa"/>
            <w:vAlign w:val="bottom"/>
          </w:tcPr>
          <w:p>
            <w:pPr>
              <w:spacing w:after="0"/>
              <w:rPr>
                <w:sz w:val="18"/>
                <w:szCs w:val="18"/>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8</w:t>
            </w:r>
          </w:p>
        </w:tc>
        <w:tc>
          <w:tcPr>
            <w:tcW w:w="120" w:type="dxa"/>
            <w:vAlign w:val="bottom"/>
          </w:tcPr>
          <w:p>
            <w:pPr>
              <w:spacing w:after="0"/>
              <w:rPr>
                <w:sz w:val="18"/>
                <w:szCs w:val="18"/>
                <w:color w:val="auto"/>
              </w:rPr>
            </w:pPr>
          </w:p>
        </w:tc>
      </w:tr>
      <w:tr>
        <w:trPr>
          <w:trHeight w:val="216"/>
        </w:trPr>
        <w:tc>
          <w:tcPr>
            <w:tcW w:w="6160" w:type="dxa"/>
            <w:vAlign w:val="bottom"/>
            <w:shd w:val="clear" w:color="auto" w:fill="CFF0FC"/>
          </w:tcPr>
          <w:p>
            <w:pPr>
              <w:ind w:left="380"/>
              <w:spacing w:after="0" w:line="216" w:lineRule="exact"/>
              <w:rPr>
                <w:sz w:val="20"/>
                <w:szCs w:val="20"/>
                <w:color w:val="auto"/>
              </w:rPr>
            </w:pPr>
            <w:r>
              <w:rPr>
                <w:rFonts w:ascii="Calibri" w:cs="Calibri" w:eastAsia="Calibri" w:hAnsi="Calibri"/>
                <w:sz w:val="18"/>
                <w:szCs w:val="18"/>
                <w:color w:val="auto"/>
              </w:rPr>
              <w:t>Recogniton of losses due to setlements and curtailments</w:t>
            </w: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(8 )</w:t>
            </w:r>
          </w:p>
        </w:tc>
        <w:tc>
          <w:tcPr>
            <w:tcW w:w="260" w:type="dxa"/>
            <w:vAlign w:val="bottom"/>
            <w:tcBorders>
              <w:left w:val="single" w:sz="8" w:color="CFF0FC"/>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80"/>
              <w:spacing w:after="0" w:line="216" w:lineRule="exact"/>
              <w:rPr>
                <w:sz w:val="20"/>
                <w:szCs w:val="20"/>
                <w:color w:val="auto"/>
              </w:rPr>
            </w:pPr>
            <w:r>
              <w:rPr>
                <w:rFonts w:ascii="Calibri" w:cs="Calibri" w:eastAsia="Calibri" w:hAnsi="Calibri"/>
                <w:sz w:val="18"/>
                <w:szCs w:val="18"/>
                <w:color w:val="auto"/>
              </w:rPr>
              <w:t>—</w:t>
            </w:r>
          </w:p>
        </w:tc>
        <w:tc>
          <w:tcPr>
            <w:tcW w:w="3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40"/>
              <w:spacing w:after="0" w:line="216" w:lineRule="exact"/>
              <w:rPr>
                <w:sz w:val="20"/>
                <w:szCs w:val="20"/>
                <w:color w:val="auto"/>
              </w:rPr>
            </w:pPr>
            <w:r>
              <w:rPr>
                <w:rFonts w:ascii="Calibri" w:cs="Calibri" w:eastAsia="Calibri" w:hAnsi="Calibri"/>
                <w:sz w:val="18"/>
                <w:szCs w:val="18"/>
                <w:color w:val="auto"/>
              </w:rPr>
              <w:t>—</w:t>
            </w:r>
          </w:p>
        </w:tc>
      </w:tr>
      <w:tr>
        <w:trPr>
          <w:trHeight w:val="20"/>
        </w:trPr>
        <w:tc>
          <w:tcPr>
            <w:tcW w:w="61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Borders>
              <w:left w:val="single" w:sz="8" w:color="CFF0FC"/>
            </w:tcBorders>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6160" w:type="dxa"/>
            <w:vAlign w:val="bottom"/>
          </w:tcPr>
          <w:p>
            <w:pPr>
              <w:ind w:left="560"/>
              <w:spacing w:after="0" w:line="209" w:lineRule="exact"/>
              <w:rPr>
                <w:sz w:val="20"/>
                <w:szCs w:val="20"/>
                <w:color w:val="auto"/>
              </w:rPr>
            </w:pPr>
            <w:r>
              <w:rPr>
                <w:rFonts w:ascii="Calibri" w:cs="Calibri" w:eastAsia="Calibri" w:hAnsi="Calibri"/>
                <w:sz w:val="18"/>
                <w:szCs w:val="18"/>
                <w:color w:val="auto"/>
              </w:rPr>
              <w:t>Total reclassifcaton adjustments (a)</w:t>
            </w:r>
          </w:p>
        </w:tc>
        <w:tc>
          <w:tcPr>
            <w:tcW w:w="340" w:type="dxa"/>
            <w:vAlign w:val="bottom"/>
          </w:tcPr>
          <w:p>
            <w:pPr>
              <w:spacing w:after="0"/>
              <w:rPr>
                <w:sz w:val="18"/>
                <w:szCs w:val="18"/>
                <w:color w:val="auto"/>
              </w:rPr>
            </w:pPr>
          </w:p>
        </w:tc>
        <w:tc>
          <w:tcPr>
            <w:tcW w:w="1140" w:type="dxa"/>
            <w:vAlign w:val="bottom"/>
          </w:tcPr>
          <w:p>
            <w:pPr>
              <w:jc w:val="right"/>
              <w:spacing w:after="0" w:line="209" w:lineRule="exact"/>
              <w:rPr>
                <w:sz w:val="20"/>
                <w:szCs w:val="20"/>
                <w:color w:val="auto"/>
              </w:rPr>
            </w:pPr>
            <w:r>
              <w:rPr>
                <w:rFonts w:ascii="Calibri" w:cs="Calibri" w:eastAsia="Calibri" w:hAnsi="Calibri"/>
                <w:sz w:val="18"/>
                <w:szCs w:val="18"/>
                <w:color w:val="auto"/>
              </w:rPr>
              <w:t>(35 )</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200"/>
              <w:spacing w:after="0" w:line="209" w:lineRule="exact"/>
              <w:rPr>
                <w:sz w:val="20"/>
                <w:szCs w:val="20"/>
                <w:color w:val="auto"/>
              </w:rPr>
            </w:pPr>
            <w:r>
              <w:rPr>
                <w:rFonts w:ascii="Calibri" w:cs="Calibri" w:eastAsia="Calibri" w:hAnsi="Calibri"/>
                <w:sz w:val="18"/>
                <w:szCs w:val="18"/>
                <w:color w:val="auto"/>
              </w:rPr>
              <w:t>(22 )</w:t>
            </w:r>
          </w:p>
        </w:tc>
        <w:tc>
          <w:tcPr>
            <w:tcW w:w="340" w:type="dxa"/>
            <w:vAlign w:val="bottom"/>
          </w:tcPr>
          <w:p>
            <w:pPr>
              <w:spacing w:after="0"/>
              <w:rPr>
                <w:sz w:val="18"/>
                <w:szCs w:val="18"/>
                <w:color w:val="auto"/>
              </w:rPr>
            </w:pPr>
          </w:p>
        </w:tc>
        <w:tc>
          <w:tcPr>
            <w:tcW w:w="1140" w:type="dxa"/>
            <w:vAlign w:val="bottom"/>
          </w:tcPr>
          <w:p>
            <w:pPr>
              <w:jc w:val="right"/>
              <w:spacing w:after="0" w:line="209" w:lineRule="exact"/>
              <w:rPr>
                <w:sz w:val="20"/>
                <w:szCs w:val="20"/>
                <w:color w:val="auto"/>
              </w:rPr>
            </w:pPr>
            <w:r>
              <w:rPr>
                <w:rFonts w:ascii="Calibri" w:cs="Calibri" w:eastAsia="Calibri" w:hAnsi="Calibri"/>
                <w:sz w:val="18"/>
                <w:szCs w:val="18"/>
                <w:color w:val="auto"/>
              </w:rPr>
              <w:t>4</w:t>
            </w:r>
          </w:p>
        </w:tc>
        <w:tc>
          <w:tcPr>
            <w:tcW w:w="120" w:type="dxa"/>
            <w:vAlign w:val="bottom"/>
          </w:tcPr>
          <w:p>
            <w:pPr>
              <w:spacing w:after="0"/>
              <w:rPr>
                <w:sz w:val="18"/>
                <w:szCs w:val="18"/>
                <w:color w:val="auto"/>
              </w:rPr>
            </w:pPr>
          </w:p>
        </w:tc>
      </w:tr>
      <w:tr>
        <w:trPr>
          <w:trHeight w:val="216"/>
        </w:trPr>
        <w:tc>
          <w:tcPr>
            <w:tcW w:w="6160" w:type="dxa"/>
            <w:vAlign w:val="bottom"/>
            <w:tcBorders>
              <w:bottom w:val="single" w:sz="8" w:color="CFF0FC"/>
            </w:tcBorders>
            <w:shd w:val="clear" w:color="auto" w:fill="CFF0FC"/>
          </w:tcPr>
          <w:p>
            <w:pPr>
              <w:ind w:left="380"/>
              <w:spacing w:after="0" w:line="216" w:lineRule="exact"/>
              <w:rPr>
                <w:sz w:val="20"/>
                <w:szCs w:val="20"/>
                <w:color w:val="auto"/>
              </w:rPr>
            </w:pPr>
            <w:r>
              <w:rPr>
                <w:rFonts w:ascii="Calibri" w:cs="Calibri" w:eastAsia="Calibri" w:hAnsi="Calibri"/>
                <w:sz w:val="18"/>
                <w:szCs w:val="18"/>
                <w:color w:val="auto"/>
              </w:rPr>
              <w:t>Tax provision</w:t>
            </w:r>
          </w:p>
        </w:tc>
        <w:tc>
          <w:tcPr>
            <w:tcW w:w="3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w:t>
            </w:r>
          </w:p>
        </w:tc>
        <w:tc>
          <w:tcPr>
            <w:tcW w:w="260" w:type="dxa"/>
            <w:vAlign w:val="bottom"/>
            <w:tcBorders>
              <w:left w:val="single" w:sz="8" w:color="CFF0FC"/>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6160" w:type="dxa"/>
            <w:vAlign w:val="bottom"/>
          </w:tcPr>
          <w:p>
            <w:pPr>
              <w:ind w:left="560"/>
              <w:spacing w:after="0" w:line="209" w:lineRule="exact"/>
              <w:rPr>
                <w:sz w:val="20"/>
                <w:szCs w:val="20"/>
                <w:color w:val="auto"/>
              </w:rPr>
            </w:pPr>
            <w:r>
              <w:rPr>
                <w:rFonts w:ascii="Calibri" w:cs="Calibri" w:eastAsia="Calibri" w:hAnsi="Calibri"/>
                <w:sz w:val="18"/>
                <w:szCs w:val="18"/>
                <w:color w:val="auto"/>
              </w:rPr>
              <w:t>Reclassifcaton adjustments, net of tax</w:t>
            </w:r>
          </w:p>
        </w:tc>
        <w:tc>
          <w:tcPr>
            <w:tcW w:w="340" w:type="dxa"/>
            <w:vAlign w:val="bottom"/>
          </w:tcPr>
          <w:p>
            <w:pPr>
              <w:spacing w:after="0"/>
              <w:rPr>
                <w:sz w:val="18"/>
                <w:szCs w:val="18"/>
                <w:color w:val="auto"/>
              </w:rPr>
            </w:pPr>
          </w:p>
        </w:tc>
        <w:tc>
          <w:tcPr>
            <w:tcW w:w="1140" w:type="dxa"/>
            <w:vAlign w:val="bottom"/>
          </w:tcPr>
          <w:p>
            <w:pPr>
              <w:jc w:val="right"/>
              <w:spacing w:after="0" w:line="209" w:lineRule="exact"/>
              <w:rPr>
                <w:sz w:val="20"/>
                <w:szCs w:val="20"/>
                <w:color w:val="auto"/>
              </w:rPr>
            </w:pPr>
            <w:r>
              <w:rPr>
                <w:rFonts w:ascii="Calibri" w:cs="Calibri" w:eastAsia="Calibri" w:hAnsi="Calibri"/>
                <w:sz w:val="18"/>
                <w:szCs w:val="18"/>
                <w:color w:val="auto"/>
              </w:rPr>
              <w:t>(35 )</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200"/>
              <w:spacing w:after="0" w:line="209" w:lineRule="exact"/>
              <w:rPr>
                <w:sz w:val="20"/>
                <w:szCs w:val="20"/>
                <w:color w:val="auto"/>
              </w:rPr>
            </w:pPr>
            <w:r>
              <w:rPr>
                <w:rFonts w:ascii="Calibri" w:cs="Calibri" w:eastAsia="Calibri" w:hAnsi="Calibri"/>
                <w:sz w:val="18"/>
                <w:szCs w:val="18"/>
                <w:color w:val="auto"/>
              </w:rPr>
              <w:t>(22 )</w:t>
            </w:r>
          </w:p>
        </w:tc>
        <w:tc>
          <w:tcPr>
            <w:tcW w:w="340" w:type="dxa"/>
            <w:vAlign w:val="bottom"/>
          </w:tcPr>
          <w:p>
            <w:pPr>
              <w:spacing w:after="0"/>
              <w:rPr>
                <w:sz w:val="18"/>
                <w:szCs w:val="18"/>
                <w:color w:val="auto"/>
              </w:rPr>
            </w:pPr>
          </w:p>
        </w:tc>
        <w:tc>
          <w:tcPr>
            <w:tcW w:w="1140" w:type="dxa"/>
            <w:vAlign w:val="bottom"/>
          </w:tcPr>
          <w:p>
            <w:pPr>
              <w:jc w:val="right"/>
              <w:spacing w:after="0" w:line="209" w:lineRule="exact"/>
              <w:rPr>
                <w:sz w:val="20"/>
                <w:szCs w:val="20"/>
                <w:color w:val="auto"/>
              </w:rPr>
            </w:pPr>
            <w:r>
              <w:rPr>
                <w:rFonts w:ascii="Calibri" w:cs="Calibri" w:eastAsia="Calibri" w:hAnsi="Calibri"/>
                <w:sz w:val="18"/>
                <w:szCs w:val="18"/>
                <w:color w:val="auto"/>
              </w:rPr>
              <w:t>4</w:t>
            </w:r>
          </w:p>
        </w:tc>
        <w:tc>
          <w:tcPr>
            <w:tcW w:w="120" w:type="dxa"/>
            <w:vAlign w:val="bottom"/>
          </w:tcPr>
          <w:p>
            <w:pPr>
              <w:spacing w:after="0"/>
              <w:rPr>
                <w:sz w:val="18"/>
                <w:szCs w:val="18"/>
                <w:color w:val="auto"/>
              </w:rPr>
            </w:pPr>
          </w:p>
        </w:tc>
      </w:tr>
      <w:tr>
        <w:trPr>
          <w:trHeight w:val="20"/>
        </w:trPr>
        <w:tc>
          <w:tcPr>
            <w:tcW w:w="6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6160" w:type="dxa"/>
            <w:vAlign w:val="bottom"/>
            <w:shd w:val="clear" w:color="auto" w:fill="CFF0FC"/>
          </w:tcPr>
          <w:p>
            <w:pPr>
              <w:ind w:left="200"/>
              <w:spacing w:after="0" w:line="209" w:lineRule="exact"/>
              <w:rPr>
                <w:sz w:val="20"/>
                <w:szCs w:val="20"/>
                <w:color w:val="auto"/>
              </w:rPr>
            </w:pPr>
            <w:r>
              <w:rPr>
                <w:rFonts w:ascii="Calibri" w:cs="Calibri" w:eastAsia="Calibri" w:hAnsi="Calibri"/>
                <w:sz w:val="18"/>
                <w:szCs w:val="18"/>
                <w:color w:val="auto"/>
              </w:rPr>
              <w:t>Pension and other postretrement beneft plan changes, net of tax</w:t>
            </w: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(369 )</w:t>
            </w:r>
          </w:p>
        </w:tc>
        <w:tc>
          <w:tcPr>
            <w:tcW w:w="260" w:type="dxa"/>
            <w:vAlign w:val="bottom"/>
            <w:tcBorders>
              <w:left w:val="single" w:sz="8" w:color="CFF0FC"/>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00"/>
              <w:spacing w:after="0" w:line="209" w:lineRule="exact"/>
              <w:rPr>
                <w:sz w:val="20"/>
                <w:szCs w:val="20"/>
                <w:color w:val="auto"/>
              </w:rPr>
            </w:pPr>
            <w:r>
              <w:rPr>
                <w:rFonts w:ascii="Calibri" w:cs="Calibri" w:eastAsia="Calibri" w:hAnsi="Calibri"/>
                <w:sz w:val="18"/>
                <w:szCs w:val="18"/>
                <w:color w:val="auto"/>
              </w:rPr>
              <w:t>(173 )</w:t>
            </w: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253</w:t>
            </w:r>
          </w:p>
        </w:tc>
        <w:tc>
          <w:tcPr>
            <w:tcW w:w="120" w:type="dxa"/>
            <w:vAlign w:val="bottom"/>
            <w:shd w:val="clear" w:color="auto" w:fill="CFF0FC"/>
          </w:tcPr>
          <w:p>
            <w:pPr>
              <w:spacing w:after="0"/>
              <w:rPr>
                <w:sz w:val="18"/>
                <w:szCs w:val="18"/>
                <w:color w:val="auto"/>
              </w:rPr>
            </w:pPr>
          </w:p>
        </w:tc>
      </w:tr>
      <w:tr>
        <w:trPr>
          <w:trHeight w:val="20"/>
        </w:trPr>
        <w:tc>
          <w:tcPr>
            <w:tcW w:w="61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Borders>
              <w:left w:val="single" w:sz="8" w:color="CFF0FC"/>
            </w:tcBorders>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6160" w:type="dxa"/>
            <w:vAlign w:val="bottom"/>
          </w:tcPr>
          <w:p>
            <w:pPr>
              <w:ind w:left="20"/>
              <w:spacing w:after="0" w:line="210" w:lineRule="exact"/>
              <w:rPr>
                <w:sz w:val="20"/>
                <w:szCs w:val="20"/>
                <w:color w:val="auto"/>
              </w:rPr>
            </w:pPr>
            <w:r>
              <w:rPr>
                <w:rFonts w:ascii="Calibri" w:cs="Calibri" w:eastAsia="Calibri" w:hAnsi="Calibri"/>
                <w:sz w:val="18"/>
                <w:szCs w:val="18"/>
                <w:color w:val="auto"/>
              </w:rPr>
              <w:t>Other comprehensive (loss) income</w:t>
            </w:r>
          </w:p>
        </w:tc>
        <w:tc>
          <w:tcPr>
            <w:tcW w:w="340" w:type="dxa"/>
            <w:vAlign w:val="bottom"/>
          </w:tcPr>
          <w:p>
            <w:pPr>
              <w:jc w:val="right"/>
              <w:ind w:right="150"/>
              <w:spacing w:after="0" w:line="210" w:lineRule="exact"/>
              <w:rPr>
                <w:sz w:val="20"/>
                <w:szCs w:val="20"/>
                <w:color w:val="auto"/>
              </w:rPr>
            </w:pPr>
            <w:r>
              <w:rPr>
                <w:rFonts w:ascii="Calibri" w:cs="Calibri" w:eastAsia="Calibri" w:hAnsi="Calibri"/>
                <w:sz w:val="18"/>
                <w:szCs w:val="18"/>
                <w:color w:val="auto"/>
                <w:w w:val="87"/>
              </w:rPr>
              <w:t>$</w:t>
            </w:r>
          </w:p>
        </w:tc>
        <w:tc>
          <w:tcPr>
            <w:tcW w:w="1140" w:type="dxa"/>
            <w:vAlign w:val="bottom"/>
          </w:tcPr>
          <w:p>
            <w:pPr>
              <w:jc w:val="right"/>
              <w:spacing w:after="0" w:line="210" w:lineRule="exact"/>
              <w:rPr>
                <w:sz w:val="20"/>
                <w:szCs w:val="20"/>
                <w:color w:val="auto"/>
              </w:rPr>
            </w:pPr>
            <w:r>
              <w:rPr>
                <w:rFonts w:ascii="Calibri" w:cs="Calibri" w:eastAsia="Calibri" w:hAnsi="Calibri"/>
                <w:sz w:val="18"/>
                <w:szCs w:val="18"/>
                <w:color w:val="auto"/>
              </w:rPr>
              <w:t>(385 )</w:t>
            </w:r>
          </w:p>
        </w:tc>
        <w:tc>
          <w:tcPr>
            <w:tcW w:w="600" w:type="dxa"/>
            <w:vAlign w:val="bottom"/>
            <w:gridSpan w:val="2"/>
          </w:tcPr>
          <w:p>
            <w:pPr>
              <w:jc w:val="right"/>
              <w:ind w:right="220"/>
              <w:spacing w:after="0" w:line="210" w:lineRule="exact"/>
              <w:rPr>
                <w:sz w:val="20"/>
                <w:szCs w:val="20"/>
                <w:color w:val="auto"/>
              </w:rPr>
            </w:pPr>
            <w:r>
              <w:rPr>
                <w:rFonts w:ascii="Calibri" w:cs="Calibri" w:eastAsia="Calibri" w:hAnsi="Calibri"/>
                <w:sz w:val="18"/>
                <w:szCs w:val="18"/>
                <w:color w:val="auto"/>
              </w:rPr>
              <w:t>$</w:t>
            </w:r>
          </w:p>
        </w:tc>
        <w:tc>
          <w:tcPr>
            <w:tcW w:w="1400" w:type="dxa"/>
            <w:vAlign w:val="bottom"/>
            <w:gridSpan w:val="2"/>
          </w:tcPr>
          <w:p>
            <w:pPr>
              <w:jc w:val="right"/>
              <w:ind w:right="200"/>
              <w:spacing w:after="0" w:line="210" w:lineRule="exact"/>
              <w:rPr>
                <w:sz w:val="20"/>
                <w:szCs w:val="20"/>
                <w:color w:val="auto"/>
              </w:rPr>
            </w:pPr>
            <w:r>
              <w:rPr>
                <w:rFonts w:ascii="Calibri" w:cs="Calibri" w:eastAsia="Calibri" w:hAnsi="Calibri"/>
                <w:sz w:val="18"/>
                <w:szCs w:val="18"/>
                <w:color w:val="auto"/>
              </w:rPr>
              <w:t>(181 )</w:t>
            </w:r>
          </w:p>
        </w:tc>
        <w:tc>
          <w:tcPr>
            <w:tcW w:w="340" w:type="dxa"/>
            <w:vAlign w:val="bottom"/>
          </w:tcPr>
          <w:p>
            <w:pPr>
              <w:jc w:val="right"/>
              <w:ind w:right="130"/>
              <w:spacing w:after="0" w:line="210" w:lineRule="exact"/>
              <w:rPr>
                <w:sz w:val="20"/>
                <w:szCs w:val="20"/>
                <w:color w:val="auto"/>
              </w:rPr>
            </w:pPr>
            <w:r>
              <w:rPr>
                <w:rFonts w:ascii="Calibri" w:cs="Calibri" w:eastAsia="Calibri" w:hAnsi="Calibri"/>
                <w:sz w:val="18"/>
                <w:szCs w:val="18"/>
                <w:color w:val="auto"/>
              </w:rPr>
              <w:t>$</w:t>
            </w:r>
          </w:p>
        </w:tc>
        <w:tc>
          <w:tcPr>
            <w:tcW w:w="1140" w:type="dxa"/>
            <w:vAlign w:val="bottom"/>
          </w:tcPr>
          <w:p>
            <w:pPr>
              <w:jc w:val="right"/>
              <w:spacing w:after="0" w:line="210" w:lineRule="exact"/>
              <w:rPr>
                <w:sz w:val="20"/>
                <w:szCs w:val="20"/>
                <w:color w:val="auto"/>
              </w:rPr>
            </w:pPr>
            <w:r>
              <w:rPr>
                <w:rFonts w:ascii="Calibri" w:cs="Calibri" w:eastAsia="Calibri" w:hAnsi="Calibri"/>
                <w:sz w:val="18"/>
                <w:szCs w:val="18"/>
                <w:color w:val="auto"/>
              </w:rPr>
              <w:t>241</w:t>
            </w:r>
          </w:p>
        </w:tc>
        <w:tc>
          <w:tcPr>
            <w:tcW w:w="120" w:type="dxa"/>
            <w:vAlign w:val="bottom"/>
          </w:tcPr>
          <w:p>
            <w:pPr>
              <w:spacing w:after="0"/>
              <w:rPr>
                <w:sz w:val="18"/>
                <w:szCs w:val="18"/>
                <w:color w:val="auto"/>
              </w:rPr>
            </w:pPr>
          </w:p>
        </w:tc>
      </w:tr>
      <w:tr>
        <w:trPr>
          <w:trHeight w:val="20"/>
        </w:trPr>
        <w:tc>
          <w:tcPr>
            <w:tcW w:w="6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-1302385</wp:posOffset>
            </wp:positionV>
            <wp:extent cx="68580"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-1302385</wp:posOffset>
            </wp:positionV>
            <wp:extent cx="68580"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-1302385</wp:posOffset>
            </wp:positionV>
            <wp:extent cx="77470"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-745490</wp:posOffset>
            </wp:positionV>
            <wp:extent cx="68580"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-745490</wp:posOffset>
            </wp:positionV>
            <wp:extent cx="68580"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-745490</wp:posOffset>
            </wp:positionV>
            <wp:extent cx="77470"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-462280</wp:posOffset>
            </wp:positionV>
            <wp:extent cx="68580"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-462280</wp:posOffset>
            </wp:positionV>
            <wp:extent cx="68580"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-462280</wp:posOffset>
            </wp:positionV>
            <wp:extent cx="77470"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-170815</wp:posOffset>
            </wp:positionV>
            <wp:extent cx="68580"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-170815</wp:posOffset>
            </wp:positionV>
            <wp:extent cx="68580"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96" w:lineRule="exact"/>
        <w:rPr>
          <w:sz w:val="20"/>
          <w:szCs w:val="20"/>
          <w:color w:val="auto"/>
        </w:rPr>
      </w:pPr>
    </w:p>
    <w:p>
      <w:pPr>
        <w:ind w:left="280" w:hanging="272"/>
        <w:spacing w:after="0"/>
        <w:tabs>
          <w:tab w:leader="none" w:pos="280" w:val="left"/>
        </w:tabs>
        <w:numPr>
          <w:ilvl w:val="0"/>
          <w:numId w:val="45"/>
        </w:numPr>
        <w:rPr>
          <w:rFonts w:ascii="Calibri" w:cs="Calibri" w:eastAsia="Calibri" w:hAnsi="Calibri"/>
          <w:sz w:val="24"/>
          <w:szCs w:val="24"/>
          <w:color w:val="auto"/>
          <w:vertAlign w:val="superscript"/>
        </w:rPr>
      </w:pPr>
      <w:r>
        <w:rPr>
          <w:rFonts w:ascii="Calibri" w:cs="Calibri" w:eastAsia="Calibri" w:hAnsi="Calibri"/>
          <w:sz w:val="18"/>
          <w:szCs w:val="18"/>
          <w:color w:val="auto"/>
        </w:rPr>
        <w:t>Reclassifed to Pension income - refer to Note 19, "Retrement Plans" and Note 20, "Other Postretrement Benefts" for additonal informaton.</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25: ACCUMULATED OTHER COMPREHENSIVE (LOSS) INCOME</w:t>
      </w:r>
    </w:p>
    <w:p>
      <w:pPr>
        <w:spacing w:after="0" w:line="185" w:lineRule="exact"/>
        <w:rPr>
          <w:sz w:val="20"/>
          <w:szCs w:val="20"/>
          <w:color w:val="auto"/>
        </w:rPr>
      </w:pPr>
    </w:p>
    <w:p>
      <w:pPr>
        <w:spacing w:after="0"/>
        <w:rPr>
          <w:sz w:val="20"/>
          <w:szCs w:val="20"/>
          <w:color w:val="auto"/>
        </w:rPr>
      </w:pPr>
      <w:r>
        <w:rPr>
          <w:rFonts w:ascii="Calibri" w:cs="Calibri" w:eastAsia="Calibri" w:hAnsi="Calibri"/>
          <w:sz w:val="18"/>
          <w:szCs w:val="18"/>
          <w:color w:val="auto"/>
        </w:rPr>
        <w:t>Accumulated other comprehensive (loss) income is composed of the following:</w:t>
      </w:r>
    </w:p>
    <w:p>
      <w:pPr>
        <w:spacing w:after="0" w:line="212" w:lineRule="exact"/>
        <w:rPr>
          <w:sz w:val="20"/>
          <w:szCs w:val="20"/>
          <w:color w:val="auto"/>
        </w:rPr>
      </w:pPr>
    </w:p>
    <w:p>
      <w:pPr>
        <w:ind w:left="8600"/>
        <w:spacing w:after="0"/>
        <w:rPr>
          <w:sz w:val="20"/>
          <w:szCs w:val="20"/>
          <w:color w:val="auto"/>
        </w:rPr>
      </w:pPr>
      <w:r>
        <w:rPr>
          <w:rFonts w:ascii="Calibri" w:cs="Calibri" w:eastAsia="Calibri" w:hAnsi="Calibri"/>
          <w:sz w:val="18"/>
          <w:szCs w:val="18"/>
          <w:b w:val="1"/>
          <w:bCs w:val="1"/>
          <w:color w:val="auto"/>
        </w:rPr>
        <w:t>As of December 31,</w:t>
      </w:r>
    </w:p>
    <w:tbl>
      <w:tblPr>
        <w:tblLayout w:type="fixed"/>
        <w:tblInd w:w="0" w:type="dxa"/>
        <w:tblCellMar>
          <w:top w:w="0" w:type="dxa"/>
          <w:left w:w="0" w:type="dxa"/>
          <w:bottom w:w="0" w:type="dxa"/>
          <w:right w:w="0" w:type="dxa"/>
        </w:tblCellMar>
      </w:tblPr>
      <w:tr>
        <w:trPr>
          <w:trHeight w:val="236"/>
        </w:trPr>
        <w:tc>
          <w:tcPr>
            <w:tcW w:w="7620" w:type="dxa"/>
            <w:vAlign w:val="bottom"/>
          </w:tcPr>
          <w:p>
            <w:pPr>
              <w:ind w:left="20"/>
              <w:spacing w:after="0"/>
              <w:rPr>
                <w:sz w:val="20"/>
                <w:szCs w:val="20"/>
                <w:color w:val="auto"/>
              </w:rPr>
            </w:pPr>
            <w:r>
              <w:rPr>
                <w:rFonts w:ascii="Calibri" w:cs="Calibri" w:eastAsia="Calibri" w:hAnsi="Calibri"/>
                <w:sz w:val="14"/>
                <w:szCs w:val="14"/>
                <w:color w:val="auto"/>
              </w:rPr>
              <w:t>(in millions)</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line="216" w:lineRule="exact"/>
              <w:rPr>
                <w:sz w:val="20"/>
                <w:szCs w:val="20"/>
                <w:color w:val="auto"/>
              </w:rPr>
            </w:pPr>
            <w:r>
              <w:rPr>
                <w:rFonts w:ascii="Calibri" w:cs="Calibri" w:eastAsia="Calibri" w:hAnsi="Calibri"/>
                <w:sz w:val="18"/>
                <w:szCs w:val="18"/>
                <w:b w:val="1"/>
                <w:bCs w:val="1"/>
                <w:color w:val="auto"/>
              </w:rPr>
              <w:t>2024</w:t>
            </w: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line="216" w:lineRule="exact"/>
              <w:rPr>
                <w:sz w:val="20"/>
                <w:szCs w:val="20"/>
                <w:color w:val="auto"/>
              </w:rPr>
            </w:pPr>
            <w:r>
              <w:rPr>
                <w:rFonts w:ascii="Calibri" w:cs="Calibri" w:eastAsia="Calibri" w:hAnsi="Calibri"/>
                <w:sz w:val="18"/>
                <w:szCs w:val="18"/>
                <w:b w:val="1"/>
                <w:bCs w:val="1"/>
                <w:color w:val="auto"/>
              </w:rPr>
              <w:t>2023</w:t>
            </w:r>
          </w:p>
        </w:tc>
        <w:tc>
          <w:tcPr>
            <w:tcW w:w="100" w:type="dxa"/>
            <w:vAlign w:val="bottom"/>
          </w:tcPr>
          <w:p>
            <w:pPr>
              <w:spacing w:after="0"/>
              <w:rPr>
                <w:sz w:val="20"/>
                <w:szCs w:val="20"/>
                <w:color w:val="auto"/>
              </w:rPr>
            </w:pPr>
          </w:p>
        </w:tc>
      </w:tr>
      <w:tr>
        <w:trPr>
          <w:trHeight w:val="213"/>
        </w:trPr>
        <w:tc>
          <w:tcPr>
            <w:tcW w:w="7620" w:type="dxa"/>
            <w:vAlign w:val="bottom"/>
            <w:shd w:val="clear" w:color="auto" w:fill="CFF0FC"/>
          </w:tcPr>
          <w:p>
            <w:pPr>
              <w:ind w:left="20"/>
              <w:spacing w:after="0" w:line="213" w:lineRule="exact"/>
              <w:rPr>
                <w:sz w:val="20"/>
                <w:szCs w:val="20"/>
                <w:color w:val="auto"/>
              </w:rPr>
            </w:pPr>
            <w:r>
              <w:rPr>
                <w:rFonts w:ascii="Calibri" w:cs="Calibri" w:eastAsia="Calibri" w:hAnsi="Calibri"/>
                <w:sz w:val="18"/>
                <w:szCs w:val="18"/>
                <w:color w:val="auto"/>
              </w:rPr>
              <w:t>Currency translaton adjustments</w:t>
            </w:r>
          </w:p>
        </w:tc>
        <w:tc>
          <w:tcPr>
            <w:tcW w:w="360" w:type="dxa"/>
            <w:vAlign w:val="bottom"/>
            <w:shd w:val="clear" w:color="auto" w:fill="CFF0FC"/>
          </w:tcPr>
          <w:p>
            <w:pPr>
              <w:jc w:val="right"/>
              <w:ind w:right="170"/>
              <w:spacing w:after="0" w:line="213" w:lineRule="exact"/>
              <w:rPr>
                <w:sz w:val="20"/>
                <w:szCs w:val="20"/>
                <w:color w:val="auto"/>
              </w:rPr>
            </w:pPr>
            <w:r>
              <w:rPr>
                <w:rFonts w:ascii="Calibri" w:cs="Calibri" w:eastAsia="Calibri" w:hAnsi="Calibri"/>
                <w:sz w:val="18"/>
                <w:szCs w:val="18"/>
                <w:color w:val="auto"/>
                <w:w w:val="87"/>
              </w:rPr>
              <w:t>$</w:t>
            </w:r>
          </w:p>
        </w:tc>
        <w:tc>
          <w:tcPr>
            <w:tcW w:w="1480" w:type="dxa"/>
            <w:vAlign w:val="bottom"/>
            <w:gridSpan w:val="2"/>
            <w:shd w:val="clear" w:color="auto" w:fill="CFF0FC"/>
          </w:tcPr>
          <w:p>
            <w:pPr>
              <w:jc w:val="right"/>
              <w:ind w:right="220"/>
              <w:spacing w:after="0" w:line="213" w:lineRule="exact"/>
              <w:rPr>
                <w:sz w:val="20"/>
                <w:szCs w:val="20"/>
                <w:color w:val="auto"/>
              </w:rPr>
            </w:pPr>
            <w:r>
              <w:rPr>
                <w:rFonts w:ascii="Calibri" w:cs="Calibri" w:eastAsia="Calibri" w:hAnsi="Calibri"/>
                <w:sz w:val="18"/>
                <w:szCs w:val="18"/>
                <w:color w:val="auto"/>
              </w:rPr>
              <w:t>(136 )</w:t>
            </w:r>
          </w:p>
        </w:tc>
        <w:tc>
          <w:tcPr>
            <w:tcW w:w="340" w:type="dxa"/>
            <w:vAlign w:val="bottom"/>
            <w:shd w:val="clear" w:color="auto" w:fill="CFF0FC"/>
          </w:tcPr>
          <w:p>
            <w:pPr>
              <w:jc w:val="right"/>
              <w:ind w:right="150"/>
              <w:spacing w:after="0" w:line="213" w:lineRule="exact"/>
              <w:rPr>
                <w:sz w:val="20"/>
                <w:szCs w:val="20"/>
                <w:color w:val="auto"/>
              </w:rPr>
            </w:pPr>
            <w:r>
              <w:rPr>
                <w:rFonts w:ascii="Calibri" w:cs="Calibri" w:eastAsia="Calibri" w:hAnsi="Calibri"/>
                <w:sz w:val="18"/>
                <w:szCs w:val="18"/>
                <w:color w:val="auto"/>
                <w:w w:val="87"/>
              </w:rPr>
              <w:t>$</w:t>
            </w:r>
          </w:p>
        </w:tc>
        <w:tc>
          <w:tcPr>
            <w:tcW w:w="1320" w:type="dxa"/>
            <w:vAlign w:val="bottom"/>
            <w:gridSpan w:val="2"/>
            <w:shd w:val="clear" w:color="auto" w:fill="CFF0FC"/>
          </w:tcPr>
          <w:p>
            <w:pPr>
              <w:jc w:val="right"/>
              <w:ind w:right="40"/>
              <w:spacing w:after="0" w:line="213" w:lineRule="exact"/>
              <w:rPr>
                <w:sz w:val="20"/>
                <w:szCs w:val="20"/>
                <w:color w:val="auto"/>
              </w:rPr>
            </w:pPr>
            <w:r>
              <w:rPr>
                <w:rFonts w:ascii="Calibri" w:cs="Calibri" w:eastAsia="Calibri" w:hAnsi="Calibri"/>
                <w:sz w:val="18"/>
                <w:szCs w:val="18"/>
                <w:color w:val="auto"/>
              </w:rPr>
              <w:t>(120 )</w:t>
            </w:r>
          </w:p>
        </w:tc>
      </w:tr>
      <w:tr>
        <w:trPr>
          <w:trHeight w:val="215"/>
        </w:trPr>
        <w:tc>
          <w:tcPr>
            <w:tcW w:w="7620" w:type="dxa"/>
            <w:vAlign w:val="bottom"/>
          </w:tcPr>
          <w:p>
            <w:pPr>
              <w:ind w:left="20"/>
              <w:spacing w:after="0" w:line="215" w:lineRule="exact"/>
              <w:rPr>
                <w:sz w:val="20"/>
                <w:szCs w:val="20"/>
                <w:color w:val="auto"/>
              </w:rPr>
            </w:pPr>
            <w:r>
              <w:rPr>
                <w:rFonts w:ascii="Calibri" w:cs="Calibri" w:eastAsia="Calibri" w:hAnsi="Calibri"/>
                <w:sz w:val="18"/>
                <w:szCs w:val="18"/>
                <w:color w:val="auto"/>
              </w:rPr>
              <w:t>Pension and other postretrement beneft plan changes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32</w:t>
            </w: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401</w:t>
            </w:r>
          </w:p>
        </w:tc>
        <w:tc>
          <w:tcPr>
            <w:tcW w:w="100" w:type="dxa"/>
            <w:vAlign w:val="bottom"/>
          </w:tcPr>
          <w:p>
            <w:pPr>
              <w:spacing w:after="0"/>
              <w:rPr>
                <w:sz w:val="18"/>
                <w:szCs w:val="18"/>
                <w:color w:val="auto"/>
              </w:rPr>
            </w:pPr>
          </w:p>
        </w:tc>
      </w:tr>
      <w:tr>
        <w:trPr>
          <w:trHeight w:val="230"/>
        </w:trPr>
        <w:tc>
          <w:tcPr>
            <w:tcW w:w="7620" w:type="dxa"/>
            <w:vAlign w:val="bottom"/>
            <w:shd w:val="clear" w:color="auto" w:fill="CFF0FC"/>
          </w:tcPr>
          <w:p>
            <w:pPr>
              <w:ind w:left="200"/>
              <w:spacing w:after="0" w:line="210" w:lineRule="exact"/>
              <w:rPr>
                <w:sz w:val="20"/>
                <w:szCs w:val="20"/>
                <w:color w:val="auto"/>
              </w:rPr>
            </w:pPr>
            <w:r>
              <w:rPr>
                <w:rFonts w:ascii="Calibri" w:cs="Calibri" w:eastAsia="Calibri" w:hAnsi="Calibri"/>
                <w:sz w:val="18"/>
                <w:szCs w:val="18"/>
                <w:color w:val="auto"/>
              </w:rPr>
              <w:t>Total</w:t>
            </w:r>
          </w:p>
        </w:tc>
        <w:tc>
          <w:tcPr>
            <w:tcW w:w="360" w:type="dxa"/>
            <w:vAlign w:val="bottom"/>
            <w:shd w:val="clear" w:color="auto" w:fill="CFF0FC"/>
          </w:tcPr>
          <w:p>
            <w:pPr>
              <w:jc w:val="right"/>
              <w:ind w:right="170"/>
              <w:spacing w:after="0" w:line="210" w:lineRule="exact"/>
              <w:rPr>
                <w:sz w:val="20"/>
                <w:szCs w:val="20"/>
                <w:color w:val="auto"/>
              </w:rPr>
            </w:pPr>
            <w:r>
              <w:rPr>
                <w:rFonts w:ascii="Calibri" w:cs="Calibri" w:eastAsia="Calibri" w:hAnsi="Calibri"/>
                <w:sz w:val="18"/>
                <w:szCs w:val="18"/>
                <w:color w:val="auto"/>
                <w:w w:val="87"/>
              </w:rPr>
              <w:t>$</w:t>
            </w:r>
          </w:p>
        </w:tc>
        <w:tc>
          <w:tcPr>
            <w:tcW w:w="1480" w:type="dxa"/>
            <w:vAlign w:val="bottom"/>
            <w:gridSpan w:val="2"/>
            <w:shd w:val="clear" w:color="auto" w:fill="CFF0FC"/>
          </w:tcPr>
          <w:p>
            <w:pPr>
              <w:jc w:val="right"/>
              <w:ind w:right="220"/>
              <w:spacing w:after="0" w:line="210" w:lineRule="exact"/>
              <w:rPr>
                <w:sz w:val="20"/>
                <w:szCs w:val="20"/>
                <w:color w:val="auto"/>
              </w:rPr>
            </w:pPr>
            <w:r>
              <w:rPr>
                <w:rFonts w:ascii="Calibri" w:cs="Calibri" w:eastAsia="Calibri" w:hAnsi="Calibri"/>
                <w:sz w:val="18"/>
                <w:szCs w:val="18"/>
                <w:color w:val="auto"/>
              </w:rPr>
              <w:t>(104 )</w:t>
            </w:r>
          </w:p>
        </w:tc>
        <w:tc>
          <w:tcPr>
            <w:tcW w:w="340" w:type="dxa"/>
            <w:vAlign w:val="bottom"/>
            <w:shd w:val="clear" w:color="auto" w:fill="CFF0FC"/>
          </w:tcPr>
          <w:p>
            <w:pPr>
              <w:jc w:val="right"/>
              <w:ind w:right="150"/>
              <w:spacing w:after="0" w:line="210" w:lineRule="exact"/>
              <w:rPr>
                <w:sz w:val="20"/>
                <w:szCs w:val="20"/>
                <w:color w:val="auto"/>
              </w:rPr>
            </w:pPr>
            <w:r>
              <w:rPr>
                <w:rFonts w:ascii="Calibri" w:cs="Calibri" w:eastAsia="Calibri" w:hAnsi="Calibri"/>
                <w:sz w:val="18"/>
                <w:szCs w:val="18"/>
                <w:color w:val="auto"/>
                <w:w w:val="87"/>
              </w:rPr>
              <w:t>$</w:t>
            </w:r>
          </w:p>
        </w:tc>
        <w:tc>
          <w:tcPr>
            <w:tcW w:w="122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281</w:t>
            </w:r>
          </w:p>
        </w:tc>
        <w:tc>
          <w:tcPr>
            <w:tcW w:w="100" w:type="dxa"/>
            <w:vAlign w:val="bottom"/>
            <w:shd w:val="clear" w:color="auto" w:fill="CFF0FC"/>
          </w:tcPr>
          <w:p>
            <w:pPr>
              <w:spacing w:after="0"/>
              <w:rPr>
                <w:sz w:val="20"/>
                <w:szCs w:val="20"/>
                <w:color w:val="auto"/>
              </w:rPr>
            </w:pPr>
          </w:p>
        </w:tc>
      </w:tr>
      <w:tr>
        <w:trPr>
          <w:trHeight w:val="20"/>
        </w:trPr>
        <w:tc>
          <w:tcPr>
            <w:tcW w:w="76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-24765</wp:posOffset>
            </wp:positionV>
            <wp:extent cx="68580"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-7620</wp:posOffset>
            </wp:positionV>
            <wp:extent cx="68580"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-24765</wp:posOffset>
            </wp:positionV>
            <wp:extent cx="68580"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-7620</wp:posOffset>
            </wp:positionV>
            <wp:extent cx="68580"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11" w:name="page112"/>
    <w:bookmarkEnd w:id="111"/>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26: SEGMENT INFORMATION</w:t>
      </w:r>
    </w:p>
    <w:p>
      <w:pPr>
        <w:spacing w:after="0" w:line="190" w:lineRule="exact"/>
        <w:rPr>
          <w:sz w:val="20"/>
          <w:szCs w:val="20"/>
          <w:color w:val="auto"/>
        </w:rPr>
      </w:pPr>
    </w:p>
    <w:p>
      <w:pPr>
        <w:ind w:right="380"/>
        <w:spacing w:after="0" w:line="235" w:lineRule="auto"/>
        <w:rPr>
          <w:sz w:val="20"/>
          <w:szCs w:val="20"/>
          <w:color w:val="auto"/>
        </w:rPr>
      </w:pPr>
      <w:r>
        <w:rPr>
          <w:rFonts w:ascii="Calibri" w:cs="Calibri" w:eastAsia="Calibri" w:hAnsi="Calibri"/>
          <w:sz w:val="18"/>
          <w:szCs w:val="18"/>
          <w:color w:val="auto"/>
        </w:rPr>
        <w:t>Kodak has three reportable segments: Print, Advanced Materials and Chemicals and Brand. Kodak’s reportable segments are based on a combinaton of factors that the chief operatng decision maker (“CODM”) uses to evaluate and manage the business operatons, including but not limited to, Kodak’s organizatonal structure, customer base, markets, products and services and related technologies. Kodak does not aggregate operatng segments. A descripton of Kodak’s reportable segments follows.</w:t>
      </w:r>
    </w:p>
    <w:p>
      <w:pPr>
        <w:spacing w:after="0" w:line="179" w:lineRule="exact"/>
        <w:rPr>
          <w:sz w:val="20"/>
          <w:szCs w:val="20"/>
          <w:color w:val="auto"/>
        </w:rPr>
      </w:pPr>
    </w:p>
    <w:p>
      <w:pPr>
        <w:ind w:right="640"/>
        <w:spacing w:after="0" w:line="235" w:lineRule="auto"/>
        <w:rPr>
          <w:sz w:val="20"/>
          <w:szCs w:val="20"/>
          <w:color w:val="auto"/>
        </w:rPr>
      </w:pPr>
      <w:r>
        <w:rPr>
          <w:rFonts w:ascii="Calibri" w:cs="Calibri" w:eastAsia="Calibri" w:hAnsi="Calibri"/>
          <w:sz w:val="18"/>
          <w:szCs w:val="18"/>
          <w:b w:val="1"/>
          <w:bCs w:val="1"/>
          <w:color w:val="auto"/>
        </w:rPr>
        <w:t xml:space="preserve">Print: </w:t>
      </w:r>
      <w:r>
        <w:rPr>
          <w:rFonts w:ascii="Calibri" w:cs="Calibri" w:eastAsia="Calibri" w:hAnsi="Calibri"/>
          <w:sz w:val="18"/>
          <w:szCs w:val="18"/>
          <w:color w:val="auto"/>
        </w:rPr>
        <w:t>The Print segment is comprised of four lines of business, the Prepress Solutons business: the Prosper business, the Sofware business and the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Electrophotographic Printng Solutons business.</w:t>
      </w:r>
    </w:p>
    <w:p>
      <w:pPr>
        <w:spacing w:after="0" w:line="177" w:lineRule="exact"/>
        <w:rPr>
          <w:sz w:val="20"/>
          <w:szCs w:val="20"/>
          <w:color w:val="auto"/>
        </w:rPr>
      </w:pPr>
    </w:p>
    <w:p>
      <w:pPr>
        <w:spacing w:after="0" w:line="258" w:lineRule="auto"/>
        <w:rPr>
          <w:sz w:val="20"/>
          <w:szCs w:val="20"/>
          <w:color w:val="auto"/>
        </w:rPr>
      </w:pPr>
      <w:r>
        <w:rPr>
          <w:rFonts w:ascii="Calibri" w:cs="Calibri" w:eastAsia="Calibri" w:hAnsi="Calibri"/>
          <w:sz w:val="17"/>
          <w:szCs w:val="17"/>
          <w:b w:val="1"/>
          <w:bCs w:val="1"/>
          <w:color w:val="auto"/>
        </w:rPr>
        <w:t>Advanced Materials and Chemicals</w:t>
      </w:r>
      <w:r>
        <w:rPr>
          <w:rFonts w:ascii="Calibri" w:cs="Calibri" w:eastAsia="Calibri" w:hAnsi="Calibri"/>
          <w:sz w:val="17"/>
          <w:szCs w:val="17"/>
          <w:color w:val="auto"/>
        </w:rPr>
        <w:t>: The Advanced Materials and Chemicals segment is comprised of four lines of business: the Industrial Film and Chemicals</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business, the Moton Picture business, the Advanced Materials and Functonal Printng business and the IP Licensing and Analytcal Services business.</w:t>
      </w:r>
    </w:p>
    <w:p>
      <w:pPr>
        <w:spacing w:after="0" w:line="19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Brand</w:t>
      </w:r>
      <w:r>
        <w:rPr>
          <w:rFonts w:ascii="Calibri" w:cs="Calibri" w:eastAsia="Calibri" w:hAnsi="Calibri"/>
          <w:sz w:val="18"/>
          <w:szCs w:val="18"/>
          <w:color w:val="auto"/>
        </w:rPr>
        <w:t>: The Brand segment contains the brand licensing business.</w:t>
      </w:r>
    </w:p>
    <w:p>
      <w:pPr>
        <w:spacing w:after="0" w:line="217" w:lineRule="exact"/>
        <w:rPr>
          <w:sz w:val="20"/>
          <w:szCs w:val="20"/>
          <w:color w:val="auto"/>
        </w:rPr>
      </w:pPr>
    </w:p>
    <w:p>
      <w:pPr>
        <w:ind w:right="20"/>
        <w:spacing w:after="0" w:line="258" w:lineRule="auto"/>
        <w:rPr>
          <w:sz w:val="20"/>
          <w:szCs w:val="20"/>
          <w:color w:val="auto"/>
        </w:rPr>
      </w:pPr>
      <w:r>
        <w:rPr>
          <w:rFonts w:ascii="Calibri" w:cs="Calibri" w:eastAsia="Calibri" w:hAnsi="Calibri"/>
          <w:sz w:val="17"/>
          <w:szCs w:val="17"/>
          <w:color w:val="auto"/>
        </w:rPr>
        <w:t>The balance of Kodak’s contnuing operatons, which do not meet the criteria of a reportable segment, are reported in All Other revenues and All Other Operatonal EBITDA, and primarily represent the operatons of the Eastman Business Park, a more than 1,200 acre technology center and industrial complex.</w:t>
      </w:r>
    </w:p>
    <w:p>
      <w:pPr>
        <w:spacing w:after="0" w:line="202" w:lineRule="exact"/>
        <w:rPr>
          <w:sz w:val="20"/>
          <w:szCs w:val="20"/>
          <w:color w:val="auto"/>
        </w:rPr>
      </w:pPr>
    </w:p>
    <w:p>
      <w:pPr>
        <w:ind w:right="820"/>
        <w:spacing w:after="0" w:line="235" w:lineRule="auto"/>
        <w:rPr>
          <w:sz w:val="20"/>
          <w:szCs w:val="20"/>
          <w:color w:val="auto"/>
        </w:rPr>
      </w:pPr>
      <w:r>
        <w:rPr>
          <w:rFonts w:ascii="Calibri" w:cs="Calibri" w:eastAsia="Calibri" w:hAnsi="Calibri"/>
          <w:sz w:val="18"/>
          <w:szCs w:val="18"/>
          <w:color w:val="auto"/>
        </w:rPr>
        <w:t>The accountng policies of the segments are the same as those described in the summary of signifcant accountng policies in Note 1. There are no intersegment sales between the segments.</w:t>
      </w:r>
    </w:p>
    <w:p>
      <w:pPr>
        <w:spacing w:after="0" w:line="218"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color w:val="auto"/>
        </w:rPr>
        <w:t>Kodak’s CODM is the Executve Chairman and Chief Executve Ofcer. Kodak’s segment measure of proft and loss is an adjusted earnings before interest, taxes, depreciaton and amortzaton (“Operatonal EBITDA”). Operatonal EBITDA represents the earnings from operatons excluding the provision for income taxes; non-service cost components of pension and other postemployment benefts (“OPEB”) income; depreciaton and amortzaton expense; restructuring costs and other; stock-based compensaton expense; consultng and other costs; interest expense; other operatng income (expense), net and other income (charges), net.</w:t>
      </w:r>
    </w:p>
    <w:p>
      <w:pPr>
        <w:spacing w:after="0" w:line="220"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The CODM uses Operatonal EBITDA in assessing segment performance and deciding how to allocate resources for each segment predominantly through the annual budget and forecastng process. The CODM evaluates Operatonal EBITDA budget-to-actual variances, changes in Operatonal EBITDA from prior periods and when comparing the results of each segment with one another.</w:t>
      </w:r>
    </w:p>
    <w:p>
      <w:pPr>
        <w:spacing w:after="0" w:line="219"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color w:val="auto"/>
        </w:rPr>
        <w:t>Segment fnancial informaton is shown below. Asset informaton by reportable segment is not disclosed below as this informaton is not regularly provided to or used by the CODM in assessing performance and allocatng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sectPr>
      </w:pPr>
    </w:p>
    <w:bookmarkStart w:id="112" w:name="page113"/>
    <w:bookmarkEnd w:id="112"/>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Segment Revenues, Operatonal EBITDA and Consolidated Earnings from Contnuing Operatons Before Income Taxes</w:t>
      </w:r>
    </w:p>
    <w:p>
      <w:pPr>
        <w:spacing w:after="0" w:line="212" w:lineRule="exact"/>
        <w:rPr>
          <w:sz w:val="20"/>
          <w:szCs w:val="20"/>
          <w:color w:val="auto"/>
        </w:rPr>
      </w:pPr>
    </w:p>
    <w:tbl>
      <w:tblPr>
        <w:tblLayout w:type="fixed"/>
        <w:tblInd w:w="80" w:type="dxa"/>
        <w:tblCellMar>
          <w:top w:w="0" w:type="dxa"/>
          <w:left w:w="0" w:type="dxa"/>
          <w:bottom w:w="0" w:type="dxa"/>
          <w:right w:w="0" w:type="dxa"/>
        </w:tblCellMar>
      </w:tblPr>
      <w:tr>
        <w:trPr>
          <w:trHeight w:val="220"/>
        </w:trPr>
        <w:tc>
          <w:tcPr>
            <w:tcW w:w="6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140" w:type="dxa"/>
            <w:vAlign w:val="bottom"/>
            <w:gridSpan w:val="4"/>
          </w:tcPr>
          <w:p>
            <w:pPr>
              <w:jc w:val="right"/>
              <w:ind w:right="220"/>
              <w:spacing w:after="0"/>
              <w:rPr>
                <w:sz w:val="20"/>
                <w:szCs w:val="20"/>
                <w:color w:val="auto"/>
              </w:rPr>
            </w:pPr>
            <w:r>
              <w:rPr>
                <w:rFonts w:ascii="Calibri" w:cs="Calibri" w:eastAsia="Calibri" w:hAnsi="Calibri"/>
                <w:sz w:val="18"/>
                <w:szCs w:val="18"/>
                <w:b w:val="1"/>
                <w:bCs w:val="1"/>
                <w:color w:val="auto"/>
                <w:w w:val="98"/>
              </w:rPr>
              <w:t>Year Ended December 31,</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
        </w:trPr>
        <w:tc>
          <w:tcPr>
            <w:tcW w:w="65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8"/>
        </w:trPr>
        <w:tc>
          <w:tcPr>
            <w:tcW w:w="6500" w:type="dxa"/>
            <w:vAlign w:val="bottom"/>
          </w:tcPr>
          <w:p>
            <w:pPr>
              <w:spacing w:after="0"/>
              <w:rPr>
                <w:sz w:val="18"/>
                <w:szCs w:val="18"/>
                <w:color w:val="auto"/>
              </w:rPr>
            </w:pPr>
          </w:p>
        </w:tc>
        <w:tc>
          <w:tcPr>
            <w:tcW w:w="880" w:type="dxa"/>
            <w:vAlign w:val="bottom"/>
            <w:tcBorders>
              <w:bottom w:val="single" w:sz="8" w:color="auto"/>
            </w:tcBorders>
          </w:tcPr>
          <w:p>
            <w:pPr>
              <w:jc w:val="right"/>
              <w:spacing w:after="0" w:line="208" w:lineRule="exact"/>
              <w:rPr>
                <w:sz w:val="20"/>
                <w:szCs w:val="20"/>
                <w:color w:val="auto"/>
              </w:rPr>
            </w:pPr>
            <w:r>
              <w:rPr>
                <w:rFonts w:ascii="Calibri" w:cs="Calibri" w:eastAsia="Calibri" w:hAnsi="Calibri"/>
                <w:sz w:val="18"/>
                <w:szCs w:val="18"/>
                <w:b w:val="1"/>
                <w:bCs w:val="1"/>
                <w:color w:val="auto"/>
              </w:rPr>
              <w:t>2024</w:t>
            </w:r>
          </w:p>
        </w:tc>
        <w:tc>
          <w:tcPr>
            <w:tcW w:w="38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0"/>
              <w:spacing w:after="0" w:line="208" w:lineRule="exact"/>
              <w:rPr>
                <w:sz w:val="20"/>
                <w:szCs w:val="20"/>
                <w:color w:val="auto"/>
              </w:rPr>
            </w:pPr>
            <w:r>
              <w:rPr>
                <w:rFonts w:ascii="Calibri" w:cs="Calibri" w:eastAsia="Calibri" w:hAnsi="Calibri"/>
                <w:sz w:val="18"/>
                <w:szCs w:val="18"/>
                <w:b w:val="1"/>
                <w:bCs w:val="1"/>
                <w:color w:val="auto"/>
              </w:rPr>
              <w:t>2023</w:t>
            </w:r>
          </w:p>
        </w:tc>
        <w:tc>
          <w:tcPr>
            <w:tcW w:w="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line="208" w:lineRule="exact"/>
              <w:rPr>
                <w:sz w:val="20"/>
                <w:szCs w:val="20"/>
                <w:color w:val="auto"/>
              </w:rPr>
            </w:pPr>
            <w:r>
              <w:rPr>
                <w:rFonts w:ascii="Calibri" w:cs="Calibri" w:eastAsia="Calibri" w:hAnsi="Calibri"/>
                <w:sz w:val="18"/>
                <w:szCs w:val="18"/>
                <w:b w:val="1"/>
                <w:bCs w:val="1"/>
                <w:color w:val="auto"/>
              </w:rPr>
              <w:t>2022</w:t>
            </w:r>
          </w:p>
        </w:tc>
        <w:tc>
          <w:tcPr>
            <w:tcW w:w="100" w:type="dxa"/>
            <w:vAlign w:val="bottom"/>
          </w:tcPr>
          <w:p>
            <w:pPr>
              <w:spacing w:after="0"/>
              <w:rPr>
                <w:sz w:val="18"/>
                <w:szCs w:val="18"/>
                <w:color w:val="auto"/>
              </w:rPr>
            </w:pPr>
          </w:p>
        </w:tc>
      </w:tr>
      <w:tr>
        <w:trPr>
          <w:trHeight w:val="188"/>
        </w:trPr>
        <w:tc>
          <w:tcPr>
            <w:tcW w:w="6500" w:type="dxa"/>
            <w:vAlign w:val="bottom"/>
          </w:tcPr>
          <w:p>
            <w:pPr>
              <w:spacing w:after="0"/>
              <w:rPr>
                <w:sz w:val="20"/>
                <w:szCs w:val="20"/>
                <w:color w:val="auto"/>
              </w:rPr>
            </w:pPr>
            <w:r>
              <w:rPr>
                <w:rFonts w:ascii="Calibri" w:cs="Calibri" w:eastAsia="Calibri" w:hAnsi="Calibri"/>
                <w:sz w:val="14"/>
                <w:szCs w:val="14"/>
                <w:color w:val="auto"/>
              </w:rPr>
              <w:t>(in millions)</w:t>
            </w: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6500" w:type="dxa"/>
            <w:vAlign w:val="bottom"/>
          </w:tcPr>
          <w:p>
            <w:pPr>
              <w:spacing w:after="0" w:line="215" w:lineRule="exact"/>
              <w:rPr>
                <w:sz w:val="20"/>
                <w:szCs w:val="20"/>
                <w:color w:val="auto"/>
              </w:rPr>
            </w:pPr>
            <w:r>
              <w:rPr>
                <w:rFonts w:ascii="Calibri" w:cs="Calibri" w:eastAsia="Calibri" w:hAnsi="Calibri"/>
                <w:sz w:val="18"/>
                <w:szCs w:val="18"/>
                <w:b w:val="1"/>
                <w:bCs w:val="1"/>
                <w:color w:val="auto"/>
              </w:rPr>
              <w:t>Print:</w:t>
            </w: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
        </w:trPr>
        <w:tc>
          <w:tcPr>
            <w:tcW w:w="6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500" w:type="dxa"/>
            <w:vAlign w:val="bottom"/>
            <w:shd w:val="clear" w:color="auto" w:fill="CFF0FC"/>
          </w:tcPr>
          <w:p>
            <w:pPr>
              <w:ind w:left="160"/>
              <w:spacing w:after="0" w:line="215" w:lineRule="exact"/>
              <w:rPr>
                <w:sz w:val="20"/>
                <w:szCs w:val="20"/>
                <w:color w:val="auto"/>
              </w:rPr>
            </w:pPr>
            <w:r>
              <w:rPr>
                <w:rFonts w:ascii="Calibri" w:cs="Calibri" w:eastAsia="Calibri" w:hAnsi="Calibri"/>
                <w:sz w:val="18"/>
                <w:szCs w:val="18"/>
                <w:color w:val="auto"/>
              </w:rPr>
              <w:t>Revenues from external customers</w:t>
            </w:r>
          </w:p>
        </w:tc>
        <w:tc>
          <w:tcPr>
            <w:tcW w:w="880" w:type="dxa"/>
            <w:vAlign w:val="bottom"/>
            <w:shd w:val="clear" w:color="auto" w:fill="CFF0FC"/>
          </w:tcPr>
          <w:p>
            <w:pPr>
              <w:jc w:val="right"/>
              <w:ind w:right="690"/>
              <w:spacing w:after="0" w:line="215" w:lineRule="exact"/>
              <w:rPr>
                <w:sz w:val="20"/>
                <w:szCs w:val="20"/>
                <w:color w:val="auto"/>
              </w:rPr>
            </w:pPr>
            <w:r>
              <w:rPr>
                <w:rFonts w:ascii="Calibri" w:cs="Calibri" w:eastAsia="Calibri" w:hAnsi="Calibri"/>
                <w:sz w:val="18"/>
                <w:szCs w:val="18"/>
                <w:color w:val="auto"/>
                <w:w w:val="87"/>
              </w:rPr>
              <w:t>$</w:t>
            </w:r>
          </w:p>
        </w:tc>
        <w:tc>
          <w:tcPr>
            <w:tcW w:w="3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737</w:t>
            </w: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line="215" w:lineRule="exact"/>
              <w:rPr>
                <w:sz w:val="20"/>
                <w:szCs w:val="20"/>
                <w:color w:val="auto"/>
              </w:rPr>
            </w:pPr>
            <w:r>
              <w:rPr>
                <w:rFonts w:ascii="Calibri" w:cs="Calibri" w:eastAsia="Calibri" w:hAnsi="Calibri"/>
                <w:sz w:val="18"/>
                <w:szCs w:val="18"/>
                <w:color w:val="auto"/>
                <w:w w:val="87"/>
              </w:rPr>
              <w:t>$</w:t>
            </w:r>
          </w:p>
        </w:tc>
        <w:tc>
          <w:tcPr>
            <w:tcW w:w="11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828</w:t>
            </w: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1"/>
              <w:spacing w:after="0"/>
              <w:rPr>
                <w:sz w:val="20"/>
                <w:szCs w:val="20"/>
                <w:color w:val="auto"/>
              </w:rPr>
            </w:pPr>
            <w:r>
              <w:rPr>
                <w:rFonts w:ascii="Calibri" w:cs="Calibri" w:eastAsia="Calibri" w:hAnsi="Calibri"/>
                <w:sz w:val="16"/>
                <w:szCs w:val="16"/>
                <w:color w:val="auto"/>
                <w:w w:val="73"/>
              </w:rPr>
              <w:t>$</w:t>
            </w:r>
          </w:p>
        </w:tc>
        <w:tc>
          <w:tcPr>
            <w:tcW w:w="8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938</w:t>
            </w:r>
          </w:p>
        </w:tc>
        <w:tc>
          <w:tcPr>
            <w:tcW w:w="100" w:type="dxa"/>
            <w:vAlign w:val="bottom"/>
            <w:shd w:val="clear" w:color="auto" w:fill="CFF0FC"/>
          </w:tcPr>
          <w:p>
            <w:pPr>
              <w:spacing w:after="0"/>
              <w:rPr>
                <w:sz w:val="18"/>
                <w:szCs w:val="18"/>
                <w:color w:val="auto"/>
              </w:rPr>
            </w:pPr>
          </w:p>
        </w:tc>
      </w:tr>
      <w:tr>
        <w:trPr>
          <w:trHeight w:val="215"/>
        </w:trPr>
        <w:tc>
          <w:tcPr>
            <w:tcW w:w="6500" w:type="dxa"/>
            <w:vAlign w:val="bottom"/>
          </w:tcPr>
          <w:p>
            <w:pPr>
              <w:ind w:left="160"/>
              <w:spacing w:after="0" w:line="215" w:lineRule="exact"/>
              <w:rPr>
                <w:sz w:val="20"/>
                <w:szCs w:val="20"/>
                <w:color w:val="auto"/>
              </w:rPr>
            </w:pPr>
            <w:r>
              <w:rPr>
                <w:rFonts w:ascii="Calibri" w:cs="Calibri" w:eastAsia="Calibri" w:hAnsi="Calibri"/>
                <w:sz w:val="18"/>
                <w:szCs w:val="18"/>
                <w:color w:val="auto"/>
              </w:rPr>
              <w:t>Cost of revenues</w:t>
            </w:r>
          </w:p>
        </w:tc>
        <w:tc>
          <w:tcPr>
            <w:tcW w:w="880" w:type="dxa"/>
            <w:vAlign w:val="bottom"/>
          </w:tcPr>
          <w:p>
            <w:pPr>
              <w:spacing w:after="0"/>
              <w:rPr>
                <w:sz w:val="18"/>
                <w:szCs w:val="18"/>
                <w:color w:val="auto"/>
              </w:rPr>
            </w:pPr>
          </w:p>
        </w:tc>
        <w:tc>
          <w:tcPr>
            <w:tcW w:w="380" w:type="dxa"/>
            <w:vAlign w:val="bottom"/>
          </w:tcPr>
          <w:p>
            <w:pPr>
              <w:jc w:val="right"/>
              <w:spacing w:after="0" w:line="215" w:lineRule="exact"/>
              <w:rPr>
                <w:sz w:val="20"/>
                <w:szCs w:val="20"/>
                <w:color w:val="auto"/>
              </w:rPr>
            </w:pPr>
            <w:r>
              <w:rPr>
                <w:rFonts w:ascii="Calibri" w:cs="Calibri" w:eastAsia="Calibri" w:hAnsi="Calibri"/>
                <w:sz w:val="18"/>
                <w:szCs w:val="18"/>
                <w:color w:val="auto"/>
              </w:rPr>
              <w:t>597</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667</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line="215" w:lineRule="exact"/>
              <w:rPr>
                <w:sz w:val="20"/>
                <w:szCs w:val="20"/>
                <w:color w:val="auto"/>
              </w:rPr>
            </w:pPr>
            <w:r>
              <w:rPr>
                <w:rFonts w:ascii="Calibri" w:cs="Calibri" w:eastAsia="Calibri" w:hAnsi="Calibri"/>
                <w:sz w:val="18"/>
                <w:szCs w:val="18"/>
                <w:color w:val="auto"/>
              </w:rPr>
              <w:t>797</w:t>
            </w:r>
          </w:p>
        </w:tc>
        <w:tc>
          <w:tcPr>
            <w:tcW w:w="100" w:type="dxa"/>
            <w:vAlign w:val="bottom"/>
          </w:tcPr>
          <w:p>
            <w:pPr>
              <w:spacing w:after="0"/>
              <w:rPr>
                <w:sz w:val="18"/>
                <w:szCs w:val="18"/>
                <w:color w:val="auto"/>
              </w:rPr>
            </w:pPr>
          </w:p>
        </w:tc>
      </w:tr>
      <w:tr>
        <w:trPr>
          <w:trHeight w:val="217"/>
        </w:trPr>
        <w:tc>
          <w:tcPr>
            <w:tcW w:w="6500" w:type="dxa"/>
            <w:vAlign w:val="bottom"/>
            <w:shd w:val="clear" w:color="auto" w:fill="CFF0FC"/>
          </w:tcPr>
          <w:p>
            <w:pPr>
              <w:ind w:left="160"/>
              <w:spacing w:after="0" w:line="216" w:lineRule="exact"/>
              <w:rPr>
                <w:sz w:val="20"/>
                <w:szCs w:val="20"/>
                <w:color w:val="auto"/>
              </w:rPr>
            </w:pPr>
            <w:r>
              <w:rPr>
                <w:rFonts w:ascii="Calibri" w:cs="Calibri" w:eastAsia="Calibri" w:hAnsi="Calibri"/>
                <w:sz w:val="18"/>
                <w:szCs w:val="18"/>
                <w:color w:val="auto"/>
              </w:rPr>
              <w:t>Selling, general and administratve expenses</w:t>
            </w:r>
          </w:p>
        </w:tc>
        <w:tc>
          <w:tcPr>
            <w:tcW w:w="88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130</w:t>
            </w: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124</w:t>
            </w: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117</w:t>
            </w:r>
          </w:p>
        </w:tc>
        <w:tc>
          <w:tcPr>
            <w:tcW w:w="100" w:type="dxa"/>
            <w:vAlign w:val="bottom"/>
            <w:shd w:val="clear" w:color="auto" w:fill="CFF0FC"/>
          </w:tcPr>
          <w:p>
            <w:pPr>
              <w:spacing w:after="0"/>
              <w:rPr>
                <w:sz w:val="18"/>
                <w:szCs w:val="18"/>
                <w:color w:val="auto"/>
              </w:rPr>
            </w:pPr>
          </w:p>
        </w:tc>
      </w:tr>
      <w:tr>
        <w:trPr>
          <w:trHeight w:val="215"/>
        </w:trPr>
        <w:tc>
          <w:tcPr>
            <w:tcW w:w="6500" w:type="dxa"/>
            <w:vAlign w:val="bottom"/>
          </w:tcPr>
          <w:p>
            <w:pPr>
              <w:ind w:left="160"/>
              <w:spacing w:after="0" w:line="215" w:lineRule="exact"/>
              <w:rPr>
                <w:sz w:val="20"/>
                <w:szCs w:val="20"/>
                <w:color w:val="auto"/>
              </w:rPr>
            </w:pPr>
            <w:r>
              <w:rPr>
                <w:rFonts w:ascii="Calibri" w:cs="Calibri" w:eastAsia="Calibri" w:hAnsi="Calibri"/>
                <w:sz w:val="18"/>
                <w:szCs w:val="18"/>
                <w:color w:val="auto"/>
              </w:rPr>
              <w:t>Research and development expenses</w:t>
            </w:r>
          </w:p>
        </w:tc>
        <w:tc>
          <w:tcPr>
            <w:tcW w:w="8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18</w:t>
            </w:r>
          </w:p>
        </w:tc>
        <w:tc>
          <w:tcPr>
            <w:tcW w:w="3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17</w:t>
            </w:r>
          </w:p>
        </w:tc>
        <w:tc>
          <w:tcPr>
            <w:tcW w:w="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19</w:t>
            </w:r>
          </w:p>
        </w:tc>
        <w:tc>
          <w:tcPr>
            <w:tcW w:w="100" w:type="dxa"/>
            <w:vAlign w:val="bottom"/>
          </w:tcPr>
          <w:p>
            <w:pPr>
              <w:spacing w:after="0"/>
              <w:rPr>
                <w:sz w:val="18"/>
                <w:szCs w:val="18"/>
                <w:color w:val="auto"/>
              </w:rPr>
            </w:pPr>
          </w:p>
        </w:tc>
      </w:tr>
      <w:tr>
        <w:trPr>
          <w:trHeight w:val="210"/>
        </w:trPr>
        <w:tc>
          <w:tcPr>
            <w:tcW w:w="6500" w:type="dxa"/>
            <w:vAlign w:val="bottom"/>
            <w:shd w:val="clear" w:color="auto" w:fill="CFF0FC"/>
          </w:tcPr>
          <w:p>
            <w:pPr>
              <w:ind w:left="320"/>
              <w:spacing w:after="0" w:line="210" w:lineRule="exact"/>
              <w:rPr>
                <w:sz w:val="20"/>
                <w:szCs w:val="20"/>
                <w:color w:val="auto"/>
              </w:rPr>
            </w:pPr>
            <w:r>
              <w:rPr>
                <w:rFonts w:ascii="Calibri" w:cs="Calibri" w:eastAsia="Calibri" w:hAnsi="Calibri"/>
                <w:sz w:val="18"/>
                <w:szCs w:val="18"/>
                <w:color w:val="auto"/>
              </w:rPr>
              <w:t>Operatonal EBITDA</w:t>
            </w:r>
          </w:p>
        </w:tc>
        <w:tc>
          <w:tcPr>
            <w:tcW w:w="88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70"/>
              <w:spacing w:after="0" w:line="210" w:lineRule="exact"/>
              <w:rPr>
                <w:sz w:val="20"/>
                <w:szCs w:val="20"/>
                <w:color w:val="auto"/>
              </w:rPr>
            </w:pPr>
            <w:r>
              <w:rPr>
                <w:rFonts w:ascii="Calibri" w:cs="Calibri" w:eastAsia="Calibri" w:hAnsi="Calibri"/>
                <w:sz w:val="18"/>
                <w:szCs w:val="18"/>
                <w:color w:val="auto"/>
              </w:rPr>
              <w:t>(8 )</w:t>
            </w: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20</w:t>
            </w: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5</w:t>
            </w:r>
          </w:p>
        </w:tc>
        <w:tc>
          <w:tcPr>
            <w:tcW w:w="100" w:type="dxa"/>
            <w:vAlign w:val="bottom"/>
            <w:shd w:val="clear" w:color="auto" w:fill="CFF0FC"/>
          </w:tcPr>
          <w:p>
            <w:pPr>
              <w:spacing w:after="0"/>
              <w:rPr>
                <w:sz w:val="18"/>
                <w:szCs w:val="18"/>
                <w:color w:val="auto"/>
              </w:rPr>
            </w:pPr>
          </w:p>
        </w:tc>
      </w:tr>
      <w:tr>
        <w:trPr>
          <w:trHeight w:val="408"/>
        </w:trPr>
        <w:tc>
          <w:tcPr>
            <w:tcW w:w="6500" w:type="dxa"/>
            <w:vAlign w:val="bottom"/>
          </w:tcPr>
          <w:p>
            <w:pPr>
              <w:spacing w:after="0"/>
              <w:rPr>
                <w:sz w:val="20"/>
                <w:szCs w:val="20"/>
                <w:color w:val="auto"/>
              </w:rPr>
            </w:pPr>
            <w:r>
              <w:rPr>
                <w:rFonts w:ascii="Calibri" w:cs="Calibri" w:eastAsia="Calibri" w:hAnsi="Calibri"/>
                <w:sz w:val="18"/>
                <w:szCs w:val="18"/>
                <w:b w:val="1"/>
                <w:bCs w:val="1"/>
                <w:color w:val="auto"/>
              </w:rPr>
              <w:t>Advanced Materials and Chemicals:</w:t>
            </w: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
        </w:trPr>
        <w:tc>
          <w:tcPr>
            <w:tcW w:w="6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500" w:type="dxa"/>
            <w:vAlign w:val="bottom"/>
            <w:shd w:val="clear" w:color="auto" w:fill="CFF0FC"/>
          </w:tcPr>
          <w:p>
            <w:pPr>
              <w:ind w:left="160"/>
              <w:spacing w:after="0" w:line="215" w:lineRule="exact"/>
              <w:rPr>
                <w:sz w:val="20"/>
                <w:szCs w:val="20"/>
                <w:color w:val="auto"/>
              </w:rPr>
            </w:pPr>
            <w:r>
              <w:rPr>
                <w:rFonts w:ascii="Calibri" w:cs="Calibri" w:eastAsia="Calibri" w:hAnsi="Calibri"/>
                <w:sz w:val="18"/>
                <w:szCs w:val="18"/>
                <w:color w:val="auto"/>
              </w:rPr>
              <w:t>Revenues from external customers</w:t>
            </w:r>
          </w:p>
        </w:tc>
        <w:tc>
          <w:tcPr>
            <w:tcW w:w="88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271</w:t>
            </w: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255</w:t>
            </w: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234</w:t>
            </w:r>
          </w:p>
        </w:tc>
        <w:tc>
          <w:tcPr>
            <w:tcW w:w="100" w:type="dxa"/>
            <w:vAlign w:val="bottom"/>
            <w:shd w:val="clear" w:color="auto" w:fill="CFF0FC"/>
          </w:tcPr>
          <w:p>
            <w:pPr>
              <w:spacing w:after="0"/>
              <w:rPr>
                <w:sz w:val="18"/>
                <w:szCs w:val="18"/>
                <w:color w:val="auto"/>
              </w:rPr>
            </w:pPr>
          </w:p>
        </w:tc>
      </w:tr>
      <w:tr>
        <w:trPr>
          <w:trHeight w:val="215"/>
        </w:trPr>
        <w:tc>
          <w:tcPr>
            <w:tcW w:w="6500" w:type="dxa"/>
            <w:vAlign w:val="bottom"/>
          </w:tcPr>
          <w:p>
            <w:pPr>
              <w:ind w:left="160"/>
              <w:spacing w:after="0" w:line="215" w:lineRule="exact"/>
              <w:rPr>
                <w:sz w:val="20"/>
                <w:szCs w:val="20"/>
                <w:color w:val="auto"/>
              </w:rPr>
            </w:pPr>
            <w:r>
              <w:rPr>
                <w:rFonts w:ascii="Calibri" w:cs="Calibri" w:eastAsia="Calibri" w:hAnsi="Calibri"/>
                <w:sz w:val="18"/>
                <w:szCs w:val="18"/>
                <w:color w:val="auto"/>
              </w:rPr>
              <w:t>Cost of revenues</w:t>
            </w:r>
          </w:p>
        </w:tc>
        <w:tc>
          <w:tcPr>
            <w:tcW w:w="880" w:type="dxa"/>
            <w:vAlign w:val="bottom"/>
          </w:tcPr>
          <w:p>
            <w:pPr>
              <w:spacing w:after="0"/>
              <w:rPr>
                <w:sz w:val="18"/>
                <w:szCs w:val="18"/>
                <w:color w:val="auto"/>
              </w:rPr>
            </w:pPr>
          </w:p>
        </w:tc>
        <w:tc>
          <w:tcPr>
            <w:tcW w:w="380" w:type="dxa"/>
            <w:vAlign w:val="bottom"/>
          </w:tcPr>
          <w:p>
            <w:pPr>
              <w:jc w:val="right"/>
              <w:spacing w:after="0" w:line="215" w:lineRule="exact"/>
              <w:rPr>
                <w:sz w:val="20"/>
                <w:szCs w:val="20"/>
                <w:color w:val="auto"/>
              </w:rPr>
            </w:pPr>
            <w:r>
              <w:rPr>
                <w:rFonts w:ascii="Calibri" w:cs="Calibri" w:eastAsia="Calibri" w:hAnsi="Calibri"/>
                <w:sz w:val="18"/>
                <w:szCs w:val="18"/>
                <w:color w:val="auto"/>
              </w:rPr>
              <w:t>210</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203</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line="215" w:lineRule="exact"/>
              <w:rPr>
                <w:sz w:val="20"/>
                <w:szCs w:val="20"/>
                <w:color w:val="auto"/>
              </w:rPr>
            </w:pPr>
            <w:r>
              <w:rPr>
                <w:rFonts w:ascii="Calibri" w:cs="Calibri" w:eastAsia="Calibri" w:hAnsi="Calibri"/>
                <w:sz w:val="18"/>
                <w:szCs w:val="18"/>
                <w:color w:val="auto"/>
              </w:rPr>
              <w:t>201</w:t>
            </w:r>
          </w:p>
        </w:tc>
        <w:tc>
          <w:tcPr>
            <w:tcW w:w="100" w:type="dxa"/>
            <w:vAlign w:val="bottom"/>
          </w:tcPr>
          <w:p>
            <w:pPr>
              <w:spacing w:after="0"/>
              <w:rPr>
                <w:sz w:val="18"/>
                <w:szCs w:val="18"/>
                <w:color w:val="auto"/>
              </w:rPr>
            </w:pPr>
          </w:p>
        </w:tc>
      </w:tr>
      <w:tr>
        <w:trPr>
          <w:trHeight w:val="217"/>
        </w:trPr>
        <w:tc>
          <w:tcPr>
            <w:tcW w:w="6500" w:type="dxa"/>
            <w:vAlign w:val="bottom"/>
            <w:shd w:val="clear" w:color="auto" w:fill="CFF0FC"/>
          </w:tcPr>
          <w:p>
            <w:pPr>
              <w:ind w:left="160"/>
              <w:spacing w:after="0" w:line="216" w:lineRule="exact"/>
              <w:rPr>
                <w:sz w:val="20"/>
                <w:szCs w:val="20"/>
                <w:color w:val="auto"/>
              </w:rPr>
            </w:pPr>
            <w:r>
              <w:rPr>
                <w:rFonts w:ascii="Calibri" w:cs="Calibri" w:eastAsia="Calibri" w:hAnsi="Calibri"/>
                <w:sz w:val="18"/>
                <w:szCs w:val="18"/>
                <w:color w:val="auto"/>
              </w:rPr>
              <w:t>Selling, general and administratve expenses</w:t>
            </w:r>
          </w:p>
        </w:tc>
        <w:tc>
          <w:tcPr>
            <w:tcW w:w="88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33</w:t>
            </w: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30</w:t>
            </w: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23</w:t>
            </w:r>
          </w:p>
        </w:tc>
        <w:tc>
          <w:tcPr>
            <w:tcW w:w="100" w:type="dxa"/>
            <w:vAlign w:val="bottom"/>
            <w:shd w:val="clear" w:color="auto" w:fill="CFF0FC"/>
          </w:tcPr>
          <w:p>
            <w:pPr>
              <w:spacing w:after="0"/>
              <w:rPr>
                <w:sz w:val="18"/>
                <w:szCs w:val="18"/>
                <w:color w:val="auto"/>
              </w:rPr>
            </w:pPr>
          </w:p>
        </w:tc>
      </w:tr>
      <w:tr>
        <w:trPr>
          <w:trHeight w:val="215"/>
        </w:trPr>
        <w:tc>
          <w:tcPr>
            <w:tcW w:w="6500" w:type="dxa"/>
            <w:vAlign w:val="bottom"/>
          </w:tcPr>
          <w:p>
            <w:pPr>
              <w:ind w:left="160"/>
              <w:spacing w:after="0" w:line="215" w:lineRule="exact"/>
              <w:rPr>
                <w:sz w:val="20"/>
                <w:szCs w:val="20"/>
                <w:color w:val="auto"/>
              </w:rPr>
            </w:pPr>
            <w:r>
              <w:rPr>
                <w:rFonts w:ascii="Calibri" w:cs="Calibri" w:eastAsia="Calibri" w:hAnsi="Calibri"/>
                <w:sz w:val="18"/>
                <w:szCs w:val="18"/>
                <w:color w:val="auto"/>
              </w:rPr>
              <w:t>Research and development expenses</w:t>
            </w:r>
          </w:p>
        </w:tc>
        <w:tc>
          <w:tcPr>
            <w:tcW w:w="8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11</w:t>
            </w:r>
          </w:p>
        </w:tc>
        <w:tc>
          <w:tcPr>
            <w:tcW w:w="3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12</w:t>
            </w:r>
          </w:p>
        </w:tc>
        <w:tc>
          <w:tcPr>
            <w:tcW w:w="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11</w:t>
            </w:r>
          </w:p>
        </w:tc>
        <w:tc>
          <w:tcPr>
            <w:tcW w:w="100" w:type="dxa"/>
            <w:vAlign w:val="bottom"/>
          </w:tcPr>
          <w:p>
            <w:pPr>
              <w:spacing w:after="0"/>
              <w:rPr>
                <w:sz w:val="18"/>
                <w:szCs w:val="18"/>
                <w:color w:val="auto"/>
              </w:rPr>
            </w:pPr>
          </w:p>
        </w:tc>
      </w:tr>
      <w:tr>
        <w:trPr>
          <w:trHeight w:val="210"/>
        </w:trPr>
        <w:tc>
          <w:tcPr>
            <w:tcW w:w="6500" w:type="dxa"/>
            <w:vAlign w:val="bottom"/>
            <w:shd w:val="clear" w:color="auto" w:fill="CFF0FC"/>
          </w:tcPr>
          <w:p>
            <w:pPr>
              <w:ind w:left="320"/>
              <w:spacing w:after="0" w:line="210" w:lineRule="exact"/>
              <w:rPr>
                <w:sz w:val="20"/>
                <w:szCs w:val="20"/>
                <w:color w:val="auto"/>
              </w:rPr>
            </w:pPr>
            <w:r>
              <w:rPr>
                <w:rFonts w:ascii="Calibri" w:cs="Calibri" w:eastAsia="Calibri" w:hAnsi="Calibri"/>
                <w:sz w:val="18"/>
                <w:szCs w:val="18"/>
                <w:color w:val="auto"/>
              </w:rPr>
              <w:t>Operatonal EBITDA</w:t>
            </w:r>
          </w:p>
        </w:tc>
        <w:tc>
          <w:tcPr>
            <w:tcW w:w="88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17</w:t>
            </w: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10</w:t>
            </w: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line="210" w:lineRule="exact"/>
              <w:rPr>
                <w:sz w:val="20"/>
                <w:szCs w:val="20"/>
                <w:color w:val="auto"/>
              </w:rPr>
            </w:pPr>
            <w:r>
              <w:rPr>
                <w:rFonts w:ascii="Calibri" w:cs="Calibri" w:eastAsia="Calibri" w:hAnsi="Calibri"/>
                <w:sz w:val="18"/>
                <w:szCs w:val="18"/>
                <w:color w:val="auto"/>
              </w:rPr>
              <w:t>(1 )</w:t>
            </w:r>
          </w:p>
        </w:tc>
      </w:tr>
      <w:tr>
        <w:trPr>
          <w:trHeight w:val="409"/>
        </w:trPr>
        <w:tc>
          <w:tcPr>
            <w:tcW w:w="6500" w:type="dxa"/>
            <w:vAlign w:val="bottom"/>
          </w:tcPr>
          <w:p>
            <w:pPr>
              <w:spacing w:after="0"/>
              <w:rPr>
                <w:sz w:val="20"/>
                <w:szCs w:val="20"/>
                <w:color w:val="auto"/>
              </w:rPr>
            </w:pPr>
            <w:r>
              <w:rPr>
                <w:rFonts w:ascii="Calibri" w:cs="Calibri" w:eastAsia="Calibri" w:hAnsi="Calibri"/>
                <w:sz w:val="18"/>
                <w:szCs w:val="18"/>
                <w:b w:val="1"/>
                <w:bCs w:val="1"/>
                <w:color w:val="auto"/>
              </w:rPr>
              <w:t>Brand:</w:t>
            </w: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
        </w:trPr>
        <w:tc>
          <w:tcPr>
            <w:tcW w:w="6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500" w:type="dxa"/>
            <w:vAlign w:val="bottom"/>
            <w:shd w:val="clear" w:color="auto" w:fill="CFF0FC"/>
          </w:tcPr>
          <w:p>
            <w:pPr>
              <w:ind w:left="160"/>
              <w:spacing w:after="0" w:line="215" w:lineRule="exact"/>
              <w:rPr>
                <w:sz w:val="20"/>
                <w:szCs w:val="20"/>
                <w:color w:val="auto"/>
              </w:rPr>
            </w:pPr>
            <w:r>
              <w:rPr>
                <w:rFonts w:ascii="Calibri" w:cs="Calibri" w:eastAsia="Calibri" w:hAnsi="Calibri"/>
                <w:sz w:val="18"/>
                <w:szCs w:val="18"/>
                <w:color w:val="auto"/>
              </w:rPr>
              <w:t>Revenues from external customers</w:t>
            </w:r>
          </w:p>
        </w:tc>
        <w:tc>
          <w:tcPr>
            <w:tcW w:w="88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20</w:t>
            </w: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17</w:t>
            </w: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17</w:t>
            </w:r>
          </w:p>
        </w:tc>
        <w:tc>
          <w:tcPr>
            <w:tcW w:w="100" w:type="dxa"/>
            <w:vAlign w:val="bottom"/>
            <w:shd w:val="clear" w:color="auto" w:fill="CFF0FC"/>
          </w:tcPr>
          <w:p>
            <w:pPr>
              <w:spacing w:after="0"/>
              <w:rPr>
                <w:sz w:val="18"/>
                <w:szCs w:val="18"/>
                <w:color w:val="auto"/>
              </w:rPr>
            </w:pPr>
          </w:p>
        </w:tc>
      </w:tr>
      <w:tr>
        <w:trPr>
          <w:trHeight w:val="215"/>
        </w:trPr>
        <w:tc>
          <w:tcPr>
            <w:tcW w:w="6500" w:type="dxa"/>
            <w:vAlign w:val="bottom"/>
          </w:tcPr>
          <w:p>
            <w:pPr>
              <w:ind w:left="160"/>
              <w:spacing w:after="0" w:line="215" w:lineRule="exact"/>
              <w:rPr>
                <w:sz w:val="20"/>
                <w:szCs w:val="20"/>
                <w:color w:val="auto"/>
              </w:rPr>
            </w:pPr>
            <w:r>
              <w:rPr>
                <w:rFonts w:ascii="Calibri" w:cs="Calibri" w:eastAsia="Calibri" w:hAnsi="Calibri"/>
                <w:sz w:val="18"/>
                <w:szCs w:val="18"/>
                <w:color w:val="auto"/>
              </w:rPr>
              <w:t>Selling, general and administratve expenses</w:t>
            </w:r>
          </w:p>
        </w:tc>
        <w:tc>
          <w:tcPr>
            <w:tcW w:w="8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w:t>
            </w:r>
          </w:p>
        </w:tc>
        <w:tc>
          <w:tcPr>
            <w:tcW w:w="3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w:t>
            </w:r>
          </w:p>
        </w:tc>
        <w:tc>
          <w:tcPr>
            <w:tcW w:w="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w:t>
            </w:r>
          </w:p>
        </w:tc>
        <w:tc>
          <w:tcPr>
            <w:tcW w:w="100" w:type="dxa"/>
            <w:vAlign w:val="bottom"/>
          </w:tcPr>
          <w:p>
            <w:pPr>
              <w:spacing w:after="0"/>
              <w:rPr>
                <w:sz w:val="18"/>
                <w:szCs w:val="18"/>
                <w:color w:val="auto"/>
              </w:rPr>
            </w:pPr>
          </w:p>
        </w:tc>
      </w:tr>
      <w:tr>
        <w:trPr>
          <w:trHeight w:val="210"/>
        </w:trPr>
        <w:tc>
          <w:tcPr>
            <w:tcW w:w="6500" w:type="dxa"/>
            <w:vAlign w:val="bottom"/>
            <w:shd w:val="clear" w:color="auto" w:fill="CFF0FC"/>
          </w:tcPr>
          <w:p>
            <w:pPr>
              <w:ind w:left="320"/>
              <w:spacing w:after="0" w:line="210" w:lineRule="exact"/>
              <w:rPr>
                <w:sz w:val="20"/>
                <w:szCs w:val="20"/>
                <w:color w:val="auto"/>
              </w:rPr>
            </w:pPr>
            <w:r>
              <w:rPr>
                <w:rFonts w:ascii="Calibri" w:cs="Calibri" w:eastAsia="Calibri" w:hAnsi="Calibri"/>
                <w:sz w:val="18"/>
                <w:szCs w:val="18"/>
                <w:color w:val="auto"/>
              </w:rPr>
              <w:t>Operatonal EBITDA</w:t>
            </w:r>
          </w:p>
        </w:tc>
        <w:tc>
          <w:tcPr>
            <w:tcW w:w="88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17</w:t>
            </w: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15</w:t>
            </w: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14</w:t>
            </w:r>
          </w:p>
        </w:tc>
        <w:tc>
          <w:tcPr>
            <w:tcW w:w="100" w:type="dxa"/>
            <w:vAlign w:val="bottom"/>
            <w:shd w:val="clear" w:color="auto" w:fill="CFF0FC"/>
          </w:tcPr>
          <w:p>
            <w:pPr>
              <w:spacing w:after="0"/>
              <w:rPr>
                <w:sz w:val="18"/>
                <w:szCs w:val="18"/>
                <w:color w:val="auto"/>
              </w:rPr>
            </w:pPr>
          </w:p>
        </w:tc>
      </w:tr>
      <w:tr>
        <w:trPr>
          <w:trHeight w:val="409"/>
        </w:trPr>
        <w:tc>
          <w:tcPr>
            <w:tcW w:w="6500" w:type="dxa"/>
            <w:vAlign w:val="bottom"/>
          </w:tcPr>
          <w:p>
            <w:pPr>
              <w:spacing w:after="0"/>
              <w:rPr>
                <w:sz w:val="20"/>
                <w:szCs w:val="20"/>
                <w:color w:val="auto"/>
              </w:rPr>
            </w:pPr>
            <w:r>
              <w:rPr>
                <w:rFonts w:ascii="Calibri" w:cs="Calibri" w:eastAsia="Calibri" w:hAnsi="Calibri"/>
                <w:sz w:val="18"/>
                <w:szCs w:val="18"/>
                <w:color w:val="auto"/>
              </w:rPr>
              <w:t>Total Operatonal EBITDA for Reportable Segments</w:t>
            </w:r>
          </w:p>
        </w:tc>
        <w:tc>
          <w:tcPr>
            <w:tcW w:w="8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Calibri" w:cs="Calibri" w:eastAsia="Calibri" w:hAnsi="Calibri"/>
                <w:sz w:val="18"/>
                <w:szCs w:val="18"/>
                <w:color w:val="auto"/>
              </w:rPr>
              <w:t>26</w:t>
            </w: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alibri" w:cs="Calibri" w:eastAsia="Calibri" w:hAnsi="Calibri"/>
                <w:sz w:val="18"/>
                <w:szCs w:val="18"/>
                <w:color w:val="auto"/>
              </w:rPr>
              <w:t>45</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alibri" w:cs="Calibri" w:eastAsia="Calibri" w:hAnsi="Calibri"/>
                <w:sz w:val="18"/>
                <w:szCs w:val="18"/>
                <w:color w:val="auto"/>
              </w:rPr>
              <w:t>18</w:t>
            </w:r>
          </w:p>
        </w:tc>
        <w:tc>
          <w:tcPr>
            <w:tcW w:w="100" w:type="dxa"/>
            <w:vAlign w:val="bottom"/>
          </w:tcPr>
          <w:p>
            <w:pPr>
              <w:spacing w:after="0"/>
              <w:rPr>
                <w:sz w:val="24"/>
                <w:szCs w:val="24"/>
                <w:color w:val="auto"/>
              </w:rPr>
            </w:pPr>
          </w:p>
        </w:tc>
      </w:tr>
      <w:tr>
        <w:trPr>
          <w:trHeight w:val="23"/>
        </w:trPr>
        <w:tc>
          <w:tcPr>
            <w:tcW w:w="6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500" w:type="dxa"/>
            <w:vAlign w:val="bottom"/>
            <w:shd w:val="clear" w:color="auto" w:fill="CFF0FC"/>
          </w:tcPr>
          <w:p>
            <w:pPr>
              <w:ind w:left="160"/>
              <w:spacing w:after="0" w:line="215" w:lineRule="exact"/>
              <w:rPr>
                <w:sz w:val="20"/>
                <w:szCs w:val="20"/>
                <w:color w:val="auto"/>
              </w:rPr>
            </w:pPr>
            <w:r>
              <w:rPr>
                <w:rFonts w:ascii="Calibri" w:cs="Calibri" w:eastAsia="Calibri" w:hAnsi="Calibri"/>
                <w:sz w:val="18"/>
                <w:szCs w:val="18"/>
                <w:color w:val="auto"/>
              </w:rPr>
              <w:t>All Other Operatonal EBITDA</w:t>
            </w:r>
          </w:p>
        </w:tc>
        <w:tc>
          <w:tcPr>
            <w:tcW w:w="88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w:t>
            </w: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w:t>
            </w: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w:t>
            </w:r>
          </w:p>
        </w:tc>
        <w:tc>
          <w:tcPr>
            <w:tcW w:w="100" w:type="dxa"/>
            <w:vAlign w:val="bottom"/>
            <w:shd w:val="clear" w:color="auto" w:fill="CFF0FC"/>
          </w:tcPr>
          <w:p>
            <w:pPr>
              <w:spacing w:after="0"/>
              <w:rPr>
                <w:sz w:val="18"/>
                <w:szCs w:val="18"/>
                <w:color w:val="auto"/>
              </w:rPr>
            </w:pPr>
          </w:p>
        </w:tc>
      </w:tr>
      <w:tr>
        <w:trPr>
          <w:trHeight w:val="215"/>
        </w:trPr>
        <w:tc>
          <w:tcPr>
            <w:tcW w:w="6500" w:type="dxa"/>
            <w:vAlign w:val="bottom"/>
          </w:tcPr>
          <w:p>
            <w:pPr>
              <w:ind w:left="160"/>
              <w:spacing w:after="0" w:line="215" w:lineRule="exact"/>
              <w:rPr>
                <w:sz w:val="20"/>
                <w:szCs w:val="20"/>
                <w:color w:val="auto"/>
              </w:rPr>
            </w:pPr>
            <w:r>
              <w:rPr>
                <w:rFonts w:ascii="Calibri" w:cs="Calibri" w:eastAsia="Calibri" w:hAnsi="Calibri"/>
                <w:sz w:val="18"/>
                <w:szCs w:val="18"/>
                <w:color w:val="auto"/>
              </w:rPr>
              <w:t>Depreciaton and amortzaton</w:t>
            </w:r>
          </w:p>
        </w:tc>
        <w:tc>
          <w:tcPr>
            <w:tcW w:w="880" w:type="dxa"/>
            <w:vAlign w:val="bottom"/>
          </w:tcPr>
          <w:p>
            <w:pPr>
              <w:spacing w:after="0"/>
              <w:rPr>
                <w:sz w:val="18"/>
                <w:szCs w:val="18"/>
                <w:color w:val="auto"/>
              </w:rPr>
            </w:pPr>
          </w:p>
        </w:tc>
        <w:tc>
          <w:tcPr>
            <w:tcW w:w="700" w:type="dxa"/>
            <w:vAlign w:val="bottom"/>
            <w:gridSpan w:val="2"/>
          </w:tcPr>
          <w:p>
            <w:pPr>
              <w:jc w:val="right"/>
              <w:ind w:right="170"/>
              <w:spacing w:after="0" w:line="215" w:lineRule="exact"/>
              <w:rPr>
                <w:sz w:val="20"/>
                <w:szCs w:val="20"/>
                <w:color w:val="auto"/>
              </w:rPr>
            </w:pPr>
            <w:r>
              <w:rPr>
                <w:rFonts w:ascii="Calibri" w:cs="Calibri" w:eastAsia="Calibri" w:hAnsi="Calibri"/>
                <w:sz w:val="18"/>
                <w:szCs w:val="18"/>
                <w:color w:val="auto"/>
              </w:rPr>
              <w:t>(28 )</w:t>
            </w:r>
          </w:p>
        </w:tc>
        <w:tc>
          <w:tcPr>
            <w:tcW w:w="340" w:type="dxa"/>
            <w:vAlign w:val="bottom"/>
          </w:tcPr>
          <w:p>
            <w:pPr>
              <w:spacing w:after="0"/>
              <w:rPr>
                <w:sz w:val="18"/>
                <w:szCs w:val="18"/>
                <w:color w:val="auto"/>
              </w:rPr>
            </w:pPr>
          </w:p>
        </w:tc>
        <w:tc>
          <w:tcPr>
            <w:tcW w:w="1480" w:type="dxa"/>
            <w:vAlign w:val="bottom"/>
            <w:gridSpan w:val="2"/>
          </w:tcPr>
          <w:p>
            <w:pPr>
              <w:jc w:val="right"/>
              <w:ind w:right="260"/>
              <w:spacing w:after="0" w:line="215" w:lineRule="exact"/>
              <w:rPr>
                <w:sz w:val="20"/>
                <w:szCs w:val="20"/>
                <w:color w:val="auto"/>
              </w:rPr>
            </w:pPr>
            <w:r>
              <w:rPr>
                <w:rFonts w:ascii="Calibri" w:cs="Calibri" w:eastAsia="Calibri" w:hAnsi="Calibri"/>
                <w:sz w:val="18"/>
                <w:szCs w:val="18"/>
                <w:color w:val="auto"/>
              </w:rPr>
              <w:t>(30 )</w:t>
            </w:r>
          </w:p>
        </w:tc>
        <w:tc>
          <w:tcPr>
            <w:tcW w:w="220" w:type="dxa"/>
            <w:vAlign w:val="bottom"/>
          </w:tcPr>
          <w:p>
            <w:pPr>
              <w:spacing w:after="0"/>
              <w:rPr>
                <w:sz w:val="18"/>
                <w:szCs w:val="18"/>
                <w:color w:val="auto"/>
              </w:rPr>
            </w:pPr>
          </w:p>
        </w:tc>
        <w:tc>
          <w:tcPr>
            <w:tcW w:w="98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(29 )</w:t>
            </w:r>
          </w:p>
        </w:tc>
      </w:tr>
      <w:tr>
        <w:trPr>
          <w:trHeight w:val="217"/>
        </w:trPr>
        <w:tc>
          <w:tcPr>
            <w:tcW w:w="6500" w:type="dxa"/>
            <w:vAlign w:val="bottom"/>
            <w:shd w:val="clear" w:color="auto" w:fill="CFF0FC"/>
          </w:tcPr>
          <w:p>
            <w:pPr>
              <w:ind w:left="160"/>
              <w:spacing w:after="0" w:line="216" w:lineRule="exact"/>
              <w:rPr>
                <w:sz w:val="20"/>
                <w:szCs w:val="20"/>
                <w:color w:val="auto"/>
              </w:rPr>
            </w:pPr>
            <w:r>
              <w:rPr>
                <w:rFonts w:ascii="Calibri" w:cs="Calibri" w:eastAsia="Calibri" w:hAnsi="Calibri"/>
                <w:sz w:val="18"/>
                <w:szCs w:val="18"/>
                <w:color w:val="auto"/>
              </w:rPr>
              <w:t>Restructuring costs and other</w:t>
            </w:r>
          </w:p>
        </w:tc>
        <w:tc>
          <w:tcPr>
            <w:tcW w:w="88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70"/>
              <w:spacing w:after="0" w:line="216" w:lineRule="exact"/>
              <w:rPr>
                <w:sz w:val="20"/>
                <w:szCs w:val="20"/>
                <w:color w:val="auto"/>
              </w:rPr>
            </w:pPr>
            <w:r>
              <w:rPr>
                <w:rFonts w:ascii="Calibri" w:cs="Calibri" w:eastAsia="Calibri" w:hAnsi="Calibri"/>
                <w:sz w:val="18"/>
                <w:szCs w:val="18"/>
                <w:color w:val="auto"/>
              </w:rPr>
              <w:t>(8 )</w:t>
            </w:r>
          </w:p>
        </w:tc>
        <w:tc>
          <w:tcPr>
            <w:tcW w:w="3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60"/>
              <w:spacing w:after="0" w:line="216" w:lineRule="exact"/>
              <w:rPr>
                <w:sz w:val="20"/>
                <w:szCs w:val="20"/>
                <w:color w:val="auto"/>
              </w:rPr>
            </w:pPr>
            <w:r>
              <w:rPr>
                <w:rFonts w:ascii="Calibri" w:cs="Calibri" w:eastAsia="Calibri" w:hAnsi="Calibri"/>
                <w:sz w:val="18"/>
                <w:szCs w:val="18"/>
                <w:color w:val="auto"/>
              </w:rPr>
              <w:t>(10 )</w:t>
            </w:r>
          </w:p>
        </w:tc>
        <w:tc>
          <w:tcPr>
            <w:tcW w:w="2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line="216" w:lineRule="exact"/>
              <w:rPr>
                <w:sz w:val="20"/>
                <w:szCs w:val="20"/>
                <w:color w:val="auto"/>
              </w:rPr>
            </w:pPr>
            <w:r>
              <w:rPr>
                <w:rFonts w:ascii="Calibri" w:cs="Calibri" w:eastAsia="Calibri" w:hAnsi="Calibri"/>
                <w:sz w:val="18"/>
                <w:szCs w:val="18"/>
                <w:color w:val="auto"/>
              </w:rPr>
              <w:t>(13 )</w:t>
            </w:r>
          </w:p>
        </w:tc>
      </w:tr>
      <w:tr>
        <w:trPr>
          <w:trHeight w:val="156"/>
        </w:trPr>
        <w:tc>
          <w:tcPr>
            <w:tcW w:w="6500" w:type="dxa"/>
            <w:vAlign w:val="bottom"/>
          </w:tcPr>
          <w:p>
            <w:pPr>
              <w:ind w:left="160"/>
              <w:spacing w:after="0" w:line="156" w:lineRule="exact"/>
              <w:rPr>
                <w:sz w:val="20"/>
                <w:szCs w:val="20"/>
                <w:color w:val="auto"/>
              </w:rPr>
            </w:pPr>
            <w:r>
              <w:rPr>
                <w:rFonts w:ascii="Calibri" w:cs="Calibri" w:eastAsia="Calibri" w:hAnsi="Calibri"/>
                <w:sz w:val="16"/>
                <w:szCs w:val="16"/>
                <w:color w:val="auto"/>
              </w:rPr>
              <w:t>Stock-based compensaton</w:t>
            </w:r>
          </w:p>
        </w:tc>
        <w:tc>
          <w:tcPr>
            <w:tcW w:w="880" w:type="dxa"/>
            <w:vAlign w:val="bottom"/>
          </w:tcPr>
          <w:p>
            <w:pPr>
              <w:spacing w:after="0"/>
              <w:rPr>
                <w:sz w:val="13"/>
                <w:szCs w:val="13"/>
                <w:color w:val="auto"/>
              </w:rPr>
            </w:pPr>
          </w:p>
        </w:tc>
        <w:tc>
          <w:tcPr>
            <w:tcW w:w="700" w:type="dxa"/>
            <w:vAlign w:val="bottom"/>
            <w:gridSpan w:val="2"/>
          </w:tcPr>
          <w:p>
            <w:pPr>
              <w:jc w:val="right"/>
              <w:ind w:right="170"/>
              <w:spacing w:after="0" w:line="156" w:lineRule="exact"/>
              <w:rPr>
                <w:sz w:val="20"/>
                <w:szCs w:val="20"/>
                <w:color w:val="auto"/>
              </w:rPr>
            </w:pPr>
            <w:r>
              <w:rPr>
                <w:rFonts w:ascii="Calibri" w:cs="Calibri" w:eastAsia="Calibri" w:hAnsi="Calibri"/>
                <w:sz w:val="16"/>
                <w:szCs w:val="16"/>
                <w:color w:val="auto"/>
              </w:rPr>
              <w:t>(6 )</w:t>
            </w:r>
          </w:p>
        </w:tc>
        <w:tc>
          <w:tcPr>
            <w:tcW w:w="340" w:type="dxa"/>
            <w:vAlign w:val="bottom"/>
          </w:tcPr>
          <w:p>
            <w:pPr>
              <w:spacing w:after="0"/>
              <w:rPr>
                <w:sz w:val="13"/>
                <w:szCs w:val="13"/>
                <w:color w:val="auto"/>
              </w:rPr>
            </w:pPr>
          </w:p>
        </w:tc>
        <w:tc>
          <w:tcPr>
            <w:tcW w:w="1480" w:type="dxa"/>
            <w:vAlign w:val="bottom"/>
            <w:gridSpan w:val="2"/>
          </w:tcPr>
          <w:p>
            <w:pPr>
              <w:jc w:val="right"/>
              <w:ind w:right="260"/>
              <w:spacing w:after="0" w:line="156" w:lineRule="exact"/>
              <w:rPr>
                <w:sz w:val="20"/>
                <w:szCs w:val="20"/>
                <w:color w:val="auto"/>
              </w:rPr>
            </w:pPr>
            <w:r>
              <w:rPr>
                <w:rFonts w:ascii="Calibri" w:cs="Calibri" w:eastAsia="Calibri" w:hAnsi="Calibri"/>
                <w:sz w:val="16"/>
                <w:szCs w:val="16"/>
                <w:color w:val="auto"/>
              </w:rPr>
              <w:t>(7 )</w:t>
            </w:r>
          </w:p>
        </w:tc>
        <w:tc>
          <w:tcPr>
            <w:tcW w:w="220" w:type="dxa"/>
            <w:vAlign w:val="bottom"/>
          </w:tcPr>
          <w:p>
            <w:pPr>
              <w:spacing w:after="0"/>
              <w:rPr>
                <w:sz w:val="13"/>
                <w:szCs w:val="13"/>
                <w:color w:val="auto"/>
              </w:rPr>
            </w:pPr>
          </w:p>
        </w:tc>
        <w:tc>
          <w:tcPr>
            <w:tcW w:w="980" w:type="dxa"/>
            <w:vAlign w:val="bottom"/>
            <w:gridSpan w:val="2"/>
          </w:tcPr>
          <w:p>
            <w:pPr>
              <w:jc w:val="right"/>
              <w:ind w:right="40"/>
              <w:spacing w:after="0" w:line="156" w:lineRule="exact"/>
              <w:rPr>
                <w:sz w:val="20"/>
                <w:szCs w:val="20"/>
                <w:color w:val="auto"/>
              </w:rPr>
            </w:pPr>
            <w:r>
              <w:rPr>
                <w:rFonts w:ascii="Calibri" w:cs="Calibri" w:eastAsia="Calibri" w:hAnsi="Calibri"/>
                <w:sz w:val="16"/>
                <w:szCs w:val="16"/>
                <w:color w:val="auto"/>
              </w:rPr>
              <w:t>(5 )</w:t>
            </w:r>
          </w:p>
        </w:tc>
      </w:tr>
      <w:tr>
        <w:trPr>
          <w:trHeight w:val="216"/>
        </w:trPr>
        <w:tc>
          <w:tcPr>
            <w:tcW w:w="6500" w:type="dxa"/>
            <w:vAlign w:val="bottom"/>
          </w:tcPr>
          <w:p>
            <w:pPr>
              <w:ind w:left="160"/>
              <w:spacing w:after="0" w:line="216" w:lineRule="exact"/>
              <w:rPr>
                <w:sz w:val="20"/>
                <w:szCs w:val="20"/>
                <w:color w:val="auto"/>
              </w:rPr>
            </w:pPr>
            <w:r>
              <w:rPr>
                <w:rFonts w:ascii="Calibri" w:cs="Calibri" w:eastAsia="Calibri" w:hAnsi="Calibri"/>
                <w:sz w:val="17"/>
                <w:szCs w:val="17"/>
                <w:color w:val="auto"/>
              </w:rPr>
              <w:t xml:space="preserve">Consultng and other costs </w:t>
            </w:r>
            <w:r>
              <w:rPr>
                <w:rFonts w:ascii="Calibri" w:cs="Calibri" w:eastAsia="Calibri" w:hAnsi="Calibri"/>
                <w:sz w:val="23"/>
                <w:szCs w:val="23"/>
                <w:color w:val="auto"/>
                <w:vertAlign w:val="superscript"/>
              </w:rPr>
              <w:t>(1)</w:t>
            </w:r>
          </w:p>
        </w:tc>
        <w:tc>
          <w:tcPr>
            <w:tcW w:w="880" w:type="dxa"/>
            <w:vAlign w:val="bottom"/>
          </w:tcPr>
          <w:p>
            <w:pPr>
              <w:spacing w:after="0"/>
              <w:rPr>
                <w:sz w:val="18"/>
                <w:szCs w:val="18"/>
                <w:color w:val="auto"/>
              </w:rPr>
            </w:pPr>
          </w:p>
        </w:tc>
        <w:tc>
          <w:tcPr>
            <w:tcW w:w="700" w:type="dxa"/>
            <w:vAlign w:val="bottom"/>
            <w:gridSpan w:val="2"/>
          </w:tcPr>
          <w:p>
            <w:pPr>
              <w:jc w:val="right"/>
              <w:ind w:right="170"/>
              <w:spacing w:after="0" w:line="216" w:lineRule="exact"/>
              <w:rPr>
                <w:sz w:val="20"/>
                <w:szCs w:val="20"/>
                <w:color w:val="auto"/>
              </w:rPr>
            </w:pPr>
            <w:r>
              <w:rPr>
                <w:rFonts w:ascii="Calibri" w:cs="Calibri" w:eastAsia="Calibri" w:hAnsi="Calibri"/>
                <w:sz w:val="18"/>
                <w:szCs w:val="18"/>
                <w:color w:val="auto"/>
              </w:rPr>
              <w:t>(1 )</w:t>
            </w:r>
          </w:p>
        </w:tc>
        <w:tc>
          <w:tcPr>
            <w:tcW w:w="340" w:type="dxa"/>
            <w:vAlign w:val="bottom"/>
          </w:tcPr>
          <w:p>
            <w:pPr>
              <w:spacing w:after="0"/>
              <w:rPr>
                <w:sz w:val="18"/>
                <w:szCs w:val="18"/>
                <w:color w:val="auto"/>
              </w:rPr>
            </w:pPr>
          </w:p>
        </w:tc>
        <w:tc>
          <w:tcPr>
            <w:tcW w:w="1160" w:type="dxa"/>
            <w:vAlign w:val="bottom"/>
          </w:tcPr>
          <w:p>
            <w:pPr>
              <w:jc w:val="right"/>
              <w:spacing w:after="0" w:line="216" w:lineRule="exact"/>
              <w:rPr>
                <w:sz w:val="20"/>
                <w:szCs w:val="20"/>
                <w:color w:val="auto"/>
              </w:rPr>
            </w:pPr>
            <w:r>
              <w:rPr>
                <w:rFonts w:ascii="Calibri" w:cs="Calibri" w:eastAsia="Calibri" w:hAnsi="Calibri"/>
                <w:sz w:val="18"/>
                <w:szCs w:val="18"/>
                <w:color w:val="auto"/>
              </w:rPr>
              <w:t>13</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line="216" w:lineRule="exact"/>
              <w:rPr>
                <w:sz w:val="20"/>
                <w:szCs w:val="20"/>
                <w:color w:val="auto"/>
              </w:rPr>
            </w:pPr>
            <w:r>
              <w:rPr>
                <w:rFonts w:ascii="Calibri" w:cs="Calibri" w:eastAsia="Calibri" w:hAnsi="Calibri"/>
                <w:sz w:val="18"/>
                <w:szCs w:val="18"/>
                <w:color w:val="auto"/>
              </w:rPr>
              <w:t>2</w:t>
            </w:r>
          </w:p>
        </w:tc>
        <w:tc>
          <w:tcPr>
            <w:tcW w:w="100" w:type="dxa"/>
            <w:vAlign w:val="bottom"/>
          </w:tcPr>
          <w:p>
            <w:pPr>
              <w:spacing w:after="0"/>
              <w:rPr>
                <w:sz w:val="18"/>
                <w:szCs w:val="18"/>
                <w:color w:val="auto"/>
              </w:rPr>
            </w:pPr>
          </w:p>
        </w:tc>
      </w:tr>
      <w:tr>
        <w:trPr>
          <w:trHeight w:val="216"/>
        </w:trPr>
        <w:tc>
          <w:tcPr>
            <w:tcW w:w="6500" w:type="dxa"/>
            <w:vAlign w:val="bottom"/>
          </w:tcPr>
          <w:p>
            <w:pPr>
              <w:ind w:left="160"/>
              <w:spacing w:after="0" w:line="216" w:lineRule="exact"/>
              <w:rPr>
                <w:sz w:val="20"/>
                <w:szCs w:val="20"/>
                <w:color w:val="auto"/>
              </w:rPr>
            </w:pPr>
            <w:r>
              <w:rPr>
                <w:rFonts w:ascii="Calibri" w:cs="Calibri" w:eastAsia="Calibri" w:hAnsi="Calibri"/>
                <w:sz w:val="17"/>
                <w:szCs w:val="17"/>
                <w:color w:val="auto"/>
              </w:rPr>
              <w:t xml:space="preserve">Idle costs </w:t>
            </w:r>
            <w:r>
              <w:rPr>
                <w:rFonts w:ascii="Calibri" w:cs="Calibri" w:eastAsia="Calibri" w:hAnsi="Calibri"/>
                <w:sz w:val="23"/>
                <w:szCs w:val="23"/>
                <w:color w:val="auto"/>
                <w:vertAlign w:val="superscript"/>
              </w:rPr>
              <w:t>(2)</w:t>
            </w:r>
          </w:p>
        </w:tc>
        <w:tc>
          <w:tcPr>
            <w:tcW w:w="880" w:type="dxa"/>
            <w:vAlign w:val="bottom"/>
          </w:tcPr>
          <w:p>
            <w:pPr>
              <w:spacing w:after="0"/>
              <w:rPr>
                <w:sz w:val="18"/>
                <w:szCs w:val="18"/>
                <w:color w:val="auto"/>
              </w:rPr>
            </w:pPr>
          </w:p>
        </w:tc>
        <w:tc>
          <w:tcPr>
            <w:tcW w:w="700" w:type="dxa"/>
            <w:vAlign w:val="bottom"/>
            <w:gridSpan w:val="2"/>
          </w:tcPr>
          <w:p>
            <w:pPr>
              <w:jc w:val="right"/>
              <w:ind w:right="170"/>
              <w:spacing w:after="0" w:line="216" w:lineRule="exact"/>
              <w:rPr>
                <w:sz w:val="20"/>
                <w:szCs w:val="20"/>
                <w:color w:val="auto"/>
              </w:rPr>
            </w:pPr>
            <w:r>
              <w:rPr>
                <w:rFonts w:ascii="Calibri" w:cs="Calibri" w:eastAsia="Calibri" w:hAnsi="Calibri"/>
                <w:sz w:val="18"/>
                <w:szCs w:val="18"/>
                <w:color w:val="auto"/>
              </w:rPr>
              <w:t>(2 )</w:t>
            </w:r>
          </w:p>
        </w:tc>
        <w:tc>
          <w:tcPr>
            <w:tcW w:w="340" w:type="dxa"/>
            <w:vAlign w:val="bottom"/>
          </w:tcPr>
          <w:p>
            <w:pPr>
              <w:spacing w:after="0"/>
              <w:rPr>
                <w:sz w:val="18"/>
                <w:szCs w:val="18"/>
                <w:color w:val="auto"/>
              </w:rPr>
            </w:pPr>
          </w:p>
        </w:tc>
        <w:tc>
          <w:tcPr>
            <w:tcW w:w="1480" w:type="dxa"/>
            <w:vAlign w:val="bottom"/>
            <w:gridSpan w:val="2"/>
          </w:tcPr>
          <w:p>
            <w:pPr>
              <w:jc w:val="right"/>
              <w:ind w:right="260"/>
              <w:spacing w:after="0" w:line="216" w:lineRule="exact"/>
              <w:rPr>
                <w:sz w:val="20"/>
                <w:szCs w:val="20"/>
                <w:color w:val="auto"/>
              </w:rPr>
            </w:pPr>
            <w:r>
              <w:rPr>
                <w:rFonts w:ascii="Calibri" w:cs="Calibri" w:eastAsia="Calibri" w:hAnsi="Calibri"/>
                <w:sz w:val="18"/>
                <w:szCs w:val="18"/>
                <w:color w:val="auto"/>
              </w:rPr>
              <w:t>(3 )</w:t>
            </w:r>
          </w:p>
        </w:tc>
        <w:tc>
          <w:tcPr>
            <w:tcW w:w="220" w:type="dxa"/>
            <w:vAlign w:val="bottom"/>
          </w:tcPr>
          <w:p>
            <w:pPr>
              <w:spacing w:after="0"/>
              <w:rPr>
                <w:sz w:val="18"/>
                <w:szCs w:val="18"/>
                <w:color w:val="auto"/>
              </w:rPr>
            </w:pPr>
          </w:p>
        </w:tc>
        <w:tc>
          <w:tcPr>
            <w:tcW w:w="980" w:type="dxa"/>
            <w:vAlign w:val="bottom"/>
            <w:gridSpan w:val="2"/>
          </w:tcPr>
          <w:p>
            <w:pPr>
              <w:jc w:val="right"/>
              <w:ind w:right="40"/>
              <w:spacing w:after="0" w:line="216" w:lineRule="exact"/>
              <w:rPr>
                <w:sz w:val="20"/>
                <w:szCs w:val="20"/>
                <w:color w:val="auto"/>
              </w:rPr>
            </w:pPr>
            <w:r>
              <w:rPr>
                <w:rFonts w:ascii="Calibri" w:cs="Calibri" w:eastAsia="Calibri" w:hAnsi="Calibri"/>
                <w:sz w:val="18"/>
                <w:szCs w:val="18"/>
                <w:color w:val="auto"/>
              </w:rPr>
              <w:t>(3 )</w:t>
            </w:r>
          </w:p>
        </w:tc>
      </w:tr>
      <w:tr>
        <w:trPr>
          <w:trHeight w:val="216"/>
        </w:trPr>
        <w:tc>
          <w:tcPr>
            <w:tcW w:w="6500" w:type="dxa"/>
            <w:vAlign w:val="bottom"/>
          </w:tcPr>
          <w:p>
            <w:pPr>
              <w:ind w:left="160"/>
              <w:spacing w:after="0" w:line="216" w:lineRule="exact"/>
              <w:rPr>
                <w:sz w:val="20"/>
                <w:szCs w:val="20"/>
                <w:color w:val="auto"/>
              </w:rPr>
            </w:pPr>
            <w:r>
              <w:rPr>
                <w:rFonts w:ascii="Calibri" w:cs="Calibri" w:eastAsia="Calibri" w:hAnsi="Calibri"/>
                <w:sz w:val="17"/>
                <w:szCs w:val="17"/>
                <w:color w:val="auto"/>
              </w:rPr>
              <w:t xml:space="preserve">Other operatng income (expense), net </w:t>
            </w:r>
            <w:r>
              <w:rPr>
                <w:rFonts w:ascii="Calibri" w:cs="Calibri" w:eastAsia="Calibri" w:hAnsi="Calibri"/>
                <w:sz w:val="23"/>
                <w:szCs w:val="23"/>
                <w:color w:val="auto"/>
                <w:vertAlign w:val="superscript"/>
              </w:rPr>
              <w:t>(3)</w:t>
            </w:r>
          </w:p>
        </w:tc>
        <w:tc>
          <w:tcPr>
            <w:tcW w:w="880" w:type="dxa"/>
            <w:vAlign w:val="bottom"/>
          </w:tcPr>
          <w:p>
            <w:pPr>
              <w:spacing w:after="0"/>
              <w:rPr>
                <w:sz w:val="18"/>
                <w:szCs w:val="18"/>
                <w:color w:val="auto"/>
              </w:rPr>
            </w:pPr>
          </w:p>
        </w:tc>
        <w:tc>
          <w:tcPr>
            <w:tcW w:w="380" w:type="dxa"/>
            <w:vAlign w:val="bottom"/>
          </w:tcPr>
          <w:p>
            <w:pPr>
              <w:jc w:val="right"/>
              <w:spacing w:after="0" w:line="216" w:lineRule="exact"/>
              <w:rPr>
                <w:sz w:val="20"/>
                <w:szCs w:val="20"/>
                <w:color w:val="auto"/>
              </w:rPr>
            </w:pPr>
            <w:r>
              <w:rPr>
                <w:rFonts w:ascii="Calibri" w:cs="Calibri" w:eastAsia="Calibri" w:hAnsi="Calibri"/>
                <w:sz w:val="18"/>
                <w:szCs w:val="18"/>
                <w:color w:val="auto"/>
              </w:rPr>
              <w:t>10</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ind w:right="260"/>
              <w:spacing w:after="0" w:line="216" w:lineRule="exact"/>
              <w:rPr>
                <w:sz w:val="20"/>
                <w:szCs w:val="20"/>
                <w:color w:val="auto"/>
              </w:rPr>
            </w:pPr>
            <w:r>
              <w:rPr>
                <w:rFonts w:ascii="Calibri" w:cs="Calibri" w:eastAsia="Calibri" w:hAnsi="Calibri"/>
                <w:sz w:val="18"/>
                <w:szCs w:val="18"/>
                <w:color w:val="auto"/>
              </w:rPr>
              <w:t>(6 )</w:t>
            </w:r>
          </w:p>
        </w:tc>
        <w:tc>
          <w:tcPr>
            <w:tcW w:w="220" w:type="dxa"/>
            <w:vAlign w:val="bottom"/>
          </w:tcPr>
          <w:p>
            <w:pPr>
              <w:spacing w:after="0"/>
              <w:rPr>
                <w:sz w:val="18"/>
                <w:szCs w:val="18"/>
                <w:color w:val="auto"/>
              </w:rPr>
            </w:pPr>
          </w:p>
        </w:tc>
        <w:tc>
          <w:tcPr>
            <w:tcW w:w="880" w:type="dxa"/>
            <w:vAlign w:val="bottom"/>
          </w:tcPr>
          <w:p>
            <w:pPr>
              <w:jc w:val="right"/>
              <w:spacing w:after="0" w:line="216" w:lineRule="exact"/>
              <w:rPr>
                <w:sz w:val="20"/>
                <w:szCs w:val="20"/>
                <w:color w:val="auto"/>
              </w:rPr>
            </w:pPr>
            <w:r>
              <w:rPr>
                <w:rFonts w:ascii="Calibri" w:cs="Calibri" w:eastAsia="Calibri" w:hAnsi="Calibri"/>
                <w:sz w:val="18"/>
                <w:szCs w:val="18"/>
                <w:color w:val="auto"/>
              </w:rPr>
              <w:t>1</w:t>
            </w:r>
          </w:p>
        </w:tc>
        <w:tc>
          <w:tcPr>
            <w:tcW w:w="100" w:type="dxa"/>
            <w:vAlign w:val="bottom"/>
          </w:tcPr>
          <w:p>
            <w:pPr>
              <w:spacing w:after="0"/>
              <w:rPr>
                <w:sz w:val="18"/>
                <w:szCs w:val="18"/>
                <w:color w:val="auto"/>
              </w:rPr>
            </w:pPr>
          </w:p>
        </w:tc>
      </w:tr>
      <w:tr>
        <w:trPr>
          <w:trHeight w:val="216"/>
        </w:trPr>
        <w:tc>
          <w:tcPr>
            <w:tcW w:w="6500" w:type="dxa"/>
            <w:vAlign w:val="bottom"/>
          </w:tcPr>
          <w:p>
            <w:pPr>
              <w:ind w:left="160"/>
              <w:spacing w:after="0" w:line="216" w:lineRule="exact"/>
              <w:rPr>
                <w:sz w:val="20"/>
                <w:szCs w:val="20"/>
                <w:color w:val="auto"/>
              </w:rPr>
            </w:pPr>
            <w:r>
              <w:rPr>
                <w:rFonts w:ascii="Calibri" w:cs="Calibri" w:eastAsia="Calibri" w:hAnsi="Calibri"/>
                <w:sz w:val="17"/>
                <w:szCs w:val="17"/>
                <w:color w:val="auto"/>
              </w:rPr>
              <w:t xml:space="preserve">Interest expense </w:t>
            </w:r>
            <w:r>
              <w:rPr>
                <w:rFonts w:ascii="Calibri" w:cs="Calibri" w:eastAsia="Calibri" w:hAnsi="Calibri"/>
                <w:sz w:val="23"/>
                <w:szCs w:val="23"/>
                <w:color w:val="auto"/>
                <w:vertAlign w:val="superscript"/>
              </w:rPr>
              <w:t>(3)</w:t>
            </w:r>
          </w:p>
        </w:tc>
        <w:tc>
          <w:tcPr>
            <w:tcW w:w="880" w:type="dxa"/>
            <w:vAlign w:val="bottom"/>
          </w:tcPr>
          <w:p>
            <w:pPr>
              <w:spacing w:after="0"/>
              <w:rPr>
                <w:sz w:val="18"/>
                <w:szCs w:val="18"/>
                <w:color w:val="auto"/>
              </w:rPr>
            </w:pPr>
          </w:p>
        </w:tc>
        <w:tc>
          <w:tcPr>
            <w:tcW w:w="700" w:type="dxa"/>
            <w:vAlign w:val="bottom"/>
            <w:gridSpan w:val="2"/>
          </w:tcPr>
          <w:p>
            <w:pPr>
              <w:jc w:val="right"/>
              <w:ind w:right="170"/>
              <w:spacing w:after="0" w:line="216" w:lineRule="exact"/>
              <w:rPr>
                <w:sz w:val="20"/>
                <w:szCs w:val="20"/>
                <w:color w:val="auto"/>
              </w:rPr>
            </w:pPr>
            <w:r>
              <w:rPr>
                <w:rFonts w:ascii="Calibri" w:cs="Calibri" w:eastAsia="Calibri" w:hAnsi="Calibri"/>
                <w:sz w:val="18"/>
                <w:szCs w:val="18"/>
                <w:color w:val="auto"/>
              </w:rPr>
              <w:t>(59 )</w:t>
            </w:r>
          </w:p>
        </w:tc>
        <w:tc>
          <w:tcPr>
            <w:tcW w:w="340" w:type="dxa"/>
            <w:vAlign w:val="bottom"/>
          </w:tcPr>
          <w:p>
            <w:pPr>
              <w:spacing w:after="0"/>
              <w:rPr>
                <w:sz w:val="18"/>
                <w:szCs w:val="18"/>
                <w:color w:val="auto"/>
              </w:rPr>
            </w:pPr>
          </w:p>
        </w:tc>
        <w:tc>
          <w:tcPr>
            <w:tcW w:w="1480" w:type="dxa"/>
            <w:vAlign w:val="bottom"/>
            <w:gridSpan w:val="2"/>
          </w:tcPr>
          <w:p>
            <w:pPr>
              <w:jc w:val="right"/>
              <w:ind w:right="260"/>
              <w:spacing w:after="0" w:line="216" w:lineRule="exact"/>
              <w:rPr>
                <w:sz w:val="20"/>
                <w:szCs w:val="20"/>
                <w:color w:val="auto"/>
              </w:rPr>
            </w:pPr>
            <w:r>
              <w:rPr>
                <w:rFonts w:ascii="Calibri" w:cs="Calibri" w:eastAsia="Calibri" w:hAnsi="Calibri"/>
                <w:sz w:val="18"/>
                <w:szCs w:val="18"/>
                <w:color w:val="auto"/>
              </w:rPr>
              <w:t>(52 )</w:t>
            </w:r>
          </w:p>
        </w:tc>
        <w:tc>
          <w:tcPr>
            <w:tcW w:w="220" w:type="dxa"/>
            <w:vAlign w:val="bottom"/>
          </w:tcPr>
          <w:p>
            <w:pPr>
              <w:spacing w:after="0"/>
              <w:rPr>
                <w:sz w:val="18"/>
                <w:szCs w:val="18"/>
                <w:color w:val="auto"/>
              </w:rPr>
            </w:pPr>
          </w:p>
        </w:tc>
        <w:tc>
          <w:tcPr>
            <w:tcW w:w="980" w:type="dxa"/>
            <w:vAlign w:val="bottom"/>
            <w:gridSpan w:val="2"/>
          </w:tcPr>
          <w:p>
            <w:pPr>
              <w:jc w:val="right"/>
              <w:ind w:right="40"/>
              <w:spacing w:after="0" w:line="216" w:lineRule="exact"/>
              <w:rPr>
                <w:sz w:val="20"/>
                <w:szCs w:val="20"/>
                <w:color w:val="auto"/>
              </w:rPr>
            </w:pPr>
            <w:r>
              <w:rPr>
                <w:rFonts w:ascii="Calibri" w:cs="Calibri" w:eastAsia="Calibri" w:hAnsi="Calibri"/>
                <w:sz w:val="18"/>
                <w:szCs w:val="18"/>
                <w:color w:val="auto"/>
              </w:rPr>
              <w:t>(40 )</w:t>
            </w:r>
          </w:p>
        </w:tc>
      </w:tr>
      <w:tr>
        <w:trPr>
          <w:trHeight w:val="216"/>
        </w:trPr>
        <w:tc>
          <w:tcPr>
            <w:tcW w:w="6500" w:type="dxa"/>
            <w:vAlign w:val="bottom"/>
          </w:tcPr>
          <w:p>
            <w:pPr>
              <w:ind w:left="160"/>
              <w:spacing w:after="0" w:line="216" w:lineRule="exact"/>
              <w:rPr>
                <w:sz w:val="20"/>
                <w:szCs w:val="20"/>
                <w:color w:val="auto"/>
              </w:rPr>
            </w:pPr>
            <w:r>
              <w:rPr>
                <w:rFonts w:ascii="Calibri" w:cs="Calibri" w:eastAsia="Calibri" w:hAnsi="Calibri"/>
                <w:sz w:val="17"/>
                <w:szCs w:val="17"/>
                <w:color w:val="auto"/>
              </w:rPr>
              <w:t xml:space="preserve">Pension income excluding service cost component </w:t>
            </w:r>
            <w:r>
              <w:rPr>
                <w:rFonts w:ascii="Calibri" w:cs="Calibri" w:eastAsia="Calibri" w:hAnsi="Calibri"/>
                <w:sz w:val="23"/>
                <w:szCs w:val="23"/>
                <w:color w:val="auto"/>
                <w:vertAlign w:val="superscript"/>
              </w:rPr>
              <w:t>(3)</w:t>
            </w:r>
          </w:p>
        </w:tc>
        <w:tc>
          <w:tcPr>
            <w:tcW w:w="880" w:type="dxa"/>
            <w:vAlign w:val="bottom"/>
          </w:tcPr>
          <w:p>
            <w:pPr>
              <w:spacing w:after="0"/>
              <w:rPr>
                <w:sz w:val="18"/>
                <w:szCs w:val="18"/>
                <w:color w:val="auto"/>
              </w:rPr>
            </w:pPr>
          </w:p>
        </w:tc>
        <w:tc>
          <w:tcPr>
            <w:tcW w:w="380" w:type="dxa"/>
            <w:vAlign w:val="bottom"/>
          </w:tcPr>
          <w:p>
            <w:pPr>
              <w:jc w:val="right"/>
              <w:spacing w:after="0" w:line="216" w:lineRule="exact"/>
              <w:rPr>
                <w:sz w:val="20"/>
                <w:szCs w:val="20"/>
                <w:color w:val="auto"/>
              </w:rPr>
            </w:pPr>
            <w:r>
              <w:rPr>
                <w:rFonts w:ascii="Calibri" w:cs="Calibri" w:eastAsia="Calibri" w:hAnsi="Calibri"/>
                <w:sz w:val="18"/>
                <w:szCs w:val="18"/>
                <w:color w:val="auto"/>
              </w:rPr>
              <w:t>173</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line="216" w:lineRule="exact"/>
              <w:rPr>
                <w:sz w:val="20"/>
                <w:szCs w:val="20"/>
                <w:color w:val="auto"/>
              </w:rPr>
            </w:pPr>
            <w:r>
              <w:rPr>
                <w:rFonts w:ascii="Calibri" w:cs="Calibri" w:eastAsia="Calibri" w:hAnsi="Calibri"/>
                <w:sz w:val="18"/>
                <w:szCs w:val="18"/>
                <w:color w:val="auto"/>
              </w:rPr>
              <w:t>161</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line="216" w:lineRule="exact"/>
              <w:rPr>
                <w:sz w:val="20"/>
                <w:szCs w:val="20"/>
                <w:color w:val="auto"/>
              </w:rPr>
            </w:pPr>
            <w:r>
              <w:rPr>
                <w:rFonts w:ascii="Calibri" w:cs="Calibri" w:eastAsia="Calibri" w:hAnsi="Calibri"/>
                <w:sz w:val="18"/>
                <w:szCs w:val="18"/>
                <w:color w:val="auto"/>
              </w:rPr>
              <w:t>98</w:t>
            </w:r>
          </w:p>
        </w:tc>
        <w:tc>
          <w:tcPr>
            <w:tcW w:w="100" w:type="dxa"/>
            <w:vAlign w:val="bottom"/>
          </w:tcPr>
          <w:p>
            <w:pPr>
              <w:spacing w:after="0"/>
              <w:rPr>
                <w:sz w:val="18"/>
                <w:szCs w:val="18"/>
                <w:color w:val="auto"/>
              </w:rPr>
            </w:pPr>
          </w:p>
        </w:tc>
      </w:tr>
      <w:tr>
        <w:trPr>
          <w:trHeight w:val="230"/>
        </w:trPr>
        <w:tc>
          <w:tcPr>
            <w:tcW w:w="6500" w:type="dxa"/>
            <w:vAlign w:val="bottom"/>
          </w:tcPr>
          <w:p>
            <w:pPr>
              <w:ind w:left="160"/>
              <w:spacing w:after="0" w:line="230" w:lineRule="exact"/>
              <w:rPr>
                <w:sz w:val="20"/>
                <w:szCs w:val="20"/>
                <w:color w:val="auto"/>
              </w:rPr>
            </w:pPr>
            <w:r>
              <w:rPr>
                <w:rFonts w:ascii="Calibri" w:cs="Calibri" w:eastAsia="Calibri" w:hAnsi="Calibri"/>
                <w:sz w:val="18"/>
                <w:szCs w:val="18"/>
                <w:color w:val="auto"/>
              </w:rPr>
              <w:t xml:space="preserve">Loss on early extnguishment of debt </w:t>
            </w:r>
            <w:r>
              <w:rPr>
                <w:rFonts w:ascii="Calibri" w:cs="Calibri" w:eastAsia="Calibri" w:hAnsi="Calibri"/>
                <w:sz w:val="24"/>
                <w:szCs w:val="24"/>
                <w:color w:val="auto"/>
                <w:vertAlign w:val="superscript"/>
              </w:rPr>
              <w:t>(3)</w:t>
            </w:r>
          </w:p>
        </w:tc>
        <w:tc>
          <w:tcPr>
            <w:tcW w:w="880" w:type="dxa"/>
            <w:vAlign w:val="bottom"/>
          </w:tcPr>
          <w:p>
            <w:pPr>
              <w:spacing w:after="0"/>
              <w:rPr>
                <w:sz w:val="19"/>
                <w:szCs w:val="19"/>
                <w:color w:val="auto"/>
              </w:rPr>
            </w:pPr>
          </w:p>
        </w:tc>
        <w:tc>
          <w:tcPr>
            <w:tcW w:w="700" w:type="dxa"/>
            <w:vAlign w:val="bottom"/>
            <w:gridSpan w:val="2"/>
          </w:tcPr>
          <w:p>
            <w:pPr>
              <w:jc w:val="right"/>
              <w:ind w:right="250"/>
              <w:spacing w:after="0"/>
              <w:rPr>
                <w:sz w:val="20"/>
                <w:szCs w:val="20"/>
                <w:color w:val="auto"/>
              </w:rPr>
            </w:pPr>
            <w:r>
              <w:rPr>
                <w:rFonts w:ascii="Calibri" w:cs="Calibri" w:eastAsia="Calibri" w:hAnsi="Calibri"/>
                <w:sz w:val="18"/>
                <w:szCs w:val="18"/>
                <w:color w:val="auto"/>
              </w:rPr>
              <w:t>—</w:t>
            </w:r>
          </w:p>
        </w:tc>
        <w:tc>
          <w:tcPr>
            <w:tcW w:w="340" w:type="dxa"/>
            <w:vAlign w:val="bottom"/>
          </w:tcPr>
          <w:p>
            <w:pPr>
              <w:spacing w:after="0"/>
              <w:rPr>
                <w:sz w:val="19"/>
                <w:szCs w:val="19"/>
                <w:color w:val="auto"/>
              </w:rPr>
            </w:pPr>
          </w:p>
        </w:tc>
        <w:tc>
          <w:tcPr>
            <w:tcW w:w="1480" w:type="dxa"/>
            <w:vAlign w:val="bottom"/>
            <w:gridSpan w:val="2"/>
          </w:tcPr>
          <w:p>
            <w:pPr>
              <w:jc w:val="right"/>
              <w:ind w:right="260"/>
              <w:spacing w:after="0"/>
              <w:rPr>
                <w:sz w:val="20"/>
                <w:szCs w:val="20"/>
                <w:color w:val="auto"/>
              </w:rPr>
            </w:pPr>
            <w:r>
              <w:rPr>
                <w:rFonts w:ascii="Calibri" w:cs="Calibri" w:eastAsia="Calibri" w:hAnsi="Calibri"/>
                <w:sz w:val="18"/>
                <w:szCs w:val="18"/>
                <w:color w:val="auto"/>
              </w:rPr>
              <w:t>(27 )</w:t>
            </w:r>
          </w:p>
        </w:tc>
        <w:tc>
          <w:tcPr>
            <w:tcW w:w="22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Calibri" w:cs="Calibri" w:eastAsia="Calibri" w:hAnsi="Calibri"/>
                <w:sz w:val="18"/>
                <w:szCs w:val="18"/>
                <w:color w:val="auto"/>
              </w:rPr>
              <w:t>—</w:t>
            </w:r>
          </w:p>
        </w:tc>
      </w:tr>
      <w:tr>
        <w:trPr>
          <w:trHeight w:val="263"/>
        </w:trPr>
        <w:tc>
          <w:tcPr>
            <w:tcW w:w="6500" w:type="dxa"/>
            <w:vAlign w:val="bottom"/>
          </w:tcPr>
          <w:p>
            <w:pPr>
              <w:ind w:left="160"/>
              <w:spacing w:after="0" w:line="263" w:lineRule="exact"/>
              <w:rPr>
                <w:sz w:val="20"/>
                <w:szCs w:val="20"/>
                <w:color w:val="auto"/>
              </w:rPr>
            </w:pPr>
            <w:r>
              <w:rPr>
                <w:rFonts w:ascii="Calibri" w:cs="Calibri" w:eastAsia="Calibri" w:hAnsi="Calibri"/>
                <w:sz w:val="18"/>
                <w:szCs w:val="18"/>
                <w:color w:val="auto"/>
              </w:rPr>
              <w:t xml:space="preserve">Other income (charges), net </w:t>
            </w:r>
            <w:r>
              <w:rPr>
                <w:rFonts w:ascii="Calibri" w:cs="Calibri" w:eastAsia="Calibri" w:hAnsi="Calibri"/>
                <w:sz w:val="24"/>
                <w:szCs w:val="24"/>
                <w:color w:val="auto"/>
                <w:vertAlign w:val="superscript"/>
              </w:rPr>
              <w:t>(3)</w:t>
            </w:r>
          </w:p>
        </w:tc>
        <w:tc>
          <w:tcPr>
            <w:tcW w:w="88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Calibri" w:cs="Calibri" w:eastAsia="Calibri" w:hAnsi="Calibri"/>
                <w:sz w:val="18"/>
                <w:szCs w:val="18"/>
                <w:color w:val="auto"/>
              </w:rPr>
              <w:t>3</w:t>
            </w:r>
          </w:p>
        </w:tc>
        <w:tc>
          <w:tcPr>
            <w:tcW w:w="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Calibri" w:cs="Calibri" w:eastAsia="Calibri" w:hAnsi="Calibri"/>
                <w:sz w:val="18"/>
                <w:szCs w:val="18"/>
                <w:color w:val="auto"/>
              </w:rPr>
              <w:t>1</w:t>
            </w: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gridSpan w:val="2"/>
          </w:tcPr>
          <w:p>
            <w:pPr>
              <w:jc w:val="right"/>
              <w:ind w:right="40"/>
              <w:spacing w:after="0"/>
              <w:rPr>
                <w:sz w:val="20"/>
                <w:szCs w:val="20"/>
                <w:color w:val="auto"/>
              </w:rPr>
            </w:pPr>
            <w:r>
              <w:rPr>
                <w:rFonts w:ascii="Calibri" w:cs="Calibri" w:eastAsia="Calibri" w:hAnsi="Calibri"/>
                <w:sz w:val="18"/>
                <w:szCs w:val="18"/>
                <w:color w:val="auto"/>
              </w:rPr>
              <w:t>(1 )</w:t>
            </w:r>
          </w:p>
        </w:tc>
      </w:tr>
      <w:tr>
        <w:trPr>
          <w:trHeight w:val="210"/>
        </w:trPr>
        <w:tc>
          <w:tcPr>
            <w:tcW w:w="6500" w:type="dxa"/>
            <w:vAlign w:val="bottom"/>
          </w:tcPr>
          <w:p>
            <w:pPr>
              <w:spacing w:after="0" w:line="209" w:lineRule="exact"/>
              <w:rPr>
                <w:sz w:val="20"/>
                <w:szCs w:val="20"/>
                <w:color w:val="auto"/>
              </w:rPr>
            </w:pPr>
            <w:r>
              <w:rPr>
                <w:rFonts w:ascii="Calibri" w:cs="Calibri" w:eastAsia="Calibri" w:hAnsi="Calibri"/>
                <w:sz w:val="18"/>
                <w:szCs w:val="18"/>
                <w:color w:val="auto"/>
              </w:rPr>
              <w:t>Consolidated earnings from contnuing operatons before income taxes</w:t>
            </w:r>
          </w:p>
        </w:tc>
        <w:tc>
          <w:tcPr>
            <w:tcW w:w="880" w:type="dxa"/>
            <w:vAlign w:val="bottom"/>
            <w:tcBorders>
              <w:top w:val="single" w:sz="8" w:color="auto"/>
              <w:bottom w:val="single" w:sz="8" w:color="auto"/>
            </w:tcBorders>
          </w:tcPr>
          <w:p>
            <w:pPr>
              <w:jc w:val="right"/>
              <w:ind w:right="690"/>
              <w:spacing w:after="0" w:line="209" w:lineRule="exact"/>
              <w:rPr>
                <w:sz w:val="20"/>
                <w:szCs w:val="20"/>
                <w:color w:val="auto"/>
              </w:rPr>
            </w:pPr>
            <w:r>
              <w:rPr>
                <w:rFonts w:ascii="Calibri" w:cs="Calibri" w:eastAsia="Calibri" w:hAnsi="Calibri"/>
                <w:sz w:val="18"/>
                <w:szCs w:val="18"/>
                <w:color w:val="auto"/>
                <w:w w:val="87"/>
              </w:rPr>
              <w:t>$</w:t>
            </w:r>
          </w:p>
        </w:tc>
        <w:tc>
          <w:tcPr>
            <w:tcW w:w="380" w:type="dxa"/>
            <w:vAlign w:val="bottom"/>
            <w:tcBorders>
              <w:top w:val="single" w:sz="8" w:color="auto"/>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110</w:t>
            </w:r>
          </w:p>
        </w:tc>
        <w:tc>
          <w:tcPr>
            <w:tcW w:w="3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line="209" w:lineRule="exact"/>
              <w:rPr>
                <w:sz w:val="20"/>
                <w:szCs w:val="20"/>
                <w:color w:val="auto"/>
              </w:rPr>
            </w:pPr>
            <w:r>
              <w:rPr>
                <w:rFonts w:ascii="Calibri" w:cs="Calibri" w:eastAsia="Calibri" w:hAnsi="Calibri"/>
                <w:sz w:val="18"/>
                <w:szCs w:val="18"/>
                <w:color w:val="auto"/>
                <w:w w:val="87"/>
              </w:rPr>
              <w:t>$</w:t>
            </w:r>
          </w:p>
        </w:tc>
        <w:tc>
          <w:tcPr>
            <w:tcW w:w="1160" w:type="dxa"/>
            <w:vAlign w:val="bottom"/>
            <w:tcBorders>
              <w:top w:val="single" w:sz="8" w:color="auto"/>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87</w:t>
            </w:r>
          </w:p>
        </w:tc>
        <w:tc>
          <w:tcPr>
            <w:tcW w:w="3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1"/>
              <w:spacing w:after="0"/>
              <w:rPr>
                <w:sz w:val="20"/>
                <w:szCs w:val="20"/>
                <w:color w:val="auto"/>
              </w:rPr>
            </w:pPr>
            <w:r>
              <w:rPr>
                <w:rFonts w:ascii="Calibri" w:cs="Calibri" w:eastAsia="Calibri" w:hAnsi="Calibri"/>
                <w:sz w:val="16"/>
                <w:szCs w:val="16"/>
                <w:color w:val="auto"/>
                <w:w w:val="73"/>
              </w:rPr>
              <w:t>$</w:t>
            </w:r>
          </w:p>
        </w:tc>
        <w:tc>
          <w:tcPr>
            <w:tcW w:w="880" w:type="dxa"/>
            <w:vAlign w:val="bottom"/>
            <w:tcBorders>
              <w:top w:val="single" w:sz="8" w:color="auto"/>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31</w:t>
            </w:r>
          </w:p>
        </w:tc>
        <w:tc>
          <w:tcPr>
            <w:tcW w:w="100" w:type="dxa"/>
            <w:vAlign w:val="bottom"/>
          </w:tcPr>
          <w:p>
            <w:pPr>
              <w:spacing w:after="0"/>
              <w:rPr>
                <w:sz w:val="18"/>
                <w:szCs w:val="18"/>
                <w:color w:val="auto"/>
              </w:rPr>
            </w:pPr>
          </w:p>
        </w:tc>
      </w:tr>
      <w:tr>
        <w:trPr>
          <w:trHeight w:val="20"/>
        </w:trPr>
        <w:tc>
          <w:tcPr>
            <w:tcW w:w="65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-1130935</wp:posOffset>
            </wp:positionV>
            <wp:extent cx="7054850" cy="13716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054850" cy="137160"/>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-856615</wp:posOffset>
            </wp:positionV>
            <wp:extent cx="7054850" cy="13716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054850" cy="137160"/>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-582295</wp:posOffset>
            </wp:positionV>
            <wp:extent cx="7054850" cy="13716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054850" cy="137160"/>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-307975</wp:posOffset>
            </wp:positionV>
            <wp:extent cx="7054850" cy="14605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054850" cy="146050"/>
                    </a:xfrm>
                    <a:prstGeom prst="rect">
                      <a:avLst/>
                    </a:prstGeom>
                    <a:noFill/>
                  </pic:spPr>
                </pic:pic>
              </a:graphicData>
            </a:graphic>
          </wp:anchor>
        </w:drawing>
      </w:r>
    </w:p>
    <w:p>
      <w:pPr>
        <w:spacing w:after="0" w:line="390" w:lineRule="exact"/>
        <w:rPr>
          <w:sz w:val="20"/>
          <w:szCs w:val="20"/>
          <w:color w:val="auto"/>
        </w:rPr>
      </w:pPr>
    </w:p>
    <w:p>
      <w:pPr>
        <w:ind w:left="540" w:right="100" w:hanging="262"/>
        <w:spacing w:after="0" w:line="217" w:lineRule="auto"/>
        <w:tabs>
          <w:tab w:leader="none" w:pos="540" w:val="left"/>
        </w:tabs>
        <w:numPr>
          <w:ilvl w:val="0"/>
          <w:numId w:val="46"/>
        </w:numPr>
        <w:rPr>
          <w:rFonts w:ascii="Calibri" w:cs="Calibri" w:eastAsia="Calibri" w:hAnsi="Calibri"/>
          <w:sz w:val="24"/>
          <w:szCs w:val="24"/>
          <w:color w:val="auto"/>
          <w:vertAlign w:val="superscript"/>
        </w:rPr>
      </w:pPr>
      <w:r>
        <w:rPr>
          <w:rFonts w:ascii="Calibri" w:cs="Calibri" w:eastAsia="Calibri" w:hAnsi="Calibri"/>
          <w:sz w:val="18"/>
          <w:szCs w:val="18"/>
          <w:color w:val="auto"/>
        </w:rPr>
        <w:t>Consultng and other costs are professional services and internal costs associated with corporate strategic initatves and litgaton. Consultng and other costs included $15 million of income in the year ended December 31, 2023, representng insurance reimbursement of legal costs previously paid by the Company associated with investgatons and litgaton maters. Kodak received $20 million of insurance reimbursement in 2023 of which $5 million was recorded in Other current assets in the Consolidated Statement of Financial Positon as of December 31, 2022.</w:t>
      </w:r>
    </w:p>
    <w:p>
      <w:pPr>
        <w:spacing w:after="0" w:line="3" w:lineRule="exact"/>
        <w:rPr>
          <w:rFonts w:ascii="Calibri" w:cs="Calibri" w:eastAsia="Calibri" w:hAnsi="Calibri"/>
          <w:sz w:val="24"/>
          <w:szCs w:val="24"/>
          <w:color w:val="auto"/>
          <w:vertAlign w:val="superscript"/>
        </w:rPr>
      </w:pPr>
    </w:p>
    <w:p>
      <w:pPr>
        <w:ind w:left="540" w:right="180" w:hanging="262"/>
        <w:spacing w:after="0" w:line="201" w:lineRule="auto"/>
        <w:tabs>
          <w:tab w:leader="none" w:pos="540" w:val="left"/>
        </w:tabs>
        <w:numPr>
          <w:ilvl w:val="0"/>
          <w:numId w:val="46"/>
        </w:numPr>
        <w:rPr>
          <w:rFonts w:ascii="Calibri" w:cs="Calibri" w:eastAsia="Calibri" w:hAnsi="Calibri"/>
          <w:sz w:val="24"/>
          <w:szCs w:val="24"/>
          <w:color w:val="auto"/>
          <w:vertAlign w:val="superscript"/>
        </w:rPr>
      </w:pPr>
      <w:r>
        <w:rPr>
          <w:rFonts w:ascii="Calibri" w:cs="Calibri" w:eastAsia="Calibri" w:hAnsi="Calibri"/>
          <w:sz w:val="18"/>
          <w:szCs w:val="18"/>
          <w:color w:val="auto"/>
        </w:rPr>
        <w:t>Consists of third-party costs such as security, maintenance, and utlites required to maintain land and buildings in certain locatons not used in any Kodak operatons and the costs, net of any rental income received, of underutlized portons of certain propertes.</w:t>
      </w:r>
    </w:p>
    <w:p>
      <w:pPr>
        <w:spacing w:after="0" w:line="1" w:lineRule="exact"/>
        <w:rPr>
          <w:rFonts w:ascii="Calibri" w:cs="Calibri" w:eastAsia="Calibri" w:hAnsi="Calibri"/>
          <w:sz w:val="24"/>
          <w:szCs w:val="24"/>
          <w:color w:val="auto"/>
          <w:vertAlign w:val="superscript"/>
        </w:rPr>
      </w:pPr>
    </w:p>
    <w:p>
      <w:pPr>
        <w:ind w:left="540" w:hanging="262"/>
        <w:spacing w:after="0" w:line="184" w:lineRule="auto"/>
        <w:tabs>
          <w:tab w:leader="none" w:pos="540" w:val="left"/>
        </w:tabs>
        <w:numPr>
          <w:ilvl w:val="0"/>
          <w:numId w:val="46"/>
        </w:numPr>
        <w:rPr>
          <w:rFonts w:ascii="Calibri" w:cs="Calibri" w:eastAsia="Calibri" w:hAnsi="Calibri"/>
          <w:sz w:val="23"/>
          <w:szCs w:val="23"/>
          <w:color w:val="auto"/>
          <w:vertAlign w:val="superscript"/>
        </w:rPr>
      </w:pPr>
      <w:r>
        <w:rPr>
          <w:rFonts w:ascii="Calibri" w:cs="Calibri" w:eastAsia="Calibri" w:hAnsi="Calibri"/>
          <w:sz w:val="17"/>
          <w:szCs w:val="17"/>
          <w:color w:val="auto"/>
        </w:rPr>
        <w:t>As reported in the Consolidated Statement of Operatons.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79"/>
        <w:spacing w:after="0"/>
        <w:rPr>
          <w:sz w:val="20"/>
          <w:szCs w:val="20"/>
          <w:color w:val="auto"/>
        </w:rPr>
      </w:pPr>
      <w:r>
        <w:rPr>
          <w:rFonts w:ascii="Calibri" w:cs="Calibri" w:eastAsia="Calibri" w:hAnsi="Calibri"/>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2" w:right="399" w:bottom="1440" w:gutter="0" w:footer="0" w:header="0"/>
        </w:sectPr>
      </w:pPr>
    </w:p>
    <w:bookmarkStart w:id="113" w:name="page114"/>
    <w:bookmarkEnd w:id="113"/>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alibri" w:cs="Calibri" w:eastAsia="Calibri" w:hAnsi="Calibri"/>
          <w:sz w:val="18"/>
          <w:szCs w:val="18"/>
          <w:color w:val="auto"/>
        </w:rPr>
        <w:t>A reconciliaton of reportable segment revenues to consolidated revenues follows:</w:t>
      </w:r>
    </w:p>
    <w:p>
      <w:pPr>
        <w:spacing w:after="0" w:line="212" w:lineRule="exact"/>
        <w:rPr>
          <w:sz w:val="20"/>
          <w:szCs w:val="20"/>
          <w:color w:val="auto"/>
        </w:rPr>
      </w:pPr>
    </w:p>
    <w:p>
      <w:pPr>
        <w:ind w:left="8300"/>
        <w:spacing w:after="0"/>
        <w:rPr>
          <w:sz w:val="20"/>
          <w:szCs w:val="20"/>
          <w:color w:val="auto"/>
        </w:rPr>
      </w:pPr>
      <w:r>
        <w:rPr>
          <w:rFonts w:ascii="Calibri" w:cs="Calibri" w:eastAsia="Calibri" w:hAnsi="Calibri"/>
          <w:sz w:val="18"/>
          <w:szCs w:val="18"/>
          <w:b w:val="1"/>
          <w:bCs w:val="1"/>
          <w:color w:val="auto"/>
        </w:rPr>
        <w:t>Year Ended December 31,</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320" w:type="dxa"/>
            <w:vAlign w:val="bottom"/>
          </w:tcPr>
          <w:p>
            <w:pPr>
              <w:ind w:left="20"/>
              <w:spacing w:after="0"/>
              <w:rPr>
                <w:sz w:val="20"/>
                <w:szCs w:val="20"/>
                <w:color w:val="auto"/>
              </w:rPr>
            </w:pPr>
            <w:r>
              <w:rPr>
                <w:rFonts w:ascii="Calibri" w:cs="Calibri" w:eastAsia="Calibri" w:hAnsi="Calibri"/>
                <w:sz w:val="14"/>
                <w:szCs w:val="14"/>
                <w:color w:val="auto"/>
              </w:rPr>
              <w:t>(in millions)</w:t>
            </w: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Calibri" w:cs="Calibri" w:eastAsia="Calibri" w:hAnsi="Calibri"/>
                <w:sz w:val="18"/>
                <w:szCs w:val="18"/>
                <w:b w:val="1"/>
                <w:bCs w:val="1"/>
                <w:color w:val="auto"/>
              </w:rPr>
              <w:t>2024</w:t>
            </w:r>
          </w:p>
        </w:tc>
        <w:tc>
          <w:tcPr>
            <w:tcW w:w="40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Calibri" w:cs="Calibri" w:eastAsia="Calibri" w:hAnsi="Calibri"/>
                <w:sz w:val="18"/>
                <w:szCs w:val="18"/>
                <w:b w:val="1"/>
                <w:bCs w:val="1"/>
                <w:color w:val="auto"/>
              </w:rPr>
              <w:t>2023</w:t>
            </w:r>
          </w:p>
        </w:tc>
        <w:tc>
          <w:tcPr>
            <w:tcW w:w="46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Calibri" w:cs="Calibri" w:eastAsia="Calibri" w:hAnsi="Calibri"/>
                <w:sz w:val="18"/>
                <w:szCs w:val="18"/>
                <w:b w:val="1"/>
                <w:bCs w:val="1"/>
                <w:color w:val="auto"/>
              </w:rPr>
              <w:t>2022</w:t>
            </w:r>
          </w:p>
        </w:tc>
        <w:tc>
          <w:tcPr>
            <w:tcW w:w="100" w:type="dxa"/>
            <w:vAlign w:val="bottom"/>
          </w:tcPr>
          <w:p>
            <w:pPr>
              <w:spacing w:after="0"/>
              <w:rPr>
                <w:sz w:val="19"/>
                <w:szCs w:val="19"/>
                <w:color w:val="auto"/>
              </w:rPr>
            </w:pPr>
          </w:p>
        </w:tc>
      </w:tr>
      <w:tr>
        <w:trPr>
          <w:trHeight w:val="210"/>
        </w:trPr>
        <w:tc>
          <w:tcPr>
            <w:tcW w:w="732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color w:val="auto"/>
              </w:rPr>
              <w:t>Total Reportable Segment Revenues</w:t>
            </w:r>
          </w:p>
        </w:tc>
        <w:tc>
          <w:tcPr>
            <w:tcW w:w="220" w:type="dxa"/>
            <w:vAlign w:val="bottom"/>
            <w:shd w:val="clear" w:color="auto" w:fill="CFF0FC"/>
          </w:tcPr>
          <w:p>
            <w:pPr>
              <w:jc w:val="right"/>
              <w:ind w:right="30"/>
              <w:spacing w:after="0" w:line="210" w:lineRule="exact"/>
              <w:rPr>
                <w:sz w:val="20"/>
                <w:szCs w:val="20"/>
                <w:color w:val="auto"/>
              </w:rPr>
            </w:pPr>
            <w:r>
              <w:rPr>
                <w:rFonts w:ascii="Calibri" w:cs="Calibri" w:eastAsia="Calibri" w:hAnsi="Calibri"/>
                <w:sz w:val="18"/>
                <w:szCs w:val="18"/>
                <w:color w:val="auto"/>
                <w:w w:val="87"/>
              </w:rPr>
              <w:t>$</w:t>
            </w:r>
          </w:p>
        </w:tc>
        <w:tc>
          <w:tcPr>
            <w:tcW w:w="78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1,028</w:t>
            </w:r>
          </w:p>
        </w:tc>
        <w:tc>
          <w:tcPr>
            <w:tcW w:w="600" w:type="dxa"/>
            <w:vAlign w:val="bottom"/>
            <w:gridSpan w:val="2"/>
            <w:shd w:val="clear" w:color="auto" w:fill="CFF0FC"/>
          </w:tcPr>
          <w:p>
            <w:pPr>
              <w:jc w:val="right"/>
              <w:ind w:right="10"/>
              <w:spacing w:after="0" w:line="210" w:lineRule="exact"/>
              <w:rPr>
                <w:sz w:val="20"/>
                <w:szCs w:val="20"/>
                <w:color w:val="auto"/>
              </w:rPr>
            </w:pPr>
            <w:r>
              <w:rPr>
                <w:rFonts w:ascii="Calibri" w:cs="Calibri" w:eastAsia="Calibri" w:hAnsi="Calibri"/>
                <w:sz w:val="18"/>
                <w:szCs w:val="18"/>
                <w:color w:val="auto"/>
              </w:rPr>
              <w:t>$</w:t>
            </w:r>
          </w:p>
        </w:tc>
        <w:tc>
          <w:tcPr>
            <w:tcW w:w="80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1,100</w:t>
            </w:r>
          </w:p>
        </w:tc>
        <w:tc>
          <w:tcPr>
            <w:tcW w:w="660" w:type="dxa"/>
            <w:vAlign w:val="bottom"/>
            <w:gridSpan w:val="2"/>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w:t>
            </w:r>
          </w:p>
        </w:tc>
        <w:tc>
          <w:tcPr>
            <w:tcW w:w="76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1,189</w:t>
            </w:r>
          </w:p>
        </w:tc>
        <w:tc>
          <w:tcPr>
            <w:tcW w:w="100" w:type="dxa"/>
            <w:vAlign w:val="bottom"/>
            <w:shd w:val="clear" w:color="auto" w:fill="CFF0FC"/>
          </w:tcPr>
          <w:p>
            <w:pPr>
              <w:spacing w:after="0"/>
              <w:rPr>
                <w:sz w:val="18"/>
                <w:szCs w:val="18"/>
                <w:color w:val="auto"/>
              </w:rPr>
            </w:pPr>
          </w:p>
        </w:tc>
      </w:tr>
      <w:tr>
        <w:trPr>
          <w:trHeight w:val="215"/>
        </w:trPr>
        <w:tc>
          <w:tcPr>
            <w:tcW w:w="7320" w:type="dxa"/>
            <w:vAlign w:val="bottom"/>
          </w:tcPr>
          <w:p>
            <w:pPr>
              <w:ind w:left="20"/>
              <w:spacing w:after="0" w:line="215" w:lineRule="exact"/>
              <w:rPr>
                <w:sz w:val="20"/>
                <w:szCs w:val="20"/>
                <w:color w:val="auto"/>
              </w:rPr>
            </w:pPr>
            <w:r>
              <w:rPr>
                <w:rFonts w:ascii="Calibri" w:cs="Calibri" w:eastAsia="Calibri" w:hAnsi="Calibri"/>
                <w:sz w:val="18"/>
                <w:szCs w:val="18"/>
                <w:color w:val="auto"/>
              </w:rPr>
              <w:t>All Other Revenues</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15</w:t>
            </w:r>
          </w:p>
        </w:tc>
        <w:tc>
          <w:tcPr>
            <w:tcW w:w="4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17</w:t>
            </w:r>
          </w:p>
        </w:tc>
        <w:tc>
          <w:tcPr>
            <w:tcW w:w="4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16</w:t>
            </w:r>
          </w:p>
        </w:tc>
        <w:tc>
          <w:tcPr>
            <w:tcW w:w="100" w:type="dxa"/>
            <w:vAlign w:val="bottom"/>
          </w:tcPr>
          <w:p>
            <w:pPr>
              <w:spacing w:after="0"/>
              <w:rPr>
                <w:sz w:val="18"/>
                <w:szCs w:val="18"/>
                <w:color w:val="auto"/>
              </w:rPr>
            </w:pPr>
          </w:p>
        </w:tc>
      </w:tr>
      <w:tr>
        <w:trPr>
          <w:trHeight w:val="249"/>
        </w:trPr>
        <w:tc>
          <w:tcPr>
            <w:tcW w:w="7320" w:type="dxa"/>
            <w:vAlign w:val="bottom"/>
            <w:tcBorders>
              <w:bottom w:val="single" w:sz="8" w:color="CFF0FC"/>
            </w:tcBorders>
            <w:shd w:val="clear" w:color="auto" w:fill="CFF0FC"/>
          </w:tcPr>
          <w:p>
            <w:pPr>
              <w:ind w:left="180"/>
              <w:spacing w:after="0" w:line="209" w:lineRule="exact"/>
              <w:rPr>
                <w:sz w:val="20"/>
                <w:szCs w:val="20"/>
                <w:color w:val="auto"/>
              </w:rPr>
            </w:pPr>
            <w:r>
              <w:rPr>
                <w:rFonts w:ascii="Calibri" w:cs="Calibri" w:eastAsia="Calibri" w:hAnsi="Calibri"/>
                <w:sz w:val="18"/>
                <w:szCs w:val="18"/>
                <w:color w:val="auto"/>
              </w:rPr>
              <w:t>Total Consolidated Revenues</w:t>
            </w:r>
          </w:p>
        </w:tc>
        <w:tc>
          <w:tcPr>
            <w:tcW w:w="220" w:type="dxa"/>
            <w:vAlign w:val="bottom"/>
            <w:tcBorders>
              <w:bottom w:val="single" w:sz="8" w:color="auto"/>
            </w:tcBorders>
            <w:shd w:val="clear" w:color="auto" w:fill="CFF0FC"/>
          </w:tcPr>
          <w:p>
            <w:pPr>
              <w:jc w:val="right"/>
              <w:ind w:right="30"/>
              <w:spacing w:after="0" w:line="209" w:lineRule="exact"/>
              <w:rPr>
                <w:sz w:val="20"/>
                <w:szCs w:val="20"/>
                <w:color w:val="auto"/>
              </w:rPr>
            </w:pPr>
            <w:r>
              <w:rPr>
                <w:rFonts w:ascii="Calibri" w:cs="Calibri" w:eastAsia="Calibri" w:hAnsi="Calibri"/>
                <w:sz w:val="18"/>
                <w:szCs w:val="18"/>
                <w:color w:val="auto"/>
                <w:w w:val="87"/>
              </w:rPr>
              <w:t>$</w:t>
            </w:r>
          </w:p>
        </w:tc>
        <w:tc>
          <w:tcPr>
            <w:tcW w:w="78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1,043</w:t>
            </w:r>
          </w:p>
        </w:tc>
        <w:tc>
          <w:tcPr>
            <w:tcW w:w="4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line="209" w:lineRule="exact"/>
              <w:rPr>
                <w:sz w:val="20"/>
                <w:szCs w:val="20"/>
                <w:color w:val="auto"/>
              </w:rPr>
            </w:pPr>
            <w:r>
              <w:rPr>
                <w:rFonts w:ascii="Calibri" w:cs="Calibri" w:eastAsia="Calibri" w:hAnsi="Calibri"/>
                <w:sz w:val="18"/>
                <w:szCs w:val="18"/>
                <w:color w:val="auto"/>
                <w:w w:val="87"/>
              </w:rPr>
              <w:t>$</w:t>
            </w:r>
          </w:p>
        </w:tc>
        <w:tc>
          <w:tcPr>
            <w:tcW w:w="80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1,117</w:t>
            </w:r>
          </w:p>
        </w:tc>
        <w:tc>
          <w:tcPr>
            <w:tcW w:w="4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w:t>
            </w:r>
          </w:p>
        </w:tc>
        <w:tc>
          <w:tcPr>
            <w:tcW w:w="76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1,205</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-25400</wp:posOffset>
            </wp:positionV>
            <wp:extent cx="68580"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-7620</wp:posOffset>
            </wp:positionV>
            <wp:extent cx="68580"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-25400</wp:posOffset>
            </wp:positionV>
            <wp:extent cx="68580"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-7620</wp:posOffset>
            </wp:positionV>
            <wp:extent cx="68580"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7" w:lineRule="exact"/>
        <w:rPr>
          <w:sz w:val="20"/>
          <w:szCs w:val="20"/>
          <w:color w:val="auto"/>
        </w:rPr>
      </w:pPr>
    </w:p>
    <w:p>
      <w:pPr>
        <w:ind w:right="320"/>
        <w:spacing w:after="0" w:line="235" w:lineRule="auto"/>
        <w:rPr>
          <w:sz w:val="20"/>
          <w:szCs w:val="20"/>
          <w:color w:val="auto"/>
        </w:rPr>
      </w:pPr>
      <w:r>
        <w:rPr>
          <w:rFonts w:ascii="Calibri" w:cs="Calibri" w:eastAsia="Calibri" w:hAnsi="Calibri"/>
          <w:sz w:val="18"/>
          <w:szCs w:val="18"/>
          <w:color w:val="auto"/>
        </w:rPr>
        <w:t>In 2024, Kodak decreased employee beneft reserves by $2 million primarily refectng a decrease in workers’ compensaton reserves of approximately $2 million driven by changes in discount rates. The decrease in reserves in 2024 impacted gross proft and SG&amp;A each by approximately $1 million.</w:t>
      </w:r>
    </w:p>
    <w:p>
      <w:pPr>
        <w:spacing w:after="0" w:line="177" w:lineRule="exact"/>
        <w:rPr>
          <w:sz w:val="20"/>
          <w:szCs w:val="20"/>
          <w:color w:val="auto"/>
        </w:rPr>
      </w:pPr>
    </w:p>
    <w:p>
      <w:pPr>
        <w:ind w:right="260"/>
        <w:spacing w:after="0" w:line="235" w:lineRule="auto"/>
        <w:rPr>
          <w:sz w:val="20"/>
          <w:szCs w:val="20"/>
          <w:color w:val="auto"/>
        </w:rPr>
      </w:pPr>
      <w:r>
        <w:rPr>
          <w:rFonts w:ascii="Calibri" w:cs="Calibri" w:eastAsia="Calibri" w:hAnsi="Calibri"/>
          <w:sz w:val="18"/>
          <w:szCs w:val="18"/>
          <w:color w:val="auto"/>
        </w:rPr>
        <w:t>In 2023, Kodak decreased employee beneft reserves by $1 million primarily refectng a reducton in workers’ compensaton reserves of approximately $1 million driven by changes in discount rates. The decrease in reserves in 2023 impacted SG&amp;A by approximately $1 million.</w:t>
      </w:r>
    </w:p>
    <w:p>
      <w:pPr>
        <w:spacing w:after="0" w:line="177"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In 2022, Kodak decreased employee beneft reserves by approximately $15 million composed of a reducton in workers’ compensaton reserves of approximately $13 million driven by changes in discount rates and a decrease in other employee beneft reserves of approximately $2 million, driven by both changes in discount rates and favorable experience. The decrease in reserves in 2022 impacted gross proft by approximately $9 million, R&amp;D by approximately $1 million and SG&amp;A by approximately $5 million.</w:t>
      </w:r>
    </w:p>
    <w:p>
      <w:pPr>
        <w:spacing w:after="0" w:line="215" w:lineRule="exact"/>
        <w:rPr>
          <w:sz w:val="20"/>
          <w:szCs w:val="20"/>
          <w:color w:val="auto"/>
        </w:rPr>
      </w:pPr>
    </w:p>
    <w:p>
      <w:pPr>
        <w:spacing w:after="0"/>
        <w:rPr>
          <w:sz w:val="20"/>
          <w:szCs w:val="20"/>
          <w:color w:val="auto"/>
        </w:rPr>
      </w:pPr>
      <w:r>
        <w:rPr>
          <w:rFonts w:ascii="Calibri" w:cs="Calibri" w:eastAsia="Calibri" w:hAnsi="Calibri"/>
          <w:sz w:val="18"/>
          <w:szCs w:val="18"/>
          <w:color w:val="auto"/>
        </w:rPr>
        <w:t>Amortzaton and depreciaton expense by segment are not included in the segment measure of proft and loss but are regularly provided to the CODM.</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900" w:type="dxa"/>
            <w:vAlign w:val="bottom"/>
          </w:tcPr>
          <w:p>
            <w:pPr>
              <w:ind w:left="20"/>
              <w:spacing w:after="0"/>
              <w:rPr>
                <w:sz w:val="20"/>
                <w:szCs w:val="20"/>
                <w:color w:val="auto"/>
              </w:rPr>
            </w:pPr>
            <w:r>
              <w:rPr>
                <w:rFonts w:ascii="Calibri" w:cs="Calibri" w:eastAsia="Calibri" w:hAnsi="Calibri"/>
                <w:sz w:val="18"/>
                <w:szCs w:val="18"/>
                <w:color w:val="auto"/>
              </w:rPr>
              <w:t>(in millions)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900" w:type="dxa"/>
            <w:vAlign w:val="bottom"/>
            <w:gridSpan w:val="4"/>
          </w:tcPr>
          <w:p>
            <w:pPr>
              <w:ind w:left="20"/>
              <w:spacing w:after="0"/>
              <w:rPr>
                <w:sz w:val="20"/>
                <w:szCs w:val="20"/>
                <w:color w:val="auto"/>
              </w:rPr>
            </w:pPr>
            <w:r>
              <w:rPr>
                <w:rFonts w:ascii="Calibri" w:cs="Calibri" w:eastAsia="Calibri" w:hAnsi="Calibri"/>
                <w:sz w:val="18"/>
                <w:szCs w:val="18"/>
                <w:b w:val="1"/>
                <w:bCs w:val="1"/>
                <w:color w:val="auto"/>
                <w:w w:val="96"/>
              </w:rPr>
              <w:t>Year Ended December 31,</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900" w:type="dxa"/>
            <w:vAlign w:val="bottom"/>
          </w:tcPr>
          <w:p>
            <w:pPr>
              <w:ind w:left="20"/>
              <w:spacing w:after="0" w:line="216" w:lineRule="exact"/>
              <w:rPr>
                <w:sz w:val="20"/>
                <w:szCs w:val="20"/>
                <w:color w:val="auto"/>
              </w:rPr>
            </w:pPr>
            <w:r>
              <w:rPr>
                <w:rFonts w:ascii="Calibri" w:cs="Calibri" w:eastAsia="Calibri" w:hAnsi="Calibri"/>
                <w:sz w:val="18"/>
                <w:szCs w:val="18"/>
                <w:b w:val="1"/>
                <w:bCs w:val="1"/>
                <w:color w:val="auto"/>
              </w:rPr>
              <w:t>Intangible asset amortzaton expense from contnuing operatons:</w:t>
            </w:r>
          </w:p>
        </w:tc>
        <w:tc>
          <w:tcPr>
            <w:tcW w:w="240" w:type="dxa"/>
            <w:vAlign w:val="bottom"/>
          </w:tcPr>
          <w:p>
            <w:pPr>
              <w:spacing w:after="0"/>
              <w:rPr>
                <w:sz w:val="18"/>
                <w:szCs w:val="18"/>
                <w:color w:val="auto"/>
              </w:rPr>
            </w:pPr>
          </w:p>
        </w:tc>
        <w:tc>
          <w:tcPr>
            <w:tcW w:w="860" w:type="dxa"/>
            <w:vAlign w:val="bottom"/>
          </w:tcPr>
          <w:p>
            <w:pPr>
              <w:jc w:val="right"/>
              <w:ind w:right="270"/>
              <w:spacing w:after="0" w:line="216" w:lineRule="exact"/>
              <w:rPr>
                <w:sz w:val="20"/>
                <w:szCs w:val="20"/>
                <w:color w:val="auto"/>
              </w:rPr>
            </w:pPr>
            <w:r>
              <w:rPr>
                <w:rFonts w:ascii="Calibri" w:cs="Calibri" w:eastAsia="Calibri" w:hAnsi="Calibri"/>
                <w:sz w:val="18"/>
                <w:szCs w:val="18"/>
                <w:b w:val="1"/>
                <w:bCs w:val="1"/>
                <w:color w:val="auto"/>
              </w:rPr>
              <w:t>2024</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10"/>
              <w:spacing w:after="0" w:line="216" w:lineRule="exact"/>
              <w:rPr>
                <w:sz w:val="20"/>
                <w:szCs w:val="20"/>
                <w:color w:val="auto"/>
              </w:rPr>
            </w:pPr>
            <w:r>
              <w:rPr>
                <w:rFonts w:ascii="Calibri" w:cs="Calibri" w:eastAsia="Calibri" w:hAnsi="Calibri"/>
                <w:sz w:val="18"/>
                <w:szCs w:val="18"/>
                <w:b w:val="1"/>
                <w:bCs w:val="1"/>
                <w:color w:val="auto"/>
              </w:rPr>
              <w:t>2023</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290"/>
              <w:spacing w:after="0" w:line="216" w:lineRule="exact"/>
              <w:rPr>
                <w:sz w:val="20"/>
                <w:szCs w:val="20"/>
                <w:color w:val="auto"/>
              </w:rPr>
            </w:pPr>
            <w:r>
              <w:rPr>
                <w:rFonts w:ascii="Calibri" w:cs="Calibri" w:eastAsia="Calibri" w:hAnsi="Calibri"/>
                <w:sz w:val="18"/>
                <w:szCs w:val="18"/>
                <w:b w:val="1"/>
                <w:bCs w:val="1"/>
                <w:color w:val="auto"/>
              </w:rPr>
              <w:t>2022</w:t>
            </w:r>
          </w:p>
        </w:tc>
        <w:tc>
          <w:tcPr>
            <w:tcW w:w="100" w:type="dxa"/>
            <w:vAlign w:val="bottom"/>
          </w:tcPr>
          <w:p>
            <w:pPr>
              <w:spacing w:after="0"/>
              <w:rPr>
                <w:sz w:val="18"/>
                <w:szCs w:val="18"/>
                <w:color w:val="auto"/>
              </w:rPr>
            </w:pPr>
          </w:p>
        </w:tc>
      </w:tr>
      <w:tr>
        <w:trPr>
          <w:trHeight w:val="23"/>
        </w:trPr>
        <w:tc>
          <w:tcPr>
            <w:tcW w:w="6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0"/>
        </w:trPr>
        <w:tc>
          <w:tcPr>
            <w:tcW w:w="6900" w:type="dxa"/>
            <w:vAlign w:val="bottom"/>
            <w:shd w:val="clear" w:color="auto" w:fill="CFF0FC"/>
          </w:tcPr>
          <w:p>
            <w:pPr>
              <w:ind w:left="20"/>
              <w:spacing w:after="0" w:line="209" w:lineRule="exact"/>
              <w:rPr>
                <w:sz w:val="20"/>
                <w:szCs w:val="20"/>
                <w:color w:val="auto"/>
              </w:rPr>
            </w:pPr>
            <w:r>
              <w:rPr>
                <w:rFonts w:ascii="Calibri" w:cs="Calibri" w:eastAsia="Calibri" w:hAnsi="Calibri"/>
                <w:sz w:val="18"/>
                <w:szCs w:val="18"/>
                <w:color w:val="auto"/>
              </w:rPr>
              <w:t>Print</w:t>
            </w:r>
          </w:p>
        </w:tc>
        <w:tc>
          <w:tcPr>
            <w:tcW w:w="240" w:type="dxa"/>
            <w:vAlign w:val="bottom"/>
            <w:shd w:val="clear" w:color="auto" w:fill="CFF0FC"/>
          </w:tcPr>
          <w:p>
            <w:pPr>
              <w:jc w:val="right"/>
              <w:ind w:right="30"/>
              <w:spacing w:after="0" w:line="209" w:lineRule="exact"/>
              <w:rPr>
                <w:sz w:val="20"/>
                <w:szCs w:val="20"/>
                <w:color w:val="auto"/>
              </w:rPr>
            </w:pPr>
            <w:r>
              <w:rPr>
                <w:rFonts w:ascii="Calibri" w:cs="Calibri" w:eastAsia="Calibri" w:hAnsi="Calibri"/>
                <w:sz w:val="18"/>
                <w:szCs w:val="18"/>
                <w:color w:val="auto"/>
              </w:rPr>
              <w:t>$</w:t>
            </w:r>
          </w:p>
        </w:tc>
        <w:tc>
          <w:tcPr>
            <w:tcW w:w="86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4</w:t>
            </w:r>
          </w:p>
        </w:tc>
        <w:tc>
          <w:tcPr>
            <w:tcW w:w="660" w:type="dxa"/>
            <w:vAlign w:val="bottom"/>
            <w:gridSpan w:val="2"/>
            <w:shd w:val="clear" w:color="auto" w:fill="CFF0FC"/>
          </w:tcPr>
          <w:p>
            <w:pPr>
              <w:jc w:val="right"/>
              <w:ind w:right="70"/>
              <w:spacing w:after="0" w:line="209" w:lineRule="exact"/>
              <w:rPr>
                <w:sz w:val="20"/>
                <w:szCs w:val="20"/>
                <w:color w:val="auto"/>
              </w:rPr>
            </w:pPr>
            <w:r>
              <w:rPr>
                <w:rFonts w:ascii="Calibri" w:cs="Calibri" w:eastAsia="Calibri" w:hAnsi="Calibri"/>
                <w:sz w:val="18"/>
                <w:szCs w:val="18"/>
                <w:color w:val="auto"/>
              </w:rPr>
              <w:t>$</w:t>
            </w:r>
          </w:p>
        </w:tc>
        <w:tc>
          <w:tcPr>
            <w:tcW w:w="90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4</w:t>
            </w: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line="209" w:lineRule="exact"/>
              <w:rPr>
                <w:sz w:val="20"/>
                <w:szCs w:val="20"/>
                <w:color w:val="auto"/>
              </w:rPr>
            </w:pPr>
            <w:r>
              <w:rPr>
                <w:rFonts w:ascii="Calibri" w:cs="Calibri" w:eastAsia="Calibri" w:hAnsi="Calibri"/>
                <w:sz w:val="18"/>
                <w:szCs w:val="18"/>
                <w:color w:val="auto"/>
                <w:w w:val="87"/>
              </w:rPr>
              <w:t>$</w:t>
            </w:r>
          </w:p>
        </w:tc>
        <w:tc>
          <w:tcPr>
            <w:tcW w:w="88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4</w:t>
            </w:r>
          </w:p>
        </w:tc>
        <w:tc>
          <w:tcPr>
            <w:tcW w:w="100" w:type="dxa"/>
            <w:vAlign w:val="bottom"/>
            <w:shd w:val="clear" w:color="auto" w:fill="CFF0FC"/>
          </w:tcPr>
          <w:p>
            <w:pPr>
              <w:spacing w:after="0"/>
              <w:rPr>
                <w:sz w:val="18"/>
                <w:szCs w:val="18"/>
                <w:color w:val="auto"/>
              </w:rPr>
            </w:pPr>
          </w:p>
        </w:tc>
      </w:tr>
      <w:tr>
        <w:trPr>
          <w:trHeight w:val="215"/>
        </w:trPr>
        <w:tc>
          <w:tcPr>
            <w:tcW w:w="6900" w:type="dxa"/>
            <w:vAlign w:val="bottom"/>
          </w:tcPr>
          <w:p>
            <w:pPr>
              <w:ind w:left="20"/>
              <w:spacing w:after="0" w:line="215" w:lineRule="exact"/>
              <w:rPr>
                <w:sz w:val="20"/>
                <w:szCs w:val="20"/>
                <w:color w:val="auto"/>
              </w:rPr>
            </w:pPr>
            <w:r>
              <w:rPr>
                <w:rFonts w:ascii="Calibri" w:cs="Calibri" w:eastAsia="Calibri" w:hAnsi="Calibri"/>
                <w:sz w:val="18"/>
                <w:szCs w:val="18"/>
                <w:color w:val="auto"/>
              </w:rPr>
              <w:t>Brand</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4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3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w:t>
            </w:r>
          </w:p>
        </w:tc>
        <w:tc>
          <w:tcPr>
            <w:tcW w:w="100" w:type="dxa"/>
            <w:vAlign w:val="bottom"/>
          </w:tcPr>
          <w:p>
            <w:pPr>
              <w:spacing w:after="0"/>
              <w:rPr>
                <w:sz w:val="18"/>
                <w:szCs w:val="18"/>
                <w:color w:val="auto"/>
              </w:rPr>
            </w:pPr>
          </w:p>
        </w:tc>
      </w:tr>
      <w:tr>
        <w:trPr>
          <w:trHeight w:val="249"/>
        </w:trPr>
        <w:tc>
          <w:tcPr>
            <w:tcW w:w="6900" w:type="dxa"/>
            <w:vAlign w:val="bottom"/>
            <w:tcBorders>
              <w:bottom w:val="single" w:sz="8" w:color="CFF0FC"/>
            </w:tcBorders>
            <w:shd w:val="clear" w:color="auto" w:fill="CFF0FC"/>
          </w:tcPr>
          <w:p>
            <w:pPr>
              <w:ind w:left="200"/>
              <w:spacing w:after="0" w:line="209" w:lineRule="exact"/>
              <w:rPr>
                <w:sz w:val="20"/>
                <w:szCs w:val="20"/>
                <w:color w:val="auto"/>
              </w:rPr>
            </w:pPr>
            <w:r>
              <w:rPr>
                <w:rFonts w:ascii="Calibri" w:cs="Calibri" w:eastAsia="Calibri" w:hAnsi="Calibri"/>
                <w:sz w:val="18"/>
                <w:szCs w:val="18"/>
                <w:color w:val="auto"/>
              </w:rPr>
              <w:t>Total</w:t>
            </w:r>
          </w:p>
        </w:tc>
        <w:tc>
          <w:tcPr>
            <w:tcW w:w="240" w:type="dxa"/>
            <w:vAlign w:val="bottom"/>
            <w:tcBorders>
              <w:bottom w:val="single" w:sz="8" w:color="auto"/>
            </w:tcBorders>
            <w:shd w:val="clear" w:color="auto" w:fill="CFF0FC"/>
          </w:tcPr>
          <w:p>
            <w:pPr>
              <w:jc w:val="right"/>
              <w:ind w:right="30"/>
              <w:spacing w:after="0" w:line="209" w:lineRule="exact"/>
              <w:rPr>
                <w:sz w:val="20"/>
                <w:szCs w:val="20"/>
                <w:color w:val="auto"/>
              </w:rPr>
            </w:pPr>
            <w:r>
              <w:rPr>
                <w:rFonts w:ascii="Calibri" w:cs="Calibri" w:eastAsia="Calibri" w:hAnsi="Calibri"/>
                <w:sz w:val="18"/>
                <w:szCs w:val="18"/>
                <w:color w:val="auto"/>
              </w:rPr>
              <w:t>$</w:t>
            </w:r>
          </w:p>
        </w:tc>
        <w:tc>
          <w:tcPr>
            <w:tcW w:w="86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4</w:t>
            </w:r>
          </w:p>
        </w:tc>
        <w:tc>
          <w:tcPr>
            <w:tcW w:w="4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line="209" w:lineRule="exact"/>
              <w:rPr>
                <w:sz w:val="20"/>
                <w:szCs w:val="20"/>
                <w:color w:val="auto"/>
              </w:rPr>
            </w:pPr>
            <w:r>
              <w:rPr>
                <w:rFonts w:ascii="Calibri" w:cs="Calibri" w:eastAsia="Calibri" w:hAnsi="Calibri"/>
                <w:sz w:val="18"/>
                <w:szCs w:val="18"/>
                <w:color w:val="auto"/>
                <w:w w:val="87"/>
              </w:rPr>
              <w:t>$</w:t>
            </w:r>
          </w:p>
        </w:tc>
        <w:tc>
          <w:tcPr>
            <w:tcW w:w="90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4</w:t>
            </w:r>
          </w:p>
        </w:tc>
        <w:tc>
          <w:tcPr>
            <w:tcW w:w="3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line="209" w:lineRule="exact"/>
              <w:rPr>
                <w:sz w:val="20"/>
                <w:szCs w:val="20"/>
                <w:color w:val="auto"/>
              </w:rPr>
            </w:pPr>
            <w:r>
              <w:rPr>
                <w:rFonts w:ascii="Calibri" w:cs="Calibri" w:eastAsia="Calibri" w:hAnsi="Calibri"/>
                <w:sz w:val="18"/>
                <w:szCs w:val="18"/>
                <w:color w:val="auto"/>
                <w:w w:val="87"/>
              </w:rPr>
              <w:t>$</w:t>
            </w:r>
          </w:p>
        </w:tc>
        <w:tc>
          <w:tcPr>
            <w:tcW w:w="88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5</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-25400</wp:posOffset>
            </wp:positionV>
            <wp:extent cx="68580"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-8255</wp:posOffset>
            </wp:positionV>
            <wp:extent cx="68580"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-25400</wp:posOffset>
            </wp:positionV>
            <wp:extent cx="68580"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-8255</wp:posOffset>
            </wp:positionV>
            <wp:extent cx="68580"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-25400</wp:posOffset>
            </wp:positionV>
            <wp:extent cx="68580"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-8255</wp:posOffset>
            </wp:positionV>
            <wp:extent cx="68580"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900" w:type="dxa"/>
            <w:vAlign w:val="bottom"/>
          </w:tcPr>
          <w:p>
            <w:pPr>
              <w:ind w:left="20"/>
              <w:spacing w:after="0"/>
              <w:rPr>
                <w:sz w:val="20"/>
                <w:szCs w:val="20"/>
                <w:color w:val="auto"/>
              </w:rPr>
            </w:pPr>
            <w:r>
              <w:rPr>
                <w:rFonts w:ascii="Calibri" w:cs="Calibri" w:eastAsia="Calibri" w:hAnsi="Calibri"/>
                <w:sz w:val="18"/>
                <w:szCs w:val="18"/>
                <w:color w:val="auto"/>
              </w:rPr>
              <w:t>(in millions)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900" w:type="dxa"/>
            <w:vAlign w:val="bottom"/>
            <w:gridSpan w:val="4"/>
          </w:tcPr>
          <w:p>
            <w:pPr>
              <w:ind w:left="20"/>
              <w:spacing w:after="0"/>
              <w:rPr>
                <w:sz w:val="20"/>
                <w:szCs w:val="20"/>
                <w:color w:val="auto"/>
              </w:rPr>
            </w:pPr>
            <w:r>
              <w:rPr>
                <w:rFonts w:ascii="Calibri" w:cs="Calibri" w:eastAsia="Calibri" w:hAnsi="Calibri"/>
                <w:sz w:val="18"/>
                <w:szCs w:val="18"/>
                <w:b w:val="1"/>
                <w:bCs w:val="1"/>
                <w:color w:val="auto"/>
                <w:w w:val="96"/>
              </w:rPr>
              <w:t>Year Ended December 31,</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00" w:type="dxa"/>
            <w:vAlign w:val="bottom"/>
          </w:tcPr>
          <w:p>
            <w:pPr>
              <w:ind w:left="20"/>
              <w:spacing w:after="0" w:line="216" w:lineRule="exact"/>
              <w:rPr>
                <w:sz w:val="20"/>
                <w:szCs w:val="20"/>
                <w:color w:val="auto"/>
              </w:rPr>
            </w:pPr>
            <w:r>
              <w:rPr>
                <w:rFonts w:ascii="Calibri" w:cs="Calibri" w:eastAsia="Calibri" w:hAnsi="Calibri"/>
                <w:sz w:val="18"/>
                <w:szCs w:val="18"/>
                <w:b w:val="1"/>
                <w:bCs w:val="1"/>
                <w:color w:val="auto"/>
              </w:rPr>
              <w:t>Depreciaton expense from contnuing operatons:</w:t>
            </w:r>
          </w:p>
        </w:tc>
        <w:tc>
          <w:tcPr>
            <w:tcW w:w="240" w:type="dxa"/>
            <w:vAlign w:val="bottom"/>
          </w:tcPr>
          <w:p>
            <w:pPr>
              <w:spacing w:after="0"/>
              <w:rPr>
                <w:sz w:val="18"/>
                <w:szCs w:val="18"/>
                <w:color w:val="auto"/>
              </w:rPr>
            </w:pPr>
          </w:p>
        </w:tc>
        <w:tc>
          <w:tcPr>
            <w:tcW w:w="860" w:type="dxa"/>
            <w:vAlign w:val="bottom"/>
          </w:tcPr>
          <w:p>
            <w:pPr>
              <w:jc w:val="right"/>
              <w:ind w:right="270"/>
              <w:spacing w:after="0" w:line="216" w:lineRule="exact"/>
              <w:rPr>
                <w:sz w:val="20"/>
                <w:szCs w:val="20"/>
                <w:color w:val="auto"/>
              </w:rPr>
            </w:pPr>
            <w:r>
              <w:rPr>
                <w:rFonts w:ascii="Calibri" w:cs="Calibri" w:eastAsia="Calibri" w:hAnsi="Calibri"/>
                <w:sz w:val="18"/>
                <w:szCs w:val="18"/>
                <w:b w:val="1"/>
                <w:bCs w:val="1"/>
                <w:color w:val="auto"/>
              </w:rPr>
              <w:t>2024</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10"/>
              <w:spacing w:after="0" w:line="216" w:lineRule="exact"/>
              <w:rPr>
                <w:sz w:val="20"/>
                <w:szCs w:val="20"/>
                <w:color w:val="auto"/>
              </w:rPr>
            </w:pPr>
            <w:r>
              <w:rPr>
                <w:rFonts w:ascii="Calibri" w:cs="Calibri" w:eastAsia="Calibri" w:hAnsi="Calibri"/>
                <w:sz w:val="18"/>
                <w:szCs w:val="18"/>
                <w:b w:val="1"/>
                <w:bCs w:val="1"/>
                <w:color w:val="auto"/>
              </w:rPr>
              <w:t>2023</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290"/>
              <w:spacing w:after="0" w:line="216" w:lineRule="exact"/>
              <w:rPr>
                <w:sz w:val="20"/>
                <w:szCs w:val="20"/>
                <w:color w:val="auto"/>
              </w:rPr>
            </w:pPr>
            <w:r>
              <w:rPr>
                <w:rFonts w:ascii="Calibri" w:cs="Calibri" w:eastAsia="Calibri" w:hAnsi="Calibri"/>
                <w:sz w:val="18"/>
                <w:szCs w:val="18"/>
                <w:b w:val="1"/>
                <w:bCs w:val="1"/>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6900" w:type="dxa"/>
            <w:vAlign w:val="bottom"/>
            <w:vMerge w:val="restart"/>
          </w:tcPr>
          <w:p>
            <w:pPr>
              <w:ind w:left="20"/>
              <w:spacing w:after="0"/>
              <w:rPr>
                <w:sz w:val="20"/>
                <w:szCs w:val="20"/>
                <w:color w:val="auto"/>
              </w:rPr>
            </w:pPr>
            <w:r>
              <w:rPr>
                <w:rFonts w:ascii="Calibri" w:cs="Calibri" w:eastAsia="Calibri" w:hAnsi="Calibri"/>
                <w:sz w:val="18"/>
                <w:szCs w:val="18"/>
                <w:color w:val="auto"/>
              </w:rPr>
              <w:t>Print</w:t>
            </w: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vMerge w:val="restart"/>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vMerge w:val="restart"/>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900" w:type="dxa"/>
            <w:vAlign w:val="bottom"/>
            <w:vMerge w:val="continue"/>
          </w:tcPr>
          <w:p>
            <w:pPr>
              <w:spacing w:after="0"/>
              <w:rPr>
                <w:sz w:val="18"/>
                <w:szCs w:val="18"/>
                <w:color w:val="auto"/>
              </w:rPr>
            </w:pPr>
          </w:p>
        </w:tc>
        <w:tc>
          <w:tcPr>
            <w:tcW w:w="240" w:type="dxa"/>
            <w:vAlign w:val="bottom"/>
          </w:tcPr>
          <w:p>
            <w:pPr>
              <w:jc w:val="right"/>
              <w:ind w:right="30"/>
              <w:spacing w:after="0" w:line="209" w:lineRule="exact"/>
              <w:rPr>
                <w:sz w:val="20"/>
                <w:szCs w:val="20"/>
                <w:color w:val="auto"/>
              </w:rPr>
            </w:pPr>
            <w:r>
              <w:rPr>
                <w:rFonts w:ascii="Calibri" w:cs="Calibri" w:eastAsia="Calibri" w:hAnsi="Calibri"/>
                <w:sz w:val="18"/>
                <w:szCs w:val="18"/>
                <w:color w:val="auto"/>
              </w:rPr>
              <w:t>$</w:t>
            </w:r>
          </w:p>
        </w:tc>
        <w:tc>
          <w:tcPr>
            <w:tcW w:w="860" w:type="dxa"/>
            <w:vAlign w:val="bottom"/>
          </w:tcPr>
          <w:p>
            <w:pPr>
              <w:jc w:val="right"/>
              <w:spacing w:after="0" w:line="209" w:lineRule="exact"/>
              <w:rPr>
                <w:sz w:val="20"/>
                <w:szCs w:val="20"/>
                <w:color w:val="auto"/>
              </w:rPr>
            </w:pPr>
            <w:r>
              <w:rPr>
                <w:rFonts w:ascii="Calibri" w:cs="Calibri" w:eastAsia="Calibri" w:hAnsi="Calibri"/>
                <w:sz w:val="18"/>
                <w:szCs w:val="18"/>
                <w:color w:val="auto"/>
              </w:rPr>
              <w:t>17</w:t>
            </w:r>
          </w:p>
        </w:tc>
        <w:tc>
          <w:tcPr>
            <w:tcW w:w="400" w:type="dxa"/>
            <w:vAlign w:val="bottom"/>
            <w:vMerge w:val="continue"/>
          </w:tcPr>
          <w:p>
            <w:pPr>
              <w:spacing w:after="0"/>
              <w:rPr>
                <w:sz w:val="18"/>
                <w:szCs w:val="18"/>
                <w:color w:val="auto"/>
              </w:rPr>
            </w:pPr>
          </w:p>
        </w:tc>
        <w:tc>
          <w:tcPr>
            <w:tcW w:w="260" w:type="dxa"/>
            <w:vAlign w:val="bottom"/>
          </w:tcPr>
          <w:p>
            <w:pPr>
              <w:jc w:val="right"/>
              <w:ind w:right="70"/>
              <w:spacing w:after="0" w:line="209" w:lineRule="exact"/>
              <w:rPr>
                <w:sz w:val="20"/>
                <w:szCs w:val="20"/>
                <w:color w:val="auto"/>
              </w:rPr>
            </w:pPr>
            <w:r>
              <w:rPr>
                <w:rFonts w:ascii="Calibri" w:cs="Calibri" w:eastAsia="Calibri" w:hAnsi="Calibri"/>
                <w:sz w:val="18"/>
                <w:szCs w:val="18"/>
                <w:color w:val="auto"/>
                <w:w w:val="87"/>
              </w:rPr>
              <w:t>$</w:t>
            </w:r>
          </w:p>
        </w:tc>
        <w:tc>
          <w:tcPr>
            <w:tcW w:w="900" w:type="dxa"/>
            <w:vAlign w:val="bottom"/>
          </w:tcPr>
          <w:p>
            <w:pPr>
              <w:jc w:val="right"/>
              <w:spacing w:after="0" w:line="209" w:lineRule="exact"/>
              <w:rPr>
                <w:sz w:val="20"/>
                <w:szCs w:val="20"/>
                <w:color w:val="auto"/>
              </w:rPr>
            </w:pPr>
            <w:r>
              <w:rPr>
                <w:rFonts w:ascii="Calibri" w:cs="Calibri" w:eastAsia="Calibri" w:hAnsi="Calibri"/>
                <w:sz w:val="18"/>
                <w:szCs w:val="18"/>
                <w:color w:val="auto"/>
              </w:rPr>
              <w:t>17</w:t>
            </w:r>
          </w:p>
        </w:tc>
        <w:tc>
          <w:tcPr>
            <w:tcW w:w="340" w:type="dxa"/>
            <w:vAlign w:val="bottom"/>
            <w:vMerge w:val="continue"/>
          </w:tcPr>
          <w:p>
            <w:pPr>
              <w:spacing w:after="0"/>
              <w:rPr>
                <w:sz w:val="18"/>
                <w:szCs w:val="18"/>
                <w:color w:val="auto"/>
              </w:rPr>
            </w:pPr>
          </w:p>
        </w:tc>
        <w:tc>
          <w:tcPr>
            <w:tcW w:w="240" w:type="dxa"/>
            <w:vAlign w:val="bottom"/>
          </w:tcPr>
          <w:p>
            <w:pPr>
              <w:jc w:val="right"/>
              <w:ind w:right="50"/>
              <w:spacing w:after="0" w:line="209" w:lineRule="exact"/>
              <w:rPr>
                <w:sz w:val="20"/>
                <w:szCs w:val="20"/>
                <w:color w:val="auto"/>
              </w:rPr>
            </w:pPr>
            <w:r>
              <w:rPr>
                <w:rFonts w:ascii="Calibri" w:cs="Calibri" w:eastAsia="Calibri" w:hAnsi="Calibri"/>
                <w:sz w:val="18"/>
                <w:szCs w:val="18"/>
                <w:color w:val="auto"/>
                <w:w w:val="87"/>
              </w:rPr>
              <w:t>$</w:t>
            </w:r>
          </w:p>
        </w:tc>
        <w:tc>
          <w:tcPr>
            <w:tcW w:w="880" w:type="dxa"/>
            <w:vAlign w:val="bottom"/>
          </w:tcPr>
          <w:p>
            <w:pPr>
              <w:jc w:val="right"/>
              <w:spacing w:after="0" w:line="209" w:lineRule="exact"/>
              <w:rPr>
                <w:sz w:val="20"/>
                <w:szCs w:val="20"/>
                <w:color w:val="auto"/>
              </w:rPr>
            </w:pPr>
            <w:r>
              <w:rPr>
                <w:rFonts w:ascii="Calibri" w:cs="Calibri" w:eastAsia="Calibri" w:hAnsi="Calibri"/>
                <w:sz w:val="18"/>
                <w:szCs w:val="18"/>
                <w:color w:val="auto"/>
              </w:rPr>
              <w:t>17</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90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Advanced Materials and Chemicals</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6</w:t>
            </w:r>
          </w:p>
        </w:tc>
        <w:tc>
          <w:tcPr>
            <w:tcW w:w="4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7</w:t>
            </w: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900" w:type="dxa"/>
            <w:vAlign w:val="bottom"/>
          </w:tcPr>
          <w:p>
            <w:pPr>
              <w:ind w:left="20"/>
              <w:spacing w:after="0" w:line="215" w:lineRule="exact"/>
              <w:rPr>
                <w:sz w:val="20"/>
                <w:szCs w:val="20"/>
                <w:color w:val="auto"/>
              </w:rPr>
            </w:pPr>
            <w:r>
              <w:rPr>
                <w:rFonts w:ascii="Calibri" w:cs="Calibri" w:eastAsia="Calibri" w:hAnsi="Calibri"/>
                <w:sz w:val="18"/>
                <w:szCs w:val="18"/>
                <w:color w:val="auto"/>
              </w:rPr>
              <w:t>All Other</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w:t>
            </w:r>
          </w:p>
        </w:tc>
        <w:tc>
          <w:tcPr>
            <w:tcW w:w="4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w:t>
            </w:r>
          </w:p>
        </w:tc>
        <w:tc>
          <w:tcPr>
            <w:tcW w:w="3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900" w:type="dxa"/>
            <w:vAlign w:val="bottom"/>
            <w:tcBorders>
              <w:bottom w:val="single" w:sz="8" w:color="CFF0FC"/>
            </w:tcBorders>
            <w:shd w:val="clear" w:color="auto" w:fill="CFF0FC"/>
          </w:tcPr>
          <w:p>
            <w:pPr>
              <w:ind w:left="200"/>
              <w:spacing w:after="0" w:line="209" w:lineRule="exact"/>
              <w:rPr>
                <w:sz w:val="20"/>
                <w:szCs w:val="20"/>
                <w:color w:val="auto"/>
              </w:rPr>
            </w:pPr>
            <w:r>
              <w:rPr>
                <w:rFonts w:ascii="Calibri" w:cs="Calibri" w:eastAsia="Calibri" w:hAnsi="Calibri"/>
                <w:sz w:val="18"/>
                <w:szCs w:val="18"/>
                <w:color w:val="auto"/>
              </w:rPr>
              <w:t>Total</w:t>
            </w:r>
          </w:p>
        </w:tc>
        <w:tc>
          <w:tcPr>
            <w:tcW w:w="240" w:type="dxa"/>
            <w:vAlign w:val="bottom"/>
            <w:tcBorders>
              <w:bottom w:val="single" w:sz="8" w:color="auto"/>
            </w:tcBorders>
            <w:shd w:val="clear" w:color="auto" w:fill="CFF0FC"/>
          </w:tcPr>
          <w:p>
            <w:pPr>
              <w:jc w:val="right"/>
              <w:ind w:right="30"/>
              <w:spacing w:after="0" w:line="209" w:lineRule="exact"/>
              <w:rPr>
                <w:sz w:val="20"/>
                <w:szCs w:val="20"/>
                <w:color w:val="auto"/>
              </w:rPr>
            </w:pPr>
            <w:r>
              <w:rPr>
                <w:rFonts w:ascii="Calibri" w:cs="Calibri" w:eastAsia="Calibri" w:hAnsi="Calibri"/>
                <w:sz w:val="18"/>
                <w:szCs w:val="18"/>
                <w:color w:val="auto"/>
              </w:rPr>
              <w:t>$</w:t>
            </w:r>
          </w:p>
        </w:tc>
        <w:tc>
          <w:tcPr>
            <w:tcW w:w="86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24</w:t>
            </w:r>
          </w:p>
        </w:tc>
        <w:tc>
          <w:tcPr>
            <w:tcW w:w="4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line="209" w:lineRule="exact"/>
              <w:rPr>
                <w:sz w:val="20"/>
                <w:szCs w:val="20"/>
                <w:color w:val="auto"/>
              </w:rPr>
            </w:pPr>
            <w:r>
              <w:rPr>
                <w:rFonts w:ascii="Calibri" w:cs="Calibri" w:eastAsia="Calibri" w:hAnsi="Calibri"/>
                <w:sz w:val="18"/>
                <w:szCs w:val="18"/>
                <w:color w:val="auto"/>
                <w:w w:val="87"/>
              </w:rPr>
              <w:t>$</w:t>
            </w:r>
          </w:p>
        </w:tc>
        <w:tc>
          <w:tcPr>
            <w:tcW w:w="90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25</w:t>
            </w:r>
          </w:p>
        </w:tc>
        <w:tc>
          <w:tcPr>
            <w:tcW w:w="3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line="209" w:lineRule="exact"/>
              <w:rPr>
                <w:sz w:val="20"/>
                <w:szCs w:val="20"/>
                <w:color w:val="auto"/>
              </w:rPr>
            </w:pPr>
            <w:r>
              <w:rPr>
                <w:rFonts w:ascii="Calibri" w:cs="Calibri" w:eastAsia="Calibri" w:hAnsi="Calibri"/>
                <w:sz w:val="18"/>
                <w:szCs w:val="18"/>
                <w:color w:val="auto"/>
                <w:w w:val="87"/>
              </w:rPr>
              <w:t>$</w:t>
            </w:r>
          </w:p>
        </w:tc>
        <w:tc>
          <w:tcPr>
            <w:tcW w:w="88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24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-25400</wp:posOffset>
            </wp:positionV>
            <wp:extent cx="68580"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-8255</wp:posOffset>
            </wp:positionV>
            <wp:extent cx="68580" cy="88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-25400</wp:posOffset>
            </wp:positionV>
            <wp:extent cx="68580"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-8255</wp:posOffset>
            </wp:positionV>
            <wp:extent cx="68580"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-25400</wp:posOffset>
            </wp:positionV>
            <wp:extent cx="68580"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-8255</wp:posOffset>
            </wp:positionV>
            <wp:extent cx="68580"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45" w:lineRule="exact"/>
        <w:rPr>
          <w:sz w:val="20"/>
          <w:szCs w:val="20"/>
          <w:color w:val="auto"/>
        </w:rPr>
      </w:pPr>
    </w:p>
    <w:tbl>
      <w:tblPr>
        <w:tblLayout w:type="fixed"/>
        <w:tblInd w:w="80" w:type="dxa"/>
        <w:tblCellMar>
          <w:top w:w="0" w:type="dxa"/>
          <w:left w:w="0" w:type="dxa"/>
          <w:bottom w:w="0" w:type="dxa"/>
          <w:right w:w="0" w:type="dxa"/>
        </w:tblCellMar>
      </w:tblPr>
      <w:tr>
        <w:trPr>
          <w:trHeight w:val="220"/>
        </w:trPr>
        <w:tc>
          <w:tcPr>
            <w:tcW w:w="8200" w:type="dxa"/>
            <w:vAlign w:val="bottom"/>
          </w:tcPr>
          <w:p>
            <w:pPr>
              <w:spacing w:after="0"/>
              <w:rPr>
                <w:sz w:val="20"/>
                <w:szCs w:val="20"/>
                <w:color w:val="auto"/>
              </w:rPr>
            </w:pPr>
            <w:r>
              <w:rPr>
                <w:rFonts w:ascii="Calibri" w:cs="Calibri" w:eastAsia="Calibri" w:hAnsi="Calibri"/>
                <w:sz w:val="14"/>
                <w:szCs w:val="14"/>
                <w:color w:val="auto"/>
              </w:rPr>
              <w:t>(in millions)</w:t>
            </w:r>
          </w:p>
        </w:tc>
        <w:tc>
          <w:tcPr>
            <w:tcW w:w="240" w:type="dxa"/>
            <w:vAlign w:val="bottom"/>
          </w:tcPr>
          <w:p>
            <w:pPr>
              <w:spacing w:after="0"/>
              <w:rPr>
                <w:sz w:val="19"/>
                <w:szCs w:val="19"/>
                <w:color w:val="auto"/>
              </w:rPr>
            </w:pPr>
          </w:p>
        </w:tc>
        <w:tc>
          <w:tcPr>
            <w:tcW w:w="2660" w:type="dxa"/>
            <w:vAlign w:val="bottom"/>
            <w:gridSpan w:val="5"/>
          </w:tcPr>
          <w:p>
            <w:pPr>
              <w:ind w:left="220"/>
              <w:spacing w:after="0"/>
              <w:rPr>
                <w:sz w:val="20"/>
                <w:szCs w:val="20"/>
                <w:color w:val="auto"/>
              </w:rPr>
            </w:pPr>
            <w:r>
              <w:rPr>
                <w:rFonts w:ascii="Calibri" w:cs="Calibri" w:eastAsia="Calibri" w:hAnsi="Calibri"/>
                <w:sz w:val="18"/>
                <w:szCs w:val="18"/>
                <w:b w:val="1"/>
                <w:bCs w:val="1"/>
                <w:color w:val="auto"/>
              </w:rPr>
              <w:t>Year Ended December 31,</w:t>
            </w:r>
          </w:p>
        </w:tc>
        <w:tc>
          <w:tcPr>
            <w:tcW w:w="0" w:type="dxa"/>
            <w:vAlign w:val="bottom"/>
          </w:tcPr>
          <w:p>
            <w:pPr>
              <w:spacing w:after="0"/>
              <w:rPr>
                <w:sz w:val="1"/>
                <w:szCs w:val="1"/>
                <w:color w:val="auto"/>
              </w:rPr>
            </w:pPr>
          </w:p>
        </w:tc>
      </w:tr>
      <w:tr>
        <w:trPr>
          <w:trHeight w:val="263"/>
        </w:trPr>
        <w:tc>
          <w:tcPr>
            <w:tcW w:w="8200" w:type="dxa"/>
            <w:vAlign w:val="bottom"/>
          </w:tcPr>
          <w:p>
            <w:pPr>
              <w:spacing w:after="0" w:line="263" w:lineRule="exact"/>
              <w:rPr>
                <w:sz w:val="20"/>
                <w:szCs w:val="20"/>
                <w:color w:val="auto"/>
              </w:rPr>
            </w:pPr>
            <w:r>
              <w:rPr>
                <w:rFonts w:ascii="Calibri" w:cs="Calibri" w:eastAsia="Calibri" w:hAnsi="Calibri"/>
                <w:sz w:val="18"/>
                <w:szCs w:val="18"/>
                <w:b w:val="1"/>
                <w:bCs w:val="1"/>
                <w:color w:val="auto"/>
              </w:rPr>
              <w:t xml:space="preserve">Long-lived assets located in: </w:t>
            </w:r>
            <w:r>
              <w:rPr>
                <w:rFonts w:ascii="Calibri" w:cs="Calibri" w:eastAsia="Calibri" w:hAnsi="Calibri"/>
                <w:sz w:val="24"/>
                <w:szCs w:val="24"/>
                <w:b w:val="1"/>
                <w:bCs w:val="1"/>
                <w:color w:val="auto"/>
                <w:vertAlign w:val="superscript"/>
              </w:rPr>
              <w:t>(1)</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0"/>
              <w:spacing w:after="0"/>
              <w:rPr>
                <w:sz w:val="20"/>
                <w:szCs w:val="20"/>
                <w:color w:val="auto"/>
              </w:rPr>
            </w:pPr>
            <w:r>
              <w:rPr>
                <w:rFonts w:ascii="Calibri" w:cs="Calibri" w:eastAsia="Calibri" w:hAnsi="Calibri"/>
                <w:sz w:val="18"/>
                <w:szCs w:val="18"/>
                <w:b w:val="1"/>
                <w:bCs w:val="1"/>
                <w:color w:val="auto"/>
              </w:rPr>
              <w:t>2024</w:t>
            </w:r>
          </w:p>
        </w:tc>
        <w:tc>
          <w:tcPr>
            <w:tcW w:w="5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0"/>
              <w:spacing w:after="0"/>
              <w:rPr>
                <w:sz w:val="20"/>
                <w:szCs w:val="20"/>
                <w:color w:val="auto"/>
              </w:rPr>
            </w:pPr>
            <w:r>
              <w:rPr>
                <w:rFonts w:ascii="Calibri" w:cs="Calibri" w:eastAsia="Calibri" w:hAnsi="Calibri"/>
                <w:sz w:val="18"/>
                <w:szCs w:val="18"/>
                <w:b w:val="1"/>
                <w:bCs w:val="1"/>
                <w:color w:val="auto"/>
              </w:rPr>
              <w:t>2023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8200" w:type="dxa"/>
            <w:vAlign w:val="bottom"/>
          </w:tcPr>
          <w:p>
            <w:pPr>
              <w:spacing w:after="0" w:line="195" w:lineRule="exact"/>
              <w:rPr>
                <w:sz w:val="20"/>
                <w:szCs w:val="20"/>
                <w:color w:val="auto"/>
              </w:rPr>
            </w:pPr>
            <w:r>
              <w:rPr>
                <w:rFonts w:ascii="Calibri" w:cs="Calibri" w:eastAsia="Calibri" w:hAnsi="Calibri"/>
                <w:sz w:val="18"/>
                <w:szCs w:val="18"/>
                <w:color w:val="auto"/>
              </w:rPr>
              <w:t>The United States</w:t>
            </w:r>
          </w:p>
        </w:tc>
        <w:tc>
          <w:tcPr>
            <w:tcW w:w="240" w:type="dxa"/>
            <w:vAlign w:val="bottom"/>
            <w:tcBorders>
              <w:bottom w:val="single" w:sz="8" w:color="auto"/>
            </w:tcBorders>
          </w:tcPr>
          <w:p>
            <w:pPr>
              <w:jc w:val="right"/>
              <w:ind w:right="50"/>
              <w:spacing w:after="0" w:line="209" w:lineRule="exact"/>
              <w:rPr>
                <w:sz w:val="20"/>
                <w:szCs w:val="20"/>
                <w:color w:val="auto"/>
              </w:rPr>
            </w:pPr>
            <w:r>
              <w:rPr>
                <w:rFonts w:ascii="Calibri" w:cs="Calibri" w:eastAsia="Calibri" w:hAnsi="Calibri"/>
                <w:sz w:val="18"/>
                <w:szCs w:val="18"/>
                <w:color w:val="auto"/>
                <w:w w:val="87"/>
              </w:rPr>
              <w:t>$</w:t>
            </w:r>
          </w:p>
        </w:tc>
        <w:tc>
          <w:tcPr>
            <w:tcW w:w="88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147</w:t>
            </w:r>
          </w:p>
        </w:tc>
        <w:tc>
          <w:tcPr>
            <w:tcW w:w="580" w:type="dxa"/>
            <w:vAlign w:val="bottom"/>
          </w:tcPr>
          <w:p>
            <w:pPr>
              <w:spacing w:after="0"/>
              <w:rPr>
                <w:sz w:val="18"/>
                <w:szCs w:val="18"/>
                <w:color w:val="auto"/>
              </w:rPr>
            </w:pPr>
          </w:p>
        </w:tc>
        <w:tc>
          <w:tcPr>
            <w:tcW w:w="220" w:type="dxa"/>
            <w:vAlign w:val="bottom"/>
            <w:tcBorders>
              <w:bottom w:val="single" w:sz="8" w:color="auto"/>
            </w:tcBorders>
          </w:tcPr>
          <w:p>
            <w:pPr>
              <w:jc w:val="right"/>
              <w:ind w:right="61"/>
              <w:spacing w:after="0"/>
              <w:rPr>
                <w:sz w:val="20"/>
                <w:szCs w:val="20"/>
                <w:color w:val="auto"/>
              </w:rPr>
            </w:pPr>
            <w:r>
              <w:rPr>
                <w:rFonts w:ascii="Calibri" w:cs="Calibri" w:eastAsia="Calibri" w:hAnsi="Calibri"/>
                <w:sz w:val="16"/>
                <w:szCs w:val="16"/>
                <w:color w:val="auto"/>
                <w:w w:val="73"/>
              </w:rPr>
              <w:t>$</w:t>
            </w:r>
          </w:p>
        </w:tc>
        <w:tc>
          <w:tcPr>
            <w:tcW w:w="88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112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00" w:type="dxa"/>
            <w:vAlign w:val="bottom"/>
            <w:shd w:val="clear" w:color="auto" w:fill="CFF0FC"/>
          </w:tcPr>
          <w:p>
            <w:pPr>
              <w:spacing w:after="0" w:line="210" w:lineRule="exact"/>
              <w:rPr>
                <w:sz w:val="20"/>
                <w:szCs w:val="20"/>
                <w:color w:val="auto"/>
              </w:rPr>
            </w:pPr>
            <w:r>
              <w:rPr>
                <w:rFonts w:ascii="Calibri" w:cs="Calibri" w:eastAsia="Calibri" w:hAnsi="Calibri"/>
                <w:sz w:val="18"/>
                <w:szCs w:val="18"/>
                <w:color w:val="auto"/>
              </w:rPr>
              <w:t>Europe, Middle East and Africa</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5</w:t>
            </w: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200" w:type="dxa"/>
            <w:vAlign w:val="bottom"/>
          </w:tcPr>
          <w:p>
            <w:pPr>
              <w:spacing w:after="0" w:line="215" w:lineRule="exact"/>
              <w:rPr>
                <w:sz w:val="20"/>
                <w:szCs w:val="20"/>
                <w:color w:val="auto"/>
              </w:rPr>
            </w:pPr>
            <w:r>
              <w:rPr>
                <w:rFonts w:ascii="Calibri" w:cs="Calibri" w:eastAsia="Calibri" w:hAnsi="Calibri"/>
                <w:sz w:val="18"/>
                <w:szCs w:val="18"/>
                <w:color w:val="auto"/>
              </w:rPr>
              <w:t>Asia Pacifc</w:t>
            </w:r>
          </w:p>
        </w:tc>
        <w:tc>
          <w:tcPr>
            <w:tcW w:w="240" w:type="dxa"/>
            <w:vAlign w:val="bottom"/>
          </w:tcPr>
          <w:p>
            <w:pPr>
              <w:spacing w:after="0"/>
              <w:rPr>
                <w:sz w:val="18"/>
                <w:szCs w:val="18"/>
                <w:color w:val="auto"/>
              </w:rPr>
            </w:pPr>
          </w:p>
        </w:tc>
        <w:tc>
          <w:tcPr>
            <w:tcW w:w="880" w:type="dxa"/>
            <w:vAlign w:val="bottom"/>
          </w:tcPr>
          <w:p>
            <w:pPr>
              <w:jc w:val="right"/>
              <w:spacing w:after="0" w:line="215" w:lineRule="exact"/>
              <w:rPr>
                <w:sz w:val="20"/>
                <w:szCs w:val="20"/>
                <w:color w:val="auto"/>
              </w:rPr>
            </w:pPr>
            <w:r>
              <w:rPr>
                <w:rFonts w:ascii="Calibri" w:cs="Calibri" w:eastAsia="Calibri" w:hAnsi="Calibri"/>
                <w:sz w:val="18"/>
                <w:szCs w:val="18"/>
                <w:color w:val="auto"/>
              </w:rPr>
              <w:t>5</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line="215" w:lineRule="exact"/>
              <w:rPr>
                <w:sz w:val="20"/>
                <w:szCs w:val="20"/>
                <w:color w:val="auto"/>
              </w:rPr>
            </w:pPr>
            <w:r>
              <w:rPr>
                <w:rFonts w:ascii="Calibri" w:cs="Calibri" w:eastAsia="Calibri" w:hAnsi="Calibri"/>
                <w:sz w:val="18"/>
                <w:szCs w:val="18"/>
                <w:color w:val="auto"/>
              </w:rPr>
              <w:t>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8200" w:type="dxa"/>
            <w:vAlign w:val="bottom"/>
          </w:tcPr>
          <w:p>
            <w:pPr>
              <w:spacing w:after="0" w:line="184" w:lineRule="exact"/>
              <w:rPr>
                <w:sz w:val="20"/>
                <w:szCs w:val="20"/>
                <w:color w:val="auto"/>
              </w:rPr>
            </w:pPr>
            <w:r>
              <w:rPr>
                <w:rFonts w:ascii="Calibri" w:cs="Calibri" w:eastAsia="Calibri" w:hAnsi="Calibri"/>
                <w:sz w:val="18"/>
                <w:szCs w:val="18"/>
                <w:color w:val="auto"/>
              </w:rPr>
              <w:t>Canada and Latn America</w:t>
            </w:r>
          </w:p>
        </w:tc>
        <w:tc>
          <w:tcPr>
            <w:tcW w:w="240" w:type="dxa"/>
            <w:vAlign w:val="bottom"/>
          </w:tcPr>
          <w:p>
            <w:pPr>
              <w:spacing w:after="0"/>
              <w:rPr>
                <w:sz w:val="15"/>
                <w:szCs w:val="15"/>
                <w:color w:val="auto"/>
              </w:rPr>
            </w:pPr>
          </w:p>
        </w:tc>
        <w:tc>
          <w:tcPr>
            <w:tcW w:w="880" w:type="dxa"/>
            <w:vAlign w:val="bottom"/>
          </w:tcPr>
          <w:p>
            <w:pPr>
              <w:jc w:val="right"/>
              <w:spacing w:after="0" w:line="184" w:lineRule="exact"/>
              <w:rPr>
                <w:sz w:val="20"/>
                <w:szCs w:val="20"/>
                <w:color w:val="auto"/>
              </w:rPr>
            </w:pPr>
            <w:r>
              <w:rPr>
                <w:rFonts w:ascii="Calibri" w:cs="Calibri" w:eastAsia="Calibri" w:hAnsi="Calibri"/>
                <w:sz w:val="18"/>
                <w:szCs w:val="18"/>
                <w:color w:val="auto"/>
              </w:rPr>
              <w:t>36</w:t>
            </w: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spacing w:after="0" w:line="184" w:lineRule="exact"/>
              <w:rPr>
                <w:sz w:val="20"/>
                <w:szCs w:val="20"/>
                <w:color w:val="auto"/>
              </w:rPr>
            </w:pPr>
            <w:r>
              <w:rPr>
                <w:rFonts w:ascii="Calibri" w:cs="Calibri" w:eastAsia="Calibri" w:hAnsi="Calibri"/>
                <w:sz w:val="18"/>
                <w:szCs w:val="18"/>
                <w:color w:val="auto"/>
              </w:rPr>
              <w:t>46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8200" w:type="dxa"/>
            <w:vAlign w:val="bottom"/>
            <w:vMerge w:val="restart"/>
          </w:tcPr>
          <w:p>
            <w:pPr>
              <w:spacing w:after="0" w:line="263" w:lineRule="exact"/>
              <w:rPr>
                <w:sz w:val="20"/>
                <w:szCs w:val="20"/>
                <w:color w:val="auto"/>
              </w:rPr>
            </w:pPr>
            <w:r>
              <w:rPr>
                <w:rFonts w:ascii="Calibri" w:cs="Calibri" w:eastAsia="Calibri" w:hAnsi="Calibri"/>
                <w:sz w:val="18"/>
                <w:szCs w:val="18"/>
                <w:color w:val="auto"/>
              </w:rPr>
              <w:t xml:space="preserve">Non-U.S. countries total </w:t>
            </w:r>
            <w:r>
              <w:rPr>
                <w:rFonts w:ascii="Calibri" w:cs="Calibri" w:eastAsia="Calibri" w:hAnsi="Calibri"/>
                <w:sz w:val="24"/>
                <w:szCs w:val="24"/>
                <w:color w:val="auto"/>
                <w:vertAlign w:val="superscript"/>
              </w:rPr>
              <w:t>(2)</w:t>
            </w: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8200" w:type="dxa"/>
            <w:vAlign w:val="bottom"/>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46</w:t>
            </w:r>
          </w:p>
        </w:tc>
        <w:tc>
          <w:tcPr>
            <w:tcW w:w="5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00" w:type="dxa"/>
            <w:vAlign w:val="bottom"/>
            <w:shd w:val="clear" w:color="auto" w:fill="CFF0FC"/>
          </w:tcPr>
          <w:p>
            <w:pPr>
              <w:ind w:left="100"/>
              <w:spacing w:after="0" w:line="209" w:lineRule="exact"/>
              <w:rPr>
                <w:sz w:val="20"/>
                <w:szCs w:val="20"/>
                <w:color w:val="auto"/>
              </w:rPr>
            </w:pPr>
            <w:r>
              <w:rPr>
                <w:rFonts w:ascii="Calibri" w:cs="Calibri" w:eastAsia="Calibri" w:hAnsi="Calibri"/>
                <w:sz w:val="18"/>
                <w:szCs w:val="18"/>
                <w:color w:val="auto"/>
              </w:rPr>
              <w:t>Total</w:t>
            </w:r>
          </w:p>
        </w:tc>
        <w:tc>
          <w:tcPr>
            <w:tcW w:w="240" w:type="dxa"/>
            <w:vAlign w:val="bottom"/>
            <w:shd w:val="clear" w:color="auto" w:fill="CFF0FC"/>
          </w:tcPr>
          <w:p>
            <w:pPr>
              <w:jc w:val="right"/>
              <w:ind w:right="50"/>
              <w:spacing w:after="0" w:line="209" w:lineRule="exact"/>
              <w:rPr>
                <w:sz w:val="20"/>
                <w:szCs w:val="20"/>
                <w:color w:val="auto"/>
              </w:rPr>
            </w:pPr>
            <w:r>
              <w:rPr>
                <w:rFonts w:ascii="Calibri" w:cs="Calibri" w:eastAsia="Calibri" w:hAnsi="Calibri"/>
                <w:sz w:val="18"/>
                <w:szCs w:val="18"/>
                <w:color w:val="auto"/>
                <w:w w:val="87"/>
              </w:rPr>
              <w:t>$</w:t>
            </w:r>
          </w:p>
        </w:tc>
        <w:tc>
          <w:tcPr>
            <w:tcW w:w="88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193</w:t>
            </w:r>
          </w:p>
        </w:tc>
        <w:tc>
          <w:tcPr>
            <w:tcW w:w="800" w:type="dxa"/>
            <w:vAlign w:val="bottom"/>
            <w:gridSpan w:val="2"/>
            <w:shd w:val="clear" w:color="auto" w:fill="CFF0FC"/>
          </w:tcPr>
          <w:p>
            <w:pPr>
              <w:jc w:val="right"/>
              <w:ind w:right="61"/>
              <w:spacing w:after="0" w:line="209" w:lineRule="exact"/>
              <w:rPr>
                <w:sz w:val="20"/>
                <w:szCs w:val="20"/>
                <w:color w:val="auto"/>
              </w:rPr>
            </w:pPr>
            <w:r>
              <w:rPr>
                <w:rFonts w:ascii="Calibri" w:cs="Calibri" w:eastAsia="Calibri" w:hAnsi="Calibri"/>
                <w:sz w:val="18"/>
                <w:szCs w:val="18"/>
                <w:color w:val="auto"/>
              </w:rPr>
              <w:t>$</w:t>
            </w:r>
          </w:p>
        </w:tc>
        <w:tc>
          <w:tcPr>
            <w:tcW w:w="88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169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-453390</wp:posOffset>
            </wp:positionV>
            <wp:extent cx="7054850" cy="14541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054850" cy="1454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-25400</wp:posOffset>
            </wp:positionV>
            <wp:extent cx="68580"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-8255</wp:posOffset>
            </wp:positionV>
            <wp:extent cx="68580"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-25400</wp:posOffset>
            </wp:positionV>
            <wp:extent cx="68580"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-8255</wp:posOffset>
            </wp:positionV>
            <wp:extent cx="68580"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96" w:lineRule="exact"/>
        <w:rPr>
          <w:sz w:val="20"/>
          <w:szCs w:val="20"/>
          <w:color w:val="auto"/>
        </w:rPr>
      </w:pPr>
    </w:p>
    <w:p>
      <w:pPr>
        <w:ind w:left="540" w:hanging="262"/>
        <w:spacing w:after="0"/>
        <w:tabs>
          <w:tab w:leader="none" w:pos="540" w:val="left"/>
        </w:tabs>
        <w:numPr>
          <w:ilvl w:val="0"/>
          <w:numId w:val="47"/>
        </w:numPr>
        <w:rPr>
          <w:rFonts w:ascii="Calibri" w:cs="Calibri" w:eastAsia="Calibri" w:hAnsi="Calibri"/>
          <w:sz w:val="24"/>
          <w:szCs w:val="24"/>
          <w:color w:val="auto"/>
          <w:vertAlign w:val="superscript"/>
        </w:rPr>
      </w:pPr>
      <w:r>
        <w:rPr>
          <w:rFonts w:ascii="Calibri" w:cs="Calibri" w:eastAsia="Calibri" w:hAnsi="Calibri"/>
          <w:sz w:val="18"/>
          <w:szCs w:val="18"/>
          <w:color w:val="auto"/>
        </w:rPr>
        <w:t>Long-lived assets are comprised of property, plant and equipment, net.</w:t>
      </w:r>
    </w:p>
    <w:p>
      <w:pPr>
        <w:spacing w:after="0" w:line="37" w:lineRule="exact"/>
        <w:rPr>
          <w:rFonts w:ascii="Calibri" w:cs="Calibri" w:eastAsia="Calibri" w:hAnsi="Calibri"/>
          <w:sz w:val="24"/>
          <w:szCs w:val="24"/>
          <w:color w:val="auto"/>
          <w:vertAlign w:val="superscript"/>
        </w:rPr>
      </w:pPr>
    </w:p>
    <w:p>
      <w:pPr>
        <w:ind w:left="540" w:right="60" w:hanging="262"/>
        <w:spacing w:after="0" w:line="184" w:lineRule="auto"/>
        <w:tabs>
          <w:tab w:leader="none" w:pos="540" w:val="left"/>
        </w:tabs>
        <w:numPr>
          <w:ilvl w:val="0"/>
          <w:numId w:val="47"/>
        </w:numPr>
        <w:rPr>
          <w:rFonts w:ascii="Calibri" w:cs="Calibri" w:eastAsia="Calibri" w:hAnsi="Calibri"/>
          <w:sz w:val="24"/>
          <w:szCs w:val="24"/>
          <w:color w:val="auto"/>
          <w:vertAlign w:val="superscript"/>
        </w:rPr>
      </w:pPr>
      <w:r>
        <w:rPr>
          <w:rFonts w:ascii="Calibri" w:cs="Calibri" w:eastAsia="Calibri" w:hAnsi="Calibri"/>
          <w:sz w:val="18"/>
          <w:szCs w:val="18"/>
          <w:color w:val="auto"/>
        </w:rPr>
        <w:t>Of the total non-U.S. property, plant and equipment in 2024, $35 million was located in Brazil. Of the total non-U.S. property, plant and equipment in 2023, $45 million was located in Brazil.</w:t>
      </w:r>
    </w:p>
    <w:p>
      <w:pPr>
        <w:spacing w:after="0" w:line="18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Major Customers</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color w:val="auto"/>
        </w:rPr>
        <w:t>No single customer represented 10% or more of Kodak’s total net revenue in any year presented.</w:t>
      </w:r>
    </w:p>
    <w:p>
      <w:pPr>
        <w:spacing w:after="0" w:line="172"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14" w:name="page115"/>
    <w:bookmarkEnd w:id="114"/>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27: BUSINESS COMBINATION</w:t>
      </w:r>
    </w:p>
    <w:p>
      <w:pPr>
        <w:spacing w:after="0" w:line="217"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color w:val="auto"/>
        </w:rPr>
        <w:t>On May 26, 2023 Kodak acquired 100% of the outstanding shares of Graphic Systems Services, Inc., a leading provider of web inkjet press transport systems and other print-related components and engineering services.</w:t>
      </w:r>
    </w:p>
    <w:p>
      <w:pPr>
        <w:spacing w:after="0" w:line="218" w:lineRule="exact"/>
        <w:rPr>
          <w:sz w:val="20"/>
          <w:szCs w:val="20"/>
          <w:color w:val="auto"/>
        </w:rPr>
      </w:pPr>
    </w:p>
    <w:p>
      <w:pPr>
        <w:ind w:right="680"/>
        <w:spacing w:after="0" w:line="235" w:lineRule="auto"/>
        <w:rPr>
          <w:sz w:val="20"/>
          <w:szCs w:val="20"/>
          <w:color w:val="auto"/>
        </w:rPr>
      </w:pPr>
      <w:r>
        <w:rPr>
          <w:rFonts w:ascii="Calibri" w:cs="Calibri" w:eastAsia="Calibri" w:hAnsi="Calibri"/>
          <w:sz w:val="18"/>
          <w:szCs w:val="18"/>
          <w:color w:val="auto"/>
        </w:rPr>
        <w:t>The acquisiton was immaterial to Kodak's fnancial positon as of December 31, 2023 and its results of operatons and cash fows for the year ended December 31, 2023.</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9. CHANGES IN AND DISAGREEMENTS WITH ACCOUNTANTS ON ACCOUNTING AND FINANCIAL DISCLOSURE</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None.</w:t>
      </w:r>
    </w:p>
    <w:p>
      <w:pPr>
        <w:spacing w:after="0" w:line="18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9A. CONTROLS AND PROCEDURES</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Evaluaton of Disclosure Controls and Procedures</w:t>
      </w:r>
    </w:p>
    <w:p>
      <w:pPr>
        <w:spacing w:after="0" w:line="177"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Kodak maintains disclosure controls and procedures that are designed to ensure that informaton required to be disclosed in Kodak’s reports fled or submited under the Securites Exchange Act of 1934 (the "Exchange Act") is recorded, processed, summarized and reported within the tme periods specifed in the SEC’s rules and forms, and that such informaton is accumulated and communicated to management, including Kodak’s Executve Chairman and Chief Executve Ofcer and Kodak’s Chief Financial Ofcer, as appropriate, to allow tmely decisions regarding required disclosure. Kodak’s management, with partcipaton of Kodak’s Executve Chairman and Chief Executve Ofcer and Kodak’s Chief Financial Ofcer, has evaluated the efectveness of Kodak’s disclosure controls and procedures as of the end of the fscal year covered by this Annual Report on Form 10-K. Kodak’s Executve Chairman and Chief Executve Ofcer and Kodak’s Chief Financial Ofcer have concluded that, as of the end of the fscal year covered by this Annual Report on Form 10-K, Kodak’s disclosure controls and procedures (as defned in Rules 13a-15(e) and 15d-15(e) under the Exchange Act) were efectve.</w:t>
      </w:r>
    </w:p>
    <w:p>
      <w:pPr>
        <w:spacing w:after="0" w:line="191"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Management</w:t>
      </w:r>
      <w:r>
        <w:rPr>
          <w:rFonts w:ascii="Calibri" w:cs="Calibri" w:eastAsia="Calibri" w:hAnsi="Calibri"/>
          <w:sz w:val="18"/>
          <w:szCs w:val="18"/>
          <w:color w:val="auto"/>
        </w:rPr>
        <w:t>’</w:t>
      </w:r>
      <w:r>
        <w:rPr>
          <w:rFonts w:ascii="Calibri" w:cs="Calibri" w:eastAsia="Calibri" w:hAnsi="Calibri"/>
          <w:sz w:val="18"/>
          <w:szCs w:val="18"/>
          <w:b w:val="1"/>
          <w:bCs w:val="1"/>
          <w:i w:val="1"/>
          <w:iCs w:val="1"/>
          <w:color w:val="auto"/>
        </w:rPr>
        <w:t>s Report on Internal Control Over Financial Reportng</w:t>
      </w:r>
    </w:p>
    <w:p>
      <w:pPr>
        <w:spacing w:after="0" w:line="177" w:lineRule="exact"/>
        <w:rPr>
          <w:sz w:val="20"/>
          <w:szCs w:val="20"/>
          <w:color w:val="auto"/>
        </w:rPr>
      </w:pPr>
    </w:p>
    <w:p>
      <w:pPr>
        <w:ind w:right="60"/>
        <w:spacing w:after="0" w:line="251" w:lineRule="auto"/>
        <w:rPr>
          <w:sz w:val="20"/>
          <w:szCs w:val="20"/>
          <w:color w:val="auto"/>
        </w:rPr>
      </w:pPr>
      <w:r>
        <w:rPr>
          <w:rFonts w:ascii="Calibri" w:cs="Calibri" w:eastAsia="Calibri" w:hAnsi="Calibri"/>
          <w:sz w:val="17"/>
          <w:szCs w:val="17"/>
          <w:color w:val="auto"/>
        </w:rPr>
        <w:t>The management of Kodak is responsible for establishing and maintaining adequate internal control over fnancial reportng. Kodak’s internal control over fnancial reportng is designed to provide reasonable assurance regarding the reliability of fnancial reportng and the preparaton of fnancial statements for external purposes in accordance with generally accepted accountng principles in the United States of America. Kodak’s internal control over fnancial reportng includes those policies and procedures that: (i) pertain to the maintenance of records that, in reasonable detail, accurately and fairly refect the transactons and dispositons of the assets of Kodak; (ii) provide reasonable assurance that transactons are recorded as necessary to permit preparaton of fnancial statements in accordance with generally accepted accountng principles in the United States of America, and that receipts and expenditures of Kodak are being made only in accordance with authorizatons of management and directors of Kodak; and (iii) provide reasonable assurance regarding preventon or tmely detecton of unauthorized acquisiton, use or dispositon of Kodak’s assets that could have a material efect on the fnancial statements.</w:t>
      </w:r>
    </w:p>
    <w:p>
      <w:pPr>
        <w:spacing w:after="0" w:line="167" w:lineRule="exact"/>
        <w:rPr>
          <w:sz w:val="20"/>
          <w:szCs w:val="20"/>
          <w:color w:val="auto"/>
        </w:rPr>
      </w:pPr>
    </w:p>
    <w:p>
      <w:pPr>
        <w:ind w:right="360"/>
        <w:spacing w:after="0" w:line="254" w:lineRule="auto"/>
        <w:rPr>
          <w:sz w:val="20"/>
          <w:szCs w:val="20"/>
          <w:color w:val="auto"/>
        </w:rPr>
      </w:pPr>
      <w:r>
        <w:rPr>
          <w:rFonts w:ascii="Calibri" w:cs="Calibri" w:eastAsia="Calibri" w:hAnsi="Calibri"/>
          <w:sz w:val="17"/>
          <w:szCs w:val="17"/>
          <w:color w:val="auto"/>
        </w:rPr>
        <w:t>Internal control over fnancial reportng cannot provide absolute assurance of achieving fnancial reportng objectves because of its inherent limitatons. Internal control over fnancial reportng is a process that involves human diligence and compliance and is subject to lapses in judgment or breakdowns resultng from human failures. Internal control over fnancial reportng also can be circumvented by collusion or improper management override.</w:t>
      </w:r>
    </w:p>
    <w:p>
      <w:pPr>
        <w:spacing w:after="0" w:line="178"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Because of such limitatons, there is a risk that material misstatements may not be prevented or detected on a tmely basis by internal control over fnancial reportng. However, these inherent limitatons are known features of the fnancial reportng process. Therefore, it is possible to design into the process safeguards to reduce, though not eliminate, this risk. Because of its inherent limitatons, internal control over fnancial reportng may not prevent or detect misstatements. Also, projectons of any evaluaton of efectveness to future periods are subject to the risk that controls may become inadequate because of changes in conditons, or that the degree of compliance with the policies or procedures may deteriorate.</w:t>
      </w:r>
    </w:p>
    <w:p>
      <w:pPr>
        <w:spacing w:after="0" w:line="180"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Management assessed the efectveness of Kodak’s internal control over fnancial reportng as of December 31, 2024. In making this assessment, management used the criteria set forth by the Commitee of Sponsoring Organizatons of the Treadway Commission (“COSO”) in "Internal Control-Integrated Framework” (2013). Based on management’s assessment using the COSO criteria, management has concluded that Kodak's internal control over fnancial reportng was efectve as of December 31, 2024. The efectveness of Kodak’s internal control over fnancial reportng as of December 31, 2024 has been audited by Ernst &amp; Young LLP, Kodak’s independent registered public accountng frm, as stated in their report. Refer to Item 8, "Financial Statements and Supplementary Data."</w:t>
      </w:r>
    </w:p>
    <w:p>
      <w:pPr>
        <w:spacing w:after="0" w:line="176"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115" w:name="page116"/>
    <w:bookmarkEnd w:id="115"/>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Changes in Internal Control over Financial Reportng</w:t>
      </w:r>
    </w:p>
    <w:p>
      <w:pPr>
        <w:spacing w:after="0" w:line="177"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Kodak is in the process of a mult-year project to modernize and enhance the Company’s global informaton technology systems, to improve and standardize business and fnancial processes and to increase the efciency and efectveness of fnancial planning and reportng. As the phased implementaton occurs, it may result in changes to processes and procedures which may result in changes to internal controls over fnancial reportng. As such changes occur, Kodak evaluates whether they materially afect the Company’s internal controls over fnancial reportng.</w:t>
      </w:r>
    </w:p>
    <w:p>
      <w:pPr>
        <w:spacing w:after="0" w:line="179" w:lineRule="exact"/>
        <w:rPr>
          <w:sz w:val="20"/>
          <w:szCs w:val="20"/>
          <w:color w:val="auto"/>
        </w:rPr>
      </w:pPr>
    </w:p>
    <w:p>
      <w:pPr>
        <w:ind w:right="240"/>
        <w:spacing w:after="0" w:line="235" w:lineRule="auto"/>
        <w:rPr>
          <w:sz w:val="20"/>
          <w:szCs w:val="20"/>
          <w:color w:val="auto"/>
        </w:rPr>
      </w:pPr>
      <w:r>
        <w:rPr>
          <w:rFonts w:ascii="Calibri" w:cs="Calibri" w:eastAsia="Calibri" w:hAnsi="Calibri"/>
          <w:sz w:val="18"/>
          <w:szCs w:val="18"/>
          <w:color w:val="auto"/>
        </w:rPr>
        <w:t>There have been no changes identfed in Kodak’s internal control over fnancial reportng that occurred during Kodak’s fourth quarter that has materially afected, or is reasonably likely to materially afect, Kodak’s internal control over fnancial reportng.</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9B. OTHER INFORMATION</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Rule 10b5-1 Trading Plans</w:t>
      </w:r>
    </w:p>
    <w:p>
      <w:pPr>
        <w:spacing w:after="0" w:line="190"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The adopton or terminaton of contracts, instructons or writen plans for the purchase or sale of our securites by our Secton 16 ofcers and directors for the three months ended December 31, 2024, which is intended to satsfy the afrmatve defense conditons of Rule 10b5-1(c) under the Exchange Act (“Rule 10b5-1 Plan”), was as follows:</w:t>
      </w:r>
    </w:p>
    <w:p>
      <w:pPr>
        <w:spacing w:after="0" w:line="178" w:lineRule="exact"/>
        <w:rPr>
          <w:sz w:val="20"/>
          <w:szCs w:val="20"/>
          <w:color w:val="auto"/>
        </w:rPr>
      </w:pPr>
    </w:p>
    <w:p>
      <w:pPr>
        <w:ind w:left="800" w:right="960"/>
        <w:spacing w:after="0" w:line="235" w:lineRule="auto"/>
        <w:rPr>
          <w:sz w:val="20"/>
          <w:szCs w:val="20"/>
          <w:color w:val="auto"/>
        </w:rPr>
      </w:pPr>
      <w:r>
        <w:rPr>
          <w:rFonts w:ascii="Calibri" w:cs="Calibri" w:eastAsia="Calibri" w:hAnsi="Calibri"/>
          <w:sz w:val="18"/>
          <w:szCs w:val="18"/>
          <w:color w:val="auto"/>
        </w:rPr>
        <w:t>On December 23, 2024, David E. Bullwinkle, Chief Financial Ofcer and Senior Vice President, adopted a Rule 10b5-1 Plan efectve January 1, 2025 with respect to the potental exercise of vested stock optons and the associated sale of up to 518,289 shares of Kodak common stock, subject to certain conditons, which plan commences on April 2, 2025 and expires on January 1, 2026 or upon the earlier completon of all authorized transactons under such plan.</w:t>
      </w:r>
    </w:p>
    <w:p>
      <w:pPr>
        <w:spacing w:after="0" w:line="395" w:lineRule="exact"/>
        <w:rPr>
          <w:sz w:val="20"/>
          <w:szCs w:val="20"/>
          <w:color w:val="auto"/>
        </w:rPr>
      </w:pPr>
    </w:p>
    <w:p>
      <w:pPr>
        <w:ind w:right="660"/>
        <w:spacing w:after="0" w:line="235" w:lineRule="auto"/>
        <w:rPr>
          <w:sz w:val="20"/>
          <w:szCs w:val="20"/>
          <w:color w:val="auto"/>
        </w:rPr>
      </w:pPr>
      <w:r>
        <w:rPr>
          <w:rFonts w:ascii="Calibri" w:cs="Calibri" w:eastAsia="Calibri" w:hAnsi="Calibri"/>
          <w:sz w:val="18"/>
          <w:szCs w:val="18"/>
          <w:color w:val="auto"/>
        </w:rPr>
        <w:t>During the three months ended December 31, 2024, none of our other Secton 16 ofcers or directors adopted or terminated a Rule 10b5-1 trading arrangement or "non-Rule 10b5-1 trading arrangement," as such terms are defned in Item 408 of Regulaton S-K.</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9C. DISCLOSURE REGARDING FOREIGN JURISDICTIONS THAT PREVENT INSPECTIONS</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color w:val="auto"/>
        </w:rPr>
        <w:t>Not applicable.</w:t>
      </w:r>
    </w:p>
    <w:p>
      <w:pPr>
        <w:spacing w:after="0" w:line="185" w:lineRule="exact"/>
        <w:rPr>
          <w:sz w:val="20"/>
          <w:szCs w:val="20"/>
          <w:color w:val="auto"/>
        </w:rPr>
      </w:pPr>
    </w:p>
    <w:p>
      <w:pPr>
        <w:jc w:val="center"/>
        <w:ind w:right="-79"/>
        <w:spacing w:after="0"/>
        <w:rPr>
          <w:sz w:val="20"/>
          <w:szCs w:val="20"/>
          <w:color w:val="auto"/>
        </w:rPr>
      </w:pPr>
      <w:r>
        <w:rPr>
          <w:rFonts w:ascii="Calibri" w:cs="Calibri" w:eastAsia="Calibri" w:hAnsi="Calibri"/>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311150</wp:posOffset>
            </wp:positionV>
            <wp:extent cx="7157720" cy="4254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2" w:right="399" w:bottom="1440" w:gutter="0" w:footer="0" w:header="0"/>
        </w:sectPr>
      </w:pPr>
    </w:p>
    <w:bookmarkStart w:id="116" w:name="page117"/>
    <w:bookmarkEnd w:id="116"/>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PART III</w:t>
      </w:r>
    </w:p>
    <w:p>
      <w:pPr>
        <w:spacing w:after="0" w:line="18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10. DIRECTORS, EXECUTIVE OFFICERS AND CORPORATE GOVERNANCE</w:t>
      </w:r>
    </w:p>
    <w:p>
      <w:pPr>
        <w:spacing w:after="0" w:line="177" w:lineRule="exact"/>
        <w:rPr>
          <w:sz w:val="20"/>
          <w:szCs w:val="20"/>
          <w:color w:val="auto"/>
        </w:rPr>
      </w:pPr>
    </w:p>
    <w:p>
      <w:pPr>
        <w:ind w:right="140"/>
        <w:spacing w:after="0" w:line="235" w:lineRule="auto"/>
        <w:rPr>
          <w:sz w:val="20"/>
          <w:szCs w:val="20"/>
          <w:color w:val="auto"/>
        </w:rPr>
      </w:pPr>
      <w:r>
        <w:rPr>
          <w:rFonts w:ascii="Calibri" w:cs="Calibri" w:eastAsia="Calibri" w:hAnsi="Calibri"/>
          <w:sz w:val="18"/>
          <w:szCs w:val="18"/>
          <w:color w:val="auto"/>
        </w:rPr>
        <w:t>The informaton required by Item 10 regarding directors is incorporated by reference from the informaton under the capton "Board of Directors and Corporate Governance - Director Nominees" in the Company's Notce of 2025 Annual Meetng and Proxy Statement (the “Proxy Statement”), which will be fled within 120 days afer December 31, 2024. The informaton required by Item 10 regarding audit commitee compositon and audit commitee fnancial expert disclosure is incorporated by reference from the informaton under the capton "Board of Directors and Corporate Governance - Commitees of the Board - Audit and Finance Commitee" in the Proxy Statement. The informaton required by Item 10 regarding executve ofcers is contained in Part I of this report under the capton "Informaton About our Executve Ofcers." The informaton required by Item 10 regarding our Insider Trading Policy is incorporated by reference from informaton under the capton "Insider Trading Policy" in the Proxy Statement. The informaton required by Item 10 regarding compliance with Secton 16(a) of the Securites Exchange Act of 1934 is incorporated by reference, if necessary, from informaton under the capton "Security Ownership of Certain Benefcial Owners and Management – Delinquent Secton 16(a) Reports" in the Proxy Statement.</w:t>
      </w:r>
    </w:p>
    <w:p>
      <w:pPr>
        <w:spacing w:after="0" w:line="183"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 xml:space="preserve">We have adopted a Business Conduct Guide that applies to all of our ofcers and employees, including our principal executve, principal fnancial and principal accountng ofcers, or persons performing similar functons, as well as a Directors’ Code of Conduct that applies to our directors. Our Business Conduct Guide and Directors’ Code of Conduct are posted on our website located at </w:t>
      </w:r>
      <w:r>
        <w:rPr>
          <w:rFonts w:ascii="Calibri" w:cs="Calibri" w:eastAsia="Calibri" w:hAnsi="Calibri"/>
          <w:sz w:val="18"/>
          <w:szCs w:val="18"/>
          <w:u w:val="single" w:color="auto"/>
          <w:color w:val="auto"/>
        </w:rPr>
        <w:t>htp://investor.kodak.com/corporate-governance/supportng-documents</w:t>
      </w:r>
      <w:r>
        <w:rPr>
          <w:rFonts w:ascii="Calibri" w:cs="Calibri" w:eastAsia="Calibri" w:hAnsi="Calibri"/>
          <w:sz w:val="18"/>
          <w:szCs w:val="18"/>
          <w:color w:val="auto"/>
        </w:rPr>
        <w:t>. We intend to disclose future amendments to certain provisions of the Business Conduct Guide and Directors' Code of Conduct and waivers of the Business Conduct Guide or Directors' Code of Conduct granted to executve ofcers and directors on the website within four business days following the date of the amendment or waiver.</w:t>
      </w:r>
    </w:p>
    <w:p>
      <w:pPr>
        <w:spacing w:after="0" w:line="194"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The Company has adopted insider trading policies and procedures governing the purchase, sale, and/or other transactons in the Company’s securites by directors, ofcers, and employees, or the Company itself, that we believe are reasonably designed to promote compliance with insider trading laws, rules and regulatons, and the listng standards applicable to the Company (the “Insider Trading Policy”). The Insider Trading Policy is fled as Exhibit 19 to this Annual Report on Form 10-K.</w:t>
      </w:r>
    </w:p>
    <w:p>
      <w:pPr>
        <w:spacing w:after="0" w:line="17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11. EXECUTIVE COMPENSATION</w:t>
      </w:r>
    </w:p>
    <w:p>
      <w:pPr>
        <w:spacing w:after="0" w:line="177" w:lineRule="exact"/>
        <w:rPr>
          <w:sz w:val="20"/>
          <w:szCs w:val="20"/>
          <w:color w:val="auto"/>
        </w:rPr>
      </w:pPr>
    </w:p>
    <w:p>
      <w:pPr>
        <w:ind w:right="420"/>
        <w:spacing w:after="0" w:line="235" w:lineRule="auto"/>
        <w:rPr>
          <w:sz w:val="20"/>
          <w:szCs w:val="20"/>
          <w:color w:val="auto"/>
        </w:rPr>
      </w:pPr>
      <w:r>
        <w:rPr>
          <w:rFonts w:ascii="Calibri" w:cs="Calibri" w:eastAsia="Calibri" w:hAnsi="Calibri"/>
          <w:sz w:val="18"/>
          <w:szCs w:val="18"/>
          <w:color w:val="auto"/>
        </w:rPr>
        <w:t>The informaton required by Item 11 is incorporated herein by reference from the informaton under the following captons in the Proxy Statement: "Executve Compensaton,” “Director Compensaton” and “Board of Directors and Corporate Governance – Compensaton, Nominatng and Governance Commitee Interlocks and Insider Partcipaton.”</w:t>
      </w:r>
    </w:p>
    <w:p>
      <w:pPr>
        <w:spacing w:after="0" w:line="187"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57720" cy="4254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17" w:name="page118"/>
    <w:bookmarkEnd w:id="117"/>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12. SECURITY OWNERSHIP OF CERTAIN BENEFICIAL OWNERS AND MANAGEMENT AND RELATED STOCKHOLDER MATTERS</w:t>
      </w:r>
    </w:p>
    <w:p>
      <w:pPr>
        <w:spacing w:after="0" w:line="177" w:lineRule="exact"/>
        <w:rPr>
          <w:sz w:val="20"/>
          <w:szCs w:val="20"/>
          <w:color w:val="auto"/>
        </w:rPr>
      </w:pPr>
    </w:p>
    <w:p>
      <w:pPr>
        <w:ind w:right="140"/>
        <w:spacing w:after="0" w:line="235" w:lineRule="auto"/>
        <w:rPr>
          <w:sz w:val="20"/>
          <w:szCs w:val="20"/>
          <w:color w:val="auto"/>
        </w:rPr>
      </w:pPr>
      <w:r>
        <w:rPr>
          <w:rFonts w:ascii="Calibri" w:cs="Calibri" w:eastAsia="Calibri" w:hAnsi="Calibri"/>
          <w:sz w:val="18"/>
          <w:szCs w:val="18"/>
          <w:color w:val="auto"/>
        </w:rPr>
        <w:t>The informaton required by Item 12 is incorporated by reference from the informaton under the capton "Security Ownership of Certain Benefcial Owners and Management" in the Proxy Statement. “Securites Authorized for Issuance Under Equity Compensaton Plans” is shown below.</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EQUITY COMPENSATION PLAN INFORMATION</w:t>
      </w:r>
    </w:p>
    <w:p>
      <w:pPr>
        <w:spacing w:after="0" w:line="185" w:lineRule="exact"/>
        <w:rPr>
          <w:sz w:val="20"/>
          <w:szCs w:val="20"/>
          <w:color w:val="auto"/>
        </w:rPr>
      </w:pPr>
    </w:p>
    <w:p>
      <w:pPr>
        <w:spacing w:after="0"/>
        <w:rPr>
          <w:sz w:val="20"/>
          <w:szCs w:val="20"/>
          <w:color w:val="auto"/>
        </w:rPr>
      </w:pPr>
      <w:r>
        <w:rPr>
          <w:rFonts w:ascii="Calibri" w:cs="Calibri" w:eastAsia="Calibri" w:hAnsi="Calibri"/>
          <w:sz w:val="18"/>
          <w:szCs w:val="18"/>
          <w:color w:val="auto"/>
        </w:rPr>
        <w:t>Informaton as of December 31, 2024, regarding the Company’s equity compensaton plans is summarized in the following table: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tcPr>
          <w:p>
            <w:pPr>
              <w:jc w:val="center"/>
              <w:spacing w:after="0"/>
              <w:rPr>
                <w:sz w:val="20"/>
                <w:szCs w:val="20"/>
                <w:color w:val="auto"/>
              </w:rPr>
            </w:pPr>
            <w:r>
              <w:rPr>
                <w:rFonts w:ascii="Calibri" w:cs="Calibri" w:eastAsia="Calibri" w:hAnsi="Calibri"/>
                <w:sz w:val="16"/>
                <w:szCs w:val="16"/>
                <w:b w:val="1"/>
                <w:bCs w:val="1"/>
                <w:color w:val="auto"/>
              </w:rPr>
              <w:t>Number of</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20" w:type="dxa"/>
            <w:vAlign w:val="bottom"/>
            <w:gridSpan w:val="2"/>
          </w:tcPr>
          <w:p>
            <w:pPr>
              <w:jc w:val="center"/>
              <w:ind w:right="120"/>
              <w:spacing w:after="0"/>
              <w:rPr>
                <w:sz w:val="20"/>
                <w:szCs w:val="20"/>
                <w:color w:val="auto"/>
              </w:rPr>
            </w:pPr>
            <w:r>
              <w:rPr>
                <w:rFonts w:ascii="Calibri" w:cs="Calibri" w:eastAsia="Calibri" w:hAnsi="Calibri"/>
                <w:sz w:val="16"/>
                <w:szCs w:val="16"/>
                <w:b w:val="1"/>
                <w:bCs w:val="1"/>
                <w:color w:val="auto"/>
              </w:rPr>
              <w:t>Number of</w:t>
            </w:r>
          </w:p>
        </w:tc>
      </w:tr>
      <w:tr>
        <w:trPr>
          <w:trHeight w:val="203"/>
        </w:trPr>
        <w:tc>
          <w:tcPr>
            <w:tcW w:w="4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40" w:type="dxa"/>
            <w:vAlign w:val="bottom"/>
          </w:tcPr>
          <w:p>
            <w:pPr>
              <w:jc w:val="center"/>
              <w:spacing w:after="0"/>
              <w:rPr>
                <w:sz w:val="20"/>
                <w:szCs w:val="20"/>
                <w:color w:val="auto"/>
              </w:rPr>
            </w:pPr>
            <w:r>
              <w:rPr>
                <w:rFonts w:ascii="Calibri" w:cs="Calibri" w:eastAsia="Calibri" w:hAnsi="Calibri"/>
                <w:sz w:val="16"/>
                <w:szCs w:val="16"/>
                <w:b w:val="1"/>
                <w:bCs w:val="1"/>
                <w:color w:val="auto"/>
              </w:rPr>
              <w:t>Securites to be</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20" w:type="dxa"/>
            <w:vAlign w:val="bottom"/>
            <w:gridSpan w:val="2"/>
          </w:tcPr>
          <w:p>
            <w:pPr>
              <w:jc w:val="center"/>
              <w:ind w:right="100"/>
              <w:spacing w:after="0"/>
              <w:rPr>
                <w:sz w:val="20"/>
                <w:szCs w:val="20"/>
                <w:color w:val="auto"/>
              </w:rPr>
            </w:pPr>
            <w:r>
              <w:rPr>
                <w:rFonts w:ascii="Calibri" w:cs="Calibri" w:eastAsia="Calibri" w:hAnsi="Calibri"/>
                <w:sz w:val="16"/>
                <w:szCs w:val="16"/>
                <w:b w:val="1"/>
                <w:bCs w:val="1"/>
                <w:color w:val="auto"/>
              </w:rPr>
              <w:t>Securites Remaining</w:t>
            </w:r>
          </w:p>
        </w:tc>
      </w:tr>
      <w:tr>
        <w:trPr>
          <w:trHeight w:val="203"/>
        </w:trPr>
        <w:tc>
          <w:tcPr>
            <w:tcW w:w="4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40" w:type="dxa"/>
            <w:vAlign w:val="bottom"/>
          </w:tcPr>
          <w:p>
            <w:pPr>
              <w:jc w:val="center"/>
              <w:spacing w:after="0"/>
              <w:rPr>
                <w:sz w:val="20"/>
                <w:szCs w:val="20"/>
                <w:color w:val="auto"/>
              </w:rPr>
            </w:pPr>
            <w:r>
              <w:rPr>
                <w:rFonts w:ascii="Calibri" w:cs="Calibri" w:eastAsia="Calibri" w:hAnsi="Calibri"/>
                <w:sz w:val="16"/>
                <w:szCs w:val="16"/>
                <w:b w:val="1"/>
                <w:bCs w:val="1"/>
                <w:color w:val="auto"/>
              </w:rPr>
              <w:t>Issued Upon Exercise</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20" w:type="dxa"/>
            <w:vAlign w:val="bottom"/>
            <w:gridSpan w:val="2"/>
          </w:tcPr>
          <w:p>
            <w:pPr>
              <w:jc w:val="center"/>
              <w:ind w:right="120"/>
              <w:spacing w:after="0"/>
              <w:rPr>
                <w:sz w:val="20"/>
                <w:szCs w:val="20"/>
                <w:color w:val="auto"/>
              </w:rPr>
            </w:pPr>
            <w:r>
              <w:rPr>
                <w:rFonts w:ascii="Calibri" w:cs="Calibri" w:eastAsia="Calibri" w:hAnsi="Calibri"/>
                <w:sz w:val="16"/>
                <w:szCs w:val="16"/>
                <w:b w:val="1"/>
                <w:bCs w:val="1"/>
                <w:color w:val="auto"/>
              </w:rPr>
              <w:t>Available for Future</w:t>
            </w:r>
          </w:p>
        </w:tc>
      </w:tr>
      <w:tr>
        <w:trPr>
          <w:trHeight w:val="203"/>
        </w:trPr>
        <w:tc>
          <w:tcPr>
            <w:tcW w:w="4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40" w:type="dxa"/>
            <w:vAlign w:val="bottom"/>
          </w:tcPr>
          <w:p>
            <w:pPr>
              <w:jc w:val="center"/>
              <w:spacing w:after="0"/>
              <w:rPr>
                <w:sz w:val="20"/>
                <w:szCs w:val="20"/>
                <w:color w:val="auto"/>
              </w:rPr>
            </w:pPr>
            <w:r>
              <w:rPr>
                <w:rFonts w:ascii="Calibri" w:cs="Calibri" w:eastAsia="Calibri" w:hAnsi="Calibri"/>
                <w:sz w:val="16"/>
                <w:szCs w:val="16"/>
                <w:b w:val="1"/>
                <w:bCs w:val="1"/>
                <w:color w:val="auto"/>
              </w:rPr>
              <w:t>of Outstanding</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40" w:type="dxa"/>
            <w:vAlign w:val="bottom"/>
          </w:tcPr>
          <w:p>
            <w:pPr>
              <w:jc w:val="center"/>
              <w:ind w:right="159"/>
              <w:spacing w:after="0"/>
              <w:rPr>
                <w:sz w:val="20"/>
                <w:szCs w:val="20"/>
                <w:color w:val="auto"/>
              </w:rPr>
            </w:pPr>
            <w:r>
              <w:rPr>
                <w:rFonts w:ascii="Calibri" w:cs="Calibri" w:eastAsia="Calibri" w:hAnsi="Calibri"/>
                <w:sz w:val="16"/>
                <w:szCs w:val="16"/>
                <w:b w:val="1"/>
                <w:bCs w:val="1"/>
                <w:color w:val="auto"/>
              </w:rPr>
              <w:t>Weighted-</w:t>
            </w:r>
          </w:p>
        </w:tc>
        <w:tc>
          <w:tcPr>
            <w:tcW w:w="220" w:type="dxa"/>
            <w:vAlign w:val="bottom"/>
          </w:tcPr>
          <w:p>
            <w:pPr>
              <w:spacing w:after="0"/>
              <w:rPr>
                <w:sz w:val="17"/>
                <w:szCs w:val="17"/>
                <w:color w:val="auto"/>
              </w:rPr>
            </w:pPr>
          </w:p>
        </w:tc>
        <w:tc>
          <w:tcPr>
            <w:tcW w:w="2220" w:type="dxa"/>
            <w:vAlign w:val="bottom"/>
            <w:gridSpan w:val="2"/>
          </w:tcPr>
          <w:p>
            <w:pPr>
              <w:jc w:val="center"/>
              <w:ind w:right="120"/>
              <w:spacing w:after="0"/>
              <w:rPr>
                <w:sz w:val="20"/>
                <w:szCs w:val="20"/>
                <w:color w:val="auto"/>
              </w:rPr>
            </w:pPr>
            <w:r>
              <w:rPr>
                <w:rFonts w:ascii="Calibri" w:cs="Calibri" w:eastAsia="Calibri" w:hAnsi="Calibri"/>
                <w:sz w:val="16"/>
                <w:szCs w:val="16"/>
                <w:b w:val="1"/>
                <w:bCs w:val="1"/>
                <w:color w:val="auto"/>
              </w:rPr>
              <w:t>Issuance Under</w:t>
            </w:r>
          </w:p>
        </w:tc>
      </w:tr>
      <w:tr>
        <w:trPr>
          <w:trHeight w:val="203"/>
        </w:trPr>
        <w:tc>
          <w:tcPr>
            <w:tcW w:w="4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40" w:type="dxa"/>
            <w:vAlign w:val="bottom"/>
          </w:tcPr>
          <w:p>
            <w:pPr>
              <w:jc w:val="center"/>
              <w:spacing w:after="0"/>
              <w:rPr>
                <w:sz w:val="20"/>
                <w:szCs w:val="20"/>
                <w:color w:val="auto"/>
              </w:rPr>
            </w:pPr>
            <w:r>
              <w:rPr>
                <w:rFonts w:ascii="Calibri" w:cs="Calibri" w:eastAsia="Calibri" w:hAnsi="Calibri"/>
                <w:sz w:val="16"/>
                <w:szCs w:val="16"/>
                <w:b w:val="1"/>
                <w:bCs w:val="1"/>
                <w:color w:val="auto"/>
              </w:rPr>
              <w:t>Optons, Restricted</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40" w:type="dxa"/>
            <w:vAlign w:val="bottom"/>
          </w:tcPr>
          <w:p>
            <w:pPr>
              <w:jc w:val="center"/>
              <w:ind w:right="159"/>
              <w:spacing w:after="0"/>
              <w:rPr>
                <w:sz w:val="20"/>
                <w:szCs w:val="20"/>
                <w:color w:val="auto"/>
              </w:rPr>
            </w:pPr>
            <w:r>
              <w:rPr>
                <w:rFonts w:ascii="Calibri" w:cs="Calibri" w:eastAsia="Calibri" w:hAnsi="Calibri"/>
                <w:sz w:val="16"/>
                <w:szCs w:val="16"/>
                <w:b w:val="1"/>
                <w:bCs w:val="1"/>
                <w:color w:val="auto"/>
                <w:w w:val="98"/>
              </w:rPr>
              <w:t>Average</w:t>
            </w:r>
          </w:p>
        </w:tc>
        <w:tc>
          <w:tcPr>
            <w:tcW w:w="220" w:type="dxa"/>
            <w:vAlign w:val="bottom"/>
          </w:tcPr>
          <w:p>
            <w:pPr>
              <w:spacing w:after="0"/>
              <w:rPr>
                <w:sz w:val="17"/>
                <w:szCs w:val="17"/>
                <w:color w:val="auto"/>
              </w:rPr>
            </w:pPr>
          </w:p>
        </w:tc>
        <w:tc>
          <w:tcPr>
            <w:tcW w:w="2220" w:type="dxa"/>
            <w:vAlign w:val="bottom"/>
            <w:gridSpan w:val="2"/>
          </w:tcPr>
          <w:p>
            <w:pPr>
              <w:jc w:val="center"/>
              <w:ind w:right="100"/>
              <w:spacing w:after="0"/>
              <w:rPr>
                <w:sz w:val="20"/>
                <w:szCs w:val="20"/>
                <w:color w:val="auto"/>
              </w:rPr>
            </w:pPr>
            <w:r>
              <w:rPr>
                <w:rFonts w:ascii="Calibri" w:cs="Calibri" w:eastAsia="Calibri" w:hAnsi="Calibri"/>
                <w:sz w:val="16"/>
                <w:szCs w:val="16"/>
                <w:b w:val="1"/>
                <w:bCs w:val="1"/>
                <w:color w:val="auto"/>
              </w:rPr>
              <w:t>Equity Compensaton</w:t>
            </w:r>
          </w:p>
        </w:tc>
      </w:tr>
      <w:tr>
        <w:trPr>
          <w:trHeight w:val="203"/>
        </w:trPr>
        <w:tc>
          <w:tcPr>
            <w:tcW w:w="4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40" w:type="dxa"/>
            <w:vAlign w:val="bottom"/>
          </w:tcPr>
          <w:p>
            <w:pPr>
              <w:jc w:val="center"/>
              <w:spacing w:after="0"/>
              <w:rPr>
                <w:sz w:val="20"/>
                <w:szCs w:val="20"/>
                <w:color w:val="auto"/>
              </w:rPr>
            </w:pPr>
            <w:r>
              <w:rPr>
                <w:rFonts w:ascii="Calibri" w:cs="Calibri" w:eastAsia="Calibri" w:hAnsi="Calibri"/>
                <w:sz w:val="16"/>
                <w:szCs w:val="16"/>
                <w:b w:val="1"/>
                <w:bCs w:val="1"/>
                <w:color w:val="auto"/>
              </w:rPr>
              <w:t>Stock Units</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40" w:type="dxa"/>
            <w:vAlign w:val="bottom"/>
          </w:tcPr>
          <w:p>
            <w:pPr>
              <w:jc w:val="center"/>
              <w:ind w:right="139"/>
              <w:spacing w:after="0"/>
              <w:rPr>
                <w:sz w:val="20"/>
                <w:szCs w:val="20"/>
                <w:color w:val="auto"/>
              </w:rPr>
            </w:pPr>
            <w:r>
              <w:rPr>
                <w:rFonts w:ascii="Calibri" w:cs="Calibri" w:eastAsia="Calibri" w:hAnsi="Calibri"/>
                <w:sz w:val="16"/>
                <w:szCs w:val="16"/>
                <w:b w:val="1"/>
                <w:bCs w:val="1"/>
                <w:color w:val="auto"/>
              </w:rPr>
              <w:t>Exercise Price</w:t>
            </w:r>
          </w:p>
        </w:tc>
        <w:tc>
          <w:tcPr>
            <w:tcW w:w="220" w:type="dxa"/>
            <w:vAlign w:val="bottom"/>
          </w:tcPr>
          <w:p>
            <w:pPr>
              <w:spacing w:after="0"/>
              <w:rPr>
                <w:sz w:val="17"/>
                <w:szCs w:val="17"/>
                <w:color w:val="auto"/>
              </w:rPr>
            </w:pPr>
          </w:p>
        </w:tc>
        <w:tc>
          <w:tcPr>
            <w:tcW w:w="2220" w:type="dxa"/>
            <w:vAlign w:val="bottom"/>
            <w:gridSpan w:val="2"/>
          </w:tcPr>
          <w:p>
            <w:pPr>
              <w:jc w:val="center"/>
              <w:ind w:right="100"/>
              <w:spacing w:after="0"/>
              <w:rPr>
                <w:sz w:val="20"/>
                <w:szCs w:val="20"/>
                <w:color w:val="auto"/>
              </w:rPr>
            </w:pPr>
            <w:r>
              <w:rPr>
                <w:rFonts w:ascii="Calibri" w:cs="Calibri" w:eastAsia="Calibri" w:hAnsi="Calibri"/>
                <w:sz w:val="16"/>
                <w:szCs w:val="16"/>
                <w:b w:val="1"/>
                <w:bCs w:val="1"/>
                <w:color w:val="auto"/>
              </w:rPr>
              <w:t>Plans (Excluding</w:t>
            </w:r>
          </w:p>
        </w:tc>
      </w:tr>
      <w:tr>
        <w:trPr>
          <w:trHeight w:val="183"/>
        </w:trPr>
        <w:tc>
          <w:tcPr>
            <w:tcW w:w="4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40" w:type="dxa"/>
            <w:vAlign w:val="bottom"/>
          </w:tcPr>
          <w:p>
            <w:pPr>
              <w:jc w:val="center"/>
              <w:spacing w:after="0" w:line="183" w:lineRule="exact"/>
              <w:rPr>
                <w:sz w:val="20"/>
                <w:szCs w:val="20"/>
                <w:color w:val="auto"/>
              </w:rPr>
            </w:pPr>
            <w:r>
              <w:rPr>
                <w:rFonts w:ascii="Calibri" w:cs="Calibri" w:eastAsia="Calibri" w:hAnsi="Calibri"/>
                <w:sz w:val="16"/>
                <w:szCs w:val="16"/>
                <w:b w:val="1"/>
                <w:bCs w:val="1"/>
                <w:color w:val="auto"/>
              </w:rPr>
              <w:t>and Restricted</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40" w:type="dxa"/>
            <w:vAlign w:val="bottom"/>
          </w:tcPr>
          <w:p>
            <w:pPr>
              <w:jc w:val="center"/>
              <w:ind w:right="159"/>
              <w:spacing w:after="0" w:line="183" w:lineRule="exact"/>
              <w:rPr>
                <w:sz w:val="20"/>
                <w:szCs w:val="20"/>
                <w:color w:val="auto"/>
              </w:rPr>
            </w:pPr>
            <w:r>
              <w:rPr>
                <w:rFonts w:ascii="Calibri" w:cs="Calibri" w:eastAsia="Calibri" w:hAnsi="Calibri"/>
                <w:sz w:val="16"/>
                <w:szCs w:val="16"/>
                <w:b w:val="1"/>
                <w:bCs w:val="1"/>
                <w:color w:val="auto"/>
              </w:rPr>
              <w:t>of Outstanding</w:t>
            </w:r>
          </w:p>
        </w:tc>
        <w:tc>
          <w:tcPr>
            <w:tcW w:w="220" w:type="dxa"/>
            <w:vAlign w:val="bottom"/>
          </w:tcPr>
          <w:p>
            <w:pPr>
              <w:spacing w:after="0"/>
              <w:rPr>
                <w:sz w:val="15"/>
                <w:szCs w:val="15"/>
                <w:color w:val="auto"/>
              </w:rPr>
            </w:pPr>
          </w:p>
        </w:tc>
        <w:tc>
          <w:tcPr>
            <w:tcW w:w="2220" w:type="dxa"/>
            <w:vAlign w:val="bottom"/>
            <w:gridSpan w:val="2"/>
          </w:tcPr>
          <w:p>
            <w:pPr>
              <w:jc w:val="center"/>
              <w:ind w:right="100"/>
              <w:spacing w:after="0" w:line="183" w:lineRule="exact"/>
              <w:rPr>
                <w:sz w:val="20"/>
                <w:szCs w:val="20"/>
                <w:color w:val="auto"/>
              </w:rPr>
            </w:pPr>
            <w:r>
              <w:rPr>
                <w:rFonts w:ascii="Calibri" w:cs="Calibri" w:eastAsia="Calibri" w:hAnsi="Calibri"/>
                <w:sz w:val="16"/>
                <w:szCs w:val="16"/>
                <w:b w:val="1"/>
                <w:bCs w:val="1"/>
                <w:color w:val="auto"/>
              </w:rPr>
              <w:t>Securites Refected</w:t>
            </w:r>
          </w:p>
        </w:tc>
      </w:tr>
      <w:tr>
        <w:trPr>
          <w:trHeight w:val="250"/>
        </w:trPr>
        <w:tc>
          <w:tcPr>
            <w:tcW w:w="4540" w:type="dxa"/>
            <w:vAlign w:val="bottom"/>
          </w:tcPr>
          <w:p>
            <w:pPr>
              <w:ind w:left="20"/>
              <w:spacing w:after="0"/>
              <w:rPr>
                <w:sz w:val="20"/>
                <w:szCs w:val="20"/>
                <w:color w:val="auto"/>
              </w:rPr>
            </w:pPr>
            <w:r>
              <w:rPr>
                <w:rFonts w:ascii="Calibri" w:cs="Calibri" w:eastAsia="Calibri" w:hAnsi="Calibri"/>
                <w:sz w:val="16"/>
                <w:szCs w:val="16"/>
                <w:b w:val="1"/>
                <w:bCs w:val="1"/>
                <w:color w:val="auto"/>
              </w:rPr>
              <w:t>Plan Category</w:t>
            </w:r>
          </w:p>
        </w:tc>
        <w:tc>
          <w:tcPr>
            <w:tcW w:w="120" w:type="dxa"/>
            <w:vAlign w:val="bottom"/>
          </w:tcPr>
          <w:p>
            <w:pPr>
              <w:spacing w:after="0"/>
              <w:rPr>
                <w:sz w:val="21"/>
                <w:szCs w:val="21"/>
                <w:color w:val="auto"/>
              </w:rPr>
            </w:pPr>
          </w:p>
        </w:tc>
        <w:tc>
          <w:tcPr>
            <w:tcW w:w="2140" w:type="dxa"/>
            <w:vAlign w:val="bottom"/>
          </w:tcPr>
          <w:p>
            <w:pPr>
              <w:jc w:val="center"/>
              <w:spacing w:after="0"/>
              <w:rPr>
                <w:sz w:val="20"/>
                <w:szCs w:val="20"/>
                <w:color w:val="auto"/>
              </w:rPr>
            </w:pPr>
            <w:r>
              <w:rPr>
                <w:rFonts w:ascii="Calibri" w:cs="Calibri" w:eastAsia="Calibri" w:hAnsi="Calibri"/>
                <w:sz w:val="16"/>
                <w:szCs w:val="16"/>
                <w:b w:val="1"/>
                <w:bCs w:val="1"/>
                <w:color w:val="auto"/>
              </w:rPr>
              <w:t>Stock Awards</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tcPr>
          <w:p>
            <w:pPr>
              <w:jc w:val="center"/>
              <w:ind w:right="159"/>
              <w:spacing w:after="0" w:line="249" w:lineRule="exact"/>
              <w:rPr>
                <w:sz w:val="20"/>
                <w:szCs w:val="20"/>
                <w:color w:val="auto"/>
              </w:rPr>
            </w:pPr>
            <w:r>
              <w:rPr>
                <w:rFonts w:ascii="Calibri" w:cs="Calibri" w:eastAsia="Calibri" w:hAnsi="Calibri"/>
                <w:sz w:val="16"/>
                <w:szCs w:val="16"/>
                <w:b w:val="1"/>
                <w:bCs w:val="1"/>
                <w:color w:val="auto"/>
              </w:rPr>
              <w:t xml:space="preserve">Optons </w:t>
            </w:r>
            <w:r>
              <w:rPr>
                <w:rFonts w:ascii="Calibri" w:cs="Calibri" w:eastAsia="Calibri" w:hAnsi="Calibri"/>
                <w:sz w:val="21"/>
                <w:szCs w:val="21"/>
                <w:b w:val="1"/>
                <w:bCs w:val="1"/>
                <w:color w:val="auto"/>
                <w:vertAlign w:val="superscript"/>
              </w:rPr>
              <w:t>(1)</w:t>
            </w:r>
          </w:p>
        </w:tc>
        <w:tc>
          <w:tcPr>
            <w:tcW w:w="220" w:type="dxa"/>
            <w:vAlign w:val="bottom"/>
          </w:tcPr>
          <w:p>
            <w:pPr>
              <w:spacing w:after="0"/>
              <w:rPr>
                <w:sz w:val="21"/>
                <w:szCs w:val="21"/>
                <w:color w:val="auto"/>
              </w:rPr>
            </w:pPr>
          </w:p>
        </w:tc>
        <w:tc>
          <w:tcPr>
            <w:tcW w:w="2220" w:type="dxa"/>
            <w:vAlign w:val="bottom"/>
            <w:gridSpan w:val="2"/>
          </w:tcPr>
          <w:p>
            <w:pPr>
              <w:jc w:val="center"/>
              <w:ind w:right="120"/>
              <w:spacing w:after="0" w:line="249" w:lineRule="exact"/>
              <w:rPr>
                <w:sz w:val="20"/>
                <w:szCs w:val="20"/>
                <w:color w:val="auto"/>
              </w:rPr>
            </w:pPr>
            <w:r>
              <w:rPr>
                <w:rFonts w:ascii="Calibri" w:cs="Calibri" w:eastAsia="Calibri" w:hAnsi="Calibri"/>
                <w:sz w:val="16"/>
                <w:szCs w:val="16"/>
                <w:b w:val="1"/>
                <w:bCs w:val="1"/>
                <w:color w:val="auto"/>
                <w:w w:val="97"/>
              </w:rPr>
              <w:t xml:space="preserve">in Column (a)) </w:t>
            </w:r>
            <w:r>
              <w:rPr>
                <w:rFonts w:ascii="Calibri" w:cs="Calibri" w:eastAsia="Calibri" w:hAnsi="Calibri"/>
                <w:sz w:val="21"/>
                <w:szCs w:val="21"/>
                <w:b w:val="1"/>
                <w:bCs w:val="1"/>
                <w:color w:val="auto"/>
                <w:w w:val="97"/>
                <w:vertAlign w:val="superscript"/>
              </w:rPr>
              <w:t>(2)</w:t>
            </w:r>
          </w:p>
        </w:tc>
      </w:tr>
      <w:tr>
        <w:trPr>
          <w:trHeight w:val="192"/>
        </w:trPr>
        <w:tc>
          <w:tcPr>
            <w:tcW w:w="45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tcBorders>
              <w:top w:val="single" w:sz="8" w:color="auto"/>
              <w:bottom w:val="single" w:sz="8" w:color="auto"/>
            </w:tcBorders>
          </w:tcPr>
          <w:p>
            <w:pPr>
              <w:jc w:val="center"/>
              <w:spacing w:after="0" w:line="192" w:lineRule="exact"/>
              <w:rPr>
                <w:sz w:val="20"/>
                <w:szCs w:val="20"/>
                <w:color w:val="auto"/>
              </w:rPr>
            </w:pPr>
            <w:r>
              <w:rPr>
                <w:rFonts w:ascii="Calibri" w:cs="Calibri" w:eastAsia="Calibri" w:hAnsi="Calibri"/>
                <w:sz w:val="16"/>
                <w:szCs w:val="16"/>
                <w:b w:val="1"/>
                <w:bCs w:val="1"/>
                <w:color w:val="auto"/>
              </w:rPr>
              <w:t>(a)</w:t>
            </w:r>
          </w:p>
        </w:tc>
        <w:tc>
          <w:tcPr>
            <w:tcW w:w="22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540" w:type="dxa"/>
            <w:vAlign w:val="bottom"/>
            <w:tcBorders>
              <w:top w:val="single" w:sz="8" w:color="auto"/>
              <w:bottom w:val="single" w:sz="8" w:color="auto"/>
            </w:tcBorders>
          </w:tcPr>
          <w:p>
            <w:pPr>
              <w:jc w:val="center"/>
              <w:ind w:right="159"/>
              <w:spacing w:after="0" w:line="192" w:lineRule="exact"/>
              <w:rPr>
                <w:sz w:val="20"/>
                <w:szCs w:val="20"/>
                <w:color w:val="auto"/>
              </w:rPr>
            </w:pPr>
            <w:r>
              <w:rPr>
                <w:rFonts w:ascii="Calibri" w:cs="Calibri" w:eastAsia="Calibri" w:hAnsi="Calibri"/>
                <w:sz w:val="16"/>
                <w:szCs w:val="16"/>
                <w:b w:val="1"/>
                <w:bCs w:val="1"/>
                <w:color w:val="auto"/>
                <w:w w:val="96"/>
              </w:rPr>
              <w:t>(b)</w:t>
            </w:r>
          </w:p>
        </w:tc>
        <w:tc>
          <w:tcPr>
            <w:tcW w:w="220" w:type="dxa"/>
            <w:vAlign w:val="bottom"/>
          </w:tcPr>
          <w:p>
            <w:pPr>
              <w:spacing w:after="0"/>
              <w:rPr>
                <w:sz w:val="16"/>
                <w:szCs w:val="16"/>
                <w:color w:val="auto"/>
              </w:rPr>
            </w:pPr>
          </w:p>
        </w:tc>
        <w:tc>
          <w:tcPr>
            <w:tcW w:w="2120" w:type="dxa"/>
            <w:vAlign w:val="bottom"/>
            <w:tcBorders>
              <w:top w:val="single" w:sz="8" w:color="auto"/>
              <w:bottom w:val="single" w:sz="8" w:color="auto"/>
            </w:tcBorders>
          </w:tcPr>
          <w:p>
            <w:pPr>
              <w:jc w:val="center"/>
              <w:spacing w:after="0" w:line="192" w:lineRule="exact"/>
              <w:rPr>
                <w:sz w:val="20"/>
                <w:szCs w:val="20"/>
                <w:color w:val="auto"/>
              </w:rPr>
            </w:pPr>
            <w:r>
              <w:rPr>
                <w:rFonts w:ascii="Calibri" w:cs="Calibri" w:eastAsia="Calibri" w:hAnsi="Calibri"/>
                <w:sz w:val="16"/>
                <w:szCs w:val="16"/>
                <w:b w:val="1"/>
                <w:bCs w:val="1"/>
                <w:color w:val="auto"/>
              </w:rPr>
              <w:t>(c)</w:t>
            </w:r>
          </w:p>
        </w:tc>
        <w:tc>
          <w:tcPr>
            <w:tcW w:w="100" w:type="dxa"/>
            <w:vAlign w:val="bottom"/>
          </w:tcPr>
          <w:p>
            <w:pPr>
              <w:spacing w:after="0"/>
              <w:rPr>
                <w:sz w:val="16"/>
                <w:szCs w:val="16"/>
                <w:color w:val="auto"/>
              </w:rPr>
            </w:pPr>
          </w:p>
        </w:tc>
      </w:tr>
      <w:tr>
        <w:trPr>
          <w:trHeight w:val="201"/>
        </w:trPr>
        <w:tc>
          <w:tcPr>
            <w:tcW w:w="4540" w:type="dxa"/>
            <w:vAlign w:val="bottom"/>
            <w:shd w:val="clear" w:color="auto" w:fill="CFF0FC"/>
          </w:tcPr>
          <w:p>
            <w:pPr>
              <w:ind w:left="20"/>
              <w:spacing w:after="0" w:line="193" w:lineRule="exact"/>
              <w:rPr>
                <w:sz w:val="20"/>
                <w:szCs w:val="20"/>
                <w:color w:val="auto"/>
              </w:rPr>
            </w:pPr>
            <w:r>
              <w:rPr>
                <w:rFonts w:ascii="Calibri" w:cs="Calibri" w:eastAsia="Calibri" w:hAnsi="Calibri"/>
                <w:sz w:val="16"/>
                <w:szCs w:val="16"/>
                <w:color w:val="auto"/>
              </w:rPr>
              <w:t>Equity compensaton plans approved by security holders</w:t>
            </w:r>
          </w:p>
        </w:tc>
        <w:tc>
          <w:tcPr>
            <w:tcW w:w="2260" w:type="dxa"/>
            <w:vAlign w:val="bottom"/>
            <w:gridSpan w:val="2"/>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8,563,074</w:t>
            </w:r>
          </w:p>
        </w:tc>
        <w:tc>
          <w:tcPr>
            <w:tcW w:w="460" w:type="dxa"/>
            <w:vAlign w:val="bottom"/>
            <w:gridSpan w:val="2"/>
            <w:shd w:val="clear" w:color="auto" w:fill="CFF0FC"/>
          </w:tcPr>
          <w:p>
            <w:pPr>
              <w:jc w:val="right"/>
              <w:ind w:right="140"/>
              <w:spacing w:after="0" w:line="193" w:lineRule="exact"/>
              <w:rPr>
                <w:sz w:val="20"/>
                <w:szCs w:val="20"/>
                <w:color w:val="auto"/>
              </w:rPr>
            </w:pPr>
            <w:r>
              <w:rPr>
                <w:rFonts w:ascii="Calibri" w:cs="Calibri" w:eastAsia="Calibri" w:hAnsi="Calibri"/>
                <w:sz w:val="16"/>
                <w:szCs w:val="16"/>
                <w:color w:val="auto"/>
              </w:rPr>
              <w:t>$</w:t>
            </w:r>
          </w:p>
        </w:tc>
        <w:tc>
          <w:tcPr>
            <w:tcW w:w="1540" w:type="dxa"/>
            <w:vAlign w:val="bottom"/>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6.34</w:t>
            </w:r>
          </w:p>
        </w:tc>
        <w:tc>
          <w:tcPr>
            <w:tcW w:w="2340" w:type="dxa"/>
            <w:vAlign w:val="bottom"/>
            <w:gridSpan w:val="2"/>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8,779,221</w:t>
            </w:r>
          </w:p>
        </w:tc>
        <w:tc>
          <w:tcPr>
            <w:tcW w:w="100" w:type="dxa"/>
            <w:vAlign w:val="bottom"/>
            <w:shd w:val="clear" w:color="auto" w:fill="CFF0FC"/>
          </w:tcPr>
          <w:p>
            <w:pPr>
              <w:spacing w:after="0"/>
              <w:rPr>
                <w:sz w:val="17"/>
                <w:szCs w:val="17"/>
                <w:color w:val="auto"/>
              </w:rPr>
            </w:pPr>
          </w:p>
        </w:tc>
      </w:tr>
      <w:tr>
        <w:trPr>
          <w:trHeight w:val="198"/>
        </w:trPr>
        <w:tc>
          <w:tcPr>
            <w:tcW w:w="4540" w:type="dxa"/>
            <w:vAlign w:val="bottom"/>
          </w:tcPr>
          <w:p>
            <w:pPr>
              <w:ind w:left="20"/>
              <w:spacing w:after="0" w:line="193" w:lineRule="exact"/>
              <w:rPr>
                <w:sz w:val="20"/>
                <w:szCs w:val="20"/>
                <w:color w:val="auto"/>
              </w:rPr>
            </w:pPr>
            <w:r>
              <w:rPr>
                <w:rFonts w:ascii="Calibri" w:cs="Calibri" w:eastAsia="Calibri" w:hAnsi="Calibri"/>
                <w:sz w:val="16"/>
                <w:szCs w:val="16"/>
                <w:color w:val="auto"/>
              </w:rPr>
              <w:t>Equity compensaton plans not approved by security holders</w:t>
            </w:r>
          </w:p>
        </w:tc>
        <w:tc>
          <w:tcPr>
            <w:tcW w:w="120" w:type="dxa"/>
            <w:vAlign w:val="bottom"/>
          </w:tcPr>
          <w:p>
            <w:pPr>
              <w:spacing w:after="0"/>
              <w:rPr>
                <w:sz w:val="17"/>
                <w:szCs w:val="17"/>
                <w:color w:val="auto"/>
              </w:rPr>
            </w:pPr>
          </w:p>
        </w:tc>
        <w:tc>
          <w:tcPr>
            <w:tcW w:w="214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w:t>
            </w:r>
          </w:p>
        </w:tc>
        <w:tc>
          <w:tcPr>
            <w:tcW w:w="220" w:type="dxa"/>
            <w:vAlign w:val="bottom"/>
          </w:tcPr>
          <w:p>
            <w:pPr>
              <w:spacing w:after="0"/>
              <w:rPr>
                <w:sz w:val="17"/>
                <w:szCs w:val="17"/>
                <w:color w:val="auto"/>
              </w:rPr>
            </w:pPr>
          </w:p>
        </w:tc>
        <w:tc>
          <w:tcPr>
            <w:tcW w:w="212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w:t>
            </w:r>
          </w:p>
        </w:tc>
        <w:tc>
          <w:tcPr>
            <w:tcW w:w="100" w:type="dxa"/>
            <w:vAlign w:val="bottom"/>
          </w:tcPr>
          <w:p>
            <w:pPr>
              <w:spacing w:after="0"/>
              <w:rPr>
                <w:sz w:val="17"/>
                <w:szCs w:val="17"/>
                <w:color w:val="auto"/>
              </w:rPr>
            </w:pPr>
          </w:p>
        </w:tc>
      </w:tr>
      <w:tr>
        <w:trPr>
          <w:trHeight w:val="201"/>
        </w:trPr>
        <w:tc>
          <w:tcPr>
            <w:tcW w:w="4540" w:type="dxa"/>
            <w:vAlign w:val="bottom"/>
            <w:shd w:val="clear" w:color="auto" w:fill="CFF0FC"/>
          </w:tcPr>
          <w:p>
            <w:pPr>
              <w:ind w:left="20"/>
              <w:spacing w:after="0" w:line="193" w:lineRule="exact"/>
              <w:rPr>
                <w:sz w:val="20"/>
                <w:szCs w:val="20"/>
                <w:color w:val="auto"/>
              </w:rPr>
            </w:pPr>
            <w:r>
              <w:rPr>
                <w:rFonts w:ascii="Calibri" w:cs="Calibri" w:eastAsia="Calibri" w:hAnsi="Calibri"/>
                <w:sz w:val="16"/>
                <w:szCs w:val="16"/>
                <w:color w:val="auto"/>
              </w:rPr>
              <w:t>Total</w:t>
            </w:r>
          </w:p>
        </w:tc>
        <w:tc>
          <w:tcPr>
            <w:tcW w:w="2260" w:type="dxa"/>
            <w:vAlign w:val="bottom"/>
            <w:gridSpan w:val="2"/>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8,563,074</w:t>
            </w:r>
          </w:p>
        </w:tc>
        <w:tc>
          <w:tcPr>
            <w:tcW w:w="460" w:type="dxa"/>
            <w:vAlign w:val="bottom"/>
            <w:gridSpan w:val="2"/>
            <w:shd w:val="clear" w:color="auto" w:fill="CFF0FC"/>
          </w:tcPr>
          <w:p>
            <w:pPr>
              <w:jc w:val="right"/>
              <w:ind w:right="140"/>
              <w:spacing w:after="0" w:line="193" w:lineRule="exact"/>
              <w:rPr>
                <w:sz w:val="20"/>
                <w:szCs w:val="20"/>
                <w:color w:val="auto"/>
              </w:rPr>
            </w:pPr>
            <w:r>
              <w:rPr>
                <w:rFonts w:ascii="Calibri" w:cs="Calibri" w:eastAsia="Calibri" w:hAnsi="Calibri"/>
                <w:sz w:val="16"/>
                <w:szCs w:val="16"/>
                <w:color w:val="auto"/>
              </w:rPr>
              <w:t>$</w:t>
            </w:r>
          </w:p>
        </w:tc>
        <w:tc>
          <w:tcPr>
            <w:tcW w:w="1540" w:type="dxa"/>
            <w:vAlign w:val="bottom"/>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6.34</w:t>
            </w:r>
          </w:p>
        </w:tc>
        <w:tc>
          <w:tcPr>
            <w:tcW w:w="2340" w:type="dxa"/>
            <w:vAlign w:val="bottom"/>
            <w:gridSpan w:val="2"/>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8,779,221</w:t>
            </w:r>
          </w:p>
        </w:tc>
        <w:tc>
          <w:tcPr>
            <w:tcW w:w="100" w:type="dxa"/>
            <w:vAlign w:val="bottom"/>
            <w:shd w:val="clear" w:color="auto" w:fill="CFF0FC"/>
          </w:tcPr>
          <w:p>
            <w:pPr>
              <w:spacing w:after="0"/>
              <w:rPr>
                <w:sz w:val="17"/>
                <w:szCs w:val="17"/>
                <w:color w:val="auto"/>
              </w:rPr>
            </w:pPr>
          </w:p>
        </w:tc>
      </w:tr>
    </w:tbl>
    <w:p>
      <w:pPr>
        <w:spacing w:after="0" w:line="194" w:lineRule="exact"/>
        <w:rPr>
          <w:sz w:val="20"/>
          <w:szCs w:val="20"/>
          <w:color w:val="auto"/>
        </w:rPr>
      </w:pPr>
    </w:p>
    <w:p>
      <w:pPr>
        <w:jc w:val="both"/>
        <w:ind w:left="280" w:hanging="272"/>
        <w:spacing w:after="0" w:line="211" w:lineRule="auto"/>
        <w:tabs>
          <w:tab w:leader="none" w:pos="280" w:val="left"/>
        </w:tabs>
        <w:numPr>
          <w:ilvl w:val="0"/>
          <w:numId w:val="48"/>
        </w:numPr>
        <w:rPr>
          <w:rFonts w:ascii="Calibri" w:cs="Calibri" w:eastAsia="Calibri" w:hAnsi="Calibri"/>
          <w:sz w:val="24"/>
          <w:szCs w:val="24"/>
          <w:color w:val="auto"/>
          <w:vertAlign w:val="superscript"/>
        </w:rPr>
      </w:pPr>
      <w:r>
        <w:rPr>
          <w:rFonts w:ascii="Calibri" w:cs="Calibri" w:eastAsia="Calibri" w:hAnsi="Calibri"/>
          <w:sz w:val="18"/>
          <w:szCs w:val="18"/>
          <w:color w:val="auto"/>
        </w:rPr>
        <w:t>Represents the weighted-average exercise price of outstanding stock optons. The weighted-average exercise price does not take into account the shares issuable upon vestng of outstanding restricted stock units and restricted stock awards under the Amended and Restated 2013 Omnibus Incentve Plan, as amended (the “Plan”), which do not have an exercise price.</w:t>
      </w:r>
    </w:p>
    <w:p>
      <w:pPr>
        <w:spacing w:after="0" w:line="4" w:lineRule="exact"/>
        <w:rPr>
          <w:rFonts w:ascii="Calibri" w:cs="Calibri" w:eastAsia="Calibri" w:hAnsi="Calibri"/>
          <w:sz w:val="24"/>
          <w:szCs w:val="24"/>
          <w:color w:val="auto"/>
          <w:vertAlign w:val="superscript"/>
        </w:rPr>
      </w:pPr>
    </w:p>
    <w:p>
      <w:pPr>
        <w:ind w:left="280" w:right="80" w:hanging="272"/>
        <w:spacing w:after="0" w:line="211" w:lineRule="auto"/>
        <w:tabs>
          <w:tab w:leader="none" w:pos="280" w:val="left"/>
        </w:tabs>
        <w:numPr>
          <w:ilvl w:val="0"/>
          <w:numId w:val="48"/>
        </w:numPr>
        <w:rPr>
          <w:rFonts w:ascii="Calibri" w:cs="Calibri" w:eastAsia="Calibri" w:hAnsi="Calibri"/>
          <w:sz w:val="24"/>
          <w:szCs w:val="24"/>
          <w:color w:val="auto"/>
          <w:vertAlign w:val="superscript"/>
        </w:rPr>
      </w:pPr>
      <w:r>
        <w:rPr>
          <w:rFonts w:ascii="Calibri" w:cs="Calibri" w:eastAsia="Calibri" w:hAnsi="Calibri"/>
          <w:sz w:val="18"/>
          <w:szCs w:val="18"/>
          <w:color w:val="auto"/>
        </w:rPr>
        <w:t>For the purposes of the number of shares available under the Plan: (i) outstanding stock optons awarded on or prior to May 19, 2021 count as a fracton of a share, based on the fair market value of the stock opton relatve to the closing stock price on the date of grant, and (ii) outstanding stock optons awarded afer May 19, 2021 count as one share.</w:t>
      </w:r>
    </w:p>
    <w:p>
      <w:pPr>
        <w:spacing w:after="0" w:line="17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13. CERTAIN RELATIONSHIPS AND RELATED TRANSACTIONS, AND DIRECTOR INDEPENDENCE</w:t>
      </w:r>
    </w:p>
    <w:p>
      <w:pPr>
        <w:spacing w:after="0" w:line="177" w:lineRule="exact"/>
        <w:rPr>
          <w:sz w:val="20"/>
          <w:szCs w:val="20"/>
          <w:color w:val="auto"/>
        </w:rPr>
      </w:pPr>
    </w:p>
    <w:p>
      <w:pPr>
        <w:ind w:right="100"/>
        <w:spacing w:after="0" w:line="235" w:lineRule="auto"/>
        <w:rPr>
          <w:sz w:val="20"/>
          <w:szCs w:val="20"/>
          <w:color w:val="auto"/>
        </w:rPr>
      </w:pPr>
      <w:r>
        <w:rPr>
          <w:rFonts w:ascii="Calibri" w:cs="Calibri" w:eastAsia="Calibri" w:hAnsi="Calibri"/>
          <w:sz w:val="18"/>
          <w:szCs w:val="18"/>
          <w:color w:val="auto"/>
        </w:rPr>
        <w:t>The informaton required by Item 13 is incorporated by reference from the informaton under the captons "Certain Relatonships and Related Transactons" and "Board of Directors and Corporate Governance – Director Independence" in the Proxy Statement.</w:t>
      </w:r>
    </w:p>
    <w:p>
      <w:pPr>
        <w:spacing w:after="0" w:line="18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14. PRINCIPAL ACCOUNTANT FEES AND SERVICES</w:t>
      </w:r>
    </w:p>
    <w:p>
      <w:pPr>
        <w:spacing w:after="0" w:line="177" w:lineRule="exact"/>
        <w:rPr>
          <w:sz w:val="20"/>
          <w:szCs w:val="20"/>
          <w:color w:val="auto"/>
        </w:rPr>
      </w:pPr>
    </w:p>
    <w:p>
      <w:pPr>
        <w:ind w:right="300"/>
        <w:spacing w:after="0" w:line="235" w:lineRule="auto"/>
        <w:rPr>
          <w:sz w:val="20"/>
          <w:szCs w:val="20"/>
          <w:color w:val="auto"/>
        </w:rPr>
      </w:pPr>
      <w:r>
        <w:rPr>
          <w:rFonts w:ascii="Calibri" w:cs="Calibri" w:eastAsia="Calibri" w:hAnsi="Calibri"/>
          <w:sz w:val="18"/>
          <w:szCs w:val="18"/>
          <w:color w:val="auto"/>
        </w:rPr>
        <w:t>The informaton required by Item 14 is incorporated by reference from the informaton under the capton “Principal Accountant Fees and Services” in the Proxy Statement.</w:t>
      </w:r>
    </w:p>
    <w:p>
      <w:pPr>
        <w:spacing w:after="0" w:line="172"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18" w:name="page119"/>
    <w:bookmarkEnd w:id="118"/>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PART IV</w:t>
      </w:r>
    </w:p>
    <w:p>
      <w:pPr>
        <w:spacing w:after="0" w:line="18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15. EXHIBITS AND FINANCIAL STATEMENT SCHEDULES</w:t>
      </w:r>
    </w:p>
    <w:p>
      <w:pPr>
        <w:spacing w:after="0" w:line="172" w:lineRule="exact"/>
        <w:rPr>
          <w:sz w:val="20"/>
          <w:szCs w:val="20"/>
          <w:color w:val="auto"/>
        </w:rPr>
      </w:pPr>
    </w:p>
    <w:p>
      <w:pPr>
        <w:ind w:left="240" w:hanging="232"/>
        <w:spacing w:after="0"/>
        <w:tabs>
          <w:tab w:leader="none" w:pos="240" w:val="left"/>
        </w:tabs>
        <w:numPr>
          <w:ilvl w:val="0"/>
          <w:numId w:val="49"/>
        </w:numPr>
        <w:rPr>
          <w:rFonts w:ascii="Calibri" w:cs="Calibri" w:eastAsia="Calibri" w:hAnsi="Calibri"/>
          <w:sz w:val="18"/>
          <w:szCs w:val="18"/>
          <w:color w:val="auto"/>
        </w:rPr>
      </w:pPr>
      <w:r>
        <w:rPr>
          <w:rFonts w:ascii="Calibri" w:cs="Calibri" w:eastAsia="Calibri" w:hAnsi="Calibri"/>
          <w:sz w:val="18"/>
          <w:szCs w:val="18"/>
          <w:color w:val="auto"/>
        </w:rPr>
        <w:t>The following documents are fled as part of this Annual Report on Form 10-K:</w:t>
      </w:r>
    </w:p>
    <w:p>
      <w:pPr>
        <w:spacing w:after="0" w:line="171" w:lineRule="exact"/>
        <w:rPr>
          <w:rFonts w:ascii="Calibri" w:cs="Calibri" w:eastAsia="Calibri" w:hAnsi="Calibri"/>
          <w:sz w:val="18"/>
          <w:szCs w:val="18"/>
          <w:color w:val="auto"/>
        </w:rPr>
      </w:pPr>
    </w:p>
    <w:p>
      <w:pPr>
        <w:spacing w:after="0"/>
        <w:rPr>
          <w:rFonts w:ascii="Calibri" w:cs="Calibri" w:eastAsia="Calibri" w:hAnsi="Calibri"/>
          <w:sz w:val="18"/>
          <w:szCs w:val="18"/>
          <w:color w:val="auto"/>
        </w:rPr>
      </w:pPr>
      <w:r>
        <w:rPr>
          <w:rFonts w:ascii="Calibri" w:cs="Calibri" w:eastAsia="Calibri" w:hAnsi="Calibri"/>
          <w:sz w:val="18"/>
          <w:szCs w:val="18"/>
          <w:color w:val="auto"/>
        </w:rPr>
        <w:t>(1) Financial Statements</w:t>
      </w:r>
    </w:p>
    <w:p>
      <w:pPr>
        <w:spacing w:after="0" w:line="185" w:lineRule="exact"/>
        <w:rPr>
          <w:rFonts w:ascii="Calibri" w:cs="Calibri" w:eastAsia="Calibri" w:hAnsi="Calibri"/>
          <w:sz w:val="18"/>
          <w:szCs w:val="18"/>
          <w:color w:val="auto"/>
        </w:rPr>
      </w:pPr>
    </w:p>
    <w:p>
      <w:pPr>
        <w:spacing w:after="0"/>
        <w:rPr>
          <w:rFonts w:ascii="Calibri" w:cs="Calibri" w:eastAsia="Calibri" w:hAnsi="Calibri"/>
          <w:sz w:val="18"/>
          <w:szCs w:val="18"/>
          <w:color w:val="auto"/>
        </w:rPr>
      </w:pPr>
      <w:r>
        <w:rPr>
          <w:rFonts w:ascii="Calibri" w:cs="Calibri" w:eastAsia="Calibri" w:hAnsi="Calibri"/>
          <w:sz w:val="18"/>
          <w:szCs w:val="18"/>
          <w:color w:val="auto"/>
        </w:rPr>
        <w:t>The fnancial statements fled as part of this Annual Report on Form 10-K are included in Part II, Item 8 of this Annual Report on Form 10-K.</w:t>
      </w:r>
    </w:p>
    <w:p>
      <w:pPr>
        <w:spacing w:after="0" w:line="171" w:lineRule="exact"/>
        <w:rPr>
          <w:rFonts w:ascii="Calibri" w:cs="Calibri" w:eastAsia="Calibri" w:hAnsi="Calibri"/>
          <w:sz w:val="18"/>
          <w:szCs w:val="18"/>
          <w:color w:val="auto"/>
        </w:rPr>
      </w:pPr>
    </w:p>
    <w:p>
      <w:pPr>
        <w:spacing w:after="0"/>
        <w:rPr>
          <w:rFonts w:ascii="Calibri" w:cs="Calibri" w:eastAsia="Calibri" w:hAnsi="Calibri"/>
          <w:sz w:val="18"/>
          <w:szCs w:val="18"/>
          <w:color w:val="auto"/>
        </w:rPr>
      </w:pPr>
      <w:r>
        <w:rPr>
          <w:rFonts w:ascii="Calibri" w:cs="Calibri" w:eastAsia="Calibri" w:hAnsi="Calibri"/>
          <w:sz w:val="18"/>
          <w:szCs w:val="18"/>
          <w:color w:val="auto"/>
        </w:rPr>
        <w:t>(2) Financial Statement Schedules</w:t>
      </w:r>
    </w:p>
    <w:p>
      <w:pPr>
        <w:spacing w:after="0" w:line="171" w:lineRule="exact"/>
        <w:rPr>
          <w:rFonts w:ascii="Calibri" w:cs="Calibri" w:eastAsia="Calibri" w:hAnsi="Calibri"/>
          <w:sz w:val="18"/>
          <w:szCs w:val="18"/>
          <w:color w:val="auto"/>
        </w:rPr>
      </w:pPr>
    </w:p>
    <w:p>
      <w:pPr>
        <w:spacing w:after="0"/>
        <w:rPr>
          <w:rFonts w:ascii="Calibri" w:cs="Calibri" w:eastAsia="Calibri" w:hAnsi="Calibri"/>
          <w:sz w:val="18"/>
          <w:szCs w:val="18"/>
          <w:color w:val="auto"/>
        </w:rPr>
      </w:pPr>
      <w:r>
        <w:rPr>
          <w:rFonts w:ascii="Calibri" w:cs="Calibri" w:eastAsia="Calibri" w:hAnsi="Calibri"/>
          <w:sz w:val="18"/>
          <w:szCs w:val="18"/>
          <w:color w:val="auto"/>
        </w:rPr>
        <w:t>The applicable fnancial statement schedules are included below:</w:t>
      </w:r>
    </w:p>
    <w:p>
      <w:pPr>
        <w:spacing w:after="0" w:line="185" w:lineRule="exact"/>
        <w:rPr>
          <w:rFonts w:ascii="Calibri" w:cs="Calibri" w:eastAsia="Calibri" w:hAnsi="Calibri"/>
          <w:sz w:val="18"/>
          <w:szCs w:val="18"/>
          <w:color w:val="auto"/>
        </w:rPr>
      </w:pPr>
    </w:p>
    <w:p>
      <w:pPr>
        <w:ind w:left="540" w:hanging="263"/>
        <w:spacing w:after="0"/>
        <w:tabs>
          <w:tab w:leader="none" w:pos="540" w:val="left"/>
        </w:tabs>
        <w:numPr>
          <w:ilvl w:val="1"/>
          <w:numId w:val="49"/>
        </w:numPr>
        <w:rPr>
          <w:rFonts w:ascii="Calibri" w:cs="Calibri" w:eastAsia="Calibri" w:hAnsi="Calibri"/>
          <w:sz w:val="18"/>
          <w:szCs w:val="18"/>
          <w:color w:val="auto"/>
        </w:rPr>
      </w:pPr>
      <w:r>
        <w:rPr>
          <w:rFonts w:ascii="Calibri" w:cs="Calibri" w:eastAsia="Calibri" w:hAnsi="Calibri"/>
          <w:sz w:val="18"/>
          <w:szCs w:val="18"/>
          <w:color w:val="auto"/>
        </w:rPr>
        <w:t>Valuaton and qualifying accounts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3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3"/>
          </w:tcPr>
          <w:p>
            <w:pPr>
              <w:ind w:left="380"/>
              <w:spacing w:after="0"/>
              <w:rPr>
                <w:sz w:val="20"/>
                <w:szCs w:val="20"/>
                <w:color w:val="auto"/>
              </w:rPr>
            </w:pPr>
            <w:r>
              <w:rPr>
                <w:rFonts w:ascii="Calibri" w:cs="Calibri" w:eastAsia="Calibri" w:hAnsi="Calibri"/>
                <w:sz w:val="18"/>
                <w:szCs w:val="18"/>
                <w:b w:val="1"/>
                <w:bCs w:val="1"/>
                <w:color w:val="auto"/>
                <w:w w:val="95"/>
              </w:rPr>
              <w:t>Schedule II</w:t>
            </w:r>
          </w:p>
        </w:tc>
      </w:tr>
      <w:tr>
        <w:trPr>
          <w:trHeight w:val="392"/>
        </w:trPr>
        <w:tc>
          <w:tcPr>
            <w:tcW w:w="3380" w:type="dxa"/>
            <w:vAlign w:val="bottom"/>
          </w:tcPr>
          <w:p>
            <w:pPr>
              <w:spacing w:after="0"/>
              <w:rPr>
                <w:sz w:val="24"/>
                <w:szCs w:val="24"/>
                <w:color w:val="auto"/>
              </w:rPr>
            </w:pPr>
          </w:p>
        </w:tc>
        <w:tc>
          <w:tcPr>
            <w:tcW w:w="3520" w:type="dxa"/>
            <w:vAlign w:val="bottom"/>
            <w:gridSpan w:val="3"/>
          </w:tcPr>
          <w:p>
            <w:pPr>
              <w:jc w:val="right"/>
              <w:ind w:right="250"/>
              <w:spacing w:after="0"/>
              <w:rPr>
                <w:sz w:val="20"/>
                <w:szCs w:val="20"/>
                <w:color w:val="auto"/>
              </w:rPr>
            </w:pPr>
            <w:r>
              <w:rPr>
                <w:rFonts w:ascii="Calibri" w:cs="Calibri" w:eastAsia="Calibri" w:hAnsi="Calibri"/>
                <w:sz w:val="18"/>
                <w:szCs w:val="18"/>
                <w:b w:val="1"/>
                <w:bCs w:val="1"/>
                <w:color w:val="auto"/>
              </w:rPr>
              <w:t>Eastman Kodak Company</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3380" w:type="dxa"/>
            <w:vAlign w:val="bottom"/>
          </w:tcPr>
          <w:p>
            <w:pPr>
              <w:spacing w:after="0"/>
              <w:rPr>
                <w:sz w:val="18"/>
                <w:szCs w:val="18"/>
                <w:color w:val="auto"/>
              </w:rPr>
            </w:pPr>
          </w:p>
        </w:tc>
        <w:tc>
          <w:tcPr>
            <w:tcW w:w="3520" w:type="dxa"/>
            <w:vAlign w:val="bottom"/>
            <w:gridSpan w:val="3"/>
          </w:tcPr>
          <w:p>
            <w:pPr>
              <w:jc w:val="right"/>
              <w:spacing w:after="0" w:line="216" w:lineRule="exact"/>
              <w:rPr>
                <w:sz w:val="20"/>
                <w:szCs w:val="20"/>
                <w:color w:val="auto"/>
              </w:rPr>
            </w:pPr>
            <w:r>
              <w:rPr>
                <w:rFonts w:ascii="Calibri" w:cs="Calibri" w:eastAsia="Calibri" w:hAnsi="Calibri"/>
                <w:sz w:val="18"/>
                <w:szCs w:val="18"/>
                <w:b w:val="1"/>
                <w:bCs w:val="1"/>
                <w:color w:val="auto"/>
              </w:rPr>
              <w:t>Valuaton and Qualifying Accounts</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432"/>
        </w:trPr>
        <w:tc>
          <w:tcPr>
            <w:tcW w:w="33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Calibri" w:cs="Calibri" w:eastAsia="Calibri" w:hAnsi="Calibri"/>
                <w:sz w:val="18"/>
                <w:szCs w:val="18"/>
                <w:b w:val="1"/>
                <w:bCs w:val="1"/>
                <w:color w:val="auto"/>
                <w:w w:val="95"/>
              </w:rPr>
              <w:t>Net</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33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30"/>
              <w:spacing w:after="0" w:line="216" w:lineRule="exact"/>
              <w:rPr>
                <w:sz w:val="20"/>
                <w:szCs w:val="20"/>
                <w:color w:val="auto"/>
              </w:rPr>
            </w:pPr>
            <w:r>
              <w:rPr>
                <w:rFonts w:ascii="Calibri" w:cs="Calibri" w:eastAsia="Calibri" w:hAnsi="Calibri"/>
                <w:sz w:val="18"/>
                <w:szCs w:val="18"/>
                <w:b w:val="1"/>
                <w:bCs w:val="1"/>
                <w:color w:val="auto"/>
                <w:w w:val="99"/>
              </w:rPr>
              <w:t>Beginning</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rPr>
              <w:t>Deductons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3"/>
          </w:tcPr>
          <w:p>
            <w:pPr>
              <w:jc w:val="center"/>
              <w:ind w:right="400"/>
              <w:spacing w:after="0" w:line="216" w:lineRule="exact"/>
              <w:rPr>
                <w:sz w:val="20"/>
                <w:szCs w:val="20"/>
                <w:color w:val="auto"/>
              </w:rPr>
            </w:pPr>
            <w:r>
              <w:rPr>
                <w:rFonts w:ascii="Calibri" w:cs="Calibri" w:eastAsia="Calibri" w:hAnsi="Calibri"/>
                <w:sz w:val="18"/>
                <w:szCs w:val="18"/>
                <w:b w:val="1"/>
                <w:bCs w:val="1"/>
                <w:color w:val="auto"/>
                <w:w w:val="98"/>
              </w:rPr>
              <w:t>Ending</w:t>
            </w:r>
          </w:p>
        </w:tc>
      </w:tr>
      <w:tr>
        <w:trPr>
          <w:trHeight w:val="236"/>
        </w:trPr>
        <w:tc>
          <w:tcPr>
            <w:tcW w:w="3380" w:type="dxa"/>
            <w:vAlign w:val="bottom"/>
          </w:tcPr>
          <w:p>
            <w:pPr>
              <w:ind w:left="20"/>
              <w:spacing w:after="0"/>
              <w:rPr>
                <w:sz w:val="20"/>
                <w:szCs w:val="20"/>
                <w:color w:val="auto"/>
              </w:rPr>
            </w:pPr>
            <w:r>
              <w:rPr>
                <w:rFonts w:ascii="Calibri" w:cs="Calibri" w:eastAsia="Calibri" w:hAnsi="Calibri"/>
                <w:sz w:val="14"/>
                <w:szCs w:val="14"/>
                <w:color w:val="auto"/>
              </w:rPr>
              <w:t>(in millions)</w:t>
            </w:r>
          </w:p>
        </w:tc>
        <w:tc>
          <w:tcPr>
            <w:tcW w:w="2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90"/>
              <w:spacing w:after="0" w:line="216" w:lineRule="exact"/>
              <w:rPr>
                <w:sz w:val="20"/>
                <w:szCs w:val="20"/>
                <w:color w:val="auto"/>
              </w:rPr>
            </w:pPr>
            <w:r>
              <w:rPr>
                <w:rFonts w:ascii="Calibri" w:cs="Calibri" w:eastAsia="Calibri" w:hAnsi="Calibri"/>
                <w:sz w:val="18"/>
                <w:szCs w:val="18"/>
                <w:b w:val="1"/>
                <w:bCs w:val="1"/>
                <w:color w:val="auto"/>
              </w:rPr>
              <w:t>Balance</w:t>
            </w:r>
          </w:p>
        </w:tc>
        <w:tc>
          <w:tcPr>
            <w:tcW w:w="200" w:type="dxa"/>
            <w:vAlign w:val="bottom"/>
          </w:tcPr>
          <w:p>
            <w:pPr>
              <w:spacing w:after="0"/>
              <w:rPr>
                <w:sz w:val="20"/>
                <w:szCs w:val="20"/>
                <w:color w:val="auto"/>
              </w:rPr>
            </w:pPr>
          </w:p>
        </w:tc>
        <w:tc>
          <w:tcPr>
            <w:tcW w:w="1160" w:type="dxa"/>
            <w:vAlign w:val="bottom"/>
          </w:tcPr>
          <w:p>
            <w:pPr>
              <w:jc w:val="right"/>
              <w:ind w:right="130"/>
              <w:spacing w:after="0" w:line="216" w:lineRule="exact"/>
              <w:rPr>
                <w:sz w:val="20"/>
                <w:szCs w:val="20"/>
                <w:color w:val="auto"/>
              </w:rPr>
            </w:pPr>
            <w:r>
              <w:rPr>
                <w:rFonts w:ascii="Calibri" w:cs="Calibri" w:eastAsia="Calibri" w:hAnsi="Calibri"/>
                <w:sz w:val="18"/>
                <w:szCs w:val="18"/>
                <w:b w:val="1"/>
                <w:bCs w:val="1"/>
                <w:color w:val="auto"/>
              </w:rPr>
              <w:t>Additons</w:t>
            </w:r>
          </w:p>
        </w:tc>
        <w:tc>
          <w:tcPr>
            <w:tcW w:w="220" w:type="dxa"/>
            <w:vAlign w:val="bottom"/>
          </w:tcPr>
          <w:p>
            <w:pPr>
              <w:spacing w:after="0"/>
              <w:rPr>
                <w:sz w:val="20"/>
                <w:szCs w:val="20"/>
                <w:color w:val="auto"/>
              </w:rPr>
            </w:pPr>
          </w:p>
        </w:tc>
        <w:tc>
          <w:tcPr>
            <w:tcW w:w="116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7"/>
              </w:rPr>
              <w:t>and Other</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3"/>
          </w:tcPr>
          <w:p>
            <w:pPr>
              <w:jc w:val="center"/>
              <w:ind w:right="400"/>
              <w:spacing w:after="0" w:line="216" w:lineRule="exact"/>
              <w:rPr>
                <w:sz w:val="20"/>
                <w:szCs w:val="20"/>
                <w:color w:val="auto"/>
              </w:rPr>
            </w:pPr>
            <w:r>
              <w:rPr>
                <w:rFonts w:ascii="Calibri" w:cs="Calibri" w:eastAsia="Calibri" w:hAnsi="Calibri"/>
                <w:sz w:val="18"/>
                <w:szCs w:val="18"/>
                <w:b w:val="1"/>
                <w:bCs w:val="1"/>
                <w:color w:val="auto"/>
                <w:w w:val="98"/>
              </w:rPr>
              <w:t>Balance</w:t>
            </w:r>
          </w:p>
        </w:tc>
      </w:tr>
      <w:tr>
        <w:trPr>
          <w:trHeight w:val="213"/>
        </w:trPr>
        <w:tc>
          <w:tcPr>
            <w:tcW w:w="3380" w:type="dxa"/>
            <w:vAlign w:val="bottom"/>
            <w:shd w:val="clear" w:color="auto" w:fill="CFF0FC"/>
          </w:tcPr>
          <w:p>
            <w:pPr>
              <w:ind w:left="20"/>
              <w:spacing w:after="0" w:line="213" w:lineRule="exact"/>
              <w:rPr>
                <w:sz w:val="20"/>
                <w:szCs w:val="20"/>
                <w:color w:val="auto"/>
              </w:rPr>
            </w:pPr>
            <w:r>
              <w:rPr>
                <w:rFonts w:ascii="Calibri" w:cs="Calibri" w:eastAsia="Calibri" w:hAnsi="Calibri"/>
                <w:sz w:val="18"/>
                <w:szCs w:val="18"/>
                <w:b w:val="1"/>
                <w:bCs w:val="1"/>
                <w:color w:val="auto"/>
              </w:rPr>
              <w:t>Year ended December 31, 2024</w:t>
            </w:r>
          </w:p>
        </w:tc>
        <w:tc>
          <w:tcPr>
            <w:tcW w:w="238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Pr>
          <w:p>
            <w:pPr>
              <w:spacing w:after="0"/>
              <w:rPr>
                <w:sz w:val="18"/>
                <w:szCs w:val="18"/>
                <w:color w:val="auto"/>
              </w:rPr>
            </w:pPr>
          </w:p>
        </w:tc>
      </w:tr>
      <w:tr>
        <w:trPr>
          <w:trHeight w:val="215"/>
        </w:trPr>
        <w:tc>
          <w:tcPr>
            <w:tcW w:w="3380" w:type="dxa"/>
            <w:vAlign w:val="bottom"/>
          </w:tcPr>
          <w:p>
            <w:pPr>
              <w:ind w:left="20"/>
              <w:spacing w:after="0" w:line="215" w:lineRule="exact"/>
              <w:rPr>
                <w:sz w:val="20"/>
                <w:szCs w:val="20"/>
                <w:color w:val="auto"/>
              </w:rPr>
            </w:pPr>
            <w:r>
              <w:rPr>
                <w:rFonts w:ascii="Calibri" w:cs="Calibri" w:eastAsia="Calibri" w:hAnsi="Calibri"/>
                <w:sz w:val="18"/>
                <w:szCs w:val="18"/>
                <w:color w:val="auto"/>
              </w:rPr>
              <w:t>Reserve for doubtul accounts</w:t>
            </w:r>
          </w:p>
        </w:tc>
        <w:tc>
          <w:tcPr>
            <w:tcW w:w="2540" w:type="dxa"/>
            <w:vAlign w:val="bottom"/>
            <w:gridSpan w:val="2"/>
          </w:tcPr>
          <w:p>
            <w:pPr>
              <w:jc w:val="right"/>
              <w:ind w:right="60"/>
              <w:spacing w:after="0" w:line="215" w:lineRule="exact"/>
              <w:rPr>
                <w:sz w:val="20"/>
                <w:szCs w:val="20"/>
                <w:color w:val="auto"/>
              </w:rPr>
            </w:pPr>
            <w:r>
              <w:rPr>
                <w:rFonts w:ascii="Calibri" w:cs="Calibri" w:eastAsia="Calibri" w:hAnsi="Calibri"/>
                <w:sz w:val="18"/>
                <w:szCs w:val="18"/>
                <w:color w:val="auto"/>
              </w:rPr>
              <w:t>$</w:t>
            </w: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8</w:t>
            </w:r>
          </w:p>
        </w:tc>
        <w:tc>
          <w:tcPr>
            <w:tcW w:w="136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2</w:t>
            </w:r>
          </w:p>
        </w:tc>
        <w:tc>
          <w:tcPr>
            <w:tcW w:w="138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3</w:t>
            </w:r>
          </w:p>
        </w:tc>
        <w:tc>
          <w:tcPr>
            <w:tcW w:w="420" w:type="dxa"/>
            <w:vAlign w:val="bottom"/>
            <w:gridSpan w:val="2"/>
          </w:tcPr>
          <w:p>
            <w:pPr>
              <w:jc w:val="right"/>
              <w:ind w:right="80"/>
              <w:spacing w:after="0" w:line="215" w:lineRule="exact"/>
              <w:rPr>
                <w:sz w:val="20"/>
                <w:szCs w:val="20"/>
                <w:color w:val="auto"/>
              </w:rPr>
            </w:pPr>
            <w:r>
              <w:rPr>
                <w:rFonts w:ascii="Calibri" w:cs="Calibri" w:eastAsia="Calibri" w:hAnsi="Calibri"/>
                <w:sz w:val="18"/>
                <w:szCs w:val="18"/>
                <w:color w:val="auto"/>
              </w:rPr>
              <w:t>$</w:t>
            </w:r>
          </w:p>
        </w:tc>
        <w:tc>
          <w:tcPr>
            <w:tcW w:w="960" w:type="dxa"/>
            <w:vAlign w:val="bottom"/>
          </w:tcPr>
          <w:p>
            <w:pPr>
              <w:jc w:val="right"/>
              <w:spacing w:after="0" w:line="215" w:lineRule="exact"/>
              <w:rPr>
                <w:sz w:val="20"/>
                <w:szCs w:val="20"/>
                <w:color w:val="auto"/>
              </w:rPr>
            </w:pPr>
            <w:r>
              <w:rPr>
                <w:rFonts w:ascii="Calibri" w:cs="Calibri" w:eastAsia="Calibri" w:hAnsi="Calibri"/>
                <w:sz w:val="18"/>
                <w:szCs w:val="18"/>
                <w:color w:val="auto"/>
              </w:rPr>
              <w:t>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7"/>
        </w:trPr>
        <w:tc>
          <w:tcPr>
            <w:tcW w:w="338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Deferred tax valuaton allowance</w:t>
            </w:r>
          </w:p>
        </w:tc>
        <w:tc>
          <w:tcPr>
            <w:tcW w:w="2540" w:type="dxa"/>
            <w:vAlign w:val="bottom"/>
            <w:gridSpan w:val="2"/>
            <w:shd w:val="clear" w:color="auto" w:fill="CFF0FC"/>
          </w:tcPr>
          <w:p>
            <w:pPr>
              <w:jc w:val="right"/>
              <w:ind w:right="60"/>
              <w:spacing w:after="0" w:line="216" w:lineRule="exact"/>
              <w:rPr>
                <w:sz w:val="20"/>
                <w:szCs w:val="20"/>
                <w:color w:val="auto"/>
              </w:rPr>
            </w:pPr>
            <w:r>
              <w:rPr>
                <w:rFonts w:ascii="Calibri" w:cs="Calibri" w:eastAsia="Calibri" w:hAnsi="Calibri"/>
                <w:sz w:val="18"/>
                <w:szCs w:val="18"/>
                <w:color w:val="auto"/>
              </w:rPr>
              <w:t>$</w:t>
            </w:r>
          </w:p>
        </w:tc>
        <w:tc>
          <w:tcPr>
            <w:tcW w:w="9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778</w:t>
            </w:r>
          </w:p>
        </w:tc>
        <w:tc>
          <w:tcPr>
            <w:tcW w:w="1360" w:type="dxa"/>
            <w:vAlign w:val="bottom"/>
            <w:gridSpan w:val="2"/>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103</w:t>
            </w:r>
          </w:p>
        </w:tc>
        <w:tc>
          <w:tcPr>
            <w:tcW w:w="1380" w:type="dxa"/>
            <w:vAlign w:val="bottom"/>
            <w:gridSpan w:val="2"/>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210</w:t>
            </w:r>
          </w:p>
        </w:tc>
        <w:tc>
          <w:tcPr>
            <w:tcW w:w="420" w:type="dxa"/>
            <w:vAlign w:val="bottom"/>
            <w:gridSpan w:val="2"/>
            <w:shd w:val="clear" w:color="auto" w:fill="CFF0FC"/>
          </w:tcPr>
          <w:p>
            <w:pPr>
              <w:jc w:val="right"/>
              <w:ind w:right="80"/>
              <w:spacing w:after="0" w:line="216" w:lineRule="exact"/>
              <w:rPr>
                <w:sz w:val="20"/>
                <w:szCs w:val="20"/>
                <w:color w:val="auto"/>
              </w:rPr>
            </w:pPr>
            <w:r>
              <w:rPr>
                <w:rFonts w:ascii="Calibri" w:cs="Calibri" w:eastAsia="Calibri" w:hAnsi="Calibri"/>
                <w:sz w:val="18"/>
                <w:szCs w:val="18"/>
                <w:color w:val="auto"/>
              </w:rPr>
              <w:t>$</w:t>
            </w:r>
          </w:p>
        </w:tc>
        <w:tc>
          <w:tcPr>
            <w:tcW w:w="9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671</w:t>
            </w:r>
          </w:p>
        </w:tc>
        <w:tc>
          <w:tcPr>
            <w:tcW w:w="100" w:type="dxa"/>
            <w:vAlign w:val="bottom"/>
            <w:shd w:val="clear" w:color="auto" w:fill="CFF0FC"/>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380" w:type="dxa"/>
            <w:vAlign w:val="bottom"/>
            <w:shd w:val="clear" w:color="auto" w:fill="CFF0FC"/>
          </w:tcPr>
          <w:p>
            <w:pPr>
              <w:ind w:left="20"/>
              <w:spacing w:after="0" w:line="215" w:lineRule="exact"/>
              <w:rPr>
                <w:sz w:val="20"/>
                <w:szCs w:val="20"/>
                <w:color w:val="auto"/>
              </w:rPr>
            </w:pPr>
            <w:r>
              <w:rPr>
                <w:rFonts w:ascii="Calibri" w:cs="Calibri" w:eastAsia="Calibri" w:hAnsi="Calibri"/>
                <w:sz w:val="18"/>
                <w:szCs w:val="18"/>
                <w:b w:val="1"/>
                <w:bCs w:val="1"/>
                <w:color w:val="auto"/>
              </w:rPr>
              <w:t>Year ended December 31, 2023</w:t>
            </w:r>
          </w:p>
        </w:tc>
        <w:tc>
          <w:tcPr>
            <w:tcW w:w="2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Pr>
          <w:p>
            <w:pPr>
              <w:spacing w:after="0"/>
              <w:rPr>
                <w:sz w:val="18"/>
                <w:szCs w:val="18"/>
                <w:color w:val="auto"/>
              </w:rPr>
            </w:pPr>
          </w:p>
        </w:tc>
      </w:tr>
      <w:tr>
        <w:trPr>
          <w:trHeight w:val="215"/>
        </w:trPr>
        <w:tc>
          <w:tcPr>
            <w:tcW w:w="3380" w:type="dxa"/>
            <w:vAlign w:val="bottom"/>
          </w:tcPr>
          <w:p>
            <w:pPr>
              <w:ind w:left="20"/>
              <w:spacing w:after="0" w:line="215" w:lineRule="exact"/>
              <w:rPr>
                <w:sz w:val="20"/>
                <w:szCs w:val="20"/>
                <w:color w:val="auto"/>
              </w:rPr>
            </w:pPr>
            <w:r>
              <w:rPr>
                <w:rFonts w:ascii="Calibri" w:cs="Calibri" w:eastAsia="Calibri" w:hAnsi="Calibri"/>
                <w:sz w:val="18"/>
                <w:szCs w:val="18"/>
                <w:color w:val="auto"/>
              </w:rPr>
              <w:t>Reserve for doubtul accounts</w:t>
            </w:r>
          </w:p>
        </w:tc>
        <w:tc>
          <w:tcPr>
            <w:tcW w:w="2540" w:type="dxa"/>
            <w:vAlign w:val="bottom"/>
            <w:gridSpan w:val="2"/>
          </w:tcPr>
          <w:p>
            <w:pPr>
              <w:jc w:val="right"/>
              <w:ind w:right="60"/>
              <w:spacing w:after="0" w:line="215" w:lineRule="exact"/>
              <w:rPr>
                <w:sz w:val="20"/>
                <w:szCs w:val="20"/>
                <w:color w:val="auto"/>
              </w:rPr>
            </w:pPr>
            <w:r>
              <w:rPr>
                <w:rFonts w:ascii="Calibri" w:cs="Calibri" w:eastAsia="Calibri" w:hAnsi="Calibri"/>
                <w:sz w:val="18"/>
                <w:szCs w:val="18"/>
                <w:color w:val="auto"/>
              </w:rPr>
              <w:t>$</w:t>
            </w: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7</w:t>
            </w:r>
          </w:p>
        </w:tc>
        <w:tc>
          <w:tcPr>
            <w:tcW w:w="136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3</w:t>
            </w:r>
          </w:p>
        </w:tc>
        <w:tc>
          <w:tcPr>
            <w:tcW w:w="138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2</w:t>
            </w:r>
          </w:p>
        </w:tc>
        <w:tc>
          <w:tcPr>
            <w:tcW w:w="420" w:type="dxa"/>
            <w:vAlign w:val="bottom"/>
            <w:gridSpan w:val="2"/>
          </w:tcPr>
          <w:p>
            <w:pPr>
              <w:jc w:val="right"/>
              <w:ind w:right="80"/>
              <w:spacing w:after="0" w:line="215" w:lineRule="exact"/>
              <w:rPr>
                <w:sz w:val="20"/>
                <w:szCs w:val="20"/>
                <w:color w:val="auto"/>
              </w:rPr>
            </w:pPr>
            <w:r>
              <w:rPr>
                <w:rFonts w:ascii="Calibri" w:cs="Calibri" w:eastAsia="Calibri" w:hAnsi="Calibri"/>
                <w:sz w:val="18"/>
                <w:szCs w:val="18"/>
                <w:color w:val="auto"/>
              </w:rPr>
              <w:t>$</w:t>
            </w:r>
          </w:p>
        </w:tc>
        <w:tc>
          <w:tcPr>
            <w:tcW w:w="960" w:type="dxa"/>
            <w:vAlign w:val="bottom"/>
          </w:tcPr>
          <w:p>
            <w:pPr>
              <w:jc w:val="right"/>
              <w:spacing w:after="0" w:line="215" w:lineRule="exact"/>
              <w:rPr>
                <w:sz w:val="20"/>
                <w:szCs w:val="20"/>
                <w:color w:val="auto"/>
              </w:rPr>
            </w:pPr>
            <w:r>
              <w:rPr>
                <w:rFonts w:ascii="Calibri" w:cs="Calibri" w:eastAsia="Calibri" w:hAnsi="Calibri"/>
                <w:sz w:val="18"/>
                <w:szCs w:val="18"/>
                <w:color w:val="auto"/>
              </w:rPr>
              <w:t>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7"/>
        </w:trPr>
        <w:tc>
          <w:tcPr>
            <w:tcW w:w="338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Deferred tax valuaton allowance</w:t>
            </w:r>
          </w:p>
        </w:tc>
        <w:tc>
          <w:tcPr>
            <w:tcW w:w="2540" w:type="dxa"/>
            <w:vAlign w:val="bottom"/>
            <w:gridSpan w:val="2"/>
            <w:shd w:val="clear" w:color="auto" w:fill="CFF0FC"/>
          </w:tcPr>
          <w:p>
            <w:pPr>
              <w:jc w:val="right"/>
              <w:ind w:right="60"/>
              <w:spacing w:after="0" w:line="216" w:lineRule="exact"/>
              <w:rPr>
                <w:sz w:val="20"/>
                <w:szCs w:val="20"/>
                <w:color w:val="auto"/>
              </w:rPr>
            </w:pPr>
            <w:r>
              <w:rPr>
                <w:rFonts w:ascii="Calibri" w:cs="Calibri" w:eastAsia="Calibri" w:hAnsi="Calibri"/>
                <w:sz w:val="18"/>
                <w:szCs w:val="18"/>
                <w:color w:val="auto"/>
              </w:rPr>
              <w:t>$</w:t>
            </w:r>
          </w:p>
        </w:tc>
        <w:tc>
          <w:tcPr>
            <w:tcW w:w="9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826</w:t>
            </w:r>
          </w:p>
        </w:tc>
        <w:tc>
          <w:tcPr>
            <w:tcW w:w="1360" w:type="dxa"/>
            <w:vAlign w:val="bottom"/>
            <w:gridSpan w:val="2"/>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62</w:t>
            </w:r>
          </w:p>
        </w:tc>
        <w:tc>
          <w:tcPr>
            <w:tcW w:w="1380" w:type="dxa"/>
            <w:vAlign w:val="bottom"/>
            <w:gridSpan w:val="2"/>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110</w:t>
            </w:r>
          </w:p>
        </w:tc>
        <w:tc>
          <w:tcPr>
            <w:tcW w:w="420" w:type="dxa"/>
            <w:vAlign w:val="bottom"/>
            <w:gridSpan w:val="2"/>
            <w:shd w:val="clear" w:color="auto" w:fill="CFF0FC"/>
          </w:tcPr>
          <w:p>
            <w:pPr>
              <w:jc w:val="right"/>
              <w:ind w:right="80"/>
              <w:spacing w:after="0" w:line="216" w:lineRule="exact"/>
              <w:rPr>
                <w:sz w:val="20"/>
                <w:szCs w:val="20"/>
                <w:color w:val="auto"/>
              </w:rPr>
            </w:pPr>
            <w:r>
              <w:rPr>
                <w:rFonts w:ascii="Calibri" w:cs="Calibri" w:eastAsia="Calibri" w:hAnsi="Calibri"/>
                <w:sz w:val="18"/>
                <w:szCs w:val="18"/>
                <w:color w:val="auto"/>
              </w:rPr>
              <w:t>$</w:t>
            </w:r>
          </w:p>
        </w:tc>
        <w:tc>
          <w:tcPr>
            <w:tcW w:w="9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778</w:t>
            </w:r>
          </w:p>
        </w:tc>
        <w:tc>
          <w:tcPr>
            <w:tcW w:w="100" w:type="dxa"/>
            <w:vAlign w:val="bottom"/>
            <w:shd w:val="clear" w:color="auto" w:fill="CFF0FC"/>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380" w:type="dxa"/>
            <w:vAlign w:val="bottom"/>
            <w:shd w:val="clear" w:color="auto" w:fill="CFF0FC"/>
          </w:tcPr>
          <w:p>
            <w:pPr>
              <w:ind w:left="20"/>
              <w:spacing w:after="0" w:line="215" w:lineRule="exact"/>
              <w:rPr>
                <w:sz w:val="20"/>
                <w:szCs w:val="20"/>
                <w:color w:val="auto"/>
              </w:rPr>
            </w:pPr>
            <w:r>
              <w:rPr>
                <w:rFonts w:ascii="Calibri" w:cs="Calibri" w:eastAsia="Calibri" w:hAnsi="Calibri"/>
                <w:sz w:val="18"/>
                <w:szCs w:val="18"/>
                <w:b w:val="1"/>
                <w:bCs w:val="1"/>
                <w:color w:val="auto"/>
              </w:rPr>
              <w:t>Year ended December 31, 2022</w:t>
            </w:r>
          </w:p>
        </w:tc>
        <w:tc>
          <w:tcPr>
            <w:tcW w:w="2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Pr>
          <w:p>
            <w:pPr>
              <w:spacing w:after="0"/>
              <w:rPr>
                <w:sz w:val="18"/>
                <w:szCs w:val="18"/>
                <w:color w:val="auto"/>
              </w:rPr>
            </w:pPr>
          </w:p>
        </w:tc>
      </w:tr>
      <w:tr>
        <w:trPr>
          <w:trHeight w:val="215"/>
        </w:trPr>
        <w:tc>
          <w:tcPr>
            <w:tcW w:w="3380" w:type="dxa"/>
            <w:vAlign w:val="bottom"/>
          </w:tcPr>
          <w:p>
            <w:pPr>
              <w:ind w:left="20"/>
              <w:spacing w:after="0" w:line="215" w:lineRule="exact"/>
              <w:rPr>
                <w:sz w:val="20"/>
                <w:szCs w:val="20"/>
                <w:color w:val="auto"/>
              </w:rPr>
            </w:pPr>
            <w:r>
              <w:rPr>
                <w:rFonts w:ascii="Calibri" w:cs="Calibri" w:eastAsia="Calibri" w:hAnsi="Calibri"/>
                <w:sz w:val="18"/>
                <w:szCs w:val="18"/>
                <w:color w:val="auto"/>
              </w:rPr>
              <w:t>Reserve for doubtul accounts</w:t>
            </w:r>
          </w:p>
        </w:tc>
        <w:tc>
          <w:tcPr>
            <w:tcW w:w="2540" w:type="dxa"/>
            <w:vAlign w:val="bottom"/>
            <w:gridSpan w:val="2"/>
          </w:tcPr>
          <w:p>
            <w:pPr>
              <w:jc w:val="right"/>
              <w:ind w:right="60"/>
              <w:spacing w:after="0" w:line="215" w:lineRule="exact"/>
              <w:rPr>
                <w:sz w:val="20"/>
                <w:szCs w:val="20"/>
                <w:color w:val="auto"/>
              </w:rPr>
            </w:pPr>
            <w:r>
              <w:rPr>
                <w:rFonts w:ascii="Calibri" w:cs="Calibri" w:eastAsia="Calibri" w:hAnsi="Calibri"/>
                <w:sz w:val="18"/>
                <w:szCs w:val="18"/>
                <w:color w:val="auto"/>
              </w:rPr>
              <w:t>$</w:t>
            </w: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7</w:t>
            </w:r>
          </w:p>
        </w:tc>
        <w:tc>
          <w:tcPr>
            <w:tcW w:w="136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2</w:t>
            </w:r>
          </w:p>
        </w:tc>
        <w:tc>
          <w:tcPr>
            <w:tcW w:w="138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2</w:t>
            </w:r>
          </w:p>
        </w:tc>
        <w:tc>
          <w:tcPr>
            <w:tcW w:w="420" w:type="dxa"/>
            <w:vAlign w:val="bottom"/>
            <w:gridSpan w:val="2"/>
          </w:tcPr>
          <w:p>
            <w:pPr>
              <w:jc w:val="right"/>
              <w:ind w:right="80"/>
              <w:spacing w:after="0" w:line="215" w:lineRule="exact"/>
              <w:rPr>
                <w:sz w:val="20"/>
                <w:szCs w:val="20"/>
                <w:color w:val="auto"/>
              </w:rPr>
            </w:pPr>
            <w:r>
              <w:rPr>
                <w:rFonts w:ascii="Calibri" w:cs="Calibri" w:eastAsia="Calibri" w:hAnsi="Calibri"/>
                <w:sz w:val="18"/>
                <w:szCs w:val="18"/>
                <w:color w:val="auto"/>
              </w:rPr>
              <w:t>$</w:t>
            </w:r>
          </w:p>
        </w:tc>
        <w:tc>
          <w:tcPr>
            <w:tcW w:w="960" w:type="dxa"/>
            <w:vAlign w:val="bottom"/>
          </w:tcPr>
          <w:p>
            <w:pPr>
              <w:jc w:val="right"/>
              <w:spacing w:after="0" w:line="215" w:lineRule="exact"/>
              <w:rPr>
                <w:sz w:val="20"/>
                <w:szCs w:val="20"/>
                <w:color w:val="auto"/>
              </w:rPr>
            </w:pPr>
            <w:r>
              <w:rPr>
                <w:rFonts w:ascii="Calibri" w:cs="Calibri" w:eastAsia="Calibri" w:hAnsi="Calibri"/>
                <w:sz w:val="18"/>
                <w:szCs w:val="18"/>
                <w:color w:val="auto"/>
              </w:rPr>
              <w:t>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7"/>
        </w:trPr>
        <w:tc>
          <w:tcPr>
            <w:tcW w:w="338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Deferred tax valuaton allowance</w:t>
            </w:r>
          </w:p>
        </w:tc>
        <w:tc>
          <w:tcPr>
            <w:tcW w:w="2540" w:type="dxa"/>
            <w:vAlign w:val="bottom"/>
            <w:gridSpan w:val="2"/>
            <w:shd w:val="clear" w:color="auto" w:fill="CFF0FC"/>
          </w:tcPr>
          <w:p>
            <w:pPr>
              <w:jc w:val="right"/>
              <w:ind w:right="60"/>
              <w:spacing w:after="0" w:line="216" w:lineRule="exact"/>
              <w:rPr>
                <w:sz w:val="20"/>
                <w:szCs w:val="20"/>
                <w:color w:val="auto"/>
              </w:rPr>
            </w:pPr>
            <w:r>
              <w:rPr>
                <w:rFonts w:ascii="Calibri" w:cs="Calibri" w:eastAsia="Calibri" w:hAnsi="Calibri"/>
                <w:sz w:val="18"/>
                <w:szCs w:val="18"/>
                <w:color w:val="auto"/>
              </w:rPr>
              <w:t>$</w:t>
            </w:r>
          </w:p>
        </w:tc>
        <w:tc>
          <w:tcPr>
            <w:tcW w:w="9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934</w:t>
            </w:r>
          </w:p>
        </w:tc>
        <w:tc>
          <w:tcPr>
            <w:tcW w:w="1360" w:type="dxa"/>
            <w:vAlign w:val="bottom"/>
            <w:gridSpan w:val="2"/>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18</w:t>
            </w:r>
          </w:p>
        </w:tc>
        <w:tc>
          <w:tcPr>
            <w:tcW w:w="1380" w:type="dxa"/>
            <w:vAlign w:val="bottom"/>
            <w:gridSpan w:val="2"/>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126</w:t>
            </w:r>
          </w:p>
        </w:tc>
        <w:tc>
          <w:tcPr>
            <w:tcW w:w="420" w:type="dxa"/>
            <w:vAlign w:val="bottom"/>
            <w:gridSpan w:val="2"/>
            <w:shd w:val="clear" w:color="auto" w:fill="CFF0FC"/>
          </w:tcPr>
          <w:p>
            <w:pPr>
              <w:jc w:val="right"/>
              <w:ind w:right="80"/>
              <w:spacing w:after="0" w:line="216" w:lineRule="exact"/>
              <w:rPr>
                <w:sz w:val="20"/>
                <w:szCs w:val="20"/>
                <w:color w:val="auto"/>
              </w:rPr>
            </w:pPr>
            <w:r>
              <w:rPr>
                <w:rFonts w:ascii="Calibri" w:cs="Calibri" w:eastAsia="Calibri" w:hAnsi="Calibri"/>
                <w:sz w:val="18"/>
                <w:szCs w:val="18"/>
                <w:color w:val="auto"/>
              </w:rPr>
              <w:t>$</w:t>
            </w:r>
          </w:p>
        </w:tc>
        <w:tc>
          <w:tcPr>
            <w:tcW w:w="9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826</w:t>
            </w:r>
          </w:p>
        </w:tc>
        <w:tc>
          <w:tcPr>
            <w:tcW w:w="100" w:type="dxa"/>
            <w:vAlign w:val="bottom"/>
            <w:shd w:val="clear" w:color="auto" w:fill="CFF0FC"/>
          </w:tcPr>
          <w:p>
            <w:pPr>
              <w:spacing w:after="0"/>
              <w:rPr>
                <w:sz w:val="18"/>
                <w:szCs w:val="18"/>
                <w:color w:val="auto"/>
              </w:rPr>
            </w:pPr>
          </w:p>
        </w:tc>
        <w:tc>
          <w:tcPr>
            <w:tcW w:w="120" w:type="dxa"/>
            <w:vAlign w:val="bottom"/>
          </w:tcPr>
          <w:p>
            <w:pPr>
              <w:spacing w:after="0"/>
              <w:rPr>
                <w:sz w:val="18"/>
                <w:szCs w:val="18"/>
                <w:color w:val="auto"/>
              </w:rPr>
            </w:pPr>
          </w:p>
        </w:tc>
      </w:tr>
    </w:tbl>
    <w:p>
      <w:pPr>
        <w:spacing w:after="0" w:line="189" w:lineRule="exact"/>
        <w:rPr>
          <w:sz w:val="20"/>
          <w:szCs w:val="20"/>
          <w:color w:val="auto"/>
        </w:rPr>
      </w:pPr>
    </w:p>
    <w:p>
      <w:pPr>
        <w:spacing w:after="0"/>
        <w:rPr>
          <w:sz w:val="20"/>
          <w:szCs w:val="20"/>
          <w:color w:val="auto"/>
        </w:rPr>
      </w:pPr>
      <w:r>
        <w:rPr>
          <w:rFonts w:ascii="Calibri" w:cs="Calibri" w:eastAsia="Calibri" w:hAnsi="Calibri"/>
          <w:sz w:val="18"/>
          <w:szCs w:val="18"/>
          <w:color w:val="auto"/>
        </w:rPr>
        <w:t>All other schedules have been omited because they are not applicable or the informaton required is shown in the fnancial statements or notes thereto.</w:t>
      </w:r>
    </w:p>
    <w:p>
      <w:pPr>
        <w:spacing w:after="0" w:line="185" w:lineRule="exact"/>
        <w:rPr>
          <w:sz w:val="20"/>
          <w:szCs w:val="20"/>
          <w:color w:val="auto"/>
        </w:rPr>
      </w:pPr>
    </w:p>
    <w:p>
      <w:pPr>
        <w:spacing w:after="0"/>
        <w:rPr>
          <w:sz w:val="20"/>
          <w:szCs w:val="20"/>
          <w:color w:val="auto"/>
        </w:rPr>
      </w:pPr>
      <w:r>
        <w:rPr>
          <w:rFonts w:ascii="Calibri" w:cs="Calibri" w:eastAsia="Calibri" w:hAnsi="Calibri"/>
          <w:sz w:val="18"/>
          <w:szCs w:val="18"/>
          <w:color w:val="auto"/>
        </w:rPr>
        <w:t>(3) Exhibits</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The exhibits listed in the accompanying Index to Exhibits are fled as part of, or incorporated by reference into, this Annual Report on Form 10-K.</w:t>
      </w:r>
    </w:p>
    <w:p>
      <w:pPr>
        <w:spacing w:after="0" w:line="388"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19" w:name="page120"/>
    <w:bookmarkEnd w:id="119"/>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309" w:lineRule="exact"/>
        <w:rPr>
          <w:sz w:val="20"/>
          <w:szCs w:val="20"/>
          <w:color w:val="auto"/>
        </w:rPr>
      </w:pPr>
    </w:p>
    <w:tbl>
      <w:tblPr>
        <w:tblLayout w:type="fixed"/>
        <w:tblInd w:w="10" w:type="dxa"/>
        <w:tblCellMar>
          <w:top w:w="0" w:type="dxa"/>
          <w:left w:w="0" w:type="dxa"/>
          <w:bottom w:w="0" w:type="dxa"/>
          <w:right w:w="0" w:type="dxa"/>
        </w:tblCellMar>
      </w:tblPr>
      <w:tr>
        <w:trPr>
          <w:trHeight w:val="220"/>
        </w:trPr>
        <w:tc>
          <w:tcPr>
            <w:tcW w:w="920" w:type="dxa"/>
            <w:vAlign w:val="bottom"/>
          </w:tcPr>
          <w:p>
            <w:pPr>
              <w:spacing w:after="0"/>
              <w:rPr>
                <w:sz w:val="19"/>
                <w:szCs w:val="19"/>
                <w:color w:val="auto"/>
              </w:rPr>
            </w:pPr>
          </w:p>
        </w:tc>
        <w:tc>
          <w:tcPr>
            <w:tcW w:w="10200" w:type="dxa"/>
            <w:vAlign w:val="bottom"/>
            <w:gridSpan w:val="18"/>
          </w:tcPr>
          <w:p>
            <w:pPr>
              <w:ind w:left="3920"/>
              <w:spacing w:after="0"/>
              <w:rPr>
                <w:sz w:val="20"/>
                <w:szCs w:val="20"/>
                <w:color w:val="auto"/>
              </w:rPr>
            </w:pPr>
            <w:r>
              <w:rPr>
                <w:rFonts w:ascii="Calibri" w:cs="Calibri" w:eastAsia="Calibri" w:hAnsi="Calibri"/>
                <w:sz w:val="18"/>
                <w:szCs w:val="18"/>
                <w:b w:val="1"/>
                <w:bCs w:val="1"/>
                <w:color w:val="auto"/>
              </w:rPr>
              <w:t>Eastman Kodak Company</w:t>
            </w:r>
          </w:p>
        </w:tc>
        <w:tc>
          <w:tcPr>
            <w:tcW w:w="120" w:type="dxa"/>
            <w:vAlign w:val="bottom"/>
          </w:tcPr>
          <w:p>
            <w:pPr>
              <w:spacing w:after="0"/>
              <w:rPr>
                <w:sz w:val="19"/>
                <w:szCs w:val="19"/>
                <w:color w:val="auto"/>
              </w:rPr>
            </w:pPr>
          </w:p>
        </w:tc>
      </w:tr>
      <w:tr>
        <w:trPr>
          <w:trHeight w:val="216"/>
        </w:trPr>
        <w:tc>
          <w:tcPr>
            <w:tcW w:w="920" w:type="dxa"/>
            <w:vAlign w:val="bottom"/>
          </w:tcPr>
          <w:p>
            <w:pPr>
              <w:spacing w:after="0"/>
              <w:rPr>
                <w:sz w:val="18"/>
                <w:szCs w:val="18"/>
                <w:color w:val="auto"/>
              </w:rPr>
            </w:pPr>
          </w:p>
        </w:tc>
        <w:tc>
          <w:tcPr>
            <w:tcW w:w="10200" w:type="dxa"/>
            <w:vAlign w:val="bottom"/>
            <w:gridSpan w:val="18"/>
          </w:tcPr>
          <w:p>
            <w:pPr>
              <w:ind w:left="4100"/>
              <w:spacing w:after="0" w:line="216" w:lineRule="exact"/>
              <w:rPr>
                <w:sz w:val="20"/>
                <w:szCs w:val="20"/>
                <w:color w:val="auto"/>
              </w:rPr>
            </w:pPr>
            <w:r>
              <w:rPr>
                <w:rFonts w:ascii="Calibri" w:cs="Calibri" w:eastAsia="Calibri" w:hAnsi="Calibri"/>
                <w:sz w:val="18"/>
                <w:szCs w:val="18"/>
                <w:b w:val="1"/>
                <w:bCs w:val="1"/>
                <w:color w:val="auto"/>
              </w:rPr>
              <w:t>Index to Exhibits</w:t>
            </w:r>
          </w:p>
        </w:tc>
        <w:tc>
          <w:tcPr>
            <w:tcW w:w="120" w:type="dxa"/>
            <w:vAlign w:val="bottom"/>
          </w:tcPr>
          <w:p>
            <w:pPr>
              <w:spacing w:after="0"/>
              <w:rPr>
                <w:sz w:val="18"/>
                <w:szCs w:val="18"/>
                <w:color w:val="auto"/>
              </w:rPr>
            </w:pPr>
          </w:p>
        </w:tc>
      </w:tr>
      <w:tr>
        <w:trPr>
          <w:trHeight w:val="236"/>
        </w:trPr>
        <w:tc>
          <w:tcPr>
            <w:tcW w:w="920" w:type="dxa"/>
            <w:vAlign w:val="bottom"/>
            <w:tcBorders>
              <w:bottom w:val="single" w:sz="8" w:color="auto"/>
            </w:tcBorders>
          </w:tcPr>
          <w:p>
            <w:pPr>
              <w:spacing w:after="0"/>
              <w:rPr>
                <w:sz w:val="20"/>
                <w:szCs w:val="20"/>
                <w:color w:val="auto"/>
              </w:rPr>
            </w:pPr>
          </w:p>
        </w:tc>
        <w:tc>
          <w:tcPr>
            <w:tcW w:w="56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190"/>
        </w:trPr>
        <w:tc>
          <w:tcPr>
            <w:tcW w:w="920" w:type="dxa"/>
            <w:vAlign w:val="bottom"/>
            <w:tcBorders>
              <w:left w:val="single" w:sz="8" w:color="auto"/>
              <w:right w:val="single" w:sz="8" w:color="auto"/>
            </w:tcBorders>
          </w:tcPr>
          <w:p>
            <w:pPr>
              <w:ind w:left="40"/>
              <w:spacing w:after="0" w:line="190" w:lineRule="exact"/>
              <w:rPr>
                <w:sz w:val="20"/>
                <w:szCs w:val="20"/>
                <w:color w:val="auto"/>
              </w:rPr>
            </w:pPr>
            <w:r>
              <w:rPr>
                <w:rFonts w:ascii="Calibri" w:cs="Calibri" w:eastAsia="Calibri" w:hAnsi="Calibri"/>
                <w:sz w:val="18"/>
                <w:szCs w:val="18"/>
                <w:b w:val="1"/>
                <w:bCs w:val="1"/>
                <w:color w:val="auto"/>
              </w:rPr>
              <w:t>Exhibit</w:t>
            </w:r>
          </w:p>
        </w:tc>
        <w:tc>
          <w:tcPr>
            <w:tcW w:w="56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215"/>
        </w:trPr>
        <w:tc>
          <w:tcPr>
            <w:tcW w:w="920" w:type="dxa"/>
            <w:vAlign w:val="bottom"/>
            <w:tcBorders>
              <w:left w:val="single" w:sz="8" w:color="auto"/>
              <w:right w:val="single" w:sz="8" w:color="auto"/>
            </w:tcBorders>
          </w:tcPr>
          <w:p>
            <w:pPr>
              <w:ind w:left="40"/>
              <w:spacing w:after="0" w:line="215" w:lineRule="exact"/>
              <w:rPr>
                <w:sz w:val="20"/>
                <w:szCs w:val="20"/>
                <w:color w:val="auto"/>
              </w:rPr>
            </w:pPr>
            <w:r>
              <w:rPr>
                <w:rFonts w:ascii="Calibri" w:cs="Calibri" w:eastAsia="Calibri" w:hAnsi="Calibri"/>
                <w:sz w:val="18"/>
                <w:szCs w:val="18"/>
                <w:b w:val="1"/>
                <w:bCs w:val="1"/>
                <w:color w:val="auto"/>
              </w:rPr>
              <w:t>Number</w:t>
            </w:r>
          </w:p>
        </w:tc>
        <w:tc>
          <w:tcPr>
            <w:tcW w:w="5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
        </w:trPr>
        <w:tc>
          <w:tcPr>
            <w:tcW w:w="9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3"/>
        </w:trPr>
        <w:tc>
          <w:tcPr>
            <w:tcW w:w="92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56"/>
        </w:trPr>
        <w:tc>
          <w:tcPr>
            <w:tcW w:w="920" w:type="dxa"/>
            <w:vAlign w:val="bottom"/>
            <w:tcBorders>
              <w:right w:val="single" w:sz="8" w:color="auto"/>
            </w:tcBorders>
          </w:tcPr>
          <w:p>
            <w:pPr>
              <w:ind w:left="40"/>
              <w:spacing w:after="0" w:line="156" w:lineRule="exact"/>
              <w:rPr>
                <w:sz w:val="20"/>
                <w:szCs w:val="20"/>
                <w:color w:val="auto"/>
              </w:rPr>
            </w:pPr>
            <w:r>
              <w:rPr>
                <w:rFonts w:ascii="Calibri" w:cs="Calibri" w:eastAsia="Calibri" w:hAnsi="Calibri"/>
                <w:sz w:val="16"/>
                <w:szCs w:val="16"/>
                <w:color w:val="auto"/>
              </w:rPr>
              <w:t>(3.1)</w:t>
            </w:r>
          </w:p>
        </w:tc>
        <w:tc>
          <w:tcPr>
            <w:tcW w:w="9700" w:type="dxa"/>
            <w:vAlign w:val="bottom"/>
            <w:tcBorders>
              <w:bottom w:val="single" w:sz="8" w:color="0000EE"/>
            </w:tcBorders>
            <w:gridSpan w:val="10"/>
          </w:tcPr>
          <w:p>
            <w:pPr>
              <w:spacing w:after="0" w:line="156" w:lineRule="exact"/>
              <w:rPr>
                <w:rFonts w:ascii="Calibri" w:cs="Calibri" w:eastAsia="Calibri" w:hAnsi="Calibri"/>
                <w:sz w:val="16"/>
                <w:szCs w:val="16"/>
                <w:color w:val="0000EE"/>
              </w:rPr>
            </w:pPr>
            <w:hyperlink r:id="rId711">
              <w:r>
                <w:rPr>
                  <w:rFonts w:ascii="Calibri" w:cs="Calibri" w:eastAsia="Calibri" w:hAnsi="Calibri"/>
                  <w:sz w:val="16"/>
                  <w:szCs w:val="16"/>
                  <w:color w:val="0000EE"/>
                </w:rPr>
                <w:t>Second Amended and Restated Certfcate of Incorporaton of Eastman Kodak Company (Incorporated by reference to Exhibit 4.1 of the</w:t>
              </w:r>
            </w:hyperlink>
          </w:p>
        </w:tc>
        <w:tc>
          <w:tcPr>
            <w:tcW w:w="500" w:type="dxa"/>
            <w:vAlign w:val="bottom"/>
            <w:tcBorders>
              <w:right w:val="single" w:sz="8" w:color="auto"/>
            </w:tcBorders>
            <w:gridSpan w:val="8"/>
          </w:tcPr>
          <w:p>
            <w:pPr>
              <w:spacing w:after="0"/>
              <w:rPr>
                <w:sz w:val="13"/>
                <w:szCs w:val="13"/>
                <w:color w:val="auto"/>
              </w:rPr>
            </w:pPr>
          </w:p>
        </w:tc>
        <w:tc>
          <w:tcPr>
            <w:tcW w:w="120" w:type="dxa"/>
            <w:vAlign w:val="bottom"/>
          </w:tcPr>
          <w:p>
            <w:pPr>
              <w:spacing w:after="0"/>
              <w:rPr>
                <w:sz w:val="13"/>
                <w:szCs w:val="13"/>
                <w:color w:val="auto"/>
              </w:rPr>
            </w:pPr>
          </w:p>
        </w:tc>
      </w:tr>
      <w:tr>
        <w:trPr>
          <w:trHeight w:val="196"/>
        </w:trPr>
        <w:tc>
          <w:tcPr>
            <w:tcW w:w="920" w:type="dxa"/>
            <w:vAlign w:val="bottom"/>
            <w:tcBorders>
              <w:right w:val="single" w:sz="8" w:color="auto"/>
            </w:tcBorders>
          </w:tcPr>
          <w:p>
            <w:pPr>
              <w:spacing w:after="0"/>
              <w:rPr>
                <w:sz w:val="17"/>
                <w:szCs w:val="17"/>
                <w:color w:val="auto"/>
              </w:rPr>
            </w:pPr>
          </w:p>
        </w:tc>
        <w:tc>
          <w:tcPr>
            <w:tcW w:w="10200" w:type="dxa"/>
            <w:vAlign w:val="bottom"/>
            <w:tcBorders>
              <w:right w:val="single" w:sz="8" w:color="auto"/>
            </w:tcBorders>
            <w:gridSpan w:val="18"/>
          </w:tcPr>
          <w:p>
            <w:pPr>
              <w:spacing w:after="0" w:line="196" w:lineRule="exact"/>
              <w:rPr>
                <w:rFonts w:ascii="Calibri" w:cs="Calibri" w:eastAsia="Calibri" w:hAnsi="Calibri"/>
                <w:sz w:val="18"/>
                <w:szCs w:val="18"/>
                <w:color w:val="0000EE"/>
              </w:rPr>
            </w:pPr>
            <w:hyperlink r:id="rId711">
              <w:r>
                <w:rPr>
                  <w:rFonts w:ascii="Calibri" w:cs="Calibri" w:eastAsia="Calibri" w:hAnsi="Calibri"/>
                  <w:sz w:val="18"/>
                  <w:szCs w:val="18"/>
                  <w:color w:val="0000EE"/>
                </w:rPr>
                <w:t>Company’s Registraton Statement on Form S-8 as fled on September 3, 2013).</w:t>
              </w:r>
            </w:hyperlink>
          </w:p>
        </w:tc>
        <w:tc>
          <w:tcPr>
            <w:tcW w:w="120" w:type="dxa"/>
            <w:vAlign w:val="bottom"/>
          </w:tcPr>
          <w:p>
            <w:pPr>
              <w:spacing w:after="0"/>
              <w:rPr>
                <w:sz w:val="17"/>
                <w:szCs w:val="17"/>
                <w:color w:val="auto"/>
              </w:rPr>
            </w:pPr>
          </w:p>
        </w:tc>
      </w:tr>
      <w:tr>
        <w:trPr>
          <w:trHeight w:val="34"/>
        </w:trPr>
        <w:tc>
          <w:tcPr>
            <w:tcW w:w="920" w:type="dxa"/>
            <w:vAlign w:val="bottom"/>
            <w:tcBorders>
              <w:bottom w:val="single" w:sz="8" w:color="auto"/>
              <w:right w:val="single" w:sz="8" w:color="auto"/>
            </w:tcBorders>
          </w:tcPr>
          <w:p>
            <w:pPr>
              <w:spacing w:after="0"/>
              <w:rPr>
                <w:sz w:val="2"/>
                <w:szCs w:val="2"/>
                <w:color w:val="auto"/>
              </w:rPr>
            </w:pPr>
          </w:p>
        </w:tc>
        <w:tc>
          <w:tcPr>
            <w:tcW w:w="5640" w:type="dxa"/>
            <w:vAlign w:val="bottom"/>
            <w:tcBorders>
              <w:top w:val="single" w:sz="8" w:color="0000EE"/>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09"/>
        </w:trPr>
        <w:tc>
          <w:tcPr>
            <w:tcW w:w="92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56"/>
        </w:trPr>
        <w:tc>
          <w:tcPr>
            <w:tcW w:w="920" w:type="dxa"/>
            <w:vAlign w:val="bottom"/>
            <w:tcBorders>
              <w:right w:val="single" w:sz="8" w:color="auto"/>
            </w:tcBorders>
          </w:tcPr>
          <w:p>
            <w:pPr>
              <w:ind w:left="40"/>
              <w:spacing w:after="0" w:line="156" w:lineRule="exact"/>
              <w:rPr>
                <w:sz w:val="20"/>
                <w:szCs w:val="20"/>
                <w:color w:val="auto"/>
              </w:rPr>
            </w:pPr>
            <w:r>
              <w:rPr>
                <w:rFonts w:ascii="Calibri" w:cs="Calibri" w:eastAsia="Calibri" w:hAnsi="Calibri"/>
                <w:sz w:val="16"/>
                <w:szCs w:val="16"/>
                <w:color w:val="auto"/>
              </w:rPr>
              <w:t>(3.2)</w:t>
            </w:r>
          </w:p>
        </w:tc>
        <w:tc>
          <w:tcPr>
            <w:tcW w:w="9920" w:type="dxa"/>
            <w:vAlign w:val="bottom"/>
            <w:tcBorders>
              <w:bottom w:val="single" w:sz="8" w:color="0000EE"/>
            </w:tcBorders>
            <w:gridSpan w:val="12"/>
          </w:tcPr>
          <w:p>
            <w:pPr>
              <w:spacing w:after="0" w:line="156" w:lineRule="exact"/>
              <w:rPr>
                <w:rFonts w:ascii="Calibri" w:cs="Calibri" w:eastAsia="Calibri" w:hAnsi="Calibri"/>
                <w:sz w:val="16"/>
                <w:szCs w:val="16"/>
                <w:color w:val="0000EE"/>
              </w:rPr>
            </w:pPr>
            <w:hyperlink r:id="rId712">
              <w:r>
                <w:rPr>
                  <w:rFonts w:ascii="Calibri" w:cs="Calibri" w:eastAsia="Calibri" w:hAnsi="Calibri"/>
                  <w:sz w:val="16"/>
                  <w:szCs w:val="16"/>
                  <w:color w:val="0000EE"/>
                </w:rPr>
                <w:t>Certfcate of Amendment to the Second Amended and Restated Certfcate of Incorporaton of Eastman Kodak Company. (Incorporated by</w:t>
              </w:r>
            </w:hyperlink>
          </w:p>
        </w:tc>
        <w:tc>
          <w:tcPr>
            <w:tcW w:w="280" w:type="dxa"/>
            <w:vAlign w:val="bottom"/>
            <w:tcBorders>
              <w:right w:val="single" w:sz="8" w:color="auto"/>
            </w:tcBorders>
            <w:gridSpan w:val="6"/>
          </w:tcPr>
          <w:p>
            <w:pPr>
              <w:spacing w:after="0"/>
              <w:rPr>
                <w:sz w:val="13"/>
                <w:szCs w:val="13"/>
                <w:color w:val="auto"/>
              </w:rPr>
            </w:pPr>
          </w:p>
        </w:tc>
        <w:tc>
          <w:tcPr>
            <w:tcW w:w="120" w:type="dxa"/>
            <w:vAlign w:val="bottom"/>
          </w:tcPr>
          <w:p>
            <w:pPr>
              <w:spacing w:after="0"/>
              <w:rPr>
                <w:sz w:val="13"/>
                <w:szCs w:val="13"/>
                <w:color w:val="auto"/>
              </w:rPr>
            </w:pPr>
          </w:p>
        </w:tc>
      </w:tr>
      <w:tr>
        <w:trPr>
          <w:trHeight w:val="196"/>
        </w:trPr>
        <w:tc>
          <w:tcPr>
            <w:tcW w:w="920" w:type="dxa"/>
            <w:vAlign w:val="bottom"/>
            <w:tcBorders>
              <w:right w:val="single" w:sz="8" w:color="auto"/>
            </w:tcBorders>
          </w:tcPr>
          <w:p>
            <w:pPr>
              <w:spacing w:after="0"/>
              <w:rPr>
                <w:sz w:val="17"/>
                <w:szCs w:val="17"/>
                <w:color w:val="auto"/>
              </w:rPr>
            </w:pPr>
          </w:p>
        </w:tc>
        <w:tc>
          <w:tcPr>
            <w:tcW w:w="10200" w:type="dxa"/>
            <w:vAlign w:val="bottom"/>
            <w:tcBorders>
              <w:right w:val="single" w:sz="8" w:color="auto"/>
            </w:tcBorders>
            <w:gridSpan w:val="18"/>
          </w:tcPr>
          <w:p>
            <w:pPr>
              <w:spacing w:after="0" w:line="196" w:lineRule="exact"/>
              <w:rPr>
                <w:rFonts w:ascii="Calibri" w:cs="Calibri" w:eastAsia="Calibri" w:hAnsi="Calibri"/>
                <w:sz w:val="18"/>
                <w:szCs w:val="18"/>
                <w:color w:val="0000EE"/>
              </w:rPr>
            </w:pPr>
            <w:hyperlink r:id="rId712">
              <w:r>
                <w:rPr>
                  <w:rFonts w:ascii="Calibri" w:cs="Calibri" w:eastAsia="Calibri" w:hAnsi="Calibri"/>
                  <w:sz w:val="18"/>
                  <w:szCs w:val="18"/>
                  <w:color w:val="0000EE"/>
                </w:rPr>
                <w:t>reference to Exhibit 3.1 of the Company’s Current Report on Form 8-K as fled November 16, 2016).</w:t>
              </w:r>
            </w:hyperlink>
          </w:p>
        </w:tc>
        <w:tc>
          <w:tcPr>
            <w:tcW w:w="120" w:type="dxa"/>
            <w:vAlign w:val="bottom"/>
          </w:tcPr>
          <w:p>
            <w:pPr>
              <w:spacing w:after="0"/>
              <w:rPr>
                <w:sz w:val="17"/>
                <w:szCs w:val="17"/>
                <w:color w:val="auto"/>
              </w:rPr>
            </w:pPr>
          </w:p>
        </w:tc>
      </w:tr>
      <w:tr>
        <w:trPr>
          <w:trHeight w:val="34"/>
        </w:trPr>
        <w:tc>
          <w:tcPr>
            <w:tcW w:w="920" w:type="dxa"/>
            <w:vAlign w:val="bottom"/>
            <w:tcBorders>
              <w:bottom w:val="single" w:sz="8" w:color="auto"/>
              <w:right w:val="single" w:sz="8" w:color="auto"/>
            </w:tcBorders>
          </w:tcPr>
          <w:p>
            <w:pPr>
              <w:spacing w:after="0"/>
              <w:rPr>
                <w:sz w:val="2"/>
                <w:szCs w:val="2"/>
                <w:color w:val="auto"/>
              </w:rPr>
            </w:pPr>
          </w:p>
        </w:tc>
        <w:tc>
          <w:tcPr>
            <w:tcW w:w="5640" w:type="dxa"/>
            <w:vAlign w:val="bottom"/>
            <w:tcBorders>
              <w:top w:val="single" w:sz="8" w:color="0000EE"/>
              <w:bottom w:val="single" w:sz="8" w:color="auto"/>
            </w:tcBorders>
          </w:tcPr>
          <w:p>
            <w:pPr>
              <w:spacing w:after="0"/>
              <w:rPr>
                <w:sz w:val="2"/>
                <w:szCs w:val="2"/>
                <w:color w:val="auto"/>
              </w:rPr>
            </w:pPr>
          </w:p>
        </w:tc>
        <w:tc>
          <w:tcPr>
            <w:tcW w:w="106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09"/>
        </w:trPr>
        <w:tc>
          <w:tcPr>
            <w:tcW w:w="92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56"/>
        </w:trPr>
        <w:tc>
          <w:tcPr>
            <w:tcW w:w="920" w:type="dxa"/>
            <w:vAlign w:val="bottom"/>
            <w:tcBorders>
              <w:right w:val="single" w:sz="8" w:color="auto"/>
            </w:tcBorders>
          </w:tcPr>
          <w:p>
            <w:pPr>
              <w:ind w:left="40"/>
              <w:spacing w:after="0" w:line="156" w:lineRule="exact"/>
              <w:rPr>
                <w:sz w:val="20"/>
                <w:szCs w:val="20"/>
                <w:color w:val="auto"/>
              </w:rPr>
            </w:pPr>
            <w:r>
              <w:rPr>
                <w:rFonts w:ascii="Calibri" w:cs="Calibri" w:eastAsia="Calibri" w:hAnsi="Calibri"/>
                <w:sz w:val="16"/>
                <w:szCs w:val="16"/>
                <w:color w:val="auto"/>
              </w:rPr>
              <w:t>(3.3)</w:t>
            </w:r>
          </w:p>
        </w:tc>
        <w:tc>
          <w:tcPr>
            <w:tcW w:w="9880" w:type="dxa"/>
            <w:vAlign w:val="bottom"/>
            <w:tcBorders>
              <w:bottom w:val="single" w:sz="8" w:color="0000EE"/>
            </w:tcBorders>
            <w:gridSpan w:val="11"/>
          </w:tcPr>
          <w:p>
            <w:pPr>
              <w:spacing w:after="0" w:line="156" w:lineRule="exact"/>
              <w:rPr>
                <w:rFonts w:ascii="Calibri" w:cs="Calibri" w:eastAsia="Calibri" w:hAnsi="Calibri"/>
                <w:sz w:val="16"/>
                <w:szCs w:val="16"/>
                <w:color w:val="0000EE"/>
              </w:rPr>
            </w:pPr>
            <w:hyperlink r:id="rId713">
              <w:r>
                <w:rPr>
                  <w:rFonts w:ascii="Calibri" w:cs="Calibri" w:eastAsia="Calibri" w:hAnsi="Calibri"/>
                  <w:sz w:val="16"/>
                  <w:szCs w:val="16"/>
                  <w:color w:val="0000EE"/>
                </w:rPr>
                <w:t>Certfcate of Amendment to the Second Amended and Restated Certfcate of Incorporaton of Eastman Kodak Company (Incorporated by</w:t>
              </w:r>
            </w:hyperlink>
          </w:p>
        </w:tc>
        <w:tc>
          <w:tcPr>
            <w:tcW w:w="320" w:type="dxa"/>
            <w:vAlign w:val="bottom"/>
            <w:tcBorders>
              <w:right w:val="single" w:sz="8" w:color="auto"/>
            </w:tcBorders>
            <w:gridSpan w:val="7"/>
          </w:tcPr>
          <w:p>
            <w:pPr>
              <w:spacing w:after="0"/>
              <w:rPr>
                <w:sz w:val="13"/>
                <w:szCs w:val="13"/>
                <w:color w:val="auto"/>
              </w:rPr>
            </w:pPr>
          </w:p>
        </w:tc>
        <w:tc>
          <w:tcPr>
            <w:tcW w:w="120" w:type="dxa"/>
            <w:vAlign w:val="bottom"/>
          </w:tcPr>
          <w:p>
            <w:pPr>
              <w:spacing w:after="0"/>
              <w:rPr>
                <w:sz w:val="13"/>
                <w:szCs w:val="13"/>
                <w:color w:val="auto"/>
              </w:rPr>
            </w:pPr>
          </w:p>
        </w:tc>
      </w:tr>
      <w:tr>
        <w:trPr>
          <w:trHeight w:val="196"/>
        </w:trPr>
        <w:tc>
          <w:tcPr>
            <w:tcW w:w="920" w:type="dxa"/>
            <w:vAlign w:val="bottom"/>
            <w:tcBorders>
              <w:right w:val="single" w:sz="8" w:color="auto"/>
            </w:tcBorders>
          </w:tcPr>
          <w:p>
            <w:pPr>
              <w:spacing w:after="0"/>
              <w:rPr>
                <w:sz w:val="17"/>
                <w:szCs w:val="17"/>
                <w:color w:val="auto"/>
              </w:rPr>
            </w:pPr>
          </w:p>
        </w:tc>
        <w:tc>
          <w:tcPr>
            <w:tcW w:w="10200" w:type="dxa"/>
            <w:vAlign w:val="bottom"/>
            <w:tcBorders>
              <w:right w:val="single" w:sz="8" w:color="auto"/>
            </w:tcBorders>
            <w:gridSpan w:val="18"/>
          </w:tcPr>
          <w:p>
            <w:pPr>
              <w:spacing w:after="0" w:line="196" w:lineRule="exact"/>
              <w:rPr>
                <w:rFonts w:ascii="Calibri" w:cs="Calibri" w:eastAsia="Calibri" w:hAnsi="Calibri"/>
                <w:sz w:val="18"/>
                <w:szCs w:val="18"/>
                <w:color w:val="0000EE"/>
              </w:rPr>
            </w:pPr>
            <w:hyperlink r:id="rId713">
              <w:r>
                <w:rPr>
                  <w:rFonts w:ascii="Calibri" w:cs="Calibri" w:eastAsia="Calibri" w:hAnsi="Calibri"/>
                  <w:sz w:val="18"/>
                  <w:szCs w:val="18"/>
                  <w:color w:val="0000EE"/>
                </w:rPr>
                <w:t>reference to Exhibit (3.1) of the Company’s Current Report on Form 8-K as fled September 12, 2019).</w:t>
              </w:r>
            </w:hyperlink>
          </w:p>
        </w:tc>
        <w:tc>
          <w:tcPr>
            <w:tcW w:w="120" w:type="dxa"/>
            <w:vAlign w:val="bottom"/>
          </w:tcPr>
          <w:p>
            <w:pPr>
              <w:spacing w:after="0"/>
              <w:rPr>
                <w:sz w:val="17"/>
                <w:szCs w:val="17"/>
                <w:color w:val="auto"/>
              </w:rPr>
            </w:pPr>
          </w:p>
        </w:tc>
      </w:tr>
      <w:tr>
        <w:trPr>
          <w:trHeight w:val="34"/>
        </w:trPr>
        <w:tc>
          <w:tcPr>
            <w:tcW w:w="920" w:type="dxa"/>
            <w:vAlign w:val="bottom"/>
            <w:tcBorders>
              <w:bottom w:val="single" w:sz="8" w:color="auto"/>
              <w:right w:val="single" w:sz="8" w:color="auto"/>
            </w:tcBorders>
          </w:tcPr>
          <w:p>
            <w:pPr>
              <w:spacing w:after="0"/>
              <w:rPr>
                <w:sz w:val="2"/>
                <w:szCs w:val="2"/>
                <w:color w:val="auto"/>
              </w:rPr>
            </w:pPr>
          </w:p>
        </w:tc>
        <w:tc>
          <w:tcPr>
            <w:tcW w:w="5640" w:type="dxa"/>
            <w:vAlign w:val="bottom"/>
            <w:tcBorders>
              <w:top w:val="single" w:sz="8" w:color="0000EE"/>
              <w:bottom w:val="single" w:sz="8" w:color="auto"/>
            </w:tcBorders>
          </w:tcPr>
          <w:p>
            <w:pPr>
              <w:spacing w:after="0"/>
              <w:rPr>
                <w:sz w:val="2"/>
                <w:szCs w:val="2"/>
                <w:color w:val="auto"/>
              </w:rPr>
            </w:pPr>
          </w:p>
        </w:tc>
        <w:tc>
          <w:tcPr>
            <w:tcW w:w="106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09"/>
        </w:trPr>
        <w:tc>
          <w:tcPr>
            <w:tcW w:w="92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55"/>
        </w:trPr>
        <w:tc>
          <w:tcPr>
            <w:tcW w:w="920" w:type="dxa"/>
            <w:vAlign w:val="bottom"/>
            <w:tcBorders>
              <w:right w:val="single" w:sz="8" w:color="auto"/>
            </w:tcBorders>
          </w:tcPr>
          <w:p>
            <w:pPr>
              <w:ind w:left="40"/>
              <w:spacing w:after="0" w:line="156" w:lineRule="exact"/>
              <w:rPr>
                <w:sz w:val="20"/>
                <w:szCs w:val="20"/>
                <w:color w:val="auto"/>
              </w:rPr>
            </w:pPr>
            <w:r>
              <w:rPr>
                <w:rFonts w:ascii="Calibri" w:cs="Calibri" w:eastAsia="Calibri" w:hAnsi="Calibri"/>
                <w:sz w:val="16"/>
                <w:szCs w:val="16"/>
                <w:color w:val="auto"/>
              </w:rPr>
              <w:t>(3.4)</w:t>
            </w:r>
          </w:p>
        </w:tc>
        <w:tc>
          <w:tcPr>
            <w:tcW w:w="9880" w:type="dxa"/>
            <w:vAlign w:val="bottom"/>
            <w:tcBorders>
              <w:bottom w:val="single" w:sz="8" w:color="0000EE"/>
            </w:tcBorders>
            <w:gridSpan w:val="11"/>
          </w:tcPr>
          <w:p>
            <w:pPr>
              <w:spacing w:after="0" w:line="156" w:lineRule="exact"/>
              <w:rPr>
                <w:rFonts w:ascii="Calibri" w:cs="Calibri" w:eastAsia="Calibri" w:hAnsi="Calibri"/>
                <w:sz w:val="16"/>
                <w:szCs w:val="16"/>
                <w:color w:val="0000EE"/>
              </w:rPr>
            </w:pPr>
            <w:hyperlink r:id="rId714">
              <w:r>
                <w:rPr>
                  <w:rFonts w:ascii="Calibri" w:cs="Calibri" w:eastAsia="Calibri" w:hAnsi="Calibri"/>
                  <w:sz w:val="16"/>
                  <w:szCs w:val="16"/>
                  <w:color w:val="0000EE"/>
                </w:rPr>
                <w:t>Certfcate of Amendment to the Second Amended and Restated Certfcate of Incorporaton of Eastman Kodak Company (Incorporated by</w:t>
              </w:r>
            </w:hyperlink>
          </w:p>
        </w:tc>
        <w:tc>
          <w:tcPr>
            <w:tcW w:w="320" w:type="dxa"/>
            <w:vAlign w:val="bottom"/>
            <w:tcBorders>
              <w:right w:val="single" w:sz="8" w:color="auto"/>
            </w:tcBorders>
            <w:gridSpan w:val="7"/>
          </w:tcPr>
          <w:p>
            <w:pPr>
              <w:spacing w:after="0"/>
              <w:rPr>
                <w:sz w:val="13"/>
                <w:szCs w:val="13"/>
                <w:color w:val="auto"/>
              </w:rPr>
            </w:pPr>
          </w:p>
        </w:tc>
        <w:tc>
          <w:tcPr>
            <w:tcW w:w="120" w:type="dxa"/>
            <w:vAlign w:val="bottom"/>
          </w:tcPr>
          <w:p>
            <w:pPr>
              <w:spacing w:after="0"/>
              <w:rPr>
                <w:sz w:val="13"/>
                <w:szCs w:val="13"/>
                <w:color w:val="auto"/>
              </w:rPr>
            </w:pPr>
          </w:p>
        </w:tc>
      </w:tr>
      <w:tr>
        <w:trPr>
          <w:trHeight w:val="196"/>
        </w:trPr>
        <w:tc>
          <w:tcPr>
            <w:tcW w:w="920" w:type="dxa"/>
            <w:vAlign w:val="bottom"/>
            <w:tcBorders>
              <w:right w:val="single" w:sz="8" w:color="auto"/>
            </w:tcBorders>
          </w:tcPr>
          <w:p>
            <w:pPr>
              <w:spacing w:after="0"/>
              <w:rPr>
                <w:sz w:val="17"/>
                <w:szCs w:val="17"/>
                <w:color w:val="auto"/>
              </w:rPr>
            </w:pPr>
          </w:p>
        </w:tc>
        <w:tc>
          <w:tcPr>
            <w:tcW w:w="10200" w:type="dxa"/>
            <w:vAlign w:val="bottom"/>
            <w:tcBorders>
              <w:right w:val="single" w:sz="8" w:color="auto"/>
            </w:tcBorders>
            <w:gridSpan w:val="18"/>
          </w:tcPr>
          <w:p>
            <w:pPr>
              <w:spacing w:after="0" w:line="196" w:lineRule="exact"/>
              <w:rPr>
                <w:rFonts w:ascii="Calibri" w:cs="Calibri" w:eastAsia="Calibri" w:hAnsi="Calibri"/>
                <w:sz w:val="18"/>
                <w:szCs w:val="18"/>
                <w:color w:val="0000EE"/>
              </w:rPr>
            </w:pPr>
            <w:hyperlink r:id="rId714">
              <w:r>
                <w:rPr>
                  <w:rFonts w:ascii="Calibri" w:cs="Calibri" w:eastAsia="Calibri" w:hAnsi="Calibri"/>
                  <w:sz w:val="18"/>
                  <w:szCs w:val="18"/>
                  <w:color w:val="0000EE"/>
                </w:rPr>
                <w:t>reference to Exhibit (3.2) of the Company’s Current Report on Form 8-K as fled September 12, 2019).</w:t>
              </w:r>
            </w:hyperlink>
          </w:p>
        </w:tc>
        <w:tc>
          <w:tcPr>
            <w:tcW w:w="120" w:type="dxa"/>
            <w:vAlign w:val="bottom"/>
          </w:tcPr>
          <w:p>
            <w:pPr>
              <w:spacing w:after="0"/>
              <w:rPr>
                <w:sz w:val="17"/>
                <w:szCs w:val="17"/>
                <w:color w:val="auto"/>
              </w:rPr>
            </w:pPr>
          </w:p>
        </w:tc>
      </w:tr>
      <w:tr>
        <w:trPr>
          <w:trHeight w:val="34"/>
        </w:trPr>
        <w:tc>
          <w:tcPr>
            <w:tcW w:w="920" w:type="dxa"/>
            <w:vAlign w:val="bottom"/>
            <w:tcBorders>
              <w:bottom w:val="single" w:sz="8" w:color="auto"/>
              <w:right w:val="single" w:sz="8" w:color="auto"/>
            </w:tcBorders>
          </w:tcPr>
          <w:p>
            <w:pPr>
              <w:spacing w:after="0"/>
              <w:rPr>
                <w:sz w:val="2"/>
                <w:szCs w:val="2"/>
                <w:color w:val="auto"/>
              </w:rPr>
            </w:pPr>
          </w:p>
        </w:tc>
        <w:tc>
          <w:tcPr>
            <w:tcW w:w="5640" w:type="dxa"/>
            <w:vAlign w:val="bottom"/>
            <w:tcBorders>
              <w:top w:val="single" w:sz="8" w:color="0000EE"/>
              <w:bottom w:val="single" w:sz="8" w:color="auto"/>
            </w:tcBorders>
          </w:tcPr>
          <w:p>
            <w:pPr>
              <w:spacing w:after="0"/>
              <w:rPr>
                <w:sz w:val="2"/>
                <w:szCs w:val="2"/>
                <w:color w:val="auto"/>
              </w:rPr>
            </w:pPr>
          </w:p>
        </w:tc>
        <w:tc>
          <w:tcPr>
            <w:tcW w:w="106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10"/>
        </w:trPr>
        <w:tc>
          <w:tcPr>
            <w:tcW w:w="92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55"/>
        </w:trPr>
        <w:tc>
          <w:tcPr>
            <w:tcW w:w="920" w:type="dxa"/>
            <w:vAlign w:val="bottom"/>
            <w:tcBorders>
              <w:right w:val="single" w:sz="8" w:color="auto"/>
            </w:tcBorders>
          </w:tcPr>
          <w:p>
            <w:pPr>
              <w:ind w:left="40"/>
              <w:spacing w:after="0" w:line="156" w:lineRule="exact"/>
              <w:rPr>
                <w:sz w:val="20"/>
                <w:szCs w:val="20"/>
                <w:color w:val="auto"/>
              </w:rPr>
            </w:pPr>
            <w:r>
              <w:rPr>
                <w:rFonts w:ascii="Calibri" w:cs="Calibri" w:eastAsia="Calibri" w:hAnsi="Calibri"/>
                <w:sz w:val="16"/>
                <w:szCs w:val="16"/>
                <w:color w:val="auto"/>
              </w:rPr>
              <w:t>(3.5)</w:t>
            </w:r>
          </w:p>
        </w:tc>
        <w:tc>
          <w:tcPr>
            <w:tcW w:w="9880" w:type="dxa"/>
            <w:vAlign w:val="bottom"/>
            <w:tcBorders>
              <w:bottom w:val="single" w:sz="8" w:color="0000EE"/>
            </w:tcBorders>
            <w:gridSpan w:val="11"/>
          </w:tcPr>
          <w:p>
            <w:pPr>
              <w:spacing w:after="0" w:line="156" w:lineRule="exact"/>
              <w:rPr>
                <w:rFonts w:ascii="Calibri" w:cs="Calibri" w:eastAsia="Calibri" w:hAnsi="Calibri"/>
                <w:sz w:val="16"/>
                <w:szCs w:val="16"/>
                <w:color w:val="0000EE"/>
              </w:rPr>
            </w:pPr>
            <w:hyperlink r:id="rId715">
              <w:r>
                <w:rPr>
                  <w:rFonts w:ascii="Calibri" w:cs="Calibri" w:eastAsia="Calibri" w:hAnsi="Calibri"/>
                  <w:sz w:val="16"/>
                  <w:szCs w:val="16"/>
                  <w:color w:val="0000EE"/>
                </w:rPr>
                <w:t>Certfcate of Amendment to the Second Amended and Restated Certfcate of Incorporaton of Eastman Kodak Company (Incorporated by</w:t>
              </w:r>
            </w:hyperlink>
          </w:p>
        </w:tc>
        <w:tc>
          <w:tcPr>
            <w:tcW w:w="320" w:type="dxa"/>
            <w:vAlign w:val="bottom"/>
            <w:tcBorders>
              <w:right w:val="single" w:sz="8" w:color="auto"/>
            </w:tcBorders>
            <w:gridSpan w:val="7"/>
          </w:tcPr>
          <w:p>
            <w:pPr>
              <w:spacing w:after="0"/>
              <w:rPr>
                <w:sz w:val="13"/>
                <w:szCs w:val="13"/>
                <w:color w:val="auto"/>
              </w:rPr>
            </w:pPr>
          </w:p>
        </w:tc>
        <w:tc>
          <w:tcPr>
            <w:tcW w:w="120" w:type="dxa"/>
            <w:vAlign w:val="bottom"/>
          </w:tcPr>
          <w:p>
            <w:pPr>
              <w:spacing w:after="0"/>
              <w:rPr>
                <w:sz w:val="13"/>
                <w:szCs w:val="13"/>
                <w:color w:val="auto"/>
              </w:rPr>
            </w:pPr>
          </w:p>
        </w:tc>
      </w:tr>
      <w:tr>
        <w:trPr>
          <w:trHeight w:val="196"/>
        </w:trPr>
        <w:tc>
          <w:tcPr>
            <w:tcW w:w="920" w:type="dxa"/>
            <w:vAlign w:val="bottom"/>
            <w:tcBorders>
              <w:right w:val="single" w:sz="8" w:color="auto"/>
            </w:tcBorders>
          </w:tcPr>
          <w:p>
            <w:pPr>
              <w:spacing w:after="0"/>
              <w:rPr>
                <w:sz w:val="17"/>
                <w:szCs w:val="17"/>
                <w:color w:val="auto"/>
              </w:rPr>
            </w:pPr>
          </w:p>
        </w:tc>
        <w:tc>
          <w:tcPr>
            <w:tcW w:w="10200" w:type="dxa"/>
            <w:vAlign w:val="bottom"/>
            <w:tcBorders>
              <w:right w:val="single" w:sz="8" w:color="auto"/>
            </w:tcBorders>
            <w:gridSpan w:val="18"/>
          </w:tcPr>
          <w:p>
            <w:pPr>
              <w:spacing w:after="0" w:line="196" w:lineRule="exact"/>
              <w:rPr>
                <w:rFonts w:ascii="Calibri" w:cs="Calibri" w:eastAsia="Calibri" w:hAnsi="Calibri"/>
                <w:sz w:val="18"/>
                <w:szCs w:val="18"/>
                <w:color w:val="0000EE"/>
              </w:rPr>
            </w:pPr>
            <w:hyperlink r:id="rId715">
              <w:r>
                <w:rPr>
                  <w:rFonts w:ascii="Calibri" w:cs="Calibri" w:eastAsia="Calibri" w:hAnsi="Calibri"/>
                  <w:sz w:val="18"/>
                  <w:szCs w:val="18"/>
                  <w:color w:val="0000EE"/>
                </w:rPr>
                <w:t>reference to Exhibit 3.1 of the Company’s Current Report on Form 8-K as fled December 29, 2020).</w:t>
              </w:r>
            </w:hyperlink>
          </w:p>
        </w:tc>
        <w:tc>
          <w:tcPr>
            <w:tcW w:w="120" w:type="dxa"/>
            <w:vAlign w:val="bottom"/>
          </w:tcPr>
          <w:p>
            <w:pPr>
              <w:spacing w:after="0"/>
              <w:rPr>
                <w:sz w:val="17"/>
                <w:szCs w:val="17"/>
                <w:color w:val="auto"/>
              </w:rPr>
            </w:pPr>
          </w:p>
        </w:tc>
      </w:tr>
      <w:tr>
        <w:trPr>
          <w:trHeight w:val="34"/>
        </w:trPr>
        <w:tc>
          <w:tcPr>
            <w:tcW w:w="920" w:type="dxa"/>
            <w:vAlign w:val="bottom"/>
            <w:tcBorders>
              <w:bottom w:val="single" w:sz="8" w:color="auto"/>
              <w:right w:val="single" w:sz="8" w:color="auto"/>
            </w:tcBorders>
          </w:tcPr>
          <w:p>
            <w:pPr>
              <w:spacing w:after="0"/>
              <w:rPr>
                <w:sz w:val="2"/>
                <w:szCs w:val="2"/>
                <w:color w:val="auto"/>
              </w:rPr>
            </w:pPr>
          </w:p>
        </w:tc>
        <w:tc>
          <w:tcPr>
            <w:tcW w:w="5640" w:type="dxa"/>
            <w:vAlign w:val="bottom"/>
            <w:tcBorders>
              <w:top w:val="single" w:sz="8" w:color="0000EE"/>
              <w:bottom w:val="single" w:sz="8" w:color="auto"/>
            </w:tcBorders>
          </w:tcPr>
          <w:p>
            <w:pPr>
              <w:spacing w:after="0"/>
              <w:rPr>
                <w:sz w:val="2"/>
                <w:szCs w:val="2"/>
                <w:color w:val="auto"/>
              </w:rPr>
            </w:pPr>
          </w:p>
        </w:tc>
        <w:tc>
          <w:tcPr>
            <w:tcW w:w="106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20" w:type="dxa"/>
            <w:vAlign w:val="bottom"/>
            <w:tcBorders>
              <w:top w:val="single" w:sz="8" w:color="0000EE"/>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10"/>
        </w:trPr>
        <w:tc>
          <w:tcPr>
            <w:tcW w:w="92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55"/>
        </w:trPr>
        <w:tc>
          <w:tcPr>
            <w:tcW w:w="920" w:type="dxa"/>
            <w:vAlign w:val="bottom"/>
            <w:tcBorders>
              <w:right w:val="single" w:sz="8" w:color="auto"/>
            </w:tcBorders>
          </w:tcPr>
          <w:p>
            <w:pPr>
              <w:ind w:left="40"/>
              <w:spacing w:after="0" w:line="156" w:lineRule="exact"/>
              <w:rPr>
                <w:sz w:val="20"/>
                <w:szCs w:val="20"/>
                <w:color w:val="auto"/>
              </w:rPr>
            </w:pPr>
            <w:r>
              <w:rPr>
                <w:rFonts w:ascii="Calibri" w:cs="Calibri" w:eastAsia="Calibri" w:hAnsi="Calibri"/>
                <w:sz w:val="16"/>
                <w:szCs w:val="16"/>
                <w:color w:val="auto"/>
              </w:rPr>
              <w:t>(3.6)</w:t>
            </w:r>
          </w:p>
        </w:tc>
        <w:tc>
          <w:tcPr>
            <w:tcW w:w="9880" w:type="dxa"/>
            <w:vAlign w:val="bottom"/>
            <w:tcBorders>
              <w:bottom w:val="single" w:sz="8" w:color="0000EE"/>
            </w:tcBorders>
            <w:gridSpan w:val="11"/>
          </w:tcPr>
          <w:p>
            <w:pPr>
              <w:spacing w:after="0" w:line="156" w:lineRule="exact"/>
              <w:rPr>
                <w:rFonts w:ascii="Calibri" w:cs="Calibri" w:eastAsia="Calibri" w:hAnsi="Calibri"/>
                <w:sz w:val="16"/>
                <w:szCs w:val="16"/>
                <w:color w:val="0000EE"/>
              </w:rPr>
            </w:pPr>
            <w:hyperlink r:id="rId716">
              <w:r>
                <w:rPr>
                  <w:rFonts w:ascii="Calibri" w:cs="Calibri" w:eastAsia="Calibri" w:hAnsi="Calibri"/>
                  <w:sz w:val="16"/>
                  <w:szCs w:val="16"/>
                  <w:color w:val="0000EE"/>
                </w:rPr>
                <w:t>Certfcate of Amendment to the Second Amended and Restated Certfcate of Incorporaton of Eastman Kodak Company (Incorporated by</w:t>
              </w:r>
            </w:hyperlink>
          </w:p>
        </w:tc>
        <w:tc>
          <w:tcPr>
            <w:tcW w:w="320" w:type="dxa"/>
            <w:vAlign w:val="bottom"/>
            <w:tcBorders>
              <w:right w:val="single" w:sz="8" w:color="auto"/>
            </w:tcBorders>
            <w:gridSpan w:val="7"/>
          </w:tcPr>
          <w:p>
            <w:pPr>
              <w:spacing w:after="0"/>
              <w:rPr>
                <w:sz w:val="13"/>
                <w:szCs w:val="13"/>
                <w:color w:val="auto"/>
              </w:rPr>
            </w:pPr>
          </w:p>
        </w:tc>
        <w:tc>
          <w:tcPr>
            <w:tcW w:w="120" w:type="dxa"/>
            <w:vAlign w:val="bottom"/>
          </w:tcPr>
          <w:p>
            <w:pPr>
              <w:spacing w:after="0"/>
              <w:rPr>
                <w:sz w:val="13"/>
                <w:szCs w:val="13"/>
                <w:color w:val="auto"/>
              </w:rPr>
            </w:pPr>
          </w:p>
        </w:tc>
      </w:tr>
      <w:tr>
        <w:trPr>
          <w:trHeight w:val="196"/>
        </w:trPr>
        <w:tc>
          <w:tcPr>
            <w:tcW w:w="920" w:type="dxa"/>
            <w:vAlign w:val="bottom"/>
            <w:tcBorders>
              <w:right w:val="single" w:sz="8" w:color="auto"/>
            </w:tcBorders>
          </w:tcPr>
          <w:p>
            <w:pPr>
              <w:spacing w:after="0"/>
              <w:rPr>
                <w:sz w:val="17"/>
                <w:szCs w:val="17"/>
                <w:color w:val="auto"/>
              </w:rPr>
            </w:pPr>
          </w:p>
        </w:tc>
        <w:tc>
          <w:tcPr>
            <w:tcW w:w="10200" w:type="dxa"/>
            <w:vAlign w:val="bottom"/>
            <w:tcBorders>
              <w:right w:val="single" w:sz="8" w:color="auto"/>
            </w:tcBorders>
            <w:gridSpan w:val="18"/>
          </w:tcPr>
          <w:p>
            <w:pPr>
              <w:spacing w:after="0" w:line="196" w:lineRule="exact"/>
              <w:rPr>
                <w:rFonts w:ascii="Calibri" w:cs="Calibri" w:eastAsia="Calibri" w:hAnsi="Calibri"/>
                <w:sz w:val="18"/>
                <w:szCs w:val="18"/>
                <w:color w:val="0000EE"/>
              </w:rPr>
            </w:pPr>
            <w:hyperlink r:id="rId716">
              <w:r>
                <w:rPr>
                  <w:rFonts w:ascii="Calibri" w:cs="Calibri" w:eastAsia="Calibri" w:hAnsi="Calibri"/>
                  <w:sz w:val="18"/>
                  <w:szCs w:val="18"/>
                  <w:color w:val="0000EE"/>
                </w:rPr>
                <w:t>reference to Exhibit 3.1 of the Company’s Current Report on Form 8-K as fled March 1, 2021).</w:t>
              </w:r>
            </w:hyperlink>
          </w:p>
        </w:tc>
        <w:tc>
          <w:tcPr>
            <w:tcW w:w="120" w:type="dxa"/>
            <w:vAlign w:val="bottom"/>
          </w:tcPr>
          <w:p>
            <w:pPr>
              <w:spacing w:after="0"/>
              <w:rPr>
                <w:sz w:val="17"/>
                <w:szCs w:val="17"/>
                <w:color w:val="auto"/>
              </w:rPr>
            </w:pPr>
          </w:p>
        </w:tc>
      </w:tr>
      <w:tr>
        <w:trPr>
          <w:trHeight w:val="34"/>
        </w:trPr>
        <w:tc>
          <w:tcPr>
            <w:tcW w:w="920" w:type="dxa"/>
            <w:vAlign w:val="bottom"/>
            <w:tcBorders>
              <w:bottom w:val="single" w:sz="8" w:color="auto"/>
              <w:right w:val="single" w:sz="8" w:color="auto"/>
            </w:tcBorders>
          </w:tcPr>
          <w:p>
            <w:pPr>
              <w:spacing w:after="0"/>
              <w:rPr>
                <w:sz w:val="2"/>
                <w:szCs w:val="2"/>
                <w:color w:val="auto"/>
              </w:rPr>
            </w:pPr>
          </w:p>
        </w:tc>
        <w:tc>
          <w:tcPr>
            <w:tcW w:w="5640" w:type="dxa"/>
            <w:vAlign w:val="bottom"/>
            <w:tcBorders>
              <w:top w:val="single" w:sz="8" w:color="0000EE"/>
              <w:bottom w:val="single" w:sz="8" w:color="auto"/>
            </w:tcBorders>
          </w:tcPr>
          <w:p>
            <w:pPr>
              <w:spacing w:after="0"/>
              <w:rPr>
                <w:sz w:val="2"/>
                <w:szCs w:val="2"/>
                <w:color w:val="auto"/>
              </w:rPr>
            </w:pPr>
          </w:p>
        </w:tc>
        <w:tc>
          <w:tcPr>
            <w:tcW w:w="1060" w:type="dxa"/>
            <w:vAlign w:val="bottom"/>
            <w:tcBorders>
              <w:top w:val="single" w:sz="8" w:color="0000EE"/>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10"/>
        </w:trPr>
        <w:tc>
          <w:tcPr>
            <w:tcW w:w="92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55"/>
        </w:trPr>
        <w:tc>
          <w:tcPr>
            <w:tcW w:w="920" w:type="dxa"/>
            <w:vAlign w:val="bottom"/>
            <w:tcBorders>
              <w:right w:val="single" w:sz="8" w:color="auto"/>
            </w:tcBorders>
          </w:tcPr>
          <w:p>
            <w:pPr>
              <w:ind w:left="40"/>
              <w:spacing w:after="0" w:line="156" w:lineRule="exact"/>
              <w:rPr>
                <w:sz w:val="20"/>
                <w:szCs w:val="20"/>
                <w:color w:val="auto"/>
              </w:rPr>
            </w:pPr>
            <w:r>
              <w:rPr>
                <w:rFonts w:ascii="Calibri" w:cs="Calibri" w:eastAsia="Calibri" w:hAnsi="Calibri"/>
                <w:sz w:val="16"/>
                <w:szCs w:val="16"/>
                <w:color w:val="auto"/>
              </w:rPr>
              <w:t>(3.7)</w:t>
            </w:r>
          </w:p>
        </w:tc>
        <w:tc>
          <w:tcPr>
            <w:tcW w:w="9880" w:type="dxa"/>
            <w:vAlign w:val="bottom"/>
            <w:tcBorders>
              <w:bottom w:val="single" w:sz="8" w:color="0000EE"/>
            </w:tcBorders>
            <w:gridSpan w:val="11"/>
          </w:tcPr>
          <w:p>
            <w:pPr>
              <w:spacing w:after="0" w:line="156" w:lineRule="exact"/>
              <w:rPr>
                <w:rFonts w:ascii="Calibri" w:cs="Calibri" w:eastAsia="Calibri" w:hAnsi="Calibri"/>
                <w:sz w:val="16"/>
                <w:szCs w:val="16"/>
                <w:color w:val="0000EE"/>
              </w:rPr>
            </w:pPr>
            <w:hyperlink r:id="rId717">
              <w:r>
                <w:rPr>
                  <w:rFonts w:ascii="Calibri" w:cs="Calibri" w:eastAsia="Calibri" w:hAnsi="Calibri"/>
                  <w:sz w:val="16"/>
                  <w:szCs w:val="16"/>
                  <w:color w:val="0000EE"/>
                </w:rPr>
                <w:t>Certfcate of Amendment to the Second Amended and Restated Certfcate of Incorporaton of Eastman Kodak Company (Incorporated by</w:t>
              </w:r>
            </w:hyperlink>
          </w:p>
        </w:tc>
        <w:tc>
          <w:tcPr>
            <w:tcW w:w="320" w:type="dxa"/>
            <w:vAlign w:val="bottom"/>
            <w:tcBorders>
              <w:right w:val="single" w:sz="8" w:color="auto"/>
            </w:tcBorders>
            <w:gridSpan w:val="7"/>
          </w:tcPr>
          <w:p>
            <w:pPr>
              <w:spacing w:after="0"/>
              <w:rPr>
                <w:sz w:val="13"/>
                <w:szCs w:val="13"/>
                <w:color w:val="auto"/>
              </w:rPr>
            </w:pPr>
          </w:p>
        </w:tc>
        <w:tc>
          <w:tcPr>
            <w:tcW w:w="120" w:type="dxa"/>
            <w:vAlign w:val="bottom"/>
          </w:tcPr>
          <w:p>
            <w:pPr>
              <w:spacing w:after="0"/>
              <w:rPr>
                <w:sz w:val="13"/>
                <w:szCs w:val="13"/>
                <w:color w:val="auto"/>
              </w:rPr>
            </w:pPr>
          </w:p>
        </w:tc>
      </w:tr>
      <w:tr>
        <w:trPr>
          <w:trHeight w:val="196"/>
        </w:trPr>
        <w:tc>
          <w:tcPr>
            <w:tcW w:w="920" w:type="dxa"/>
            <w:vAlign w:val="bottom"/>
            <w:tcBorders>
              <w:right w:val="single" w:sz="8" w:color="auto"/>
            </w:tcBorders>
          </w:tcPr>
          <w:p>
            <w:pPr>
              <w:spacing w:after="0"/>
              <w:rPr>
                <w:sz w:val="17"/>
                <w:szCs w:val="17"/>
                <w:color w:val="auto"/>
              </w:rPr>
            </w:pPr>
          </w:p>
        </w:tc>
        <w:tc>
          <w:tcPr>
            <w:tcW w:w="10200" w:type="dxa"/>
            <w:vAlign w:val="bottom"/>
            <w:tcBorders>
              <w:right w:val="single" w:sz="8" w:color="auto"/>
            </w:tcBorders>
            <w:gridSpan w:val="18"/>
          </w:tcPr>
          <w:p>
            <w:pPr>
              <w:spacing w:after="0" w:line="196" w:lineRule="exact"/>
              <w:rPr>
                <w:rFonts w:ascii="Calibri" w:cs="Calibri" w:eastAsia="Calibri" w:hAnsi="Calibri"/>
                <w:sz w:val="18"/>
                <w:szCs w:val="18"/>
                <w:color w:val="0000EE"/>
              </w:rPr>
            </w:pPr>
            <w:hyperlink r:id="rId717">
              <w:r>
                <w:rPr>
                  <w:rFonts w:ascii="Calibri" w:cs="Calibri" w:eastAsia="Calibri" w:hAnsi="Calibri"/>
                  <w:sz w:val="18"/>
                  <w:szCs w:val="18"/>
                  <w:color w:val="0000EE"/>
                </w:rPr>
                <w:t>reference to Exhibit 3.2 of the Company’s Current Report on Form 8-K as fled March 1, 2021).</w:t>
              </w:r>
            </w:hyperlink>
          </w:p>
        </w:tc>
        <w:tc>
          <w:tcPr>
            <w:tcW w:w="120" w:type="dxa"/>
            <w:vAlign w:val="bottom"/>
          </w:tcPr>
          <w:p>
            <w:pPr>
              <w:spacing w:after="0"/>
              <w:rPr>
                <w:sz w:val="17"/>
                <w:szCs w:val="17"/>
                <w:color w:val="auto"/>
              </w:rPr>
            </w:pPr>
          </w:p>
        </w:tc>
      </w:tr>
      <w:tr>
        <w:trPr>
          <w:trHeight w:val="34"/>
        </w:trPr>
        <w:tc>
          <w:tcPr>
            <w:tcW w:w="920" w:type="dxa"/>
            <w:vAlign w:val="bottom"/>
            <w:tcBorders>
              <w:bottom w:val="single" w:sz="8" w:color="auto"/>
              <w:right w:val="single" w:sz="8" w:color="auto"/>
            </w:tcBorders>
          </w:tcPr>
          <w:p>
            <w:pPr>
              <w:spacing w:after="0"/>
              <w:rPr>
                <w:sz w:val="2"/>
                <w:szCs w:val="2"/>
                <w:color w:val="auto"/>
              </w:rPr>
            </w:pPr>
          </w:p>
        </w:tc>
        <w:tc>
          <w:tcPr>
            <w:tcW w:w="5640" w:type="dxa"/>
            <w:vAlign w:val="bottom"/>
            <w:tcBorders>
              <w:top w:val="single" w:sz="8" w:color="0000EE"/>
              <w:bottom w:val="single" w:sz="8" w:color="auto"/>
            </w:tcBorders>
          </w:tcPr>
          <w:p>
            <w:pPr>
              <w:spacing w:after="0"/>
              <w:rPr>
                <w:sz w:val="2"/>
                <w:szCs w:val="2"/>
                <w:color w:val="auto"/>
              </w:rPr>
            </w:pPr>
          </w:p>
        </w:tc>
        <w:tc>
          <w:tcPr>
            <w:tcW w:w="1060" w:type="dxa"/>
            <w:vAlign w:val="bottom"/>
            <w:tcBorders>
              <w:top w:val="single" w:sz="8" w:color="0000EE"/>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09"/>
        </w:trPr>
        <w:tc>
          <w:tcPr>
            <w:tcW w:w="92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55"/>
        </w:trPr>
        <w:tc>
          <w:tcPr>
            <w:tcW w:w="920" w:type="dxa"/>
            <w:vAlign w:val="bottom"/>
            <w:tcBorders>
              <w:right w:val="single" w:sz="8" w:color="auto"/>
            </w:tcBorders>
          </w:tcPr>
          <w:p>
            <w:pPr>
              <w:ind w:left="40"/>
              <w:spacing w:after="0" w:line="156" w:lineRule="exact"/>
              <w:rPr>
                <w:sz w:val="20"/>
                <w:szCs w:val="20"/>
                <w:color w:val="auto"/>
              </w:rPr>
            </w:pPr>
            <w:r>
              <w:rPr>
                <w:rFonts w:ascii="Calibri" w:cs="Calibri" w:eastAsia="Calibri" w:hAnsi="Calibri"/>
                <w:sz w:val="16"/>
                <w:szCs w:val="16"/>
                <w:color w:val="auto"/>
              </w:rPr>
              <w:t>(3.8)</w:t>
            </w:r>
          </w:p>
        </w:tc>
        <w:tc>
          <w:tcPr>
            <w:tcW w:w="9940" w:type="dxa"/>
            <w:vAlign w:val="bottom"/>
            <w:tcBorders>
              <w:bottom w:val="single" w:sz="8" w:color="0000EE"/>
            </w:tcBorders>
            <w:gridSpan w:val="13"/>
          </w:tcPr>
          <w:p>
            <w:pPr>
              <w:spacing w:after="0" w:line="156" w:lineRule="exact"/>
              <w:rPr>
                <w:rFonts w:ascii="Calibri" w:cs="Calibri" w:eastAsia="Calibri" w:hAnsi="Calibri"/>
                <w:sz w:val="16"/>
                <w:szCs w:val="16"/>
                <w:color w:val="0000EE"/>
              </w:rPr>
            </w:pPr>
            <w:hyperlink r:id="rId718">
              <w:r>
                <w:rPr>
                  <w:rFonts w:ascii="Calibri" w:cs="Calibri" w:eastAsia="Calibri" w:hAnsi="Calibri"/>
                  <w:sz w:val="16"/>
                  <w:szCs w:val="16"/>
                  <w:color w:val="0000EE"/>
                </w:rPr>
                <w:t>Fourth Amended and Restated By-Laws of Eastman Kodak Company (Incorporated by reference to Exhibit (3.5) of the Company’s Quarterly</w:t>
              </w:r>
            </w:hyperlink>
          </w:p>
        </w:tc>
        <w:tc>
          <w:tcPr>
            <w:tcW w:w="260" w:type="dxa"/>
            <w:vAlign w:val="bottom"/>
            <w:tcBorders>
              <w:right w:val="single" w:sz="8" w:color="auto"/>
            </w:tcBorders>
            <w:gridSpan w:val="5"/>
          </w:tcPr>
          <w:p>
            <w:pPr>
              <w:spacing w:after="0"/>
              <w:rPr>
                <w:sz w:val="13"/>
                <w:szCs w:val="13"/>
                <w:color w:val="auto"/>
              </w:rPr>
            </w:pPr>
          </w:p>
        </w:tc>
        <w:tc>
          <w:tcPr>
            <w:tcW w:w="120" w:type="dxa"/>
            <w:vAlign w:val="bottom"/>
          </w:tcPr>
          <w:p>
            <w:pPr>
              <w:spacing w:after="0"/>
              <w:rPr>
                <w:sz w:val="13"/>
                <w:szCs w:val="13"/>
                <w:color w:val="auto"/>
              </w:rPr>
            </w:pPr>
          </w:p>
        </w:tc>
      </w:tr>
      <w:tr>
        <w:trPr>
          <w:trHeight w:val="196"/>
        </w:trPr>
        <w:tc>
          <w:tcPr>
            <w:tcW w:w="920" w:type="dxa"/>
            <w:vAlign w:val="bottom"/>
            <w:tcBorders>
              <w:right w:val="single" w:sz="8" w:color="auto"/>
            </w:tcBorders>
          </w:tcPr>
          <w:p>
            <w:pPr>
              <w:spacing w:after="0"/>
              <w:rPr>
                <w:sz w:val="17"/>
                <w:szCs w:val="17"/>
                <w:color w:val="auto"/>
              </w:rPr>
            </w:pPr>
          </w:p>
        </w:tc>
        <w:tc>
          <w:tcPr>
            <w:tcW w:w="10200" w:type="dxa"/>
            <w:vAlign w:val="bottom"/>
            <w:tcBorders>
              <w:right w:val="single" w:sz="8" w:color="auto"/>
            </w:tcBorders>
            <w:gridSpan w:val="18"/>
          </w:tcPr>
          <w:p>
            <w:pPr>
              <w:spacing w:after="0" w:line="196" w:lineRule="exact"/>
              <w:rPr>
                <w:rFonts w:ascii="Calibri" w:cs="Calibri" w:eastAsia="Calibri" w:hAnsi="Calibri"/>
                <w:sz w:val="18"/>
                <w:szCs w:val="18"/>
                <w:color w:val="0000EE"/>
              </w:rPr>
            </w:pPr>
            <w:hyperlink r:id="rId718">
              <w:r>
                <w:rPr>
                  <w:rFonts w:ascii="Calibri" w:cs="Calibri" w:eastAsia="Calibri" w:hAnsi="Calibri"/>
                  <w:sz w:val="18"/>
                  <w:szCs w:val="18"/>
                  <w:color w:val="0000EE"/>
                </w:rPr>
                <w:t>Report on Form 10-Q for the quarterly period ended March 31, 2020 as fled on May 12, 2020).</w:t>
              </w:r>
            </w:hyperlink>
          </w:p>
        </w:tc>
        <w:tc>
          <w:tcPr>
            <w:tcW w:w="120" w:type="dxa"/>
            <w:vAlign w:val="bottom"/>
          </w:tcPr>
          <w:p>
            <w:pPr>
              <w:spacing w:after="0"/>
              <w:rPr>
                <w:sz w:val="17"/>
                <w:szCs w:val="17"/>
                <w:color w:val="auto"/>
              </w:rPr>
            </w:pPr>
          </w:p>
        </w:tc>
      </w:tr>
      <w:tr>
        <w:trPr>
          <w:trHeight w:val="34"/>
        </w:trPr>
        <w:tc>
          <w:tcPr>
            <w:tcW w:w="920" w:type="dxa"/>
            <w:vAlign w:val="bottom"/>
            <w:tcBorders>
              <w:bottom w:val="single" w:sz="8" w:color="auto"/>
              <w:right w:val="single" w:sz="8" w:color="auto"/>
            </w:tcBorders>
          </w:tcPr>
          <w:p>
            <w:pPr>
              <w:spacing w:after="0"/>
              <w:rPr>
                <w:sz w:val="2"/>
                <w:szCs w:val="2"/>
                <w:color w:val="auto"/>
              </w:rPr>
            </w:pPr>
          </w:p>
        </w:tc>
        <w:tc>
          <w:tcPr>
            <w:tcW w:w="5640" w:type="dxa"/>
            <w:vAlign w:val="bottom"/>
            <w:tcBorders>
              <w:top w:val="single" w:sz="8" w:color="0000EE"/>
              <w:bottom w:val="single" w:sz="8" w:color="auto"/>
            </w:tcBorders>
          </w:tcPr>
          <w:p>
            <w:pPr>
              <w:spacing w:after="0"/>
              <w:rPr>
                <w:sz w:val="2"/>
                <w:szCs w:val="2"/>
                <w:color w:val="auto"/>
              </w:rPr>
            </w:pPr>
          </w:p>
        </w:tc>
        <w:tc>
          <w:tcPr>
            <w:tcW w:w="106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10"/>
        </w:trPr>
        <w:tc>
          <w:tcPr>
            <w:tcW w:w="92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55"/>
        </w:trPr>
        <w:tc>
          <w:tcPr>
            <w:tcW w:w="920" w:type="dxa"/>
            <w:vAlign w:val="bottom"/>
            <w:tcBorders>
              <w:right w:val="single" w:sz="8" w:color="auto"/>
            </w:tcBorders>
          </w:tcPr>
          <w:p>
            <w:pPr>
              <w:ind w:left="40"/>
              <w:spacing w:after="0" w:line="156" w:lineRule="exact"/>
              <w:rPr>
                <w:sz w:val="20"/>
                <w:szCs w:val="20"/>
                <w:color w:val="auto"/>
              </w:rPr>
            </w:pPr>
            <w:r>
              <w:rPr>
                <w:rFonts w:ascii="Calibri" w:cs="Calibri" w:eastAsia="Calibri" w:hAnsi="Calibri"/>
                <w:sz w:val="16"/>
                <w:szCs w:val="16"/>
                <w:color w:val="auto"/>
              </w:rPr>
              <w:t>(4.1)</w:t>
            </w:r>
          </w:p>
        </w:tc>
        <w:tc>
          <w:tcPr>
            <w:tcW w:w="10060" w:type="dxa"/>
            <w:vAlign w:val="bottom"/>
            <w:tcBorders>
              <w:bottom w:val="single" w:sz="8" w:color="0000EE"/>
            </w:tcBorders>
            <w:gridSpan w:val="15"/>
          </w:tcPr>
          <w:p>
            <w:pPr>
              <w:spacing w:after="0" w:line="156" w:lineRule="exact"/>
              <w:rPr>
                <w:rFonts w:ascii="Calibri" w:cs="Calibri" w:eastAsia="Calibri" w:hAnsi="Calibri"/>
                <w:sz w:val="16"/>
                <w:szCs w:val="16"/>
                <w:color w:val="0000EE"/>
              </w:rPr>
            </w:pPr>
            <w:hyperlink r:id="rId719">
              <w:r>
                <w:rPr>
                  <w:rFonts w:ascii="Calibri" w:cs="Calibri" w:eastAsia="Calibri" w:hAnsi="Calibri"/>
                  <w:sz w:val="16"/>
                  <w:szCs w:val="16"/>
                  <w:color w:val="0000EE"/>
                </w:rPr>
                <w:t>Registraton Rights Agreement between Eastman Kodak Company and certain stockholders listed on Schedule 1 thereto, dated September 3,</w:t>
              </w:r>
            </w:hyperlink>
          </w:p>
        </w:tc>
        <w:tc>
          <w:tcPr>
            <w:tcW w:w="140" w:type="dxa"/>
            <w:vAlign w:val="bottom"/>
            <w:tcBorders>
              <w:right w:val="single" w:sz="8" w:color="auto"/>
            </w:tcBorders>
            <w:gridSpan w:val="3"/>
          </w:tcPr>
          <w:p>
            <w:pPr>
              <w:spacing w:after="0"/>
              <w:rPr>
                <w:sz w:val="13"/>
                <w:szCs w:val="13"/>
                <w:color w:val="auto"/>
              </w:rPr>
            </w:pPr>
          </w:p>
        </w:tc>
        <w:tc>
          <w:tcPr>
            <w:tcW w:w="120" w:type="dxa"/>
            <w:vAlign w:val="bottom"/>
          </w:tcPr>
          <w:p>
            <w:pPr>
              <w:spacing w:after="0"/>
              <w:rPr>
                <w:sz w:val="13"/>
                <w:szCs w:val="13"/>
                <w:color w:val="auto"/>
              </w:rPr>
            </w:pPr>
          </w:p>
        </w:tc>
      </w:tr>
      <w:tr>
        <w:trPr>
          <w:trHeight w:val="196"/>
        </w:trPr>
        <w:tc>
          <w:tcPr>
            <w:tcW w:w="920" w:type="dxa"/>
            <w:vAlign w:val="bottom"/>
            <w:tcBorders>
              <w:right w:val="single" w:sz="8" w:color="auto"/>
            </w:tcBorders>
          </w:tcPr>
          <w:p>
            <w:pPr>
              <w:spacing w:after="0"/>
              <w:rPr>
                <w:sz w:val="17"/>
                <w:szCs w:val="17"/>
                <w:color w:val="auto"/>
              </w:rPr>
            </w:pPr>
          </w:p>
        </w:tc>
        <w:tc>
          <w:tcPr>
            <w:tcW w:w="10200" w:type="dxa"/>
            <w:vAlign w:val="bottom"/>
            <w:tcBorders>
              <w:right w:val="single" w:sz="8" w:color="auto"/>
            </w:tcBorders>
            <w:gridSpan w:val="18"/>
          </w:tcPr>
          <w:p>
            <w:pPr>
              <w:spacing w:after="0" w:line="196" w:lineRule="exact"/>
              <w:rPr>
                <w:rFonts w:ascii="Calibri" w:cs="Calibri" w:eastAsia="Calibri" w:hAnsi="Calibri"/>
                <w:sz w:val="18"/>
                <w:szCs w:val="18"/>
                <w:color w:val="0000EE"/>
              </w:rPr>
            </w:pPr>
            <w:hyperlink r:id="rId719">
              <w:r>
                <w:rPr>
                  <w:rFonts w:ascii="Calibri" w:cs="Calibri" w:eastAsia="Calibri" w:hAnsi="Calibri"/>
                  <w:sz w:val="18"/>
                  <w:szCs w:val="18"/>
                  <w:color w:val="0000EE"/>
                </w:rPr>
                <w:t>2013. (Incorporated by reference to Exhibit 4.1 of the Company’s Registraton Statement on Form 8-A as fled on September 3, 2013).</w:t>
              </w:r>
            </w:hyperlink>
          </w:p>
        </w:tc>
        <w:tc>
          <w:tcPr>
            <w:tcW w:w="120" w:type="dxa"/>
            <w:vAlign w:val="bottom"/>
          </w:tcPr>
          <w:p>
            <w:pPr>
              <w:spacing w:after="0"/>
              <w:rPr>
                <w:sz w:val="17"/>
                <w:szCs w:val="17"/>
                <w:color w:val="auto"/>
              </w:rPr>
            </w:pPr>
          </w:p>
        </w:tc>
      </w:tr>
      <w:tr>
        <w:trPr>
          <w:trHeight w:val="34"/>
        </w:trPr>
        <w:tc>
          <w:tcPr>
            <w:tcW w:w="920" w:type="dxa"/>
            <w:vAlign w:val="bottom"/>
            <w:tcBorders>
              <w:bottom w:val="single" w:sz="8" w:color="auto"/>
              <w:right w:val="single" w:sz="8" w:color="auto"/>
            </w:tcBorders>
          </w:tcPr>
          <w:p>
            <w:pPr>
              <w:spacing w:after="0"/>
              <w:rPr>
                <w:sz w:val="2"/>
                <w:szCs w:val="2"/>
                <w:color w:val="auto"/>
              </w:rPr>
            </w:pPr>
          </w:p>
        </w:tc>
        <w:tc>
          <w:tcPr>
            <w:tcW w:w="5640" w:type="dxa"/>
            <w:vAlign w:val="bottom"/>
            <w:tcBorders>
              <w:top w:val="single" w:sz="8" w:color="0000EE"/>
              <w:bottom w:val="single" w:sz="8" w:color="auto"/>
            </w:tcBorders>
          </w:tcPr>
          <w:p>
            <w:pPr>
              <w:spacing w:after="0"/>
              <w:rPr>
                <w:sz w:val="2"/>
                <w:szCs w:val="2"/>
                <w:color w:val="auto"/>
              </w:rPr>
            </w:pPr>
          </w:p>
        </w:tc>
        <w:tc>
          <w:tcPr>
            <w:tcW w:w="106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2280" w:type="dxa"/>
            <w:vAlign w:val="bottom"/>
            <w:tcBorders>
              <w:top w:val="single" w:sz="8" w:color="0000EE"/>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10"/>
        </w:trPr>
        <w:tc>
          <w:tcPr>
            <w:tcW w:w="92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55"/>
        </w:trPr>
        <w:tc>
          <w:tcPr>
            <w:tcW w:w="920" w:type="dxa"/>
            <w:vAlign w:val="bottom"/>
            <w:tcBorders>
              <w:right w:val="single" w:sz="8" w:color="auto"/>
            </w:tcBorders>
          </w:tcPr>
          <w:p>
            <w:pPr>
              <w:ind w:left="40"/>
              <w:spacing w:after="0" w:line="156" w:lineRule="exact"/>
              <w:rPr>
                <w:sz w:val="20"/>
                <w:szCs w:val="20"/>
                <w:color w:val="auto"/>
              </w:rPr>
            </w:pPr>
            <w:r>
              <w:rPr>
                <w:rFonts w:ascii="Calibri" w:cs="Calibri" w:eastAsia="Calibri" w:hAnsi="Calibri"/>
                <w:sz w:val="16"/>
                <w:szCs w:val="16"/>
                <w:color w:val="auto"/>
              </w:rPr>
              <w:t>(4.2)</w:t>
            </w:r>
          </w:p>
        </w:tc>
        <w:tc>
          <w:tcPr>
            <w:tcW w:w="10000" w:type="dxa"/>
            <w:vAlign w:val="bottom"/>
            <w:tcBorders>
              <w:bottom w:val="single" w:sz="8" w:color="0000EE"/>
            </w:tcBorders>
            <w:gridSpan w:val="14"/>
          </w:tcPr>
          <w:p>
            <w:pPr>
              <w:spacing w:after="0" w:line="156" w:lineRule="exact"/>
              <w:rPr>
                <w:rFonts w:ascii="Calibri" w:cs="Calibri" w:eastAsia="Calibri" w:hAnsi="Calibri"/>
                <w:sz w:val="16"/>
                <w:szCs w:val="16"/>
                <w:color w:val="0000EE"/>
              </w:rPr>
            </w:pPr>
            <w:hyperlink r:id="rId720">
              <w:r>
                <w:rPr>
                  <w:rFonts w:ascii="Calibri" w:cs="Calibri" w:eastAsia="Calibri" w:hAnsi="Calibri"/>
                  <w:sz w:val="16"/>
                  <w:szCs w:val="16"/>
                  <w:color w:val="0000EE"/>
                </w:rPr>
                <w:t>Registraton Rights Agreement by and among Eastman Kodak Company, Southeastern Asset Management, Inc., Longleaf Partners Small-Cap</w:t>
              </w:r>
            </w:hyperlink>
          </w:p>
        </w:tc>
        <w:tc>
          <w:tcPr>
            <w:tcW w:w="200" w:type="dxa"/>
            <w:vAlign w:val="bottom"/>
            <w:tcBorders>
              <w:right w:val="single" w:sz="8" w:color="auto"/>
            </w:tcBorders>
            <w:gridSpan w:val="4"/>
          </w:tcPr>
          <w:p>
            <w:pPr>
              <w:spacing w:after="0"/>
              <w:rPr>
                <w:sz w:val="13"/>
                <w:szCs w:val="13"/>
                <w:color w:val="auto"/>
              </w:rPr>
            </w:pPr>
          </w:p>
        </w:tc>
        <w:tc>
          <w:tcPr>
            <w:tcW w:w="120" w:type="dxa"/>
            <w:vAlign w:val="bottom"/>
          </w:tcPr>
          <w:p>
            <w:pPr>
              <w:spacing w:after="0"/>
              <w:rPr>
                <w:sz w:val="13"/>
                <w:szCs w:val="13"/>
                <w:color w:val="auto"/>
              </w:rPr>
            </w:pPr>
          </w:p>
        </w:tc>
      </w:tr>
      <w:tr>
        <w:trPr>
          <w:trHeight w:val="196"/>
        </w:trPr>
        <w:tc>
          <w:tcPr>
            <w:tcW w:w="920" w:type="dxa"/>
            <w:vAlign w:val="bottom"/>
            <w:tcBorders>
              <w:right w:val="single" w:sz="8" w:color="auto"/>
            </w:tcBorders>
          </w:tcPr>
          <w:p>
            <w:pPr>
              <w:spacing w:after="0"/>
              <w:rPr>
                <w:sz w:val="17"/>
                <w:szCs w:val="17"/>
                <w:color w:val="auto"/>
              </w:rPr>
            </w:pPr>
          </w:p>
        </w:tc>
        <w:tc>
          <w:tcPr>
            <w:tcW w:w="10140" w:type="dxa"/>
            <w:vAlign w:val="bottom"/>
            <w:tcBorders>
              <w:bottom w:val="single" w:sz="8" w:color="0000EE"/>
            </w:tcBorders>
            <w:gridSpan w:val="16"/>
          </w:tcPr>
          <w:p>
            <w:pPr>
              <w:spacing w:after="0" w:line="196" w:lineRule="exact"/>
              <w:rPr>
                <w:rFonts w:ascii="Calibri" w:cs="Calibri" w:eastAsia="Calibri" w:hAnsi="Calibri"/>
                <w:sz w:val="18"/>
                <w:szCs w:val="18"/>
                <w:color w:val="0000EE"/>
                <w:w w:val="97"/>
              </w:rPr>
            </w:pPr>
            <w:hyperlink r:id="rId720">
              <w:r>
                <w:rPr>
                  <w:rFonts w:ascii="Calibri" w:cs="Calibri" w:eastAsia="Calibri" w:hAnsi="Calibri"/>
                  <w:sz w:val="18"/>
                  <w:szCs w:val="18"/>
                  <w:color w:val="0000EE"/>
                  <w:w w:val="97"/>
                </w:rPr>
                <w:t>Fund, C2W Partners Master Fund Limited and Deseret Mutual Pension Trust, dated November 15, 2016. (Incorporated by reference to Exhibit</w:t>
              </w:r>
            </w:hyperlink>
          </w:p>
        </w:tc>
        <w:tc>
          <w:tcPr>
            <w:tcW w:w="60" w:type="dxa"/>
            <w:vAlign w:val="bottom"/>
            <w:tcBorders>
              <w:right w:val="single" w:sz="8" w:color="auto"/>
            </w:tcBorders>
            <w:gridSpan w:val="2"/>
          </w:tcPr>
          <w:p>
            <w:pPr>
              <w:spacing w:after="0"/>
              <w:rPr>
                <w:sz w:val="17"/>
                <w:szCs w:val="17"/>
                <w:color w:val="auto"/>
              </w:rPr>
            </w:pPr>
          </w:p>
        </w:tc>
        <w:tc>
          <w:tcPr>
            <w:tcW w:w="120" w:type="dxa"/>
            <w:vAlign w:val="bottom"/>
          </w:tcPr>
          <w:p>
            <w:pPr>
              <w:spacing w:after="0"/>
              <w:rPr>
                <w:sz w:val="17"/>
                <w:szCs w:val="17"/>
                <w:color w:val="auto"/>
              </w:rPr>
            </w:pPr>
          </w:p>
        </w:tc>
      </w:tr>
      <w:tr>
        <w:trPr>
          <w:trHeight w:val="196"/>
        </w:trPr>
        <w:tc>
          <w:tcPr>
            <w:tcW w:w="920" w:type="dxa"/>
            <w:vAlign w:val="bottom"/>
            <w:tcBorders>
              <w:right w:val="single" w:sz="8" w:color="auto"/>
            </w:tcBorders>
          </w:tcPr>
          <w:p>
            <w:pPr>
              <w:spacing w:after="0"/>
              <w:rPr>
                <w:sz w:val="17"/>
                <w:szCs w:val="17"/>
                <w:color w:val="auto"/>
              </w:rPr>
            </w:pPr>
          </w:p>
        </w:tc>
        <w:tc>
          <w:tcPr>
            <w:tcW w:w="10200" w:type="dxa"/>
            <w:vAlign w:val="bottom"/>
            <w:tcBorders>
              <w:right w:val="single" w:sz="8" w:color="auto"/>
            </w:tcBorders>
            <w:gridSpan w:val="18"/>
          </w:tcPr>
          <w:p>
            <w:pPr>
              <w:spacing w:after="0" w:line="196" w:lineRule="exact"/>
              <w:rPr>
                <w:rFonts w:ascii="Calibri" w:cs="Calibri" w:eastAsia="Calibri" w:hAnsi="Calibri"/>
                <w:sz w:val="18"/>
                <w:szCs w:val="18"/>
                <w:color w:val="0000EE"/>
              </w:rPr>
            </w:pPr>
            <w:hyperlink r:id="rId720">
              <w:r>
                <w:rPr>
                  <w:rFonts w:ascii="Calibri" w:cs="Calibri" w:eastAsia="Calibri" w:hAnsi="Calibri"/>
                  <w:sz w:val="18"/>
                  <w:szCs w:val="18"/>
                  <w:color w:val="0000EE"/>
                </w:rPr>
                <w:t>4.1 of the Company’s Current Report on Form 8-K as fled November 16, 2016).</w:t>
              </w:r>
            </w:hyperlink>
          </w:p>
        </w:tc>
        <w:tc>
          <w:tcPr>
            <w:tcW w:w="120" w:type="dxa"/>
            <w:vAlign w:val="bottom"/>
          </w:tcPr>
          <w:p>
            <w:pPr>
              <w:spacing w:after="0"/>
              <w:rPr>
                <w:sz w:val="17"/>
                <w:szCs w:val="17"/>
                <w:color w:val="auto"/>
              </w:rPr>
            </w:pPr>
          </w:p>
        </w:tc>
      </w:tr>
      <w:tr>
        <w:trPr>
          <w:trHeight w:val="34"/>
        </w:trPr>
        <w:tc>
          <w:tcPr>
            <w:tcW w:w="920" w:type="dxa"/>
            <w:vAlign w:val="bottom"/>
            <w:tcBorders>
              <w:bottom w:val="single" w:sz="8" w:color="auto"/>
              <w:right w:val="single" w:sz="8" w:color="auto"/>
            </w:tcBorders>
          </w:tcPr>
          <w:p>
            <w:pPr>
              <w:spacing w:after="0"/>
              <w:rPr>
                <w:sz w:val="2"/>
                <w:szCs w:val="2"/>
                <w:color w:val="auto"/>
              </w:rPr>
            </w:pPr>
          </w:p>
        </w:tc>
        <w:tc>
          <w:tcPr>
            <w:tcW w:w="5640" w:type="dxa"/>
            <w:vAlign w:val="bottom"/>
            <w:tcBorders>
              <w:top w:val="single" w:sz="8" w:color="0000EE"/>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09"/>
        </w:trPr>
        <w:tc>
          <w:tcPr>
            <w:tcW w:w="92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55"/>
        </w:trPr>
        <w:tc>
          <w:tcPr>
            <w:tcW w:w="920" w:type="dxa"/>
            <w:vAlign w:val="bottom"/>
            <w:tcBorders>
              <w:right w:val="single" w:sz="8" w:color="auto"/>
            </w:tcBorders>
          </w:tcPr>
          <w:p>
            <w:pPr>
              <w:ind w:left="40"/>
              <w:spacing w:after="0" w:line="156" w:lineRule="exact"/>
              <w:rPr>
                <w:sz w:val="20"/>
                <w:szCs w:val="20"/>
                <w:color w:val="auto"/>
              </w:rPr>
            </w:pPr>
            <w:r>
              <w:rPr>
                <w:rFonts w:ascii="Calibri" w:cs="Calibri" w:eastAsia="Calibri" w:hAnsi="Calibri"/>
                <w:sz w:val="16"/>
                <w:szCs w:val="16"/>
                <w:color w:val="auto"/>
              </w:rPr>
              <w:t>(4.3)</w:t>
            </w:r>
          </w:p>
        </w:tc>
        <w:tc>
          <w:tcPr>
            <w:tcW w:w="10140" w:type="dxa"/>
            <w:vAlign w:val="bottom"/>
            <w:tcBorders>
              <w:bottom w:val="single" w:sz="8" w:color="0000EE"/>
            </w:tcBorders>
            <w:gridSpan w:val="16"/>
          </w:tcPr>
          <w:p>
            <w:pPr>
              <w:spacing w:after="0" w:line="156" w:lineRule="exact"/>
              <w:rPr>
                <w:rFonts w:ascii="Calibri" w:cs="Calibri" w:eastAsia="Calibri" w:hAnsi="Calibri"/>
                <w:sz w:val="16"/>
                <w:szCs w:val="16"/>
                <w:color w:val="0000EE"/>
              </w:rPr>
            </w:pPr>
            <w:hyperlink r:id="rId721">
              <w:r>
                <w:rPr>
                  <w:rFonts w:ascii="Calibri" w:cs="Calibri" w:eastAsia="Calibri" w:hAnsi="Calibri"/>
                  <w:sz w:val="16"/>
                  <w:szCs w:val="16"/>
                  <w:color w:val="0000EE"/>
                </w:rPr>
                <w:t>Shareholder Agreement, dated as of April 17, 2017, by and among Eastman Kodak Company, Longleaf Partners Small-Cap Fund, C2W Partners</w:t>
              </w:r>
            </w:hyperlink>
          </w:p>
        </w:tc>
        <w:tc>
          <w:tcPr>
            <w:tcW w:w="60" w:type="dxa"/>
            <w:vAlign w:val="bottom"/>
            <w:tcBorders>
              <w:right w:val="single" w:sz="8" w:color="auto"/>
            </w:tcBorders>
            <w:gridSpan w:val="2"/>
          </w:tcPr>
          <w:p>
            <w:pPr>
              <w:spacing w:after="0"/>
              <w:rPr>
                <w:sz w:val="13"/>
                <w:szCs w:val="13"/>
                <w:color w:val="auto"/>
              </w:rPr>
            </w:pPr>
          </w:p>
        </w:tc>
        <w:tc>
          <w:tcPr>
            <w:tcW w:w="120" w:type="dxa"/>
            <w:vAlign w:val="bottom"/>
          </w:tcPr>
          <w:p>
            <w:pPr>
              <w:spacing w:after="0"/>
              <w:rPr>
                <w:sz w:val="13"/>
                <w:szCs w:val="13"/>
                <w:color w:val="auto"/>
              </w:rPr>
            </w:pPr>
          </w:p>
        </w:tc>
      </w:tr>
      <w:tr>
        <w:trPr>
          <w:trHeight w:val="196"/>
        </w:trPr>
        <w:tc>
          <w:tcPr>
            <w:tcW w:w="920" w:type="dxa"/>
            <w:vAlign w:val="bottom"/>
            <w:tcBorders>
              <w:right w:val="single" w:sz="8" w:color="auto"/>
            </w:tcBorders>
          </w:tcPr>
          <w:p>
            <w:pPr>
              <w:spacing w:after="0"/>
              <w:rPr>
                <w:sz w:val="17"/>
                <w:szCs w:val="17"/>
                <w:color w:val="auto"/>
              </w:rPr>
            </w:pPr>
          </w:p>
        </w:tc>
        <w:tc>
          <w:tcPr>
            <w:tcW w:w="10200" w:type="dxa"/>
            <w:vAlign w:val="bottom"/>
            <w:tcBorders>
              <w:bottom w:val="single" w:sz="8" w:color="0000EE"/>
              <w:right w:val="single" w:sz="8" w:color="auto"/>
            </w:tcBorders>
            <w:gridSpan w:val="18"/>
          </w:tcPr>
          <w:p>
            <w:pPr>
              <w:spacing w:after="0" w:line="196" w:lineRule="exact"/>
              <w:rPr>
                <w:rFonts w:ascii="Calibri" w:cs="Calibri" w:eastAsia="Calibri" w:hAnsi="Calibri"/>
                <w:sz w:val="18"/>
                <w:szCs w:val="18"/>
                <w:color w:val="0000EE"/>
                <w:w w:val="97"/>
              </w:rPr>
            </w:pPr>
            <w:hyperlink r:id="rId721">
              <w:r>
                <w:rPr>
                  <w:rFonts w:ascii="Calibri" w:cs="Calibri" w:eastAsia="Calibri" w:hAnsi="Calibri"/>
                  <w:sz w:val="18"/>
                  <w:szCs w:val="18"/>
                  <w:color w:val="0000EE"/>
                  <w:w w:val="97"/>
                </w:rPr>
                <w:t>Master Fund Limited, Deseret Mutual Pension Trust and Southeastern Asset Management, Inc. (Incorporated by reference to Exhibit 4.6 of the</w:t>
              </w:r>
            </w:hyperlink>
          </w:p>
        </w:tc>
        <w:tc>
          <w:tcPr>
            <w:tcW w:w="120" w:type="dxa"/>
            <w:vAlign w:val="bottom"/>
          </w:tcPr>
          <w:p>
            <w:pPr>
              <w:spacing w:after="0"/>
              <w:rPr>
                <w:sz w:val="17"/>
                <w:szCs w:val="17"/>
                <w:color w:val="auto"/>
              </w:rPr>
            </w:pPr>
          </w:p>
        </w:tc>
      </w:tr>
      <w:tr>
        <w:trPr>
          <w:trHeight w:val="196"/>
        </w:trPr>
        <w:tc>
          <w:tcPr>
            <w:tcW w:w="920" w:type="dxa"/>
            <w:vAlign w:val="bottom"/>
            <w:tcBorders>
              <w:right w:val="single" w:sz="8" w:color="auto"/>
            </w:tcBorders>
          </w:tcPr>
          <w:p>
            <w:pPr>
              <w:spacing w:after="0"/>
              <w:rPr>
                <w:sz w:val="17"/>
                <w:szCs w:val="17"/>
                <w:color w:val="auto"/>
              </w:rPr>
            </w:pPr>
          </w:p>
        </w:tc>
        <w:tc>
          <w:tcPr>
            <w:tcW w:w="10200" w:type="dxa"/>
            <w:vAlign w:val="bottom"/>
            <w:tcBorders>
              <w:right w:val="single" w:sz="8" w:color="auto"/>
            </w:tcBorders>
            <w:gridSpan w:val="18"/>
          </w:tcPr>
          <w:p>
            <w:pPr>
              <w:spacing w:after="0" w:line="196" w:lineRule="exact"/>
              <w:rPr>
                <w:rFonts w:ascii="Calibri" w:cs="Calibri" w:eastAsia="Calibri" w:hAnsi="Calibri"/>
                <w:sz w:val="18"/>
                <w:szCs w:val="18"/>
                <w:color w:val="0000EE"/>
              </w:rPr>
            </w:pPr>
            <w:hyperlink r:id="rId721">
              <w:r>
                <w:rPr>
                  <w:rFonts w:ascii="Calibri" w:cs="Calibri" w:eastAsia="Calibri" w:hAnsi="Calibri"/>
                  <w:sz w:val="18"/>
                  <w:szCs w:val="18"/>
                  <w:color w:val="0000EE"/>
                </w:rPr>
                <w:t>Company’s Amendment No. 2 to Registraton Statement on Form S-3 as fled on May 5, 2017).</w:t>
              </w:r>
            </w:hyperlink>
          </w:p>
        </w:tc>
        <w:tc>
          <w:tcPr>
            <w:tcW w:w="120" w:type="dxa"/>
            <w:vAlign w:val="bottom"/>
          </w:tcPr>
          <w:p>
            <w:pPr>
              <w:spacing w:after="0"/>
              <w:rPr>
                <w:sz w:val="17"/>
                <w:szCs w:val="17"/>
                <w:color w:val="auto"/>
              </w:rPr>
            </w:pPr>
          </w:p>
        </w:tc>
      </w:tr>
      <w:tr>
        <w:trPr>
          <w:trHeight w:val="34"/>
        </w:trPr>
        <w:tc>
          <w:tcPr>
            <w:tcW w:w="920" w:type="dxa"/>
            <w:vAlign w:val="bottom"/>
            <w:tcBorders>
              <w:bottom w:val="single" w:sz="8" w:color="auto"/>
              <w:right w:val="single" w:sz="8" w:color="auto"/>
            </w:tcBorders>
          </w:tcPr>
          <w:p>
            <w:pPr>
              <w:spacing w:after="0"/>
              <w:rPr>
                <w:sz w:val="2"/>
                <w:szCs w:val="2"/>
                <w:color w:val="auto"/>
              </w:rPr>
            </w:pPr>
          </w:p>
        </w:tc>
        <w:tc>
          <w:tcPr>
            <w:tcW w:w="5640" w:type="dxa"/>
            <w:vAlign w:val="bottom"/>
            <w:tcBorders>
              <w:top w:val="single" w:sz="8" w:color="0000EE"/>
              <w:bottom w:val="single" w:sz="8" w:color="auto"/>
            </w:tcBorders>
          </w:tcPr>
          <w:p>
            <w:pPr>
              <w:spacing w:after="0"/>
              <w:rPr>
                <w:sz w:val="2"/>
                <w:szCs w:val="2"/>
                <w:color w:val="auto"/>
              </w:rPr>
            </w:pPr>
          </w:p>
        </w:tc>
        <w:tc>
          <w:tcPr>
            <w:tcW w:w="1060" w:type="dxa"/>
            <w:vAlign w:val="bottom"/>
            <w:tcBorders>
              <w:top w:val="single" w:sz="8" w:color="0000EE"/>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10"/>
        </w:trPr>
        <w:tc>
          <w:tcPr>
            <w:tcW w:w="92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55"/>
        </w:trPr>
        <w:tc>
          <w:tcPr>
            <w:tcW w:w="920" w:type="dxa"/>
            <w:vAlign w:val="bottom"/>
            <w:tcBorders>
              <w:right w:val="single" w:sz="8" w:color="auto"/>
            </w:tcBorders>
          </w:tcPr>
          <w:p>
            <w:pPr>
              <w:ind w:left="40"/>
              <w:spacing w:after="0" w:line="156" w:lineRule="exact"/>
              <w:rPr>
                <w:sz w:val="20"/>
                <w:szCs w:val="20"/>
                <w:color w:val="auto"/>
              </w:rPr>
            </w:pPr>
            <w:r>
              <w:rPr>
                <w:rFonts w:ascii="Calibri" w:cs="Calibri" w:eastAsia="Calibri" w:hAnsi="Calibri"/>
                <w:sz w:val="16"/>
                <w:szCs w:val="16"/>
                <w:color w:val="auto"/>
              </w:rPr>
              <w:t>(4.4)</w:t>
            </w:r>
          </w:p>
        </w:tc>
        <w:tc>
          <w:tcPr>
            <w:tcW w:w="9540" w:type="dxa"/>
            <w:vAlign w:val="bottom"/>
            <w:tcBorders>
              <w:bottom w:val="single" w:sz="8" w:color="0000EE"/>
            </w:tcBorders>
            <w:gridSpan w:val="9"/>
          </w:tcPr>
          <w:p>
            <w:pPr>
              <w:spacing w:after="0" w:line="156" w:lineRule="exact"/>
              <w:rPr>
                <w:rFonts w:ascii="Calibri" w:cs="Calibri" w:eastAsia="Calibri" w:hAnsi="Calibri"/>
                <w:sz w:val="16"/>
                <w:szCs w:val="16"/>
                <w:color w:val="0000EE"/>
              </w:rPr>
            </w:pPr>
            <w:hyperlink r:id="rId722">
              <w:r>
                <w:rPr>
                  <w:rFonts w:ascii="Calibri" w:cs="Calibri" w:eastAsia="Calibri" w:hAnsi="Calibri"/>
                  <w:sz w:val="16"/>
                  <w:szCs w:val="16"/>
                  <w:color w:val="0000EE"/>
                </w:rPr>
                <w:t>Amendment No. 1 to Shareholder Agreement, dated as of May 20, 2019 by and among Eastman Kodak Company, Southeastern Asset</w:t>
              </w:r>
            </w:hyperlink>
          </w:p>
        </w:tc>
        <w:tc>
          <w:tcPr>
            <w:tcW w:w="660" w:type="dxa"/>
            <w:vAlign w:val="bottom"/>
            <w:tcBorders>
              <w:right w:val="single" w:sz="8" w:color="auto"/>
            </w:tcBorders>
            <w:gridSpan w:val="9"/>
          </w:tcPr>
          <w:p>
            <w:pPr>
              <w:spacing w:after="0"/>
              <w:rPr>
                <w:sz w:val="13"/>
                <w:szCs w:val="13"/>
                <w:color w:val="auto"/>
              </w:rPr>
            </w:pPr>
          </w:p>
        </w:tc>
        <w:tc>
          <w:tcPr>
            <w:tcW w:w="120" w:type="dxa"/>
            <w:vAlign w:val="bottom"/>
          </w:tcPr>
          <w:p>
            <w:pPr>
              <w:spacing w:after="0"/>
              <w:rPr>
                <w:sz w:val="13"/>
                <w:szCs w:val="13"/>
                <w:color w:val="auto"/>
              </w:rPr>
            </w:pPr>
          </w:p>
        </w:tc>
      </w:tr>
      <w:tr>
        <w:trPr>
          <w:trHeight w:val="196"/>
        </w:trPr>
        <w:tc>
          <w:tcPr>
            <w:tcW w:w="920" w:type="dxa"/>
            <w:vAlign w:val="bottom"/>
            <w:tcBorders>
              <w:right w:val="single" w:sz="8" w:color="auto"/>
            </w:tcBorders>
          </w:tcPr>
          <w:p>
            <w:pPr>
              <w:spacing w:after="0"/>
              <w:rPr>
                <w:sz w:val="17"/>
                <w:szCs w:val="17"/>
                <w:color w:val="auto"/>
              </w:rPr>
            </w:pPr>
          </w:p>
        </w:tc>
        <w:tc>
          <w:tcPr>
            <w:tcW w:w="10160" w:type="dxa"/>
            <w:vAlign w:val="bottom"/>
            <w:tcBorders>
              <w:bottom w:val="single" w:sz="8" w:color="0000EE"/>
            </w:tcBorders>
            <w:gridSpan w:val="17"/>
          </w:tcPr>
          <w:p>
            <w:pPr>
              <w:spacing w:after="0" w:line="196" w:lineRule="exact"/>
              <w:rPr>
                <w:rFonts w:ascii="Calibri" w:cs="Calibri" w:eastAsia="Calibri" w:hAnsi="Calibri"/>
                <w:sz w:val="18"/>
                <w:szCs w:val="18"/>
                <w:color w:val="0000EE"/>
                <w:w w:val="98"/>
              </w:rPr>
            </w:pPr>
            <w:hyperlink r:id="rId722">
              <w:r>
                <w:rPr>
                  <w:rFonts w:ascii="Calibri" w:cs="Calibri" w:eastAsia="Calibri" w:hAnsi="Calibri"/>
                  <w:sz w:val="18"/>
                  <w:szCs w:val="18"/>
                  <w:color w:val="0000EE"/>
                  <w:w w:val="98"/>
                </w:rPr>
                <w:t>Management, Inc., Longleaf Partners Small-Cap Fund, C2W Partners Master Fund Limited and Deseret Mutual Pension Trust (Incorporated by</w:t>
              </w:r>
            </w:hyperlink>
          </w:p>
        </w:tc>
        <w:tc>
          <w:tcPr>
            <w:tcW w:w="4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96"/>
        </w:trPr>
        <w:tc>
          <w:tcPr>
            <w:tcW w:w="920" w:type="dxa"/>
            <w:vAlign w:val="bottom"/>
            <w:tcBorders>
              <w:right w:val="single" w:sz="8" w:color="auto"/>
            </w:tcBorders>
          </w:tcPr>
          <w:p>
            <w:pPr>
              <w:spacing w:after="0"/>
              <w:rPr>
                <w:sz w:val="17"/>
                <w:szCs w:val="17"/>
                <w:color w:val="auto"/>
              </w:rPr>
            </w:pPr>
          </w:p>
        </w:tc>
        <w:tc>
          <w:tcPr>
            <w:tcW w:w="10200" w:type="dxa"/>
            <w:vAlign w:val="bottom"/>
            <w:tcBorders>
              <w:right w:val="single" w:sz="8" w:color="auto"/>
            </w:tcBorders>
            <w:gridSpan w:val="18"/>
          </w:tcPr>
          <w:p>
            <w:pPr>
              <w:spacing w:after="0" w:line="196" w:lineRule="exact"/>
              <w:rPr>
                <w:rFonts w:ascii="Calibri" w:cs="Calibri" w:eastAsia="Calibri" w:hAnsi="Calibri"/>
                <w:sz w:val="18"/>
                <w:szCs w:val="18"/>
                <w:color w:val="0000EE"/>
              </w:rPr>
            </w:pPr>
            <w:hyperlink r:id="rId722">
              <w:r>
                <w:rPr>
                  <w:rFonts w:ascii="Calibri" w:cs="Calibri" w:eastAsia="Calibri" w:hAnsi="Calibri"/>
                  <w:sz w:val="18"/>
                  <w:szCs w:val="18"/>
                  <w:color w:val="0000EE"/>
                </w:rPr>
                <w:t>reference to Exhibit (10.2) of the Company’s Current Report on Form 8-K as fled May 21, 2019).</w:t>
              </w:r>
            </w:hyperlink>
          </w:p>
        </w:tc>
        <w:tc>
          <w:tcPr>
            <w:tcW w:w="120" w:type="dxa"/>
            <w:vAlign w:val="bottom"/>
          </w:tcPr>
          <w:p>
            <w:pPr>
              <w:spacing w:after="0"/>
              <w:rPr>
                <w:sz w:val="17"/>
                <w:szCs w:val="17"/>
                <w:color w:val="auto"/>
              </w:rPr>
            </w:pPr>
          </w:p>
        </w:tc>
      </w:tr>
      <w:tr>
        <w:trPr>
          <w:trHeight w:val="34"/>
        </w:trPr>
        <w:tc>
          <w:tcPr>
            <w:tcW w:w="920" w:type="dxa"/>
            <w:vAlign w:val="bottom"/>
            <w:tcBorders>
              <w:bottom w:val="single" w:sz="8" w:color="auto"/>
              <w:right w:val="single" w:sz="8" w:color="auto"/>
            </w:tcBorders>
          </w:tcPr>
          <w:p>
            <w:pPr>
              <w:spacing w:after="0"/>
              <w:rPr>
                <w:sz w:val="2"/>
                <w:szCs w:val="2"/>
                <w:color w:val="auto"/>
              </w:rPr>
            </w:pPr>
          </w:p>
        </w:tc>
        <w:tc>
          <w:tcPr>
            <w:tcW w:w="5640" w:type="dxa"/>
            <w:vAlign w:val="bottom"/>
            <w:tcBorders>
              <w:top w:val="single" w:sz="8" w:color="0000EE"/>
              <w:bottom w:val="single" w:sz="8" w:color="auto"/>
            </w:tcBorders>
          </w:tcPr>
          <w:p>
            <w:pPr>
              <w:spacing w:after="0"/>
              <w:rPr>
                <w:sz w:val="2"/>
                <w:szCs w:val="2"/>
                <w:color w:val="auto"/>
              </w:rPr>
            </w:pPr>
          </w:p>
        </w:tc>
        <w:tc>
          <w:tcPr>
            <w:tcW w:w="106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10"/>
        </w:trPr>
        <w:tc>
          <w:tcPr>
            <w:tcW w:w="92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375"/>
        </w:trPr>
        <w:tc>
          <w:tcPr>
            <w:tcW w:w="920" w:type="dxa"/>
            <w:vAlign w:val="bottom"/>
          </w:tcPr>
          <w:p>
            <w:pPr>
              <w:spacing w:after="0"/>
              <w:rPr>
                <w:sz w:val="24"/>
                <w:szCs w:val="24"/>
                <w:color w:val="auto"/>
              </w:rPr>
            </w:pPr>
          </w:p>
        </w:tc>
        <w:tc>
          <w:tcPr>
            <w:tcW w:w="5640" w:type="dxa"/>
            <w:vAlign w:val="bottom"/>
          </w:tcPr>
          <w:p>
            <w:pPr>
              <w:ind w:left="4580"/>
              <w:spacing w:after="0"/>
              <w:rPr>
                <w:sz w:val="20"/>
                <w:szCs w:val="20"/>
                <w:color w:val="auto"/>
              </w:rPr>
            </w:pPr>
            <w:r>
              <w:rPr>
                <w:rFonts w:ascii="Calibri" w:cs="Calibri" w:eastAsia="Calibri" w:hAnsi="Calibri"/>
                <w:sz w:val="18"/>
                <w:szCs w:val="18"/>
                <w:color w:val="auto"/>
              </w:rPr>
              <w:t>120</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530"/>
        </w:trPr>
        <w:tc>
          <w:tcPr>
            <w:tcW w:w="9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20" w:name="page121"/>
    <w:bookmarkEnd w:id="120"/>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313" w:lineRule="exact"/>
        <w:rPr>
          <w:sz w:val="20"/>
          <w:szCs w:val="20"/>
          <w:color w:val="auto"/>
        </w:rPr>
      </w:pPr>
    </w:p>
    <w:tbl>
      <w:tblPr>
        <w:tblLayout w:type="fixed"/>
        <w:tblInd w:w="10" w:type="dxa"/>
        <w:tblCellMar>
          <w:top w:w="0" w:type="dxa"/>
          <w:left w:w="0" w:type="dxa"/>
          <w:bottom w:w="0" w:type="dxa"/>
          <w:right w:w="0" w:type="dxa"/>
        </w:tblCellMar>
      </w:tblPr>
      <w:tr>
        <w:trPr>
          <w:trHeight w:val="179"/>
        </w:trPr>
        <w:tc>
          <w:tcPr>
            <w:tcW w:w="920" w:type="dxa"/>
            <w:vAlign w:val="bottom"/>
            <w:tcBorders>
              <w:top w:val="single" w:sz="8" w:color="auto"/>
              <w:left w:val="single" w:sz="8" w:color="auto"/>
              <w:right w:val="single" w:sz="8" w:color="auto"/>
            </w:tcBorders>
          </w:tcPr>
          <w:p>
            <w:pPr>
              <w:ind w:left="40"/>
              <w:spacing w:after="0" w:line="179" w:lineRule="exact"/>
              <w:rPr>
                <w:sz w:val="20"/>
                <w:szCs w:val="20"/>
                <w:color w:val="auto"/>
              </w:rPr>
            </w:pPr>
            <w:r>
              <w:rPr>
                <w:rFonts w:ascii="Calibri" w:cs="Calibri" w:eastAsia="Calibri" w:hAnsi="Calibri"/>
                <w:sz w:val="18"/>
                <w:szCs w:val="18"/>
                <w:color w:val="auto"/>
              </w:rPr>
              <w:t>(4.5)</w:t>
            </w:r>
          </w:p>
        </w:tc>
        <w:tc>
          <w:tcPr>
            <w:tcW w:w="9900" w:type="dxa"/>
            <w:vAlign w:val="bottom"/>
            <w:tcBorders>
              <w:top w:val="single" w:sz="8" w:color="auto"/>
              <w:bottom w:val="single" w:sz="8" w:color="0000EE"/>
            </w:tcBorders>
            <w:gridSpan w:val="21"/>
          </w:tcPr>
          <w:p>
            <w:pPr>
              <w:spacing w:after="0" w:line="179" w:lineRule="exact"/>
              <w:rPr>
                <w:rFonts w:ascii="Calibri" w:cs="Calibri" w:eastAsia="Calibri" w:hAnsi="Calibri"/>
                <w:sz w:val="18"/>
                <w:szCs w:val="18"/>
                <w:color w:val="0000EE"/>
                <w:w w:val="98"/>
              </w:rPr>
            </w:pPr>
            <w:hyperlink r:id="rId725">
              <w:r>
                <w:rPr>
                  <w:rFonts w:ascii="Calibri" w:cs="Calibri" w:eastAsia="Calibri" w:hAnsi="Calibri"/>
                  <w:sz w:val="18"/>
                  <w:szCs w:val="18"/>
                  <w:color w:val="0000EE"/>
                  <w:w w:val="98"/>
                </w:rPr>
                <w:t>Registraton Rights Agreement, dated as of May 24, 2019, by and among Eastman Kodak Company, Longleaf Partners SmallCap Fund, C2W</w:t>
              </w:r>
            </w:hyperlink>
          </w:p>
        </w:tc>
        <w:tc>
          <w:tcPr>
            <w:tcW w:w="300" w:type="dxa"/>
            <w:vAlign w:val="bottom"/>
            <w:tcBorders>
              <w:top w:val="single" w:sz="8" w:color="auto"/>
              <w:right w:val="single" w:sz="8" w:color="auto"/>
            </w:tcBorders>
            <w:gridSpan w:val="10"/>
          </w:tcPr>
          <w:p>
            <w:pPr>
              <w:spacing w:after="0"/>
              <w:rPr>
                <w:sz w:val="15"/>
                <w:szCs w:val="15"/>
                <w:color w:val="auto"/>
              </w:rPr>
            </w:pPr>
          </w:p>
        </w:tc>
        <w:tc>
          <w:tcPr>
            <w:tcW w:w="120" w:type="dxa"/>
            <w:vAlign w:val="bottom"/>
          </w:tcPr>
          <w:p>
            <w:pPr>
              <w:spacing w:after="0"/>
              <w:rPr>
                <w:sz w:val="15"/>
                <w:szCs w:val="15"/>
                <w:color w:val="auto"/>
              </w:rPr>
            </w:pPr>
          </w:p>
        </w:tc>
      </w:tr>
      <w:tr>
        <w:trPr>
          <w:trHeight w:val="196"/>
        </w:trPr>
        <w:tc>
          <w:tcPr>
            <w:tcW w:w="920" w:type="dxa"/>
            <w:vAlign w:val="bottom"/>
            <w:tcBorders>
              <w:left w:val="single" w:sz="8" w:color="auto"/>
              <w:right w:val="single" w:sz="8" w:color="auto"/>
            </w:tcBorders>
          </w:tcPr>
          <w:p>
            <w:pPr>
              <w:spacing w:after="0"/>
              <w:rPr>
                <w:sz w:val="17"/>
                <w:szCs w:val="17"/>
                <w:color w:val="auto"/>
              </w:rPr>
            </w:pPr>
          </w:p>
        </w:tc>
        <w:tc>
          <w:tcPr>
            <w:tcW w:w="10120" w:type="dxa"/>
            <w:vAlign w:val="bottom"/>
            <w:tcBorders>
              <w:bottom w:val="single" w:sz="8" w:color="0000EE"/>
            </w:tcBorders>
            <w:gridSpan w:val="29"/>
          </w:tcPr>
          <w:p>
            <w:pPr>
              <w:spacing w:after="0" w:line="196" w:lineRule="exact"/>
              <w:rPr>
                <w:rFonts w:ascii="Calibri" w:cs="Calibri" w:eastAsia="Calibri" w:hAnsi="Calibri"/>
                <w:sz w:val="18"/>
                <w:szCs w:val="18"/>
                <w:color w:val="0000EE"/>
                <w:w w:val="97"/>
              </w:rPr>
            </w:pPr>
            <w:hyperlink r:id="rId725">
              <w:r>
                <w:rPr>
                  <w:rFonts w:ascii="Calibri" w:cs="Calibri" w:eastAsia="Calibri" w:hAnsi="Calibri"/>
                  <w:sz w:val="18"/>
                  <w:szCs w:val="18"/>
                  <w:color w:val="0000EE"/>
                  <w:w w:val="97"/>
                </w:rPr>
                <w:t>Partners Master Fund Limited and Deseret Mutual Pension Trust (Incorporated by reference to Exhibit (4.3) of the Company’s Current Report</w:t>
              </w:r>
            </w:hyperlink>
          </w:p>
        </w:tc>
        <w:tc>
          <w:tcPr>
            <w:tcW w:w="80" w:type="dxa"/>
            <w:vAlign w:val="bottom"/>
            <w:tcBorders>
              <w:right w:val="single" w:sz="8" w:color="auto"/>
            </w:tcBorders>
            <w:gridSpan w:val="2"/>
          </w:tcPr>
          <w:p>
            <w:pPr>
              <w:spacing w:after="0"/>
              <w:rPr>
                <w:sz w:val="17"/>
                <w:szCs w:val="17"/>
                <w:color w:val="auto"/>
              </w:rPr>
            </w:pPr>
          </w:p>
        </w:tc>
        <w:tc>
          <w:tcPr>
            <w:tcW w:w="120" w:type="dxa"/>
            <w:vAlign w:val="bottom"/>
          </w:tcPr>
          <w:p>
            <w:pPr>
              <w:spacing w:after="0"/>
              <w:rPr>
                <w:sz w:val="17"/>
                <w:szCs w:val="17"/>
                <w:color w:val="auto"/>
              </w:rPr>
            </w:pPr>
          </w:p>
        </w:tc>
      </w:tr>
      <w:tr>
        <w:trPr>
          <w:trHeight w:val="196"/>
        </w:trPr>
        <w:tc>
          <w:tcPr>
            <w:tcW w:w="920" w:type="dxa"/>
            <w:vAlign w:val="bottom"/>
            <w:tcBorders>
              <w:left w:val="single" w:sz="8" w:color="auto"/>
              <w:right w:val="single" w:sz="8" w:color="auto"/>
            </w:tcBorders>
          </w:tcPr>
          <w:p>
            <w:pPr>
              <w:spacing w:after="0"/>
              <w:rPr>
                <w:sz w:val="17"/>
                <w:szCs w:val="17"/>
                <w:color w:val="auto"/>
              </w:rPr>
            </w:pPr>
          </w:p>
        </w:tc>
        <w:tc>
          <w:tcPr>
            <w:tcW w:w="10200" w:type="dxa"/>
            <w:vAlign w:val="bottom"/>
            <w:tcBorders>
              <w:right w:val="single" w:sz="8" w:color="auto"/>
            </w:tcBorders>
            <w:gridSpan w:val="31"/>
          </w:tcPr>
          <w:p>
            <w:pPr>
              <w:spacing w:after="0" w:line="196" w:lineRule="exact"/>
              <w:rPr>
                <w:rFonts w:ascii="Calibri" w:cs="Calibri" w:eastAsia="Calibri" w:hAnsi="Calibri"/>
                <w:sz w:val="18"/>
                <w:szCs w:val="18"/>
                <w:color w:val="0000EE"/>
              </w:rPr>
            </w:pPr>
            <w:hyperlink r:id="rId725">
              <w:r>
                <w:rPr>
                  <w:rFonts w:ascii="Calibri" w:cs="Calibri" w:eastAsia="Calibri" w:hAnsi="Calibri"/>
                  <w:sz w:val="18"/>
                  <w:szCs w:val="18"/>
                  <w:color w:val="0000EE"/>
                </w:rPr>
                <w:t>on Form 8-K as fled May 24, 2019).</w:t>
              </w:r>
            </w:hyperlink>
          </w:p>
        </w:tc>
        <w:tc>
          <w:tcPr>
            <w:tcW w:w="120" w:type="dxa"/>
            <w:vAlign w:val="bottom"/>
          </w:tcPr>
          <w:p>
            <w:pPr>
              <w:spacing w:after="0"/>
              <w:rPr>
                <w:sz w:val="17"/>
                <w:szCs w:val="17"/>
                <w:color w:val="auto"/>
              </w:rPr>
            </w:pPr>
          </w:p>
        </w:tc>
      </w:tr>
      <w:tr>
        <w:trPr>
          <w:trHeight w:val="31"/>
        </w:trPr>
        <w:tc>
          <w:tcPr>
            <w:tcW w:w="920" w:type="dxa"/>
            <w:vAlign w:val="bottom"/>
            <w:tcBorders>
              <w:left w:val="single" w:sz="8" w:color="auto"/>
              <w:bottom w:val="single" w:sz="8" w:color="auto"/>
              <w:right w:val="single" w:sz="8" w:color="auto"/>
            </w:tcBorders>
          </w:tcPr>
          <w:p>
            <w:pPr>
              <w:spacing w:after="0"/>
              <w:rPr>
                <w:sz w:val="2"/>
                <w:szCs w:val="2"/>
                <w:color w:val="auto"/>
              </w:rPr>
            </w:pPr>
          </w:p>
        </w:tc>
        <w:tc>
          <w:tcPr>
            <w:tcW w:w="460" w:type="dxa"/>
            <w:vAlign w:val="bottom"/>
            <w:tcBorders>
              <w:top w:val="single" w:sz="8" w:color="0000EE"/>
              <w:bottom w:val="single" w:sz="8" w:color="auto"/>
            </w:tcBorders>
          </w:tcPr>
          <w:p>
            <w:pPr>
              <w:spacing w:after="0"/>
              <w:rPr>
                <w:sz w:val="2"/>
                <w:szCs w:val="2"/>
                <w:color w:val="auto"/>
              </w:rPr>
            </w:pPr>
          </w:p>
        </w:tc>
        <w:tc>
          <w:tcPr>
            <w:tcW w:w="1140" w:type="dxa"/>
            <w:vAlign w:val="bottom"/>
            <w:tcBorders>
              <w:top w:val="single" w:sz="8" w:color="0000EE"/>
              <w:bottom w:val="single" w:sz="8" w:color="auto"/>
            </w:tcBorders>
          </w:tcPr>
          <w:p>
            <w:pPr>
              <w:spacing w:after="0"/>
              <w:rPr>
                <w:sz w:val="2"/>
                <w:szCs w:val="2"/>
                <w:color w:val="auto"/>
              </w:rPr>
            </w:pPr>
          </w:p>
        </w:tc>
        <w:tc>
          <w:tcPr>
            <w:tcW w:w="920" w:type="dxa"/>
            <w:vAlign w:val="bottom"/>
            <w:tcBorders>
              <w:top w:val="single" w:sz="8" w:color="0000EE"/>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13"/>
        </w:trPr>
        <w:tc>
          <w:tcPr>
            <w:tcW w:w="920" w:type="dxa"/>
            <w:vAlign w:val="bottom"/>
            <w:tcBorders>
              <w:bottom w:val="single" w:sz="8" w:color="auto"/>
              <w:right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55"/>
        </w:trPr>
        <w:tc>
          <w:tcPr>
            <w:tcW w:w="920" w:type="dxa"/>
            <w:vAlign w:val="bottom"/>
            <w:tcBorders>
              <w:right w:val="single" w:sz="8" w:color="auto"/>
            </w:tcBorders>
          </w:tcPr>
          <w:p>
            <w:pPr>
              <w:ind w:left="40"/>
              <w:spacing w:after="0" w:line="156" w:lineRule="exact"/>
              <w:rPr>
                <w:sz w:val="20"/>
                <w:szCs w:val="20"/>
                <w:color w:val="auto"/>
              </w:rPr>
            </w:pPr>
            <w:r>
              <w:rPr>
                <w:rFonts w:ascii="Calibri" w:cs="Calibri" w:eastAsia="Calibri" w:hAnsi="Calibri"/>
                <w:sz w:val="16"/>
                <w:szCs w:val="16"/>
                <w:color w:val="auto"/>
              </w:rPr>
              <w:t>(4.6)</w:t>
            </w:r>
          </w:p>
        </w:tc>
        <w:tc>
          <w:tcPr>
            <w:tcW w:w="9500" w:type="dxa"/>
            <w:vAlign w:val="bottom"/>
            <w:tcBorders>
              <w:bottom w:val="single" w:sz="8" w:color="0000EE"/>
            </w:tcBorders>
            <w:gridSpan w:val="15"/>
          </w:tcPr>
          <w:p>
            <w:pPr>
              <w:spacing w:after="0" w:line="156" w:lineRule="exact"/>
              <w:rPr>
                <w:rFonts w:ascii="Calibri" w:cs="Calibri" w:eastAsia="Calibri" w:hAnsi="Calibri"/>
                <w:sz w:val="16"/>
                <w:szCs w:val="16"/>
                <w:color w:val="0000EE"/>
              </w:rPr>
            </w:pPr>
            <w:hyperlink r:id="rId726">
              <w:r>
                <w:rPr>
                  <w:rFonts w:ascii="Calibri" w:cs="Calibri" w:eastAsia="Calibri" w:hAnsi="Calibri"/>
                  <w:sz w:val="16"/>
                  <w:szCs w:val="16"/>
                  <w:color w:val="0000EE"/>
                </w:rPr>
                <w:t>Registraton Rights Agreement, dated as of February 26, 2021, by and between Eastman Kodak Company and GO EK Ventures IV, LLC</w:t>
              </w:r>
            </w:hyperlink>
          </w:p>
        </w:tc>
        <w:tc>
          <w:tcPr>
            <w:tcW w:w="700" w:type="dxa"/>
            <w:vAlign w:val="bottom"/>
            <w:tcBorders>
              <w:right w:val="single" w:sz="8" w:color="auto"/>
            </w:tcBorders>
            <w:gridSpan w:val="16"/>
          </w:tcPr>
          <w:p>
            <w:pPr>
              <w:spacing w:after="0"/>
              <w:rPr>
                <w:sz w:val="13"/>
                <w:szCs w:val="13"/>
                <w:color w:val="auto"/>
              </w:rPr>
            </w:pPr>
          </w:p>
        </w:tc>
        <w:tc>
          <w:tcPr>
            <w:tcW w:w="120" w:type="dxa"/>
            <w:vAlign w:val="bottom"/>
          </w:tcPr>
          <w:p>
            <w:pPr>
              <w:spacing w:after="0"/>
              <w:rPr>
                <w:sz w:val="13"/>
                <w:szCs w:val="13"/>
                <w:color w:val="auto"/>
              </w:rPr>
            </w:pPr>
          </w:p>
        </w:tc>
      </w:tr>
      <w:tr>
        <w:trPr>
          <w:trHeight w:val="196"/>
        </w:trPr>
        <w:tc>
          <w:tcPr>
            <w:tcW w:w="920" w:type="dxa"/>
            <w:vAlign w:val="bottom"/>
            <w:tcBorders>
              <w:right w:val="single" w:sz="8" w:color="auto"/>
            </w:tcBorders>
          </w:tcPr>
          <w:p>
            <w:pPr>
              <w:spacing w:after="0"/>
              <w:rPr>
                <w:sz w:val="17"/>
                <w:szCs w:val="17"/>
                <w:color w:val="auto"/>
              </w:rPr>
            </w:pPr>
          </w:p>
        </w:tc>
        <w:tc>
          <w:tcPr>
            <w:tcW w:w="10200" w:type="dxa"/>
            <w:vAlign w:val="bottom"/>
            <w:tcBorders>
              <w:right w:val="single" w:sz="8" w:color="auto"/>
            </w:tcBorders>
            <w:gridSpan w:val="31"/>
          </w:tcPr>
          <w:p>
            <w:pPr>
              <w:spacing w:after="0" w:line="196" w:lineRule="exact"/>
              <w:rPr>
                <w:rFonts w:ascii="Calibri" w:cs="Calibri" w:eastAsia="Calibri" w:hAnsi="Calibri"/>
                <w:sz w:val="18"/>
                <w:szCs w:val="18"/>
                <w:color w:val="0000EE"/>
              </w:rPr>
            </w:pPr>
            <w:hyperlink r:id="rId726">
              <w:r>
                <w:rPr>
                  <w:rFonts w:ascii="Calibri" w:cs="Calibri" w:eastAsia="Calibri" w:hAnsi="Calibri"/>
                  <w:sz w:val="18"/>
                  <w:szCs w:val="18"/>
                  <w:color w:val="0000EE"/>
                </w:rPr>
                <w:t>(Incorporated by reference to Exhibit 10.3 of the Company’s Current Report on Form 8-K as fled March 1, 2021).</w:t>
              </w:r>
            </w:hyperlink>
          </w:p>
        </w:tc>
        <w:tc>
          <w:tcPr>
            <w:tcW w:w="120" w:type="dxa"/>
            <w:vAlign w:val="bottom"/>
          </w:tcPr>
          <w:p>
            <w:pPr>
              <w:spacing w:after="0"/>
              <w:rPr>
                <w:sz w:val="17"/>
                <w:szCs w:val="17"/>
                <w:color w:val="auto"/>
              </w:rPr>
            </w:pPr>
          </w:p>
        </w:tc>
      </w:tr>
      <w:tr>
        <w:trPr>
          <w:trHeight w:val="34"/>
        </w:trPr>
        <w:tc>
          <w:tcPr>
            <w:tcW w:w="920" w:type="dxa"/>
            <w:vAlign w:val="bottom"/>
            <w:tcBorders>
              <w:bottom w:val="single" w:sz="8" w:color="auto"/>
              <w:right w:val="single" w:sz="8" w:color="auto"/>
            </w:tcBorders>
          </w:tcPr>
          <w:p>
            <w:pPr>
              <w:spacing w:after="0"/>
              <w:rPr>
                <w:sz w:val="2"/>
                <w:szCs w:val="2"/>
                <w:color w:val="auto"/>
              </w:rPr>
            </w:pPr>
          </w:p>
        </w:tc>
        <w:tc>
          <w:tcPr>
            <w:tcW w:w="460" w:type="dxa"/>
            <w:vAlign w:val="bottom"/>
            <w:tcBorders>
              <w:top w:val="single" w:sz="8" w:color="0000EE"/>
              <w:bottom w:val="single" w:sz="8" w:color="auto"/>
            </w:tcBorders>
          </w:tcPr>
          <w:p>
            <w:pPr>
              <w:spacing w:after="0"/>
              <w:rPr>
                <w:sz w:val="2"/>
                <w:szCs w:val="2"/>
                <w:color w:val="auto"/>
              </w:rPr>
            </w:pPr>
          </w:p>
        </w:tc>
        <w:tc>
          <w:tcPr>
            <w:tcW w:w="1140" w:type="dxa"/>
            <w:vAlign w:val="bottom"/>
            <w:tcBorders>
              <w:top w:val="single" w:sz="8" w:color="0000EE"/>
              <w:bottom w:val="single" w:sz="8" w:color="auto"/>
            </w:tcBorders>
          </w:tcPr>
          <w:p>
            <w:pPr>
              <w:spacing w:after="0"/>
              <w:rPr>
                <w:sz w:val="2"/>
                <w:szCs w:val="2"/>
                <w:color w:val="auto"/>
              </w:rPr>
            </w:pPr>
          </w:p>
        </w:tc>
        <w:tc>
          <w:tcPr>
            <w:tcW w:w="920" w:type="dxa"/>
            <w:vAlign w:val="bottom"/>
            <w:tcBorders>
              <w:top w:val="single" w:sz="8" w:color="0000EE"/>
              <w:bottom w:val="single" w:sz="8" w:color="auto"/>
            </w:tcBorders>
          </w:tcPr>
          <w:p>
            <w:pPr>
              <w:spacing w:after="0"/>
              <w:rPr>
                <w:sz w:val="2"/>
                <w:szCs w:val="2"/>
                <w:color w:val="auto"/>
              </w:rPr>
            </w:pPr>
          </w:p>
        </w:tc>
        <w:tc>
          <w:tcPr>
            <w:tcW w:w="600" w:type="dxa"/>
            <w:vAlign w:val="bottom"/>
            <w:tcBorders>
              <w:top w:val="single" w:sz="8" w:color="0000EE"/>
              <w:bottom w:val="single" w:sz="8" w:color="auto"/>
            </w:tcBorders>
          </w:tcPr>
          <w:p>
            <w:pPr>
              <w:spacing w:after="0"/>
              <w:rPr>
                <w:sz w:val="2"/>
                <w:szCs w:val="2"/>
                <w:color w:val="auto"/>
              </w:rPr>
            </w:pPr>
          </w:p>
        </w:tc>
        <w:tc>
          <w:tcPr>
            <w:tcW w:w="300" w:type="dxa"/>
            <w:vAlign w:val="bottom"/>
            <w:tcBorders>
              <w:top w:val="single" w:sz="8" w:color="0000EE"/>
              <w:bottom w:val="single" w:sz="8" w:color="auto"/>
            </w:tcBorders>
          </w:tcPr>
          <w:p>
            <w:pPr>
              <w:spacing w:after="0"/>
              <w:rPr>
                <w:sz w:val="2"/>
                <w:szCs w:val="2"/>
                <w:color w:val="auto"/>
              </w:rPr>
            </w:pPr>
          </w:p>
        </w:tc>
        <w:tc>
          <w:tcPr>
            <w:tcW w:w="760" w:type="dxa"/>
            <w:vAlign w:val="bottom"/>
            <w:tcBorders>
              <w:top w:val="single" w:sz="8" w:color="0000EE"/>
              <w:bottom w:val="single" w:sz="8" w:color="auto"/>
            </w:tcBorders>
          </w:tcPr>
          <w:p>
            <w:pPr>
              <w:spacing w:after="0"/>
              <w:rPr>
                <w:sz w:val="2"/>
                <w:szCs w:val="2"/>
                <w:color w:val="auto"/>
              </w:rPr>
            </w:pPr>
          </w:p>
        </w:tc>
        <w:tc>
          <w:tcPr>
            <w:tcW w:w="680" w:type="dxa"/>
            <w:vAlign w:val="bottom"/>
            <w:tcBorders>
              <w:top w:val="single" w:sz="8" w:color="0000EE"/>
              <w:bottom w:val="single" w:sz="8" w:color="auto"/>
            </w:tcBorders>
          </w:tcPr>
          <w:p>
            <w:pPr>
              <w:spacing w:after="0"/>
              <w:rPr>
                <w:sz w:val="2"/>
                <w:szCs w:val="2"/>
                <w:color w:val="auto"/>
              </w:rPr>
            </w:pPr>
          </w:p>
        </w:tc>
        <w:tc>
          <w:tcPr>
            <w:tcW w:w="320" w:type="dxa"/>
            <w:vAlign w:val="bottom"/>
            <w:tcBorders>
              <w:top w:val="single" w:sz="8" w:color="0000EE"/>
              <w:bottom w:val="single" w:sz="8" w:color="auto"/>
            </w:tcBorders>
          </w:tcPr>
          <w:p>
            <w:pPr>
              <w:spacing w:after="0"/>
              <w:rPr>
                <w:sz w:val="2"/>
                <w:szCs w:val="2"/>
                <w:color w:val="auto"/>
              </w:rPr>
            </w:pPr>
          </w:p>
        </w:tc>
        <w:tc>
          <w:tcPr>
            <w:tcW w:w="2400" w:type="dxa"/>
            <w:vAlign w:val="bottom"/>
            <w:tcBorders>
              <w:top w:val="single" w:sz="8" w:color="0000EE"/>
              <w:bottom w:val="single" w:sz="8" w:color="auto"/>
            </w:tcBorders>
          </w:tcPr>
          <w:p>
            <w:pPr>
              <w:spacing w:after="0"/>
              <w:rPr>
                <w:sz w:val="2"/>
                <w:szCs w:val="2"/>
                <w:color w:val="auto"/>
              </w:rPr>
            </w:pPr>
          </w:p>
        </w:tc>
        <w:tc>
          <w:tcPr>
            <w:tcW w:w="440" w:type="dxa"/>
            <w:vAlign w:val="bottom"/>
            <w:tcBorders>
              <w:top w:val="single" w:sz="8" w:color="0000EE"/>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46"/>
        </w:trPr>
        <w:tc>
          <w:tcPr>
            <w:tcW w:w="9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4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119"/>
        </w:trPr>
        <w:tc>
          <w:tcPr>
            <w:tcW w:w="920" w:type="dxa"/>
            <w:vAlign w:val="bottom"/>
            <w:tcBorders>
              <w:left w:val="single" w:sz="8" w:color="auto"/>
              <w:right w:val="single" w:sz="8" w:color="auto"/>
            </w:tcBorders>
          </w:tcPr>
          <w:p>
            <w:pPr>
              <w:ind w:left="40"/>
              <w:spacing w:after="0" w:line="119" w:lineRule="exact"/>
              <w:rPr>
                <w:sz w:val="20"/>
                <w:szCs w:val="20"/>
                <w:color w:val="auto"/>
              </w:rPr>
            </w:pPr>
            <w:r>
              <w:rPr>
                <w:rFonts w:ascii="Calibri" w:cs="Calibri" w:eastAsia="Calibri" w:hAnsi="Calibri"/>
                <w:sz w:val="12"/>
                <w:szCs w:val="12"/>
                <w:color w:val="auto"/>
              </w:rPr>
              <w:t>(4.7)</w:t>
            </w:r>
          </w:p>
        </w:tc>
        <w:tc>
          <w:tcPr>
            <w:tcW w:w="9680" w:type="dxa"/>
            <w:vAlign w:val="bottom"/>
            <w:tcBorders>
              <w:bottom w:val="single" w:sz="8" w:color="0000EE"/>
            </w:tcBorders>
            <w:gridSpan w:val="18"/>
          </w:tcPr>
          <w:p>
            <w:pPr>
              <w:spacing w:after="0" w:line="119" w:lineRule="exact"/>
              <w:rPr>
                <w:rFonts w:ascii="Calibri" w:cs="Calibri" w:eastAsia="Calibri" w:hAnsi="Calibri"/>
                <w:sz w:val="12"/>
                <w:szCs w:val="12"/>
                <w:color w:val="0000EE"/>
              </w:rPr>
            </w:pPr>
            <w:hyperlink r:id="rId727">
              <w:r>
                <w:rPr>
                  <w:rFonts w:ascii="Calibri" w:cs="Calibri" w:eastAsia="Calibri" w:hAnsi="Calibri"/>
                  <w:sz w:val="12"/>
                  <w:szCs w:val="12"/>
                  <w:color w:val="0000EE"/>
                </w:rPr>
                <w:t>Registraton Rights Agreement, dated as of February 26, 2021, by and among Eastman Kodak Company, Kennedy Lewis Capital Partners</w:t>
              </w:r>
            </w:hyperlink>
          </w:p>
        </w:tc>
        <w:tc>
          <w:tcPr>
            <w:tcW w:w="520" w:type="dxa"/>
            <w:vAlign w:val="bottom"/>
            <w:tcBorders>
              <w:right w:val="single" w:sz="8" w:color="auto"/>
            </w:tcBorders>
            <w:gridSpan w:val="13"/>
          </w:tcPr>
          <w:p>
            <w:pPr>
              <w:spacing w:after="0"/>
              <w:rPr>
                <w:sz w:val="10"/>
                <w:szCs w:val="10"/>
                <w:color w:val="auto"/>
              </w:rPr>
            </w:pPr>
          </w:p>
        </w:tc>
        <w:tc>
          <w:tcPr>
            <w:tcW w:w="120" w:type="dxa"/>
            <w:vAlign w:val="bottom"/>
          </w:tcPr>
          <w:p>
            <w:pPr>
              <w:spacing w:after="0"/>
              <w:rPr>
                <w:sz w:val="10"/>
                <w:szCs w:val="10"/>
                <w:color w:val="auto"/>
              </w:rPr>
            </w:pPr>
          </w:p>
        </w:tc>
      </w:tr>
      <w:tr>
        <w:trPr>
          <w:trHeight w:val="196"/>
        </w:trPr>
        <w:tc>
          <w:tcPr>
            <w:tcW w:w="920" w:type="dxa"/>
            <w:vAlign w:val="bottom"/>
            <w:tcBorders>
              <w:left w:val="single" w:sz="8" w:color="auto"/>
              <w:right w:val="single" w:sz="8" w:color="auto"/>
            </w:tcBorders>
          </w:tcPr>
          <w:p>
            <w:pPr>
              <w:spacing w:after="0"/>
              <w:rPr>
                <w:sz w:val="17"/>
                <w:szCs w:val="17"/>
                <w:color w:val="auto"/>
              </w:rPr>
            </w:pPr>
          </w:p>
        </w:tc>
        <w:tc>
          <w:tcPr>
            <w:tcW w:w="10060" w:type="dxa"/>
            <w:vAlign w:val="bottom"/>
            <w:tcBorders>
              <w:bottom w:val="single" w:sz="8" w:color="0000EE"/>
            </w:tcBorders>
            <w:gridSpan w:val="27"/>
          </w:tcPr>
          <w:p>
            <w:pPr>
              <w:spacing w:after="0" w:line="196" w:lineRule="exact"/>
              <w:rPr>
                <w:rFonts w:ascii="Calibri" w:cs="Calibri" w:eastAsia="Calibri" w:hAnsi="Calibri"/>
                <w:sz w:val="18"/>
                <w:szCs w:val="18"/>
                <w:color w:val="0000EE"/>
                <w:w w:val="97"/>
              </w:rPr>
            </w:pPr>
            <w:hyperlink r:id="rId727">
              <w:r>
                <w:rPr>
                  <w:rFonts w:ascii="Calibri" w:cs="Calibri" w:eastAsia="Calibri" w:hAnsi="Calibri"/>
                  <w:sz w:val="18"/>
                  <w:szCs w:val="18"/>
                  <w:color w:val="0000EE"/>
                  <w:w w:val="97"/>
                </w:rPr>
                <w:t>Master Fund LP and Kennedy Lewis Capital Partners Master Fund II LP. (Incorporated by reference to Exhibit 10.11 of the Company’s Current</w:t>
              </w:r>
            </w:hyperlink>
          </w:p>
        </w:tc>
        <w:tc>
          <w:tcPr>
            <w:tcW w:w="140" w:type="dxa"/>
            <w:vAlign w:val="bottom"/>
            <w:tcBorders>
              <w:right w:val="single" w:sz="8" w:color="auto"/>
            </w:tcBorders>
            <w:gridSpan w:val="4"/>
          </w:tcPr>
          <w:p>
            <w:pPr>
              <w:spacing w:after="0"/>
              <w:rPr>
                <w:sz w:val="17"/>
                <w:szCs w:val="17"/>
                <w:color w:val="auto"/>
              </w:rPr>
            </w:pPr>
          </w:p>
        </w:tc>
        <w:tc>
          <w:tcPr>
            <w:tcW w:w="120" w:type="dxa"/>
            <w:vAlign w:val="bottom"/>
          </w:tcPr>
          <w:p>
            <w:pPr>
              <w:spacing w:after="0"/>
              <w:rPr>
                <w:sz w:val="17"/>
                <w:szCs w:val="17"/>
                <w:color w:val="auto"/>
              </w:rPr>
            </w:pPr>
          </w:p>
        </w:tc>
      </w:tr>
      <w:tr>
        <w:trPr>
          <w:trHeight w:val="196"/>
        </w:trPr>
        <w:tc>
          <w:tcPr>
            <w:tcW w:w="920" w:type="dxa"/>
            <w:vAlign w:val="bottom"/>
            <w:tcBorders>
              <w:left w:val="single" w:sz="8" w:color="auto"/>
              <w:right w:val="single" w:sz="8" w:color="auto"/>
            </w:tcBorders>
          </w:tcPr>
          <w:p>
            <w:pPr>
              <w:spacing w:after="0"/>
              <w:rPr>
                <w:sz w:val="17"/>
                <w:szCs w:val="17"/>
                <w:color w:val="auto"/>
              </w:rPr>
            </w:pPr>
          </w:p>
        </w:tc>
        <w:tc>
          <w:tcPr>
            <w:tcW w:w="10200" w:type="dxa"/>
            <w:vAlign w:val="bottom"/>
            <w:tcBorders>
              <w:right w:val="single" w:sz="8" w:color="auto"/>
            </w:tcBorders>
            <w:gridSpan w:val="31"/>
          </w:tcPr>
          <w:p>
            <w:pPr>
              <w:spacing w:after="0" w:line="196" w:lineRule="exact"/>
              <w:rPr>
                <w:rFonts w:ascii="Calibri" w:cs="Calibri" w:eastAsia="Calibri" w:hAnsi="Calibri"/>
                <w:sz w:val="18"/>
                <w:szCs w:val="18"/>
                <w:color w:val="0000EE"/>
              </w:rPr>
            </w:pPr>
            <w:hyperlink r:id="rId727">
              <w:r>
                <w:rPr>
                  <w:rFonts w:ascii="Calibri" w:cs="Calibri" w:eastAsia="Calibri" w:hAnsi="Calibri"/>
                  <w:sz w:val="18"/>
                  <w:szCs w:val="18"/>
                  <w:color w:val="0000EE"/>
                </w:rPr>
                <w:t>Report on Form 8-K as fled March 1, 2021).</w:t>
              </w:r>
            </w:hyperlink>
          </w:p>
        </w:tc>
        <w:tc>
          <w:tcPr>
            <w:tcW w:w="120" w:type="dxa"/>
            <w:vAlign w:val="bottom"/>
          </w:tcPr>
          <w:p>
            <w:pPr>
              <w:spacing w:after="0"/>
              <w:rPr>
                <w:sz w:val="17"/>
                <w:szCs w:val="17"/>
                <w:color w:val="auto"/>
              </w:rPr>
            </w:pPr>
          </w:p>
        </w:tc>
      </w:tr>
      <w:tr>
        <w:trPr>
          <w:trHeight w:val="31"/>
        </w:trPr>
        <w:tc>
          <w:tcPr>
            <w:tcW w:w="920" w:type="dxa"/>
            <w:vAlign w:val="bottom"/>
            <w:tcBorders>
              <w:left w:val="single" w:sz="8" w:color="auto"/>
              <w:bottom w:val="single" w:sz="8" w:color="auto"/>
              <w:right w:val="single" w:sz="8" w:color="auto"/>
            </w:tcBorders>
          </w:tcPr>
          <w:p>
            <w:pPr>
              <w:spacing w:after="0"/>
              <w:rPr>
                <w:sz w:val="2"/>
                <w:szCs w:val="2"/>
                <w:color w:val="auto"/>
              </w:rPr>
            </w:pPr>
          </w:p>
        </w:tc>
        <w:tc>
          <w:tcPr>
            <w:tcW w:w="460" w:type="dxa"/>
            <w:vAlign w:val="bottom"/>
            <w:tcBorders>
              <w:top w:val="single" w:sz="8" w:color="0000EE"/>
              <w:bottom w:val="single" w:sz="8" w:color="auto"/>
            </w:tcBorders>
          </w:tcPr>
          <w:p>
            <w:pPr>
              <w:spacing w:after="0"/>
              <w:rPr>
                <w:sz w:val="2"/>
                <w:szCs w:val="2"/>
                <w:color w:val="auto"/>
              </w:rPr>
            </w:pPr>
          </w:p>
        </w:tc>
        <w:tc>
          <w:tcPr>
            <w:tcW w:w="1140" w:type="dxa"/>
            <w:vAlign w:val="bottom"/>
            <w:tcBorders>
              <w:top w:val="single" w:sz="8" w:color="0000EE"/>
              <w:bottom w:val="single" w:sz="8" w:color="auto"/>
            </w:tcBorders>
          </w:tcPr>
          <w:p>
            <w:pPr>
              <w:spacing w:after="0"/>
              <w:rPr>
                <w:sz w:val="2"/>
                <w:szCs w:val="2"/>
                <w:color w:val="auto"/>
              </w:rPr>
            </w:pPr>
          </w:p>
        </w:tc>
        <w:tc>
          <w:tcPr>
            <w:tcW w:w="920" w:type="dxa"/>
            <w:vAlign w:val="bottom"/>
            <w:tcBorders>
              <w:top w:val="single" w:sz="8" w:color="0000EE"/>
              <w:bottom w:val="single" w:sz="8" w:color="auto"/>
            </w:tcBorders>
          </w:tcPr>
          <w:p>
            <w:pPr>
              <w:spacing w:after="0"/>
              <w:rPr>
                <w:sz w:val="2"/>
                <w:szCs w:val="2"/>
                <w:color w:val="auto"/>
              </w:rPr>
            </w:pPr>
          </w:p>
        </w:tc>
        <w:tc>
          <w:tcPr>
            <w:tcW w:w="600" w:type="dxa"/>
            <w:vAlign w:val="bottom"/>
            <w:tcBorders>
              <w:top w:val="single" w:sz="8" w:color="0000EE"/>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13"/>
        </w:trPr>
        <w:tc>
          <w:tcPr>
            <w:tcW w:w="920" w:type="dxa"/>
            <w:vAlign w:val="bottom"/>
            <w:tcBorders>
              <w:bottom w:val="single" w:sz="8" w:color="auto"/>
              <w:right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55"/>
        </w:trPr>
        <w:tc>
          <w:tcPr>
            <w:tcW w:w="920" w:type="dxa"/>
            <w:vAlign w:val="bottom"/>
            <w:tcBorders>
              <w:right w:val="single" w:sz="8" w:color="auto"/>
            </w:tcBorders>
          </w:tcPr>
          <w:p>
            <w:pPr>
              <w:ind w:left="40"/>
              <w:spacing w:after="0" w:line="156" w:lineRule="exact"/>
              <w:rPr>
                <w:sz w:val="20"/>
                <w:szCs w:val="20"/>
                <w:color w:val="auto"/>
              </w:rPr>
            </w:pPr>
            <w:r>
              <w:rPr>
                <w:rFonts w:ascii="Calibri" w:cs="Calibri" w:eastAsia="Calibri" w:hAnsi="Calibri"/>
                <w:sz w:val="16"/>
                <w:szCs w:val="16"/>
                <w:color w:val="auto"/>
              </w:rPr>
              <w:t>(4.8)</w:t>
            </w:r>
          </w:p>
        </w:tc>
        <w:tc>
          <w:tcPr>
            <w:tcW w:w="9320" w:type="dxa"/>
            <w:vAlign w:val="bottom"/>
            <w:tcBorders>
              <w:bottom w:val="single" w:sz="8" w:color="0000EE"/>
            </w:tcBorders>
            <w:gridSpan w:val="14"/>
          </w:tcPr>
          <w:p>
            <w:pPr>
              <w:spacing w:after="0" w:line="156" w:lineRule="exact"/>
              <w:rPr>
                <w:rFonts w:ascii="Calibri" w:cs="Calibri" w:eastAsia="Calibri" w:hAnsi="Calibri"/>
                <w:sz w:val="16"/>
                <w:szCs w:val="16"/>
                <w:color w:val="0000EE"/>
              </w:rPr>
            </w:pPr>
            <w:hyperlink r:id="rId728">
              <w:r>
                <w:rPr>
                  <w:rFonts w:ascii="Calibri" w:cs="Calibri" w:eastAsia="Calibri" w:hAnsi="Calibri"/>
                  <w:sz w:val="16"/>
                  <w:szCs w:val="16"/>
                  <w:color w:val="0000EE"/>
                </w:rPr>
                <w:t>Board Rights Agreement, dated as of February 26, 2021, by and between Eastman Kodak Company and Kennedy Lewis Investment</w:t>
              </w:r>
            </w:hyperlink>
          </w:p>
        </w:tc>
        <w:tc>
          <w:tcPr>
            <w:tcW w:w="880" w:type="dxa"/>
            <w:vAlign w:val="bottom"/>
            <w:tcBorders>
              <w:right w:val="single" w:sz="8" w:color="auto"/>
            </w:tcBorders>
            <w:gridSpan w:val="17"/>
          </w:tcPr>
          <w:p>
            <w:pPr>
              <w:spacing w:after="0"/>
              <w:rPr>
                <w:sz w:val="13"/>
                <w:szCs w:val="13"/>
                <w:color w:val="auto"/>
              </w:rPr>
            </w:pPr>
          </w:p>
        </w:tc>
        <w:tc>
          <w:tcPr>
            <w:tcW w:w="120" w:type="dxa"/>
            <w:vAlign w:val="bottom"/>
          </w:tcPr>
          <w:p>
            <w:pPr>
              <w:spacing w:after="0"/>
              <w:rPr>
                <w:sz w:val="13"/>
                <w:szCs w:val="13"/>
                <w:color w:val="auto"/>
              </w:rPr>
            </w:pPr>
          </w:p>
        </w:tc>
      </w:tr>
      <w:tr>
        <w:trPr>
          <w:trHeight w:val="196"/>
        </w:trPr>
        <w:tc>
          <w:tcPr>
            <w:tcW w:w="920" w:type="dxa"/>
            <w:vAlign w:val="bottom"/>
            <w:tcBorders>
              <w:right w:val="single" w:sz="8" w:color="auto"/>
            </w:tcBorders>
          </w:tcPr>
          <w:p>
            <w:pPr>
              <w:spacing w:after="0"/>
              <w:rPr>
                <w:sz w:val="17"/>
                <w:szCs w:val="17"/>
                <w:color w:val="auto"/>
              </w:rPr>
            </w:pPr>
          </w:p>
        </w:tc>
        <w:tc>
          <w:tcPr>
            <w:tcW w:w="10200" w:type="dxa"/>
            <w:vAlign w:val="bottom"/>
            <w:tcBorders>
              <w:right w:val="single" w:sz="8" w:color="auto"/>
            </w:tcBorders>
            <w:gridSpan w:val="31"/>
          </w:tcPr>
          <w:p>
            <w:pPr>
              <w:spacing w:after="0" w:line="196" w:lineRule="exact"/>
              <w:rPr>
                <w:rFonts w:ascii="Calibri" w:cs="Calibri" w:eastAsia="Calibri" w:hAnsi="Calibri"/>
                <w:sz w:val="18"/>
                <w:szCs w:val="18"/>
                <w:color w:val="0000EE"/>
              </w:rPr>
            </w:pPr>
            <w:hyperlink r:id="rId728">
              <w:r>
                <w:rPr>
                  <w:rFonts w:ascii="Calibri" w:cs="Calibri" w:eastAsia="Calibri" w:hAnsi="Calibri"/>
                  <w:sz w:val="18"/>
                  <w:szCs w:val="18"/>
                  <w:color w:val="0000EE"/>
                </w:rPr>
                <w:t>Management LLC (Incorporated by reference to Exhibit 10.7 of the Company’s Current Report on Form 8-K as fled March 1, 2021).</w:t>
              </w:r>
            </w:hyperlink>
          </w:p>
        </w:tc>
        <w:tc>
          <w:tcPr>
            <w:tcW w:w="120" w:type="dxa"/>
            <w:vAlign w:val="bottom"/>
          </w:tcPr>
          <w:p>
            <w:pPr>
              <w:spacing w:after="0"/>
              <w:rPr>
                <w:sz w:val="17"/>
                <w:szCs w:val="17"/>
                <w:color w:val="auto"/>
              </w:rPr>
            </w:pPr>
          </w:p>
        </w:tc>
      </w:tr>
      <w:tr>
        <w:trPr>
          <w:trHeight w:val="34"/>
        </w:trPr>
        <w:tc>
          <w:tcPr>
            <w:tcW w:w="920" w:type="dxa"/>
            <w:vAlign w:val="bottom"/>
            <w:tcBorders>
              <w:bottom w:val="single" w:sz="8" w:color="auto"/>
              <w:right w:val="single" w:sz="8" w:color="auto"/>
            </w:tcBorders>
          </w:tcPr>
          <w:p>
            <w:pPr>
              <w:spacing w:after="0"/>
              <w:rPr>
                <w:sz w:val="2"/>
                <w:szCs w:val="2"/>
                <w:color w:val="auto"/>
              </w:rPr>
            </w:pPr>
          </w:p>
        </w:tc>
        <w:tc>
          <w:tcPr>
            <w:tcW w:w="460" w:type="dxa"/>
            <w:vAlign w:val="bottom"/>
            <w:tcBorders>
              <w:top w:val="single" w:sz="8" w:color="0000EE"/>
              <w:bottom w:val="single" w:sz="8" w:color="auto"/>
            </w:tcBorders>
          </w:tcPr>
          <w:p>
            <w:pPr>
              <w:spacing w:after="0"/>
              <w:rPr>
                <w:sz w:val="2"/>
                <w:szCs w:val="2"/>
                <w:color w:val="auto"/>
              </w:rPr>
            </w:pPr>
          </w:p>
        </w:tc>
        <w:tc>
          <w:tcPr>
            <w:tcW w:w="1140" w:type="dxa"/>
            <w:vAlign w:val="bottom"/>
            <w:tcBorders>
              <w:top w:val="single" w:sz="8" w:color="0000EE"/>
              <w:bottom w:val="single" w:sz="8" w:color="auto"/>
            </w:tcBorders>
          </w:tcPr>
          <w:p>
            <w:pPr>
              <w:spacing w:after="0"/>
              <w:rPr>
                <w:sz w:val="2"/>
                <w:szCs w:val="2"/>
                <w:color w:val="auto"/>
              </w:rPr>
            </w:pPr>
          </w:p>
        </w:tc>
        <w:tc>
          <w:tcPr>
            <w:tcW w:w="920" w:type="dxa"/>
            <w:vAlign w:val="bottom"/>
            <w:tcBorders>
              <w:top w:val="single" w:sz="8" w:color="0000EE"/>
              <w:bottom w:val="single" w:sz="8" w:color="auto"/>
            </w:tcBorders>
          </w:tcPr>
          <w:p>
            <w:pPr>
              <w:spacing w:after="0"/>
              <w:rPr>
                <w:sz w:val="2"/>
                <w:szCs w:val="2"/>
                <w:color w:val="auto"/>
              </w:rPr>
            </w:pPr>
          </w:p>
        </w:tc>
        <w:tc>
          <w:tcPr>
            <w:tcW w:w="600" w:type="dxa"/>
            <w:vAlign w:val="bottom"/>
            <w:tcBorders>
              <w:top w:val="single" w:sz="8" w:color="0000EE"/>
              <w:bottom w:val="single" w:sz="8" w:color="auto"/>
            </w:tcBorders>
          </w:tcPr>
          <w:p>
            <w:pPr>
              <w:spacing w:after="0"/>
              <w:rPr>
                <w:sz w:val="2"/>
                <w:szCs w:val="2"/>
                <w:color w:val="auto"/>
              </w:rPr>
            </w:pPr>
          </w:p>
        </w:tc>
        <w:tc>
          <w:tcPr>
            <w:tcW w:w="300" w:type="dxa"/>
            <w:vAlign w:val="bottom"/>
            <w:tcBorders>
              <w:top w:val="single" w:sz="8" w:color="0000EE"/>
              <w:bottom w:val="single" w:sz="8" w:color="auto"/>
            </w:tcBorders>
          </w:tcPr>
          <w:p>
            <w:pPr>
              <w:spacing w:after="0"/>
              <w:rPr>
                <w:sz w:val="2"/>
                <w:szCs w:val="2"/>
                <w:color w:val="auto"/>
              </w:rPr>
            </w:pPr>
          </w:p>
        </w:tc>
        <w:tc>
          <w:tcPr>
            <w:tcW w:w="760" w:type="dxa"/>
            <w:vAlign w:val="bottom"/>
            <w:tcBorders>
              <w:top w:val="single" w:sz="8" w:color="0000EE"/>
              <w:bottom w:val="single" w:sz="8" w:color="auto"/>
            </w:tcBorders>
          </w:tcPr>
          <w:p>
            <w:pPr>
              <w:spacing w:after="0"/>
              <w:rPr>
                <w:sz w:val="2"/>
                <w:szCs w:val="2"/>
                <w:color w:val="auto"/>
              </w:rPr>
            </w:pPr>
          </w:p>
        </w:tc>
        <w:tc>
          <w:tcPr>
            <w:tcW w:w="680" w:type="dxa"/>
            <w:vAlign w:val="bottom"/>
            <w:tcBorders>
              <w:top w:val="single" w:sz="8" w:color="0000EE"/>
              <w:bottom w:val="single" w:sz="8" w:color="auto"/>
            </w:tcBorders>
          </w:tcPr>
          <w:p>
            <w:pPr>
              <w:spacing w:after="0"/>
              <w:rPr>
                <w:sz w:val="2"/>
                <w:szCs w:val="2"/>
                <w:color w:val="auto"/>
              </w:rPr>
            </w:pPr>
          </w:p>
        </w:tc>
        <w:tc>
          <w:tcPr>
            <w:tcW w:w="320" w:type="dxa"/>
            <w:vAlign w:val="bottom"/>
            <w:tcBorders>
              <w:top w:val="single" w:sz="8" w:color="0000EE"/>
              <w:bottom w:val="single" w:sz="8" w:color="auto"/>
            </w:tcBorders>
          </w:tcPr>
          <w:p>
            <w:pPr>
              <w:spacing w:after="0"/>
              <w:rPr>
                <w:sz w:val="2"/>
                <w:szCs w:val="2"/>
                <w:color w:val="auto"/>
              </w:rPr>
            </w:pPr>
          </w:p>
        </w:tc>
        <w:tc>
          <w:tcPr>
            <w:tcW w:w="2400" w:type="dxa"/>
            <w:vAlign w:val="bottom"/>
            <w:tcBorders>
              <w:top w:val="single" w:sz="8" w:color="0000EE"/>
              <w:bottom w:val="single" w:sz="8" w:color="auto"/>
            </w:tcBorders>
          </w:tcPr>
          <w:p>
            <w:pPr>
              <w:spacing w:after="0"/>
              <w:rPr>
                <w:sz w:val="2"/>
                <w:szCs w:val="2"/>
                <w:color w:val="auto"/>
              </w:rPr>
            </w:pPr>
          </w:p>
        </w:tc>
        <w:tc>
          <w:tcPr>
            <w:tcW w:w="44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880" w:type="dxa"/>
            <w:vAlign w:val="bottom"/>
            <w:tcBorders>
              <w:top w:val="single" w:sz="8" w:color="0000EE"/>
              <w:bottom w:val="single" w:sz="8" w:color="auto"/>
            </w:tcBorders>
          </w:tcPr>
          <w:p>
            <w:pPr>
              <w:spacing w:after="0"/>
              <w:rPr>
                <w:sz w:val="2"/>
                <w:szCs w:val="2"/>
                <w:color w:val="auto"/>
              </w:rPr>
            </w:pPr>
          </w:p>
        </w:tc>
        <w:tc>
          <w:tcPr>
            <w:tcW w:w="260" w:type="dxa"/>
            <w:vAlign w:val="bottom"/>
            <w:tcBorders>
              <w:top w:val="single" w:sz="8" w:color="0000EE"/>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10"/>
        </w:trPr>
        <w:tc>
          <w:tcPr>
            <w:tcW w:w="920" w:type="dxa"/>
            <w:vAlign w:val="bottom"/>
            <w:tcBorders>
              <w:bottom w:val="single" w:sz="8" w:color="auto"/>
              <w:right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55"/>
        </w:trPr>
        <w:tc>
          <w:tcPr>
            <w:tcW w:w="920" w:type="dxa"/>
            <w:vAlign w:val="bottom"/>
            <w:tcBorders>
              <w:right w:val="single" w:sz="8" w:color="auto"/>
            </w:tcBorders>
          </w:tcPr>
          <w:p>
            <w:pPr>
              <w:ind w:left="40"/>
              <w:spacing w:after="0" w:line="156" w:lineRule="exact"/>
              <w:rPr>
                <w:sz w:val="20"/>
                <w:szCs w:val="20"/>
                <w:color w:val="auto"/>
              </w:rPr>
            </w:pPr>
            <w:r>
              <w:rPr>
                <w:rFonts w:ascii="Calibri" w:cs="Calibri" w:eastAsia="Calibri" w:hAnsi="Calibri"/>
                <w:sz w:val="16"/>
                <w:szCs w:val="16"/>
                <w:color w:val="auto"/>
              </w:rPr>
              <w:t>(4.9)</w:t>
            </w:r>
          </w:p>
        </w:tc>
        <w:tc>
          <w:tcPr>
            <w:tcW w:w="9960" w:type="dxa"/>
            <w:vAlign w:val="bottom"/>
            <w:tcBorders>
              <w:bottom w:val="single" w:sz="8" w:color="0000EE"/>
            </w:tcBorders>
            <w:gridSpan w:val="23"/>
          </w:tcPr>
          <w:p>
            <w:pPr>
              <w:spacing w:after="0" w:line="156" w:lineRule="exact"/>
              <w:rPr>
                <w:rFonts w:ascii="Calibri" w:cs="Calibri" w:eastAsia="Calibri" w:hAnsi="Calibri"/>
                <w:sz w:val="16"/>
                <w:szCs w:val="16"/>
                <w:color w:val="0000EE"/>
              </w:rPr>
            </w:pPr>
            <w:hyperlink r:id="rId729">
              <w:r>
                <w:rPr>
                  <w:rFonts w:ascii="Calibri" w:cs="Calibri" w:eastAsia="Calibri" w:hAnsi="Calibri"/>
                  <w:sz w:val="16"/>
                  <w:szCs w:val="16"/>
                  <w:color w:val="0000EE"/>
                </w:rPr>
                <w:t>Amendment to Leter Agreement, dated as of June 30, 2023, by and among the Company and Kennedy Lewis Investment Management LLC</w:t>
              </w:r>
            </w:hyperlink>
          </w:p>
        </w:tc>
        <w:tc>
          <w:tcPr>
            <w:tcW w:w="240" w:type="dxa"/>
            <w:vAlign w:val="bottom"/>
            <w:tcBorders>
              <w:right w:val="single" w:sz="8" w:color="auto"/>
            </w:tcBorders>
            <w:gridSpan w:val="8"/>
          </w:tcPr>
          <w:p>
            <w:pPr>
              <w:spacing w:after="0"/>
              <w:rPr>
                <w:sz w:val="13"/>
                <w:szCs w:val="13"/>
                <w:color w:val="auto"/>
              </w:rPr>
            </w:pPr>
          </w:p>
        </w:tc>
        <w:tc>
          <w:tcPr>
            <w:tcW w:w="120" w:type="dxa"/>
            <w:vAlign w:val="bottom"/>
          </w:tcPr>
          <w:p>
            <w:pPr>
              <w:spacing w:after="0"/>
              <w:rPr>
                <w:sz w:val="13"/>
                <w:szCs w:val="13"/>
                <w:color w:val="auto"/>
              </w:rPr>
            </w:pPr>
          </w:p>
        </w:tc>
      </w:tr>
      <w:tr>
        <w:trPr>
          <w:trHeight w:val="196"/>
        </w:trPr>
        <w:tc>
          <w:tcPr>
            <w:tcW w:w="920" w:type="dxa"/>
            <w:vAlign w:val="bottom"/>
            <w:tcBorders>
              <w:right w:val="single" w:sz="8" w:color="auto"/>
            </w:tcBorders>
          </w:tcPr>
          <w:p>
            <w:pPr>
              <w:spacing w:after="0"/>
              <w:rPr>
                <w:sz w:val="17"/>
                <w:szCs w:val="17"/>
                <w:color w:val="auto"/>
              </w:rPr>
            </w:pPr>
          </w:p>
        </w:tc>
        <w:tc>
          <w:tcPr>
            <w:tcW w:w="10200" w:type="dxa"/>
            <w:vAlign w:val="bottom"/>
            <w:tcBorders>
              <w:right w:val="single" w:sz="8" w:color="auto"/>
            </w:tcBorders>
            <w:gridSpan w:val="31"/>
          </w:tcPr>
          <w:p>
            <w:pPr>
              <w:spacing w:after="0" w:line="196" w:lineRule="exact"/>
              <w:rPr>
                <w:rFonts w:ascii="Calibri" w:cs="Calibri" w:eastAsia="Calibri" w:hAnsi="Calibri"/>
                <w:sz w:val="18"/>
                <w:szCs w:val="18"/>
                <w:color w:val="0000EE"/>
              </w:rPr>
            </w:pPr>
            <w:hyperlink r:id="rId729">
              <w:r>
                <w:rPr>
                  <w:rFonts w:ascii="Calibri" w:cs="Calibri" w:eastAsia="Calibri" w:hAnsi="Calibri"/>
                  <w:sz w:val="18"/>
                  <w:szCs w:val="18"/>
                  <w:color w:val="0000EE"/>
                </w:rPr>
                <w:t>(Incorporated by reference to Exhibit (10.3) of the Company’s Current Report on Form 8-K as fled on July 7, 2023).</w:t>
              </w:r>
            </w:hyperlink>
          </w:p>
        </w:tc>
        <w:tc>
          <w:tcPr>
            <w:tcW w:w="120" w:type="dxa"/>
            <w:vAlign w:val="bottom"/>
          </w:tcPr>
          <w:p>
            <w:pPr>
              <w:spacing w:after="0"/>
              <w:rPr>
                <w:sz w:val="17"/>
                <w:szCs w:val="17"/>
                <w:color w:val="auto"/>
              </w:rPr>
            </w:pPr>
          </w:p>
        </w:tc>
      </w:tr>
      <w:tr>
        <w:trPr>
          <w:trHeight w:val="34"/>
        </w:trPr>
        <w:tc>
          <w:tcPr>
            <w:tcW w:w="920" w:type="dxa"/>
            <w:vAlign w:val="bottom"/>
            <w:tcBorders>
              <w:bottom w:val="single" w:sz="8" w:color="auto"/>
              <w:right w:val="single" w:sz="8" w:color="auto"/>
            </w:tcBorders>
          </w:tcPr>
          <w:p>
            <w:pPr>
              <w:spacing w:after="0"/>
              <w:rPr>
                <w:sz w:val="2"/>
                <w:szCs w:val="2"/>
                <w:color w:val="auto"/>
              </w:rPr>
            </w:pPr>
          </w:p>
        </w:tc>
        <w:tc>
          <w:tcPr>
            <w:tcW w:w="460" w:type="dxa"/>
            <w:vAlign w:val="bottom"/>
            <w:tcBorders>
              <w:top w:val="single" w:sz="8" w:color="0000EE"/>
              <w:bottom w:val="single" w:sz="8" w:color="auto"/>
            </w:tcBorders>
          </w:tcPr>
          <w:p>
            <w:pPr>
              <w:spacing w:after="0"/>
              <w:rPr>
                <w:sz w:val="2"/>
                <w:szCs w:val="2"/>
                <w:color w:val="auto"/>
              </w:rPr>
            </w:pPr>
          </w:p>
        </w:tc>
        <w:tc>
          <w:tcPr>
            <w:tcW w:w="1140" w:type="dxa"/>
            <w:vAlign w:val="bottom"/>
            <w:tcBorders>
              <w:top w:val="single" w:sz="8" w:color="0000EE"/>
              <w:bottom w:val="single" w:sz="8" w:color="auto"/>
            </w:tcBorders>
          </w:tcPr>
          <w:p>
            <w:pPr>
              <w:spacing w:after="0"/>
              <w:rPr>
                <w:sz w:val="2"/>
                <w:szCs w:val="2"/>
                <w:color w:val="auto"/>
              </w:rPr>
            </w:pPr>
          </w:p>
        </w:tc>
        <w:tc>
          <w:tcPr>
            <w:tcW w:w="920" w:type="dxa"/>
            <w:vAlign w:val="bottom"/>
            <w:tcBorders>
              <w:top w:val="single" w:sz="8" w:color="0000EE"/>
              <w:bottom w:val="single" w:sz="8" w:color="auto"/>
            </w:tcBorders>
          </w:tcPr>
          <w:p>
            <w:pPr>
              <w:spacing w:after="0"/>
              <w:rPr>
                <w:sz w:val="2"/>
                <w:szCs w:val="2"/>
                <w:color w:val="auto"/>
              </w:rPr>
            </w:pPr>
          </w:p>
        </w:tc>
        <w:tc>
          <w:tcPr>
            <w:tcW w:w="600" w:type="dxa"/>
            <w:vAlign w:val="bottom"/>
            <w:tcBorders>
              <w:top w:val="single" w:sz="8" w:color="0000EE"/>
              <w:bottom w:val="single" w:sz="8" w:color="auto"/>
            </w:tcBorders>
          </w:tcPr>
          <w:p>
            <w:pPr>
              <w:spacing w:after="0"/>
              <w:rPr>
                <w:sz w:val="2"/>
                <w:szCs w:val="2"/>
                <w:color w:val="auto"/>
              </w:rPr>
            </w:pPr>
          </w:p>
        </w:tc>
        <w:tc>
          <w:tcPr>
            <w:tcW w:w="300" w:type="dxa"/>
            <w:vAlign w:val="bottom"/>
            <w:tcBorders>
              <w:top w:val="single" w:sz="8" w:color="0000EE"/>
              <w:bottom w:val="single" w:sz="8" w:color="auto"/>
            </w:tcBorders>
          </w:tcPr>
          <w:p>
            <w:pPr>
              <w:spacing w:after="0"/>
              <w:rPr>
                <w:sz w:val="2"/>
                <w:szCs w:val="2"/>
                <w:color w:val="auto"/>
              </w:rPr>
            </w:pPr>
          </w:p>
        </w:tc>
        <w:tc>
          <w:tcPr>
            <w:tcW w:w="760" w:type="dxa"/>
            <w:vAlign w:val="bottom"/>
            <w:tcBorders>
              <w:top w:val="single" w:sz="8" w:color="0000EE"/>
              <w:bottom w:val="single" w:sz="8" w:color="auto"/>
            </w:tcBorders>
          </w:tcPr>
          <w:p>
            <w:pPr>
              <w:spacing w:after="0"/>
              <w:rPr>
                <w:sz w:val="2"/>
                <w:szCs w:val="2"/>
                <w:color w:val="auto"/>
              </w:rPr>
            </w:pPr>
          </w:p>
        </w:tc>
        <w:tc>
          <w:tcPr>
            <w:tcW w:w="680" w:type="dxa"/>
            <w:vAlign w:val="bottom"/>
            <w:tcBorders>
              <w:top w:val="single" w:sz="8" w:color="0000EE"/>
              <w:bottom w:val="single" w:sz="8" w:color="auto"/>
            </w:tcBorders>
          </w:tcPr>
          <w:p>
            <w:pPr>
              <w:spacing w:after="0"/>
              <w:rPr>
                <w:sz w:val="2"/>
                <w:szCs w:val="2"/>
                <w:color w:val="auto"/>
              </w:rPr>
            </w:pPr>
          </w:p>
        </w:tc>
        <w:tc>
          <w:tcPr>
            <w:tcW w:w="320" w:type="dxa"/>
            <w:vAlign w:val="bottom"/>
            <w:tcBorders>
              <w:top w:val="single" w:sz="8" w:color="0000EE"/>
              <w:bottom w:val="single" w:sz="8" w:color="auto"/>
            </w:tcBorders>
          </w:tcPr>
          <w:p>
            <w:pPr>
              <w:spacing w:after="0"/>
              <w:rPr>
                <w:sz w:val="2"/>
                <w:szCs w:val="2"/>
                <w:color w:val="auto"/>
              </w:rPr>
            </w:pPr>
          </w:p>
        </w:tc>
        <w:tc>
          <w:tcPr>
            <w:tcW w:w="2400" w:type="dxa"/>
            <w:vAlign w:val="bottom"/>
            <w:tcBorders>
              <w:top w:val="single" w:sz="8" w:color="0000EE"/>
              <w:bottom w:val="single" w:sz="8" w:color="auto"/>
            </w:tcBorders>
          </w:tcPr>
          <w:p>
            <w:pPr>
              <w:spacing w:after="0"/>
              <w:rPr>
                <w:sz w:val="2"/>
                <w:szCs w:val="2"/>
                <w:color w:val="auto"/>
              </w:rPr>
            </w:pPr>
          </w:p>
        </w:tc>
        <w:tc>
          <w:tcPr>
            <w:tcW w:w="44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10"/>
        </w:trPr>
        <w:tc>
          <w:tcPr>
            <w:tcW w:w="920" w:type="dxa"/>
            <w:vAlign w:val="bottom"/>
            <w:tcBorders>
              <w:bottom w:val="single" w:sz="8" w:color="auto"/>
              <w:right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55"/>
        </w:trPr>
        <w:tc>
          <w:tcPr>
            <w:tcW w:w="920" w:type="dxa"/>
            <w:vAlign w:val="bottom"/>
            <w:tcBorders>
              <w:right w:val="single" w:sz="8" w:color="auto"/>
            </w:tcBorders>
          </w:tcPr>
          <w:p>
            <w:pPr>
              <w:ind w:left="40"/>
              <w:spacing w:after="0" w:line="156" w:lineRule="exact"/>
              <w:rPr>
                <w:sz w:val="20"/>
                <w:szCs w:val="20"/>
                <w:color w:val="auto"/>
              </w:rPr>
            </w:pPr>
            <w:r>
              <w:rPr>
                <w:rFonts w:ascii="Calibri" w:cs="Calibri" w:eastAsia="Calibri" w:hAnsi="Calibri"/>
                <w:sz w:val="16"/>
                <w:szCs w:val="16"/>
                <w:color w:val="auto"/>
              </w:rPr>
              <w:t>(4.10)</w:t>
            </w:r>
          </w:p>
        </w:tc>
        <w:tc>
          <w:tcPr>
            <w:tcW w:w="9940" w:type="dxa"/>
            <w:vAlign w:val="bottom"/>
            <w:tcBorders>
              <w:bottom w:val="single" w:sz="8" w:color="0000EE"/>
            </w:tcBorders>
            <w:gridSpan w:val="22"/>
          </w:tcPr>
          <w:p>
            <w:pPr>
              <w:spacing w:after="0" w:line="156" w:lineRule="exact"/>
              <w:rPr>
                <w:rFonts w:ascii="Calibri" w:cs="Calibri" w:eastAsia="Calibri" w:hAnsi="Calibri"/>
                <w:sz w:val="16"/>
                <w:szCs w:val="16"/>
                <w:color w:val="0000EE"/>
              </w:rPr>
            </w:pPr>
            <w:hyperlink r:id="rId730">
              <w:r>
                <w:rPr>
                  <w:rFonts w:ascii="Calibri" w:cs="Calibri" w:eastAsia="Calibri" w:hAnsi="Calibri"/>
                  <w:sz w:val="16"/>
                  <w:szCs w:val="16"/>
                  <w:color w:val="0000EE"/>
                </w:rPr>
                <w:t>Descripton of Securites (Incorporated by reference to Exhibit 4.11 of the Company’s Annual Report on Form 10-K for the fscal year ended</w:t>
              </w:r>
            </w:hyperlink>
          </w:p>
        </w:tc>
        <w:tc>
          <w:tcPr>
            <w:tcW w:w="260" w:type="dxa"/>
            <w:vAlign w:val="bottom"/>
            <w:tcBorders>
              <w:right w:val="single" w:sz="8" w:color="auto"/>
            </w:tcBorders>
            <w:gridSpan w:val="9"/>
          </w:tcPr>
          <w:p>
            <w:pPr>
              <w:spacing w:after="0"/>
              <w:rPr>
                <w:sz w:val="13"/>
                <w:szCs w:val="13"/>
                <w:color w:val="auto"/>
              </w:rPr>
            </w:pPr>
          </w:p>
        </w:tc>
        <w:tc>
          <w:tcPr>
            <w:tcW w:w="120" w:type="dxa"/>
            <w:vAlign w:val="bottom"/>
          </w:tcPr>
          <w:p>
            <w:pPr>
              <w:spacing w:after="0"/>
              <w:rPr>
                <w:sz w:val="13"/>
                <w:szCs w:val="13"/>
                <w:color w:val="auto"/>
              </w:rPr>
            </w:pPr>
          </w:p>
        </w:tc>
      </w:tr>
      <w:tr>
        <w:trPr>
          <w:trHeight w:val="196"/>
        </w:trPr>
        <w:tc>
          <w:tcPr>
            <w:tcW w:w="920" w:type="dxa"/>
            <w:vAlign w:val="bottom"/>
            <w:tcBorders>
              <w:right w:val="single" w:sz="8" w:color="auto"/>
            </w:tcBorders>
          </w:tcPr>
          <w:p>
            <w:pPr>
              <w:spacing w:after="0"/>
              <w:rPr>
                <w:sz w:val="17"/>
                <w:szCs w:val="17"/>
                <w:color w:val="auto"/>
              </w:rPr>
            </w:pPr>
          </w:p>
        </w:tc>
        <w:tc>
          <w:tcPr>
            <w:tcW w:w="10200" w:type="dxa"/>
            <w:vAlign w:val="bottom"/>
            <w:tcBorders>
              <w:right w:val="single" w:sz="8" w:color="auto"/>
            </w:tcBorders>
            <w:gridSpan w:val="31"/>
          </w:tcPr>
          <w:p>
            <w:pPr>
              <w:spacing w:after="0" w:line="196" w:lineRule="exact"/>
              <w:rPr>
                <w:rFonts w:ascii="Calibri" w:cs="Calibri" w:eastAsia="Calibri" w:hAnsi="Calibri"/>
                <w:sz w:val="18"/>
                <w:szCs w:val="18"/>
                <w:color w:val="0000EE"/>
              </w:rPr>
            </w:pPr>
            <w:hyperlink r:id="rId730">
              <w:r>
                <w:rPr>
                  <w:rFonts w:ascii="Calibri" w:cs="Calibri" w:eastAsia="Calibri" w:hAnsi="Calibri"/>
                  <w:sz w:val="18"/>
                  <w:szCs w:val="18"/>
                  <w:color w:val="0000EE"/>
                </w:rPr>
                <w:t>December 31, 2020 as fled on March 16, 2021).</w:t>
              </w:r>
            </w:hyperlink>
          </w:p>
        </w:tc>
        <w:tc>
          <w:tcPr>
            <w:tcW w:w="120" w:type="dxa"/>
            <w:vAlign w:val="bottom"/>
          </w:tcPr>
          <w:p>
            <w:pPr>
              <w:spacing w:after="0"/>
              <w:rPr>
                <w:sz w:val="17"/>
                <w:szCs w:val="17"/>
                <w:color w:val="auto"/>
              </w:rPr>
            </w:pPr>
          </w:p>
        </w:tc>
      </w:tr>
      <w:tr>
        <w:trPr>
          <w:trHeight w:val="34"/>
        </w:trPr>
        <w:tc>
          <w:tcPr>
            <w:tcW w:w="920" w:type="dxa"/>
            <w:vAlign w:val="bottom"/>
            <w:tcBorders>
              <w:bottom w:val="single" w:sz="8" w:color="auto"/>
              <w:right w:val="single" w:sz="8" w:color="auto"/>
            </w:tcBorders>
          </w:tcPr>
          <w:p>
            <w:pPr>
              <w:spacing w:after="0"/>
              <w:rPr>
                <w:sz w:val="2"/>
                <w:szCs w:val="2"/>
                <w:color w:val="auto"/>
              </w:rPr>
            </w:pPr>
          </w:p>
        </w:tc>
        <w:tc>
          <w:tcPr>
            <w:tcW w:w="460" w:type="dxa"/>
            <w:vAlign w:val="bottom"/>
            <w:tcBorders>
              <w:top w:val="single" w:sz="8" w:color="0000EE"/>
              <w:bottom w:val="single" w:sz="8" w:color="auto"/>
            </w:tcBorders>
          </w:tcPr>
          <w:p>
            <w:pPr>
              <w:spacing w:after="0"/>
              <w:rPr>
                <w:sz w:val="2"/>
                <w:szCs w:val="2"/>
                <w:color w:val="auto"/>
              </w:rPr>
            </w:pPr>
          </w:p>
        </w:tc>
        <w:tc>
          <w:tcPr>
            <w:tcW w:w="1140" w:type="dxa"/>
            <w:vAlign w:val="bottom"/>
            <w:tcBorders>
              <w:top w:val="single" w:sz="8" w:color="0000EE"/>
              <w:bottom w:val="single" w:sz="8" w:color="auto"/>
            </w:tcBorders>
          </w:tcPr>
          <w:p>
            <w:pPr>
              <w:spacing w:after="0"/>
              <w:rPr>
                <w:sz w:val="2"/>
                <w:szCs w:val="2"/>
                <w:color w:val="auto"/>
              </w:rPr>
            </w:pPr>
          </w:p>
        </w:tc>
        <w:tc>
          <w:tcPr>
            <w:tcW w:w="920" w:type="dxa"/>
            <w:vAlign w:val="bottom"/>
            <w:tcBorders>
              <w:top w:val="single" w:sz="8" w:color="0000EE"/>
              <w:bottom w:val="single" w:sz="8" w:color="auto"/>
            </w:tcBorders>
          </w:tcPr>
          <w:p>
            <w:pPr>
              <w:spacing w:after="0"/>
              <w:rPr>
                <w:sz w:val="2"/>
                <w:szCs w:val="2"/>
                <w:color w:val="auto"/>
              </w:rPr>
            </w:pPr>
          </w:p>
        </w:tc>
        <w:tc>
          <w:tcPr>
            <w:tcW w:w="600" w:type="dxa"/>
            <w:vAlign w:val="bottom"/>
            <w:tcBorders>
              <w:top w:val="single" w:sz="8" w:color="0000EE"/>
              <w:bottom w:val="single" w:sz="8" w:color="auto"/>
            </w:tcBorders>
          </w:tcPr>
          <w:p>
            <w:pPr>
              <w:spacing w:after="0"/>
              <w:rPr>
                <w:sz w:val="2"/>
                <w:szCs w:val="2"/>
                <w:color w:val="auto"/>
              </w:rPr>
            </w:pPr>
          </w:p>
        </w:tc>
        <w:tc>
          <w:tcPr>
            <w:tcW w:w="300" w:type="dxa"/>
            <w:vAlign w:val="bottom"/>
            <w:tcBorders>
              <w:top w:val="single" w:sz="8" w:color="0000EE"/>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10"/>
        </w:trPr>
        <w:tc>
          <w:tcPr>
            <w:tcW w:w="920" w:type="dxa"/>
            <w:vAlign w:val="bottom"/>
            <w:tcBorders>
              <w:bottom w:val="single" w:sz="8" w:color="auto"/>
              <w:right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55"/>
        </w:trPr>
        <w:tc>
          <w:tcPr>
            <w:tcW w:w="920" w:type="dxa"/>
            <w:vAlign w:val="bottom"/>
            <w:tcBorders>
              <w:right w:val="single" w:sz="8" w:color="auto"/>
            </w:tcBorders>
          </w:tcPr>
          <w:p>
            <w:pPr>
              <w:ind w:left="40"/>
              <w:spacing w:after="0" w:line="156" w:lineRule="exact"/>
              <w:rPr>
                <w:sz w:val="20"/>
                <w:szCs w:val="20"/>
                <w:color w:val="auto"/>
              </w:rPr>
            </w:pPr>
            <w:r>
              <w:rPr>
                <w:rFonts w:ascii="Calibri" w:cs="Calibri" w:eastAsia="Calibri" w:hAnsi="Calibri"/>
                <w:sz w:val="16"/>
                <w:szCs w:val="16"/>
                <w:color w:val="auto"/>
              </w:rPr>
              <w:t>*(10.1)</w:t>
            </w:r>
          </w:p>
        </w:tc>
        <w:tc>
          <w:tcPr>
            <w:tcW w:w="7580" w:type="dxa"/>
            <w:vAlign w:val="bottom"/>
            <w:tcBorders>
              <w:bottom w:val="single" w:sz="8" w:color="0000EE"/>
            </w:tcBorders>
            <w:gridSpan w:val="9"/>
          </w:tcPr>
          <w:p>
            <w:pPr>
              <w:spacing w:after="0" w:line="156" w:lineRule="exact"/>
              <w:rPr>
                <w:rFonts w:ascii="Calibri" w:cs="Calibri" w:eastAsia="Calibri" w:hAnsi="Calibri"/>
                <w:sz w:val="16"/>
                <w:szCs w:val="16"/>
                <w:color w:val="0000EE"/>
              </w:rPr>
            </w:pPr>
            <w:hyperlink r:id="rId731">
              <w:r>
                <w:rPr>
                  <w:rFonts w:ascii="Calibri" w:cs="Calibri" w:eastAsia="Calibri" w:hAnsi="Calibri"/>
                  <w:sz w:val="16"/>
                  <w:szCs w:val="16"/>
                  <w:color w:val="0000EE"/>
                </w:rPr>
                <w:t>Eastman Kodak Company 2013 Omnibus Incentve Plan (As Amended and Restated efectve May 20, 2020</w:t>
              </w:r>
            </w:hyperlink>
          </w:p>
        </w:tc>
        <w:tc>
          <w:tcPr>
            <w:tcW w:w="2620" w:type="dxa"/>
            <w:vAlign w:val="bottom"/>
            <w:tcBorders>
              <w:right w:val="single" w:sz="8" w:color="auto"/>
            </w:tcBorders>
            <w:gridSpan w:val="22"/>
          </w:tcPr>
          <w:p>
            <w:pPr>
              <w:spacing w:after="0"/>
              <w:rPr>
                <w:sz w:val="13"/>
                <w:szCs w:val="13"/>
                <w:color w:val="auto"/>
              </w:rPr>
            </w:pPr>
          </w:p>
        </w:tc>
        <w:tc>
          <w:tcPr>
            <w:tcW w:w="120" w:type="dxa"/>
            <w:vAlign w:val="bottom"/>
          </w:tcPr>
          <w:p>
            <w:pPr>
              <w:spacing w:after="0"/>
              <w:rPr>
                <w:sz w:val="13"/>
                <w:szCs w:val="13"/>
                <w:color w:val="auto"/>
              </w:rPr>
            </w:pPr>
          </w:p>
        </w:tc>
      </w:tr>
      <w:tr>
        <w:trPr>
          <w:trHeight w:val="196"/>
        </w:trPr>
        <w:tc>
          <w:tcPr>
            <w:tcW w:w="920" w:type="dxa"/>
            <w:vAlign w:val="bottom"/>
            <w:tcBorders>
              <w:right w:val="single" w:sz="8" w:color="auto"/>
            </w:tcBorders>
          </w:tcPr>
          <w:p>
            <w:pPr>
              <w:spacing w:after="0"/>
              <w:rPr>
                <w:sz w:val="17"/>
                <w:szCs w:val="17"/>
                <w:color w:val="auto"/>
              </w:rPr>
            </w:pPr>
          </w:p>
        </w:tc>
        <w:tc>
          <w:tcPr>
            <w:tcW w:w="10040" w:type="dxa"/>
            <w:vAlign w:val="bottom"/>
            <w:tcBorders>
              <w:bottom w:val="single" w:sz="8" w:color="0000EE"/>
            </w:tcBorders>
            <w:gridSpan w:val="26"/>
          </w:tcPr>
          <w:p>
            <w:pPr>
              <w:spacing w:after="0" w:line="196" w:lineRule="exact"/>
              <w:rPr>
                <w:rFonts w:ascii="Calibri" w:cs="Calibri" w:eastAsia="Calibri" w:hAnsi="Calibri"/>
                <w:sz w:val="18"/>
                <w:szCs w:val="18"/>
                <w:color w:val="0000EE"/>
                <w:w w:val="97"/>
              </w:rPr>
            </w:pPr>
            <w:hyperlink r:id="rId731">
              <w:r>
                <w:rPr>
                  <w:rFonts w:ascii="Calibri" w:cs="Calibri" w:eastAsia="Calibri" w:hAnsi="Calibri"/>
                  <w:sz w:val="18"/>
                  <w:szCs w:val="18"/>
                  <w:color w:val="0000EE"/>
                  <w:w w:val="97"/>
                </w:rPr>
                <w:t>(Incorporated by reference to Exhibit 10.1 of the Company’s Quarterly Report on Form 10-Q for the quarterly period ended June 30, 2020 as</w:t>
              </w:r>
            </w:hyperlink>
          </w:p>
        </w:tc>
        <w:tc>
          <w:tcPr>
            <w:tcW w:w="160" w:type="dxa"/>
            <w:vAlign w:val="bottom"/>
            <w:tcBorders>
              <w:right w:val="single" w:sz="8" w:color="auto"/>
            </w:tcBorders>
            <w:gridSpan w:val="5"/>
          </w:tcPr>
          <w:p>
            <w:pPr>
              <w:spacing w:after="0"/>
              <w:rPr>
                <w:sz w:val="17"/>
                <w:szCs w:val="17"/>
                <w:color w:val="auto"/>
              </w:rPr>
            </w:pPr>
          </w:p>
        </w:tc>
        <w:tc>
          <w:tcPr>
            <w:tcW w:w="120" w:type="dxa"/>
            <w:vAlign w:val="bottom"/>
          </w:tcPr>
          <w:p>
            <w:pPr>
              <w:spacing w:after="0"/>
              <w:rPr>
                <w:sz w:val="17"/>
                <w:szCs w:val="17"/>
                <w:color w:val="auto"/>
              </w:rPr>
            </w:pPr>
          </w:p>
        </w:tc>
      </w:tr>
      <w:tr>
        <w:trPr>
          <w:trHeight w:val="196"/>
        </w:trPr>
        <w:tc>
          <w:tcPr>
            <w:tcW w:w="920" w:type="dxa"/>
            <w:vAlign w:val="bottom"/>
            <w:tcBorders>
              <w:right w:val="single" w:sz="8" w:color="auto"/>
            </w:tcBorders>
          </w:tcPr>
          <w:p>
            <w:pPr>
              <w:spacing w:after="0"/>
              <w:rPr>
                <w:sz w:val="17"/>
                <w:szCs w:val="17"/>
                <w:color w:val="auto"/>
              </w:rPr>
            </w:pPr>
          </w:p>
        </w:tc>
        <w:tc>
          <w:tcPr>
            <w:tcW w:w="10200" w:type="dxa"/>
            <w:vAlign w:val="bottom"/>
            <w:tcBorders>
              <w:right w:val="single" w:sz="8" w:color="auto"/>
            </w:tcBorders>
            <w:gridSpan w:val="31"/>
          </w:tcPr>
          <w:p>
            <w:pPr>
              <w:spacing w:after="0" w:line="196" w:lineRule="exact"/>
              <w:rPr>
                <w:rFonts w:ascii="Calibri" w:cs="Calibri" w:eastAsia="Calibri" w:hAnsi="Calibri"/>
                <w:sz w:val="18"/>
                <w:szCs w:val="18"/>
                <w:color w:val="0000EE"/>
              </w:rPr>
            </w:pPr>
            <w:hyperlink r:id="rId731">
              <w:r>
                <w:rPr>
                  <w:rFonts w:ascii="Calibri" w:cs="Calibri" w:eastAsia="Calibri" w:hAnsi="Calibri"/>
                  <w:sz w:val="18"/>
                  <w:szCs w:val="18"/>
                  <w:color w:val="0000EE"/>
                </w:rPr>
                <w:t>fled August 11, 2020).</w:t>
              </w:r>
            </w:hyperlink>
          </w:p>
        </w:tc>
        <w:tc>
          <w:tcPr>
            <w:tcW w:w="120" w:type="dxa"/>
            <w:vAlign w:val="bottom"/>
          </w:tcPr>
          <w:p>
            <w:pPr>
              <w:spacing w:after="0"/>
              <w:rPr>
                <w:sz w:val="17"/>
                <w:szCs w:val="17"/>
                <w:color w:val="auto"/>
              </w:rPr>
            </w:pPr>
          </w:p>
        </w:tc>
      </w:tr>
      <w:tr>
        <w:trPr>
          <w:trHeight w:val="34"/>
        </w:trPr>
        <w:tc>
          <w:tcPr>
            <w:tcW w:w="920" w:type="dxa"/>
            <w:vAlign w:val="bottom"/>
            <w:tcBorders>
              <w:bottom w:val="single" w:sz="8" w:color="auto"/>
              <w:right w:val="single" w:sz="8" w:color="auto"/>
            </w:tcBorders>
          </w:tcPr>
          <w:p>
            <w:pPr>
              <w:spacing w:after="0"/>
              <w:rPr>
                <w:sz w:val="2"/>
                <w:szCs w:val="2"/>
                <w:color w:val="auto"/>
              </w:rPr>
            </w:pPr>
          </w:p>
        </w:tc>
        <w:tc>
          <w:tcPr>
            <w:tcW w:w="460" w:type="dxa"/>
            <w:vAlign w:val="bottom"/>
            <w:tcBorders>
              <w:top w:val="single" w:sz="8" w:color="0000EE"/>
              <w:bottom w:val="single" w:sz="8" w:color="auto"/>
            </w:tcBorders>
          </w:tcPr>
          <w:p>
            <w:pPr>
              <w:spacing w:after="0"/>
              <w:rPr>
                <w:sz w:val="2"/>
                <w:szCs w:val="2"/>
                <w:color w:val="auto"/>
              </w:rPr>
            </w:pPr>
          </w:p>
        </w:tc>
        <w:tc>
          <w:tcPr>
            <w:tcW w:w="1140" w:type="dxa"/>
            <w:vAlign w:val="bottom"/>
            <w:tcBorders>
              <w:top w:val="single" w:sz="8" w:color="0000EE"/>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10"/>
        </w:trPr>
        <w:tc>
          <w:tcPr>
            <w:tcW w:w="920" w:type="dxa"/>
            <w:vAlign w:val="bottom"/>
            <w:tcBorders>
              <w:bottom w:val="single" w:sz="8" w:color="auto"/>
              <w:right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55"/>
        </w:trPr>
        <w:tc>
          <w:tcPr>
            <w:tcW w:w="920" w:type="dxa"/>
            <w:vAlign w:val="bottom"/>
            <w:tcBorders>
              <w:right w:val="single" w:sz="8" w:color="auto"/>
            </w:tcBorders>
          </w:tcPr>
          <w:p>
            <w:pPr>
              <w:ind w:left="40"/>
              <w:spacing w:after="0" w:line="156" w:lineRule="exact"/>
              <w:rPr>
                <w:sz w:val="20"/>
                <w:szCs w:val="20"/>
                <w:color w:val="auto"/>
              </w:rPr>
            </w:pPr>
            <w:r>
              <w:rPr>
                <w:rFonts w:ascii="Calibri" w:cs="Calibri" w:eastAsia="Calibri" w:hAnsi="Calibri"/>
                <w:sz w:val="16"/>
                <w:szCs w:val="16"/>
                <w:color w:val="auto"/>
              </w:rPr>
              <w:t>*(10.2)</w:t>
            </w:r>
          </w:p>
        </w:tc>
        <w:tc>
          <w:tcPr>
            <w:tcW w:w="9780" w:type="dxa"/>
            <w:vAlign w:val="bottom"/>
            <w:tcBorders>
              <w:bottom w:val="single" w:sz="8" w:color="0000EE"/>
            </w:tcBorders>
            <w:gridSpan w:val="20"/>
          </w:tcPr>
          <w:p>
            <w:pPr>
              <w:spacing w:after="0" w:line="156" w:lineRule="exact"/>
              <w:rPr>
                <w:rFonts w:ascii="Calibri" w:cs="Calibri" w:eastAsia="Calibri" w:hAnsi="Calibri"/>
                <w:sz w:val="16"/>
                <w:szCs w:val="16"/>
                <w:color w:val="0000EE"/>
              </w:rPr>
            </w:pPr>
            <w:hyperlink r:id="rId732">
              <w:r>
                <w:rPr>
                  <w:rFonts w:ascii="Calibri" w:cs="Calibri" w:eastAsia="Calibri" w:hAnsi="Calibri"/>
                  <w:sz w:val="16"/>
                  <w:szCs w:val="16"/>
                  <w:color w:val="0000EE"/>
                </w:rPr>
                <w:t>First Amendment to the Eastman Kodak Company 2013 Omnibus Incentve Plan, as amended and restated (Incorporated by reference to</w:t>
              </w:r>
            </w:hyperlink>
          </w:p>
        </w:tc>
        <w:tc>
          <w:tcPr>
            <w:tcW w:w="420" w:type="dxa"/>
            <w:vAlign w:val="bottom"/>
            <w:tcBorders>
              <w:right w:val="single" w:sz="8" w:color="auto"/>
            </w:tcBorders>
            <w:gridSpan w:val="11"/>
          </w:tcPr>
          <w:p>
            <w:pPr>
              <w:spacing w:after="0"/>
              <w:rPr>
                <w:sz w:val="13"/>
                <w:szCs w:val="13"/>
                <w:color w:val="auto"/>
              </w:rPr>
            </w:pPr>
          </w:p>
        </w:tc>
        <w:tc>
          <w:tcPr>
            <w:tcW w:w="120" w:type="dxa"/>
            <w:vAlign w:val="bottom"/>
          </w:tcPr>
          <w:p>
            <w:pPr>
              <w:spacing w:after="0"/>
              <w:rPr>
                <w:sz w:val="13"/>
                <w:szCs w:val="13"/>
                <w:color w:val="auto"/>
              </w:rPr>
            </w:pPr>
          </w:p>
        </w:tc>
      </w:tr>
      <w:tr>
        <w:trPr>
          <w:trHeight w:val="196"/>
        </w:trPr>
        <w:tc>
          <w:tcPr>
            <w:tcW w:w="920" w:type="dxa"/>
            <w:vAlign w:val="bottom"/>
            <w:tcBorders>
              <w:right w:val="single" w:sz="8" w:color="auto"/>
            </w:tcBorders>
          </w:tcPr>
          <w:p>
            <w:pPr>
              <w:spacing w:after="0"/>
              <w:rPr>
                <w:sz w:val="17"/>
                <w:szCs w:val="17"/>
                <w:color w:val="auto"/>
              </w:rPr>
            </w:pPr>
          </w:p>
        </w:tc>
        <w:tc>
          <w:tcPr>
            <w:tcW w:w="10200" w:type="dxa"/>
            <w:vAlign w:val="bottom"/>
            <w:tcBorders>
              <w:right w:val="single" w:sz="8" w:color="auto"/>
            </w:tcBorders>
            <w:gridSpan w:val="31"/>
          </w:tcPr>
          <w:p>
            <w:pPr>
              <w:spacing w:after="0" w:line="196" w:lineRule="exact"/>
              <w:rPr>
                <w:rFonts w:ascii="Calibri" w:cs="Calibri" w:eastAsia="Calibri" w:hAnsi="Calibri"/>
                <w:sz w:val="18"/>
                <w:szCs w:val="18"/>
                <w:color w:val="0000EE"/>
              </w:rPr>
            </w:pPr>
            <w:hyperlink r:id="rId732">
              <w:r>
                <w:rPr>
                  <w:rFonts w:ascii="Calibri" w:cs="Calibri" w:eastAsia="Calibri" w:hAnsi="Calibri"/>
                  <w:sz w:val="18"/>
                  <w:szCs w:val="18"/>
                  <w:color w:val="0000EE"/>
                </w:rPr>
                <w:t>Exhibit 10.1 of the Company’s Quarterly Report on Form 10-Q for the quarterly period ended June 30, 2021 as fled on August 10, 2021).</w:t>
              </w:r>
            </w:hyperlink>
          </w:p>
        </w:tc>
        <w:tc>
          <w:tcPr>
            <w:tcW w:w="120" w:type="dxa"/>
            <w:vAlign w:val="bottom"/>
          </w:tcPr>
          <w:p>
            <w:pPr>
              <w:spacing w:after="0"/>
              <w:rPr>
                <w:sz w:val="17"/>
                <w:szCs w:val="17"/>
                <w:color w:val="auto"/>
              </w:rPr>
            </w:pPr>
          </w:p>
        </w:tc>
      </w:tr>
      <w:tr>
        <w:trPr>
          <w:trHeight w:val="34"/>
        </w:trPr>
        <w:tc>
          <w:tcPr>
            <w:tcW w:w="920" w:type="dxa"/>
            <w:vAlign w:val="bottom"/>
            <w:tcBorders>
              <w:bottom w:val="single" w:sz="8" w:color="auto"/>
              <w:right w:val="single" w:sz="8" w:color="auto"/>
            </w:tcBorders>
          </w:tcPr>
          <w:p>
            <w:pPr>
              <w:spacing w:after="0"/>
              <w:rPr>
                <w:sz w:val="2"/>
                <w:szCs w:val="2"/>
                <w:color w:val="auto"/>
              </w:rPr>
            </w:pPr>
          </w:p>
        </w:tc>
        <w:tc>
          <w:tcPr>
            <w:tcW w:w="460" w:type="dxa"/>
            <w:vAlign w:val="bottom"/>
            <w:tcBorders>
              <w:top w:val="single" w:sz="8" w:color="0000EE"/>
              <w:bottom w:val="single" w:sz="8" w:color="auto"/>
            </w:tcBorders>
          </w:tcPr>
          <w:p>
            <w:pPr>
              <w:spacing w:after="0"/>
              <w:rPr>
                <w:sz w:val="2"/>
                <w:szCs w:val="2"/>
                <w:color w:val="auto"/>
              </w:rPr>
            </w:pPr>
          </w:p>
        </w:tc>
        <w:tc>
          <w:tcPr>
            <w:tcW w:w="1140" w:type="dxa"/>
            <w:vAlign w:val="bottom"/>
            <w:tcBorders>
              <w:top w:val="single" w:sz="8" w:color="0000EE"/>
              <w:bottom w:val="single" w:sz="8" w:color="auto"/>
            </w:tcBorders>
          </w:tcPr>
          <w:p>
            <w:pPr>
              <w:spacing w:after="0"/>
              <w:rPr>
                <w:sz w:val="2"/>
                <w:szCs w:val="2"/>
                <w:color w:val="auto"/>
              </w:rPr>
            </w:pPr>
          </w:p>
        </w:tc>
        <w:tc>
          <w:tcPr>
            <w:tcW w:w="920" w:type="dxa"/>
            <w:vAlign w:val="bottom"/>
            <w:tcBorders>
              <w:top w:val="single" w:sz="8" w:color="0000EE"/>
              <w:bottom w:val="single" w:sz="8" w:color="auto"/>
            </w:tcBorders>
          </w:tcPr>
          <w:p>
            <w:pPr>
              <w:spacing w:after="0"/>
              <w:rPr>
                <w:sz w:val="2"/>
                <w:szCs w:val="2"/>
                <w:color w:val="auto"/>
              </w:rPr>
            </w:pPr>
          </w:p>
        </w:tc>
        <w:tc>
          <w:tcPr>
            <w:tcW w:w="600" w:type="dxa"/>
            <w:vAlign w:val="bottom"/>
            <w:tcBorders>
              <w:top w:val="single" w:sz="8" w:color="0000EE"/>
              <w:bottom w:val="single" w:sz="8" w:color="auto"/>
            </w:tcBorders>
          </w:tcPr>
          <w:p>
            <w:pPr>
              <w:spacing w:after="0"/>
              <w:rPr>
                <w:sz w:val="2"/>
                <w:szCs w:val="2"/>
                <w:color w:val="auto"/>
              </w:rPr>
            </w:pPr>
          </w:p>
        </w:tc>
        <w:tc>
          <w:tcPr>
            <w:tcW w:w="300" w:type="dxa"/>
            <w:vAlign w:val="bottom"/>
            <w:tcBorders>
              <w:top w:val="single" w:sz="8" w:color="0000EE"/>
              <w:bottom w:val="single" w:sz="8" w:color="auto"/>
            </w:tcBorders>
          </w:tcPr>
          <w:p>
            <w:pPr>
              <w:spacing w:after="0"/>
              <w:rPr>
                <w:sz w:val="2"/>
                <w:szCs w:val="2"/>
                <w:color w:val="auto"/>
              </w:rPr>
            </w:pPr>
          </w:p>
        </w:tc>
        <w:tc>
          <w:tcPr>
            <w:tcW w:w="760" w:type="dxa"/>
            <w:vAlign w:val="bottom"/>
            <w:tcBorders>
              <w:top w:val="single" w:sz="8" w:color="0000EE"/>
              <w:bottom w:val="single" w:sz="8" w:color="auto"/>
            </w:tcBorders>
          </w:tcPr>
          <w:p>
            <w:pPr>
              <w:spacing w:after="0"/>
              <w:rPr>
                <w:sz w:val="2"/>
                <w:szCs w:val="2"/>
                <w:color w:val="auto"/>
              </w:rPr>
            </w:pPr>
          </w:p>
        </w:tc>
        <w:tc>
          <w:tcPr>
            <w:tcW w:w="680" w:type="dxa"/>
            <w:vAlign w:val="bottom"/>
            <w:tcBorders>
              <w:top w:val="single" w:sz="8" w:color="0000EE"/>
              <w:bottom w:val="single" w:sz="8" w:color="auto"/>
            </w:tcBorders>
          </w:tcPr>
          <w:p>
            <w:pPr>
              <w:spacing w:after="0"/>
              <w:rPr>
                <w:sz w:val="2"/>
                <w:szCs w:val="2"/>
                <w:color w:val="auto"/>
              </w:rPr>
            </w:pPr>
          </w:p>
        </w:tc>
        <w:tc>
          <w:tcPr>
            <w:tcW w:w="320" w:type="dxa"/>
            <w:vAlign w:val="bottom"/>
            <w:tcBorders>
              <w:top w:val="single" w:sz="8" w:color="0000EE"/>
              <w:bottom w:val="single" w:sz="8" w:color="auto"/>
            </w:tcBorders>
          </w:tcPr>
          <w:p>
            <w:pPr>
              <w:spacing w:after="0"/>
              <w:rPr>
                <w:sz w:val="2"/>
                <w:szCs w:val="2"/>
                <w:color w:val="auto"/>
              </w:rPr>
            </w:pPr>
          </w:p>
        </w:tc>
        <w:tc>
          <w:tcPr>
            <w:tcW w:w="2400" w:type="dxa"/>
            <w:vAlign w:val="bottom"/>
            <w:tcBorders>
              <w:top w:val="single" w:sz="8" w:color="0000EE"/>
              <w:bottom w:val="single" w:sz="8" w:color="auto"/>
            </w:tcBorders>
          </w:tcPr>
          <w:p>
            <w:pPr>
              <w:spacing w:after="0"/>
              <w:rPr>
                <w:sz w:val="2"/>
                <w:szCs w:val="2"/>
                <w:color w:val="auto"/>
              </w:rPr>
            </w:pPr>
          </w:p>
        </w:tc>
        <w:tc>
          <w:tcPr>
            <w:tcW w:w="44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880" w:type="dxa"/>
            <w:vAlign w:val="bottom"/>
            <w:tcBorders>
              <w:top w:val="single" w:sz="8" w:color="0000EE"/>
              <w:bottom w:val="single" w:sz="8" w:color="auto"/>
            </w:tcBorders>
          </w:tcPr>
          <w:p>
            <w:pPr>
              <w:spacing w:after="0"/>
              <w:rPr>
                <w:sz w:val="2"/>
                <w:szCs w:val="2"/>
                <w:color w:val="auto"/>
              </w:rPr>
            </w:pPr>
          </w:p>
        </w:tc>
        <w:tc>
          <w:tcPr>
            <w:tcW w:w="2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09"/>
        </w:trPr>
        <w:tc>
          <w:tcPr>
            <w:tcW w:w="920" w:type="dxa"/>
            <w:vAlign w:val="bottom"/>
            <w:tcBorders>
              <w:bottom w:val="single" w:sz="8" w:color="auto"/>
              <w:right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56"/>
        </w:trPr>
        <w:tc>
          <w:tcPr>
            <w:tcW w:w="920" w:type="dxa"/>
            <w:vAlign w:val="bottom"/>
            <w:tcBorders>
              <w:right w:val="single" w:sz="8" w:color="auto"/>
            </w:tcBorders>
          </w:tcPr>
          <w:p>
            <w:pPr>
              <w:ind w:left="40"/>
              <w:spacing w:after="0" w:line="156" w:lineRule="exact"/>
              <w:rPr>
                <w:sz w:val="20"/>
                <w:szCs w:val="20"/>
                <w:color w:val="auto"/>
              </w:rPr>
            </w:pPr>
            <w:r>
              <w:rPr>
                <w:rFonts w:ascii="Calibri" w:cs="Calibri" w:eastAsia="Calibri" w:hAnsi="Calibri"/>
                <w:sz w:val="16"/>
                <w:szCs w:val="16"/>
                <w:color w:val="auto"/>
              </w:rPr>
              <w:t>*(10.3)</w:t>
            </w:r>
          </w:p>
        </w:tc>
        <w:tc>
          <w:tcPr>
            <w:tcW w:w="9980" w:type="dxa"/>
            <w:vAlign w:val="bottom"/>
            <w:tcBorders>
              <w:bottom w:val="single" w:sz="8" w:color="0000FF"/>
            </w:tcBorders>
            <w:gridSpan w:val="24"/>
          </w:tcPr>
          <w:p>
            <w:pPr>
              <w:spacing w:after="0" w:line="156" w:lineRule="exact"/>
              <w:rPr>
                <w:rFonts w:ascii="Calibri" w:cs="Calibri" w:eastAsia="Calibri" w:hAnsi="Calibri"/>
                <w:sz w:val="16"/>
                <w:szCs w:val="16"/>
                <w:color w:val="0000FF"/>
              </w:rPr>
            </w:pPr>
            <w:hyperlink r:id="rId733">
              <w:r>
                <w:rPr>
                  <w:rFonts w:ascii="Calibri" w:cs="Calibri" w:eastAsia="Calibri" w:hAnsi="Calibri"/>
                  <w:sz w:val="16"/>
                  <w:szCs w:val="16"/>
                  <w:color w:val="0000FF"/>
                </w:rPr>
                <w:t>Second Amendment to the Eastman Kodak Company 2013 Omnibus Incentve Plan, as amended and restated (Incorporated by reference to</w:t>
              </w:r>
            </w:hyperlink>
          </w:p>
        </w:tc>
        <w:tc>
          <w:tcPr>
            <w:tcW w:w="220" w:type="dxa"/>
            <w:vAlign w:val="bottom"/>
            <w:tcBorders>
              <w:right w:val="single" w:sz="8" w:color="auto"/>
            </w:tcBorders>
            <w:gridSpan w:val="7"/>
          </w:tcPr>
          <w:p>
            <w:pPr>
              <w:spacing w:after="0"/>
              <w:rPr>
                <w:sz w:val="13"/>
                <w:szCs w:val="13"/>
                <w:color w:val="auto"/>
              </w:rPr>
            </w:pPr>
          </w:p>
        </w:tc>
        <w:tc>
          <w:tcPr>
            <w:tcW w:w="120" w:type="dxa"/>
            <w:vAlign w:val="bottom"/>
          </w:tcPr>
          <w:p>
            <w:pPr>
              <w:spacing w:after="0"/>
              <w:rPr>
                <w:sz w:val="13"/>
                <w:szCs w:val="13"/>
                <w:color w:val="auto"/>
              </w:rPr>
            </w:pPr>
          </w:p>
        </w:tc>
      </w:tr>
      <w:tr>
        <w:trPr>
          <w:trHeight w:val="196"/>
        </w:trPr>
        <w:tc>
          <w:tcPr>
            <w:tcW w:w="920" w:type="dxa"/>
            <w:vAlign w:val="bottom"/>
            <w:tcBorders>
              <w:right w:val="single" w:sz="8" w:color="auto"/>
            </w:tcBorders>
          </w:tcPr>
          <w:p>
            <w:pPr>
              <w:spacing w:after="0"/>
              <w:rPr>
                <w:sz w:val="17"/>
                <w:szCs w:val="17"/>
                <w:color w:val="auto"/>
              </w:rPr>
            </w:pPr>
          </w:p>
        </w:tc>
        <w:tc>
          <w:tcPr>
            <w:tcW w:w="10200" w:type="dxa"/>
            <w:vAlign w:val="bottom"/>
            <w:tcBorders>
              <w:right w:val="single" w:sz="8" w:color="auto"/>
            </w:tcBorders>
            <w:gridSpan w:val="31"/>
          </w:tcPr>
          <w:p>
            <w:pPr>
              <w:spacing w:after="0" w:line="196" w:lineRule="exact"/>
              <w:rPr>
                <w:rFonts w:ascii="Calibri" w:cs="Calibri" w:eastAsia="Calibri" w:hAnsi="Calibri"/>
                <w:sz w:val="18"/>
                <w:szCs w:val="18"/>
                <w:color w:val="0000FF"/>
              </w:rPr>
            </w:pPr>
            <w:hyperlink r:id="rId733">
              <w:r>
                <w:rPr>
                  <w:rFonts w:ascii="Calibri" w:cs="Calibri" w:eastAsia="Calibri" w:hAnsi="Calibri"/>
                  <w:sz w:val="18"/>
                  <w:szCs w:val="18"/>
                  <w:color w:val="0000FF"/>
                </w:rPr>
                <w:t>Exhibit 10.1 of the Company’s Quarterly Report on Form 10-Q for the quarterly period ended June 30, 2024 as fled on August 8, 2024).</w:t>
              </w:r>
            </w:hyperlink>
          </w:p>
        </w:tc>
        <w:tc>
          <w:tcPr>
            <w:tcW w:w="120" w:type="dxa"/>
            <w:vAlign w:val="bottom"/>
          </w:tcPr>
          <w:p>
            <w:pPr>
              <w:spacing w:after="0"/>
              <w:rPr>
                <w:sz w:val="17"/>
                <w:szCs w:val="17"/>
                <w:color w:val="auto"/>
              </w:rPr>
            </w:pPr>
          </w:p>
        </w:tc>
      </w:tr>
      <w:tr>
        <w:trPr>
          <w:trHeight w:val="34"/>
        </w:trPr>
        <w:tc>
          <w:tcPr>
            <w:tcW w:w="920" w:type="dxa"/>
            <w:vAlign w:val="bottom"/>
            <w:tcBorders>
              <w:bottom w:val="single" w:sz="8" w:color="auto"/>
              <w:right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1140" w:type="dxa"/>
            <w:vAlign w:val="bottom"/>
            <w:tcBorders>
              <w:top w:val="single" w:sz="8" w:color="0000FF"/>
              <w:bottom w:val="single" w:sz="8" w:color="auto"/>
            </w:tcBorders>
          </w:tcPr>
          <w:p>
            <w:pPr>
              <w:spacing w:after="0"/>
              <w:rPr>
                <w:sz w:val="2"/>
                <w:szCs w:val="2"/>
                <w:color w:val="auto"/>
              </w:rPr>
            </w:pPr>
          </w:p>
        </w:tc>
        <w:tc>
          <w:tcPr>
            <w:tcW w:w="920" w:type="dxa"/>
            <w:vAlign w:val="bottom"/>
            <w:tcBorders>
              <w:top w:val="single" w:sz="8" w:color="0000FF"/>
              <w:bottom w:val="single" w:sz="8" w:color="auto"/>
            </w:tcBorders>
          </w:tcPr>
          <w:p>
            <w:pPr>
              <w:spacing w:after="0"/>
              <w:rPr>
                <w:sz w:val="2"/>
                <w:szCs w:val="2"/>
                <w:color w:val="auto"/>
              </w:rPr>
            </w:pPr>
          </w:p>
        </w:tc>
        <w:tc>
          <w:tcPr>
            <w:tcW w:w="600" w:type="dxa"/>
            <w:vAlign w:val="bottom"/>
            <w:tcBorders>
              <w:top w:val="single" w:sz="8" w:color="0000FF"/>
              <w:bottom w:val="single" w:sz="8" w:color="auto"/>
            </w:tcBorders>
          </w:tcPr>
          <w:p>
            <w:pPr>
              <w:spacing w:after="0"/>
              <w:rPr>
                <w:sz w:val="2"/>
                <w:szCs w:val="2"/>
                <w:color w:val="auto"/>
              </w:rPr>
            </w:pPr>
          </w:p>
        </w:tc>
        <w:tc>
          <w:tcPr>
            <w:tcW w:w="300" w:type="dxa"/>
            <w:vAlign w:val="bottom"/>
            <w:tcBorders>
              <w:top w:val="single" w:sz="8" w:color="0000FF"/>
              <w:bottom w:val="single" w:sz="8" w:color="auto"/>
            </w:tcBorders>
          </w:tcPr>
          <w:p>
            <w:pPr>
              <w:spacing w:after="0"/>
              <w:rPr>
                <w:sz w:val="2"/>
                <w:szCs w:val="2"/>
                <w:color w:val="auto"/>
              </w:rPr>
            </w:pPr>
          </w:p>
        </w:tc>
        <w:tc>
          <w:tcPr>
            <w:tcW w:w="760" w:type="dxa"/>
            <w:vAlign w:val="bottom"/>
            <w:tcBorders>
              <w:top w:val="single" w:sz="8" w:color="0000FF"/>
              <w:bottom w:val="single" w:sz="8" w:color="auto"/>
            </w:tcBorders>
          </w:tcPr>
          <w:p>
            <w:pPr>
              <w:spacing w:after="0"/>
              <w:rPr>
                <w:sz w:val="2"/>
                <w:szCs w:val="2"/>
                <w:color w:val="auto"/>
              </w:rPr>
            </w:pPr>
          </w:p>
        </w:tc>
        <w:tc>
          <w:tcPr>
            <w:tcW w:w="680" w:type="dxa"/>
            <w:vAlign w:val="bottom"/>
            <w:tcBorders>
              <w:top w:val="single" w:sz="8" w:color="0000FF"/>
              <w:bottom w:val="single" w:sz="8" w:color="auto"/>
            </w:tcBorders>
          </w:tcPr>
          <w:p>
            <w:pPr>
              <w:spacing w:after="0"/>
              <w:rPr>
                <w:sz w:val="2"/>
                <w:szCs w:val="2"/>
                <w:color w:val="auto"/>
              </w:rPr>
            </w:pPr>
          </w:p>
        </w:tc>
        <w:tc>
          <w:tcPr>
            <w:tcW w:w="320" w:type="dxa"/>
            <w:vAlign w:val="bottom"/>
            <w:tcBorders>
              <w:top w:val="single" w:sz="8" w:color="0000FF"/>
              <w:bottom w:val="single" w:sz="8" w:color="auto"/>
            </w:tcBorders>
          </w:tcPr>
          <w:p>
            <w:pPr>
              <w:spacing w:after="0"/>
              <w:rPr>
                <w:sz w:val="2"/>
                <w:szCs w:val="2"/>
                <w:color w:val="auto"/>
              </w:rPr>
            </w:pPr>
          </w:p>
        </w:tc>
        <w:tc>
          <w:tcPr>
            <w:tcW w:w="2400" w:type="dxa"/>
            <w:vAlign w:val="bottom"/>
            <w:tcBorders>
              <w:top w:val="single" w:sz="8" w:color="0000FF"/>
              <w:bottom w:val="single" w:sz="8" w:color="auto"/>
            </w:tcBorders>
          </w:tcPr>
          <w:p>
            <w:pPr>
              <w:spacing w:after="0"/>
              <w:rPr>
                <w:sz w:val="2"/>
                <w:szCs w:val="2"/>
                <w:color w:val="auto"/>
              </w:rPr>
            </w:pPr>
          </w:p>
        </w:tc>
        <w:tc>
          <w:tcPr>
            <w:tcW w:w="44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880" w:type="dxa"/>
            <w:vAlign w:val="bottom"/>
            <w:tcBorders>
              <w:top w:val="single" w:sz="8" w:color="0000FF"/>
              <w:bottom w:val="single" w:sz="8" w:color="auto"/>
            </w:tcBorders>
          </w:tcPr>
          <w:p>
            <w:pPr>
              <w:spacing w:after="0"/>
              <w:rPr>
                <w:sz w:val="2"/>
                <w:szCs w:val="2"/>
                <w:color w:val="auto"/>
              </w:rPr>
            </w:pPr>
          </w:p>
        </w:tc>
        <w:tc>
          <w:tcPr>
            <w:tcW w:w="26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18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10"/>
        </w:trPr>
        <w:tc>
          <w:tcPr>
            <w:tcW w:w="920" w:type="dxa"/>
            <w:vAlign w:val="bottom"/>
            <w:tcBorders>
              <w:bottom w:val="single" w:sz="8" w:color="auto"/>
              <w:right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55"/>
        </w:trPr>
        <w:tc>
          <w:tcPr>
            <w:tcW w:w="920" w:type="dxa"/>
            <w:vAlign w:val="bottom"/>
            <w:tcBorders>
              <w:right w:val="single" w:sz="8" w:color="auto"/>
            </w:tcBorders>
          </w:tcPr>
          <w:p>
            <w:pPr>
              <w:ind w:left="40"/>
              <w:spacing w:after="0" w:line="156" w:lineRule="exact"/>
              <w:rPr>
                <w:sz w:val="20"/>
                <w:szCs w:val="20"/>
                <w:color w:val="auto"/>
              </w:rPr>
            </w:pPr>
            <w:r>
              <w:rPr>
                <w:rFonts w:ascii="Calibri" w:cs="Calibri" w:eastAsia="Calibri" w:hAnsi="Calibri"/>
                <w:sz w:val="16"/>
                <w:szCs w:val="16"/>
                <w:color w:val="auto"/>
              </w:rPr>
              <w:t>*(10.4)</w:t>
            </w:r>
          </w:p>
        </w:tc>
        <w:tc>
          <w:tcPr>
            <w:tcW w:w="10200" w:type="dxa"/>
            <w:vAlign w:val="bottom"/>
            <w:tcBorders>
              <w:bottom w:val="single" w:sz="8" w:color="0000EE"/>
              <w:right w:val="single" w:sz="8" w:color="auto"/>
            </w:tcBorders>
            <w:gridSpan w:val="31"/>
          </w:tcPr>
          <w:p>
            <w:pPr>
              <w:spacing w:after="0" w:line="156" w:lineRule="exact"/>
              <w:rPr>
                <w:rFonts w:ascii="Calibri" w:cs="Calibri" w:eastAsia="Calibri" w:hAnsi="Calibri"/>
                <w:sz w:val="16"/>
                <w:szCs w:val="16"/>
                <w:color w:val="0000EE"/>
              </w:rPr>
            </w:pPr>
            <w:hyperlink r:id="rId734">
              <w:r>
                <w:rPr>
                  <w:rFonts w:ascii="Calibri" w:cs="Calibri" w:eastAsia="Calibri" w:hAnsi="Calibri"/>
                  <w:sz w:val="16"/>
                  <w:szCs w:val="16"/>
                  <w:color w:val="0000EE"/>
                </w:rPr>
                <w:t>Eastman Kodak Company 2013 Omnibus Incentve Plan Form of Executve Restricted Stock Unit Award Agreement. (Incorporated by reference</w:t>
              </w:r>
            </w:hyperlink>
          </w:p>
        </w:tc>
        <w:tc>
          <w:tcPr>
            <w:tcW w:w="120" w:type="dxa"/>
            <w:vAlign w:val="bottom"/>
          </w:tcPr>
          <w:p>
            <w:pPr>
              <w:spacing w:after="0"/>
              <w:rPr>
                <w:sz w:val="13"/>
                <w:szCs w:val="13"/>
                <w:color w:val="auto"/>
              </w:rPr>
            </w:pPr>
          </w:p>
        </w:tc>
      </w:tr>
      <w:tr>
        <w:trPr>
          <w:trHeight w:val="196"/>
        </w:trPr>
        <w:tc>
          <w:tcPr>
            <w:tcW w:w="920" w:type="dxa"/>
            <w:vAlign w:val="bottom"/>
            <w:tcBorders>
              <w:right w:val="single" w:sz="8" w:color="auto"/>
            </w:tcBorders>
          </w:tcPr>
          <w:p>
            <w:pPr>
              <w:spacing w:after="0"/>
              <w:rPr>
                <w:sz w:val="17"/>
                <w:szCs w:val="17"/>
                <w:color w:val="auto"/>
              </w:rPr>
            </w:pPr>
          </w:p>
        </w:tc>
        <w:tc>
          <w:tcPr>
            <w:tcW w:w="10200" w:type="dxa"/>
            <w:vAlign w:val="bottom"/>
            <w:tcBorders>
              <w:right w:val="single" w:sz="8" w:color="auto"/>
            </w:tcBorders>
            <w:gridSpan w:val="31"/>
          </w:tcPr>
          <w:p>
            <w:pPr>
              <w:spacing w:after="0" w:line="196" w:lineRule="exact"/>
              <w:rPr>
                <w:rFonts w:ascii="Calibri" w:cs="Calibri" w:eastAsia="Calibri" w:hAnsi="Calibri"/>
                <w:sz w:val="18"/>
                <w:szCs w:val="18"/>
                <w:color w:val="0000EE"/>
                <w:w w:val="98"/>
              </w:rPr>
            </w:pPr>
            <w:hyperlink r:id="rId734">
              <w:r>
                <w:rPr>
                  <w:rFonts w:ascii="Calibri" w:cs="Calibri" w:eastAsia="Calibri" w:hAnsi="Calibri"/>
                  <w:sz w:val="18"/>
                  <w:szCs w:val="18"/>
                  <w:color w:val="0000EE"/>
                  <w:w w:val="98"/>
                </w:rPr>
                <w:t>to Exhibit 10.2 of the Company’s Quarterly Report on Form 10-Q for the quarterly period ended September 30, 2013 as fled on November 12,</w:t>
              </w:r>
            </w:hyperlink>
          </w:p>
        </w:tc>
        <w:tc>
          <w:tcPr>
            <w:tcW w:w="120" w:type="dxa"/>
            <w:vAlign w:val="bottom"/>
          </w:tcPr>
          <w:p>
            <w:pPr>
              <w:spacing w:after="0"/>
              <w:rPr>
                <w:sz w:val="17"/>
                <w:szCs w:val="17"/>
                <w:color w:val="auto"/>
              </w:rPr>
            </w:pPr>
          </w:p>
        </w:tc>
      </w:tr>
      <w:tr>
        <w:trPr>
          <w:trHeight w:val="196"/>
        </w:trPr>
        <w:tc>
          <w:tcPr>
            <w:tcW w:w="920" w:type="dxa"/>
            <w:vAlign w:val="bottom"/>
            <w:tcBorders>
              <w:right w:val="single" w:sz="8" w:color="auto"/>
            </w:tcBorders>
          </w:tcPr>
          <w:p>
            <w:pPr>
              <w:spacing w:after="0"/>
              <w:rPr>
                <w:sz w:val="17"/>
                <w:szCs w:val="17"/>
                <w:color w:val="auto"/>
              </w:rPr>
            </w:pPr>
          </w:p>
        </w:tc>
        <w:tc>
          <w:tcPr>
            <w:tcW w:w="1600" w:type="dxa"/>
            <w:vAlign w:val="bottom"/>
            <w:tcBorders>
              <w:top w:val="single" w:sz="8" w:color="0000EE"/>
            </w:tcBorders>
            <w:gridSpan w:val="2"/>
          </w:tcPr>
          <w:p>
            <w:pPr>
              <w:spacing w:after="0" w:line="196" w:lineRule="exact"/>
              <w:rPr>
                <w:rFonts w:ascii="Calibri" w:cs="Calibri" w:eastAsia="Calibri" w:hAnsi="Calibri"/>
                <w:sz w:val="18"/>
                <w:szCs w:val="18"/>
                <w:color w:val="0000EE"/>
              </w:rPr>
            </w:pPr>
            <w:hyperlink r:id="rId734">
              <w:r>
                <w:rPr>
                  <w:rFonts w:ascii="Calibri" w:cs="Calibri" w:eastAsia="Calibri" w:hAnsi="Calibri"/>
                  <w:sz w:val="18"/>
                  <w:szCs w:val="18"/>
                  <w:color w:val="0000EE"/>
                </w:rPr>
                <w:t>2013).</w:t>
              </w:r>
            </w:hyperlink>
          </w:p>
        </w:tc>
        <w:tc>
          <w:tcPr>
            <w:tcW w:w="92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40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34"/>
        </w:trPr>
        <w:tc>
          <w:tcPr>
            <w:tcW w:w="920" w:type="dxa"/>
            <w:vAlign w:val="bottom"/>
            <w:tcBorders>
              <w:bottom w:val="single" w:sz="8" w:color="auto"/>
              <w:right w:val="single" w:sz="8" w:color="auto"/>
            </w:tcBorders>
          </w:tcPr>
          <w:p>
            <w:pPr>
              <w:spacing w:after="0"/>
              <w:rPr>
                <w:sz w:val="2"/>
                <w:szCs w:val="2"/>
                <w:color w:val="auto"/>
              </w:rPr>
            </w:pPr>
          </w:p>
        </w:tc>
        <w:tc>
          <w:tcPr>
            <w:tcW w:w="460" w:type="dxa"/>
            <w:vAlign w:val="bottom"/>
            <w:tcBorders>
              <w:top w:val="single" w:sz="8" w:color="0000EE"/>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09"/>
        </w:trPr>
        <w:tc>
          <w:tcPr>
            <w:tcW w:w="920" w:type="dxa"/>
            <w:vAlign w:val="bottom"/>
            <w:tcBorders>
              <w:bottom w:val="single" w:sz="8" w:color="auto"/>
              <w:right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56"/>
        </w:trPr>
        <w:tc>
          <w:tcPr>
            <w:tcW w:w="920" w:type="dxa"/>
            <w:vAlign w:val="bottom"/>
            <w:tcBorders>
              <w:right w:val="single" w:sz="8" w:color="auto"/>
            </w:tcBorders>
          </w:tcPr>
          <w:p>
            <w:pPr>
              <w:ind w:left="40"/>
              <w:spacing w:after="0" w:line="156" w:lineRule="exact"/>
              <w:rPr>
                <w:sz w:val="20"/>
                <w:szCs w:val="20"/>
                <w:color w:val="auto"/>
              </w:rPr>
            </w:pPr>
            <w:r>
              <w:rPr>
                <w:rFonts w:ascii="Calibri" w:cs="Calibri" w:eastAsia="Calibri" w:hAnsi="Calibri"/>
                <w:sz w:val="16"/>
                <w:szCs w:val="16"/>
                <w:color w:val="auto"/>
              </w:rPr>
              <w:t>*(10.5)</w:t>
            </w:r>
          </w:p>
        </w:tc>
        <w:tc>
          <w:tcPr>
            <w:tcW w:w="10040" w:type="dxa"/>
            <w:vAlign w:val="bottom"/>
            <w:tcBorders>
              <w:bottom w:val="single" w:sz="8" w:color="0000EE"/>
            </w:tcBorders>
            <w:gridSpan w:val="26"/>
          </w:tcPr>
          <w:p>
            <w:pPr>
              <w:spacing w:after="0" w:line="156" w:lineRule="exact"/>
              <w:rPr>
                <w:rFonts w:ascii="Calibri" w:cs="Calibri" w:eastAsia="Calibri" w:hAnsi="Calibri"/>
                <w:sz w:val="16"/>
                <w:szCs w:val="16"/>
                <w:color w:val="0000EE"/>
              </w:rPr>
            </w:pPr>
            <w:hyperlink r:id="rId735">
              <w:r>
                <w:rPr>
                  <w:rFonts w:ascii="Calibri" w:cs="Calibri" w:eastAsia="Calibri" w:hAnsi="Calibri"/>
                  <w:sz w:val="16"/>
                  <w:szCs w:val="16"/>
                  <w:color w:val="0000EE"/>
                </w:rPr>
                <w:t>Eastman Kodak Company 2013 Omnibus Incentve Plan Form of Nonqualifed Stock Opton Agreement. (Incorporated by reference to Exhibit</w:t>
              </w:r>
            </w:hyperlink>
          </w:p>
        </w:tc>
        <w:tc>
          <w:tcPr>
            <w:tcW w:w="160" w:type="dxa"/>
            <w:vAlign w:val="bottom"/>
            <w:tcBorders>
              <w:right w:val="single" w:sz="8" w:color="auto"/>
            </w:tcBorders>
            <w:gridSpan w:val="5"/>
          </w:tcPr>
          <w:p>
            <w:pPr>
              <w:spacing w:after="0"/>
              <w:rPr>
                <w:sz w:val="13"/>
                <w:szCs w:val="13"/>
                <w:color w:val="auto"/>
              </w:rPr>
            </w:pPr>
          </w:p>
        </w:tc>
        <w:tc>
          <w:tcPr>
            <w:tcW w:w="120" w:type="dxa"/>
            <w:vAlign w:val="bottom"/>
          </w:tcPr>
          <w:p>
            <w:pPr>
              <w:spacing w:after="0"/>
              <w:rPr>
                <w:sz w:val="13"/>
                <w:szCs w:val="13"/>
                <w:color w:val="auto"/>
              </w:rPr>
            </w:pPr>
          </w:p>
        </w:tc>
      </w:tr>
      <w:tr>
        <w:trPr>
          <w:trHeight w:val="196"/>
        </w:trPr>
        <w:tc>
          <w:tcPr>
            <w:tcW w:w="920" w:type="dxa"/>
            <w:vAlign w:val="bottom"/>
            <w:tcBorders>
              <w:right w:val="single" w:sz="8" w:color="auto"/>
            </w:tcBorders>
          </w:tcPr>
          <w:p>
            <w:pPr>
              <w:spacing w:after="0"/>
              <w:rPr>
                <w:sz w:val="17"/>
                <w:szCs w:val="17"/>
                <w:color w:val="auto"/>
              </w:rPr>
            </w:pPr>
          </w:p>
        </w:tc>
        <w:tc>
          <w:tcPr>
            <w:tcW w:w="10200" w:type="dxa"/>
            <w:vAlign w:val="bottom"/>
            <w:tcBorders>
              <w:right w:val="single" w:sz="8" w:color="auto"/>
            </w:tcBorders>
            <w:gridSpan w:val="31"/>
          </w:tcPr>
          <w:p>
            <w:pPr>
              <w:spacing w:after="0" w:line="196" w:lineRule="exact"/>
              <w:rPr>
                <w:rFonts w:ascii="Calibri" w:cs="Calibri" w:eastAsia="Calibri" w:hAnsi="Calibri"/>
                <w:sz w:val="18"/>
                <w:szCs w:val="18"/>
                <w:color w:val="0000EE"/>
              </w:rPr>
            </w:pPr>
            <w:hyperlink r:id="rId735">
              <w:r>
                <w:rPr>
                  <w:rFonts w:ascii="Calibri" w:cs="Calibri" w:eastAsia="Calibri" w:hAnsi="Calibri"/>
                  <w:sz w:val="18"/>
                  <w:szCs w:val="18"/>
                  <w:color w:val="0000EE"/>
                </w:rPr>
                <w:t>10.</w:t>
              </w:r>
              <w:r>
                <w:rPr>
                  <w:rFonts w:ascii="Calibri" w:cs="Calibri" w:eastAsia="Calibri" w:hAnsi="Calibri"/>
                  <w:sz w:val="18"/>
                  <w:szCs w:val="18"/>
                  <w:u w:val="single" w:color="auto"/>
                  <w:color w:val="0000EE"/>
                </w:rPr>
                <w:t>1</w:t>
              </w:r>
              <w:r>
                <w:rPr>
                  <w:rFonts w:ascii="Calibri" w:cs="Calibri" w:eastAsia="Calibri" w:hAnsi="Calibri"/>
                  <w:sz w:val="18"/>
                  <w:szCs w:val="18"/>
                  <w:color w:val="0000EE"/>
                </w:rPr>
                <w:t xml:space="preserve"> of the Company’s Quarterly Report on Form 10-Q for the quarterly period ended March 31, 2015 as fled on May 7, 2015).</w:t>
              </w:r>
            </w:hyperlink>
          </w:p>
        </w:tc>
        <w:tc>
          <w:tcPr>
            <w:tcW w:w="120" w:type="dxa"/>
            <w:vAlign w:val="bottom"/>
          </w:tcPr>
          <w:p>
            <w:pPr>
              <w:spacing w:after="0"/>
              <w:rPr>
                <w:sz w:val="17"/>
                <w:szCs w:val="17"/>
                <w:color w:val="auto"/>
              </w:rPr>
            </w:pPr>
          </w:p>
        </w:tc>
      </w:tr>
      <w:tr>
        <w:trPr>
          <w:trHeight w:val="34"/>
        </w:trPr>
        <w:tc>
          <w:tcPr>
            <w:tcW w:w="920" w:type="dxa"/>
            <w:vAlign w:val="bottom"/>
            <w:tcBorders>
              <w:bottom w:val="single" w:sz="8" w:color="auto"/>
              <w:right w:val="single" w:sz="8" w:color="auto"/>
            </w:tcBorders>
          </w:tcPr>
          <w:p>
            <w:pPr>
              <w:spacing w:after="0"/>
              <w:rPr>
                <w:sz w:val="2"/>
                <w:szCs w:val="2"/>
                <w:color w:val="auto"/>
              </w:rPr>
            </w:pPr>
          </w:p>
        </w:tc>
        <w:tc>
          <w:tcPr>
            <w:tcW w:w="460" w:type="dxa"/>
            <w:vAlign w:val="bottom"/>
            <w:tcBorders>
              <w:top w:val="single" w:sz="8" w:color="0000EE"/>
              <w:bottom w:val="single" w:sz="8" w:color="auto"/>
            </w:tcBorders>
          </w:tcPr>
          <w:p>
            <w:pPr>
              <w:spacing w:after="0"/>
              <w:rPr>
                <w:sz w:val="2"/>
                <w:szCs w:val="2"/>
                <w:color w:val="auto"/>
              </w:rPr>
            </w:pPr>
          </w:p>
        </w:tc>
        <w:tc>
          <w:tcPr>
            <w:tcW w:w="1140" w:type="dxa"/>
            <w:vAlign w:val="bottom"/>
            <w:tcBorders>
              <w:top w:val="single" w:sz="8" w:color="0000EE"/>
              <w:bottom w:val="single" w:sz="8" w:color="auto"/>
            </w:tcBorders>
          </w:tcPr>
          <w:p>
            <w:pPr>
              <w:spacing w:after="0"/>
              <w:rPr>
                <w:sz w:val="2"/>
                <w:szCs w:val="2"/>
                <w:color w:val="auto"/>
              </w:rPr>
            </w:pPr>
          </w:p>
        </w:tc>
        <w:tc>
          <w:tcPr>
            <w:tcW w:w="920" w:type="dxa"/>
            <w:vAlign w:val="bottom"/>
            <w:tcBorders>
              <w:top w:val="single" w:sz="8" w:color="0000EE"/>
              <w:bottom w:val="single" w:sz="8" w:color="auto"/>
            </w:tcBorders>
          </w:tcPr>
          <w:p>
            <w:pPr>
              <w:spacing w:after="0"/>
              <w:rPr>
                <w:sz w:val="2"/>
                <w:szCs w:val="2"/>
                <w:color w:val="auto"/>
              </w:rPr>
            </w:pPr>
          </w:p>
        </w:tc>
        <w:tc>
          <w:tcPr>
            <w:tcW w:w="600" w:type="dxa"/>
            <w:vAlign w:val="bottom"/>
            <w:tcBorders>
              <w:top w:val="single" w:sz="8" w:color="0000EE"/>
              <w:bottom w:val="single" w:sz="8" w:color="auto"/>
            </w:tcBorders>
          </w:tcPr>
          <w:p>
            <w:pPr>
              <w:spacing w:after="0"/>
              <w:rPr>
                <w:sz w:val="2"/>
                <w:szCs w:val="2"/>
                <w:color w:val="auto"/>
              </w:rPr>
            </w:pPr>
          </w:p>
        </w:tc>
        <w:tc>
          <w:tcPr>
            <w:tcW w:w="300" w:type="dxa"/>
            <w:vAlign w:val="bottom"/>
            <w:tcBorders>
              <w:top w:val="single" w:sz="8" w:color="0000EE"/>
              <w:bottom w:val="single" w:sz="8" w:color="auto"/>
            </w:tcBorders>
          </w:tcPr>
          <w:p>
            <w:pPr>
              <w:spacing w:after="0"/>
              <w:rPr>
                <w:sz w:val="2"/>
                <w:szCs w:val="2"/>
                <w:color w:val="auto"/>
              </w:rPr>
            </w:pPr>
          </w:p>
        </w:tc>
        <w:tc>
          <w:tcPr>
            <w:tcW w:w="760" w:type="dxa"/>
            <w:vAlign w:val="bottom"/>
            <w:tcBorders>
              <w:top w:val="single" w:sz="8" w:color="0000EE"/>
              <w:bottom w:val="single" w:sz="8" w:color="auto"/>
            </w:tcBorders>
          </w:tcPr>
          <w:p>
            <w:pPr>
              <w:spacing w:after="0"/>
              <w:rPr>
                <w:sz w:val="2"/>
                <w:szCs w:val="2"/>
                <w:color w:val="auto"/>
              </w:rPr>
            </w:pPr>
          </w:p>
        </w:tc>
        <w:tc>
          <w:tcPr>
            <w:tcW w:w="680" w:type="dxa"/>
            <w:vAlign w:val="bottom"/>
            <w:tcBorders>
              <w:top w:val="single" w:sz="8" w:color="0000EE"/>
              <w:bottom w:val="single" w:sz="8" w:color="auto"/>
            </w:tcBorders>
          </w:tcPr>
          <w:p>
            <w:pPr>
              <w:spacing w:after="0"/>
              <w:rPr>
                <w:sz w:val="2"/>
                <w:szCs w:val="2"/>
                <w:color w:val="auto"/>
              </w:rPr>
            </w:pPr>
          </w:p>
        </w:tc>
        <w:tc>
          <w:tcPr>
            <w:tcW w:w="320" w:type="dxa"/>
            <w:vAlign w:val="bottom"/>
            <w:tcBorders>
              <w:top w:val="single" w:sz="8" w:color="0000EE"/>
              <w:bottom w:val="single" w:sz="8" w:color="auto"/>
            </w:tcBorders>
          </w:tcPr>
          <w:p>
            <w:pPr>
              <w:spacing w:after="0"/>
              <w:rPr>
                <w:sz w:val="2"/>
                <w:szCs w:val="2"/>
                <w:color w:val="auto"/>
              </w:rPr>
            </w:pPr>
          </w:p>
        </w:tc>
        <w:tc>
          <w:tcPr>
            <w:tcW w:w="2400" w:type="dxa"/>
            <w:vAlign w:val="bottom"/>
            <w:tcBorders>
              <w:top w:val="single" w:sz="8" w:color="0000EE"/>
              <w:bottom w:val="single" w:sz="8" w:color="auto"/>
            </w:tcBorders>
          </w:tcPr>
          <w:p>
            <w:pPr>
              <w:spacing w:after="0"/>
              <w:rPr>
                <w:sz w:val="2"/>
                <w:szCs w:val="2"/>
                <w:color w:val="auto"/>
              </w:rPr>
            </w:pPr>
          </w:p>
        </w:tc>
        <w:tc>
          <w:tcPr>
            <w:tcW w:w="44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880" w:type="dxa"/>
            <w:vAlign w:val="bottom"/>
            <w:tcBorders>
              <w:top w:val="single" w:sz="8" w:color="0000EE"/>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09"/>
        </w:trPr>
        <w:tc>
          <w:tcPr>
            <w:tcW w:w="920" w:type="dxa"/>
            <w:vAlign w:val="bottom"/>
            <w:tcBorders>
              <w:bottom w:val="single" w:sz="8" w:color="auto"/>
              <w:right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56"/>
        </w:trPr>
        <w:tc>
          <w:tcPr>
            <w:tcW w:w="920" w:type="dxa"/>
            <w:vAlign w:val="bottom"/>
            <w:tcBorders>
              <w:right w:val="single" w:sz="8" w:color="auto"/>
            </w:tcBorders>
          </w:tcPr>
          <w:p>
            <w:pPr>
              <w:ind w:left="40"/>
              <w:spacing w:after="0" w:line="156" w:lineRule="exact"/>
              <w:rPr>
                <w:sz w:val="20"/>
                <w:szCs w:val="20"/>
                <w:color w:val="auto"/>
              </w:rPr>
            </w:pPr>
            <w:r>
              <w:rPr>
                <w:rFonts w:ascii="Calibri" w:cs="Calibri" w:eastAsia="Calibri" w:hAnsi="Calibri"/>
                <w:sz w:val="16"/>
                <w:szCs w:val="16"/>
                <w:color w:val="auto"/>
              </w:rPr>
              <w:t>*(10.6)</w:t>
            </w:r>
          </w:p>
        </w:tc>
        <w:tc>
          <w:tcPr>
            <w:tcW w:w="9540" w:type="dxa"/>
            <w:vAlign w:val="bottom"/>
            <w:tcBorders>
              <w:bottom w:val="single" w:sz="8" w:color="0000EE"/>
            </w:tcBorders>
            <w:gridSpan w:val="16"/>
          </w:tcPr>
          <w:p>
            <w:pPr>
              <w:spacing w:after="0" w:line="156" w:lineRule="exact"/>
              <w:rPr>
                <w:rFonts w:ascii="Calibri" w:cs="Calibri" w:eastAsia="Calibri" w:hAnsi="Calibri"/>
                <w:sz w:val="16"/>
                <w:szCs w:val="16"/>
                <w:color w:val="0000EE"/>
              </w:rPr>
            </w:pPr>
            <w:hyperlink r:id="rId736">
              <w:r>
                <w:rPr>
                  <w:rFonts w:ascii="Calibri" w:cs="Calibri" w:eastAsia="Calibri" w:hAnsi="Calibri"/>
                  <w:sz w:val="16"/>
                  <w:szCs w:val="16"/>
                  <w:color w:val="0000EE"/>
                </w:rPr>
                <w:t>Eastman Kodak Company 2013 Omnibus Incentve Plan Form of Executve Restricted Stock Unit and Nonqualifed Stock Opton Award</w:t>
              </w:r>
            </w:hyperlink>
          </w:p>
        </w:tc>
        <w:tc>
          <w:tcPr>
            <w:tcW w:w="660" w:type="dxa"/>
            <w:vAlign w:val="bottom"/>
            <w:tcBorders>
              <w:right w:val="single" w:sz="8" w:color="auto"/>
            </w:tcBorders>
            <w:gridSpan w:val="15"/>
          </w:tcPr>
          <w:p>
            <w:pPr>
              <w:spacing w:after="0"/>
              <w:rPr>
                <w:sz w:val="13"/>
                <w:szCs w:val="13"/>
                <w:color w:val="auto"/>
              </w:rPr>
            </w:pPr>
          </w:p>
        </w:tc>
        <w:tc>
          <w:tcPr>
            <w:tcW w:w="120" w:type="dxa"/>
            <w:vAlign w:val="bottom"/>
          </w:tcPr>
          <w:p>
            <w:pPr>
              <w:spacing w:after="0"/>
              <w:rPr>
                <w:sz w:val="13"/>
                <w:szCs w:val="13"/>
                <w:color w:val="auto"/>
              </w:rPr>
            </w:pPr>
          </w:p>
        </w:tc>
      </w:tr>
      <w:tr>
        <w:trPr>
          <w:trHeight w:val="196"/>
        </w:trPr>
        <w:tc>
          <w:tcPr>
            <w:tcW w:w="920" w:type="dxa"/>
            <w:vAlign w:val="bottom"/>
            <w:tcBorders>
              <w:right w:val="single" w:sz="8" w:color="auto"/>
            </w:tcBorders>
          </w:tcPr>
          <w:p>
            <w:pPr>
              <w:spacing w:after="0"/>
              <w:rPr>
                <w:sz w:val="17"/>
                <w:szCs w:val="17"/>
                <w:color w:val="auto"/>
              </w:rPr>
            </w:pPr>
          </w:p>
        </w:tc>
        <w:tc>
          <w:tcPr>
            <w:tcW w:w="10100" w:type="dxa"/>
            <w:vAlign w:val="bottom"/>
            <w:tcBorders>
              <w:bottom w:val="single" w:sz="8" w:color="0000EE"/>
            </w:tcBorders>
            <w:gridSpan w:val="28"/>
          </w:tcPr>
          <w:p>
            <w:pPr>
              <w:spacing w:after="0" w:line="196" w:lineRule="exact"/>
              <w:rPr>
                <w:rFonts w:ascii="Calibri" w:cs="Calibri" w:eastAsia="Calibri" w:hAnsi="Calibri"/>
                <w:sz w:val="18"/>
                <w:szCs w:val="18"/>
                <w:color w:val="0000EE"/>
                <w:w w:val="98"/>
              </w:rPr>
            </w:pPr>
            <w:hyperlink r:id="rId736">
              <w:r>
                <w:rPr>
                  <w:rFonts w:ascii="Calibri" w:cs="Calibri" w:eastAsia="Calibri" w:hAnsi="Calibri"/>
                  <w:sz w:val="18"/>
                  <w:szCs w:val="18"/>
                  <w:color w:val="0000EE"/>
                  <w:w w:val="98"/>
                </w:rPr>
                <w:t>Agreement (with Modifed Accelerated Vestng).(Incorporated by reference to Exhibit 10.5 of the Company’s Annual Report on Form 10-K for</w:t>
              </w:r>
            </w:hyperlink>
          </w:p>
        </w:tc>
        <w:tc>
          <w:tcPr>
            <w:tcW w:w="100" w:type="dxa"/>
            <w:vAlign w:val="bottom"/>
            <w:tcBorders>
              <w:right w:val="single" w:sz="8" w:color="auto"/>
            </w:tcBorders>
            <w:gridSpan w:val="3"/>
          </w:tcPr>
          <w:p>
            <w:pPr>
              <w:spacing w:after="0"/>
              <w:rPr>
                <w:sz w:val="17"/>
                <w:szCs w:val="17"/>
                <w:color w:val="auto"/>
              </w:rPr>
            </w:pPr>
          </w:p>
        </w:tc>
        <w:tc>
          <w:tcPr>
            <w:tcW w:w="120" w:type="dxa"/>
            <w:vAlign w:val="bottom"/>
          </w:tcPr>
          <w:p>
            <w:pPr>
              <w:spacing w:after="0"/>
              <w:rPr>
                <w:sz w:val="17"/>
                <w:szCs w:val="17"/>
                <w:color w:val="auto"/>
              </w:rPr>
            </w:pPr>
          </w:p>
        </w:tc>
      </w:tr>
      <w:tr>
        <w:trPr>
          <w:trHeight w:val="196"/>
        </w:trPr>
        <w:tc>
          <w:tcPr>
            <w:tcW w:w="920" w:type="dxa"/>
            <w:vAlign w:val="bottom"/>
            <w:tcBorders>
              <w:right w:val="single" w:sz="8" w:color="auto"/>
            </w:tcBorders>
          </w:tcPr>
          <w:p>
            <w:pPr>
              <w:spacing w:after="0"/>
              <w:rPr>
                <w:sz w:val="17"/>
                <w:szCs w:val="17"/>
                <w:color w:val="auto"/>
              </w:rPr>
            </w:pPr>
          </w:p>
        </w:tc>
        <w:tc>
          <w:tcPr>
            <w:tcW w:w="10200" w:type="dxa"/>
            <w:vAlign w:val="bottom"/>
            <w:tcBorders>
              <w:right w:val="single" w:sz="8" w:color="auto"/>
            </w:tcBorders>
            <w:gridSpan w:val="31"/>
          </w:tcPr>
          <w:p>
            <w:pPr>
              <w:spacing w:after="0" w:line="196" w:lineRule="exact"/>
              <w:rPr>
                <w:rFonts w:ascii="Calibri" w:cs="Calibri" w:eastAsia="Calibri" w:hAnsi="Calibri"/>
                <w:sz w:val="18"/>
                <w:szCs w:val="18"/>
                <w:color w:val="0000EE"/>
              </w:rPr>
            </w:pPr>
            <w:hyperlink r:id="rId736">
              <w:r>
                <w:rPr>
                  <w:rFonts w:ascii="Calibri" w:cs="Calibri" w:eastAsia="Calibri" w:hAnsi="Calibri"/>
                  <w:sz w:val="18"/>
                  <w:szCs w:val="18"/>
                  <w:color w:val="0000EE"/>
                </w:rPr>
                <w:t>the fscal year ended December 31, 2016 as fled on March 7, 2017).</w:t>
              </w:r>
            </w:hyperlink>
          </w:p>
        </w:tc>
        <w:tc>
          <w:tcPr>
            <w:tcW w:w="120" w:type="dxa"/>
            <w:vAlign w:val="bottom"/>
          </w:tcPr>
          <w:p>
            <w:pPr>
              <w:spacing w:after="0"/>
              <w:rPr>
                <w:sz w:val="17"/>
                <w:szCs w:val="17"/>
                <w:color w:val="auto"/>
              </w:rPr>
            </w:pPr>
          </w:p>
        </w:tc>
      </w:tr>
      <w:tr>
        <w:trPr>
          <w:trHeight w:val="34"/>
        </w:trPr>
        <w:tc>
          <w:tcPr>
            <w:tcW w:w="920" w:type="dxa"/>
            <w:vAlign w:val="bottom"/>
            <w:tcBorders>
              <w:bottom w:val="single" w:sz="8" w:color="auto"/>
              <w:right w:val="single" w:sz="8" w:color="auto"/>
            </w:tcBorders>
          </w:tcPr>
          <w:p>
            <w:pPr>
              <w:spacing w:after="0"/>
              <w:rPr>
                <w:sz w:val="2"/>
                <w:szCs w:val="2"/>
                <w:color w:val="auto"/>
              </w:rPr>
            </w:pPr>
          </w:p>
        </w:tc>
        <w:tc>
          <w:tcPr>
            <w:tcW w:w="460" w:type="dxa"/>
            <w:vAlign w:val="bottom"/>
            <w:tcBorders>
              <w:top w:val="single" w:sz="8" w:color="0000EE"/>
              <w:bottom w:val="single" w:sz="8" w:color="auto"/>
            </w:tcBorders>
          </w:tcPr>
          <w:p>
            <w:pPr>
              <w:spacing w:after="0"/>
              <w:rPr>
                <w:sz w:val="2"/>
                <w:szCs w:val="2"/>
                <w:color w:val="auto"/>
              </w:rPr>
            </w:pPr>
          </w:p>
        </w:tc>
        <w:tc>
          <w:tcPr>
            <w:tcW w:w="1140" w:type="dxa"/>
            <w:vAlign w:val="bottom"/>
            <w:tcBorders>
              <w:top w:val="single" w:sz="8" w:color="0000EE"/>
              <w:bottom w:val="single" w:sz="8" w:color="auto"/>
            </w:tcBorders>
          </w:tcPr>
          <w:p>
            <w:pPr>
              <w:spacing w:after="0"/>
              <w:rPr>
                <w:sz w:val="2"/>
                <w:szCs w:val="2"/>
                <w:color w:val="auto"/>
              </w:rPr>
            </w:pPr>
          </w:p>
        </w:tc>
        <w:tc>
          <w:tcPr>
            <w:tcW w:w="920" w:type="dxa"/>
            <w:vAlign w:val="bottom"/>
            <w:tcBorders>
              <w:top w:val="single" w:sz="8" w:color="0000EE"/>
              <w:bottom w:val="single" w:sz="8" w:color="auto"/>
            </w:tcBorders>
          </w:tcPr>
          <w:p>
            <w:pPr>
              <w:spacing w:after="0"/>
              <w:rPr>
                <w:sz w:val="2"/>
                <w:szCs w:val="2"/>
                <w:color w:val="auto"/>
              </w:rPr>
            </w:pPr>
          </w:p>
        </w:tc>
        <w:tc>
          <w:tcPr>
            <w:tcW w:w="600" w:type="dxa"/>
            <w:vAlign w:val="bottom"/>
            <w:tcBorders>
              <w:top w:val="single" w:sz="8" w:color="0000EE"/>
              <w:bottom w:val="single" w:sz="8" w:color="auto"/>
            </w:tcBorders>
          </w:tcPr>
          <w:p>
            <w:pPr>
              <w:spacing w:after="0"/>
              <w:rPr>
                <w:sz w:val="2"/>
                <w:szCs w:val="2"/>
                <w:color w:val="auto"/>
              </w:rPr>
            </w:pPr>
          </w:p>
        </w:tc>
        <w:tc>
          <w:tcPr>
            <w:tcW w:w="300" w:type="dxa"/>
            <w:vAlign w:val="bottom"/>
            <w:tcBorders>
              <w:top w:val="single" w:sz="8" w:color="0000EE"/>
              <w:bottom w:val="single" w:sz="8" w:color="auto"/>
            </w:tcBorders>
          </w:tcPr>
          <w:p>
            <w:pPr>
              <w:spacing w:after="0"/>
              <w:rPr>
                <w:sz w:val="2"/>
                <w:szCs w:val="2"/>
                <w:color w:val="auto"/>
              </w:rPr>
            </w:pPr>
          </w:p>
        </w:tc>
        <w:tc>
          <w:tcPr>
            <w:tcW w:w="760" w:type="dxa"/>
            <w:vAlign w:val="bottom"/>
            <w:tcBorders>
              <w:top w:val="single" w:sz="8" w:color="0000EE"/>
              <w:bottom w:val="single" w:sz="8" w:color="auto"/>
            </w:tcBorders>
          </w:tcPr>
          <w:p>
            <w:pPr>
              <w:spacing w:after="0"/>
              <w:rPr>
                <w:sz w:val="2"/>
                <w:szCs w:val="2"/>
                <w:color w:val="auto"/>
              </w:rPr>
            </w:pPr>
          </w:p>
        </w:tc>
        <w:tc>
          <w:tcPr>
            <w:tcW w:w="680" w:type="dxa"/>
            <w:vAlign w:val="bottom"/>
            <w:tcBorders>
              <w:top w:val="single" w:sz="8" w:color="0000EE"/>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10"/>
        </w:trPr>
        <w:tc>
          <w:tcPr>
            <w:tcW w:w="920" w:type="dxa"/>
            <w:vAlign w:val="bottom"/>
            <w:tcBorders>
              <w:bottom w:val="single" w:sz="8" w:color="auto"/>
              <w:right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55"/>
        </w:trPr>
        <w:tc>
          <w:tcPr>
            <w:tcW w:w="920" w:type="dxa"/>
            <w:vAlign w:val="bottom"/>
            <w:tcBorders>
              <w:right w:val="single" w:sz="8" w:color="auto"/>
            </w:tcBorders>
          </w:tcPr>
          <w:p>
            <w:pPr>
              <w:ind w:left="40"/>
              <w:spacing w:after="0" w:line="156" w:lineRule="exact"/>
              <w:rPr>
                <w:sz w:val="20"/>
                <w:szCs w:val="20"/>
                <w:color w:val="auto"/>
              </w:rPr>
            </w:pPr>
            <w:r>
              <w:rPr>
                <w:rFonts w:ascii="Calibri" w:cs="Calibri" w:eastAsia="Calibri" w:hAnsi="Calibri"/>
                <w:sz w:val="16"/>
                <w:szCs w:val="16"/>
                <w:color w:val="auto"/>
              </w:rPr>
              <w:t>*(10.7)</w:t>
            </w:r>
          </w:p>
        </w:tc>
        <w:tc>
          <w:tcPr>
            <w:tcW w:w="9540" w:type="dxa"/>
            <w:vAlign w:val="bottom"/>
            <w:tcBorders>
              <w:bottom w:val="single" w:sz="8" w:color="0000EE"/>
            </w:tcBorders>
            <w:gridSpan w:val="16"/>
          </w:tcPr>
          <w:p>
            <w:pPr>
              <w:spacing w:after="0" w:line="156" w:lineRule="exact"/>
              <w:rPr>
                <w:rFonts w:ascii="Calibri" w:cs="Calibri" w:eastAsia="Calibri" w:hAnsi="Calibri"/>
                <w:sz w:val="16"/>
                <w:szCs w:val="16"/>
                <w:color w:val="0000EE"/>
              </w:rPr>
            </w:pPr>
            <w:hyperlink r:id="rId737">
              <w:r>
                <w:rPr>
                  <w:rFonts w:ascii="Calibri" w:cs="Calibri" w:eastAsia="Calibri" w:hAnsi="Calibri"/>
                  <w:sz w:val="16"/>
                  <w:szCs w:val="16"/>
                  <w:color w:val="0000EE"/>
                </w:rPr>
                <w:t>Eastman Kodak Company 2013 Omnibus Incentve Plan Form of Executve Restricted Stock Unit and Nonqualifed Stock Opton Award</w:t>
              </w:r>
            </w:hyperlink>
          </w:p>
        </w:tc>
        <w:tc>
          <w:tcPr>
            <w:tcW w:w="660" w:type="dxa"/>
            <w:vAlign w:val="bottom"/>
            <w:tcBorders>
              <w:right w:val="single" w:sz="8" w:color="auto"/>
            </w:tcBorders>
            <w:gridSpan w:val="15"/>
          </w:tcPr>
          <w:p>
            <w:pPr>
              <w:spacing w:after="0"/>
              <w:rPr>
                <w:sz w:val="13"/>
                <w:szCs w:val="13"/>
                <w:color w:val="auto"/>
              </w:rPr>
            </w:pPr>
          </w:p>
        </w:tc>
        <w:tc>
          <w:tcPr>
            <w:tcW w:w="120" w:type="dxa"/>
            <w:vAlign w:val="bottom"/>
          </w:tcPr>
          <w:p>
            <w:pPr>
              <w:spacing w:after="0"/>
              <w:rPr>
                <w:sz w:val="13"/>
                <w:szCs w:val="13"/>
                <w:color w:val="auto"/>
              </w:rPr>
            </w:pPr>
          </w:p>
        </w:tc>
      </w:tr>
      <w:tr>
        <w:trPr>
          <w:trHeight w:val="196"/>
        </w:trPr>
        <w:tc>
          <w:tcPr>
            <w:tcW w:w="920" w:type="dxa"/>
            <w:vAlign w:val="bottom"/>
            <w:tcBorders>
              <w:right w:val="single" w:sz="8" w:color="auto"/>
            </w:tcBorders>
          </w:tcPr>
          <w:p>
            <w:pPr>
              <w:spacing w:after="0"/>
              <w:rPr>
                <w:sz w:val="17"/>
                <w:szCs w:val="17"/>
                <w:color w:val="auto"/>
              </w:rPr>
            </w:pPr>
          </w:p>
        </w:tc>
        <w:tc>
          <w:tcPr>
            <w:tcW w:w="10020" w:type="dxa"/>
            <w:vAlign w:val="bottom"/>
            <w:tcBorders>
              <w:bottom w:val="single" w:sz="8" w:color="0000EE"/>
            </w:tcBorders>
            <w:gridSpan w:val="25"/>
          </w:tcPr>
          <w:p>
            <w:pPr>
              <w:spacing w:after="0" w:line="196" w:lineRule="exact"/>
              <w:rPr>
                <w:rFonts w:ascii="Calibri" w:cs="Calibri" w:eastAsia="Calibri" w:hAnsi="Calibri"/>
                <w:sz w:val="18"/>
                <w:szCs w:val="18"/>
                <w:color w:val="0000EE"/>
                <w:w w:val="98"/>
              </w:rPr>
            </w:pPr>
            <w:hyperlink r:id="rId737">
              <w:r>
                <w:rPr>
                  <w:rFonts w:ascii="Calibri" w:cs="Calibri" w:eastAsia="Calibri" w:hAnsi="Calibri"/>
                  <w:sz w:val="18"/>
                  <w:szCs w:val="18"/>
                  <w:color w:val="0000EE"/>
                  <w:w w:val="98"/>
                </w:rPr>
                <w:t>Agreement (with Contnued Vestng). (Incorporated by reference to Exhibit 10.6 of the Company’s Annual Report on Form 10-K for the fscal</w:t>
              </w:r>
            </w:hyperlink>
          </w:p>
        </w:tc>
        <w:tc>
          <w:tcPr>
            <w:tcW w:w="180" w:type="dxa"/>
            <w:vAlign w:val="bottom"/>
            <w:tcBorders>
              <w:right w:val="single" w:sz="8" w:color="auto"/>
            </w:tcBorders>
            <w:gridSpan w:val="6"/>
          </w:tcPr>
          <w:p>
            <w:pPr>
              <w:spacing w:after="0"/>
              <w:rPr>
                <w:sz w:val="17"/>
                <w:szCs w:val="17"/>
                <w:color w:val="auto"/>
              </w:rPr>
            </w:pPr>
          </w:p>
        </w:tc>
        <w:tc>
          <w:tcPr>
            <w:tcW w:w="120" w:type="dxa"/>
            <w:vAlign w:val="bottom"/>
          </w:tcPr>
          <w:p>
            <w:pPr>
              <w:spacing w:after="0"/>
              <w:rPr>
                <w:sz w:val="17"/>
                <w:szCs w:val="17"/>
                <w:color w:val="auto"/>
              </w:rPr>
            </w:pPr>
          </w:p>
        </w:tc>
      </w:tr>
      <w:tr>
        <w:trPr>
          <w:trHeight w:val="196"/>
        </w:trPr>
        <w:tc>
          <w:tcPr>
            <w:tcW w:w="920" w:type="dxa"/>
            <w:vAlign w:val="bottom"/>
            <w:tcBorders>
              <w:right w:val="single" w:sz="8" w:color="auto"/>
            </w:tcBorders>
          </w:tcPr>
          <w:p>
            <w:pPr>
              <w:spacing w:after="0"/>
              <w:rPr>
                <w:sz w:val="17"/>
                <w:szCs w:val="17"/>
                <w:color w:val="auto"/>
              </w:rPr>
            </w:pPr>
          </w:p>
        </w:tc>
        <w:tc>
          <w:tcPr>
            <w:tcW w:w="10200" w:type="dxa"/>
            <w:vAlign w:val="bottom"/>
            <w:tcBorders>
              <w:right w:val="single" w:sz="8" w:color="auto"/>
            </w:tcBorders>
            <w:gridSpan w:val="31"/>
          </w:tcPr>
          <w:p>
            <w:pPr>
              <w:spacing w:after="0" w:line="196" w:lineRule="exact"/>
              <w:rPr>
                <w:rFonts w:ascii="Calibri" w:cs="Calibri" w:eastAsia="Calibri" w:hAnsi="Calibri"/>
                <w:sz w:val="18"/>
                <w:szCs w:val="18"/>
                <w:color w:val="0000EE"/>
              </w:rPr>
            </w:pPr>
            <w:hyperlink r:id="rId737">
              <w:r>
                <w:rPr>
                  <w:rFonts w:ascii="Calibri" w:cs="Calibri" w:eastAsia="Calibri" w:hAnsi="Calibri"/>
                  <w:sz w:val="18"/>
                  <w:szCs w:val="18"/>
                  <w:color w:val="0000EE"/>
                </w:rPr>
                <w:t>year ended December 31, 2016 as fled on March 7, 2017).</w:t>
              </w:r>
            </w:hyperlink>
          </w:p>
        </w:tc>
        <w:tc>
          <w:tcPr>
            <w:tcW w:w="120" w:type="dxa"/>
            <w:vAlign w:val="bottom"/>
          </w:tcPr>
          <w:p>
            <w:pPr>
              <w:spacing w:after="0"/>
              <w:rPr>
                <w:sz w:val="17"/>
                <w:szCs w:val="17"/>
                <w:color w:val="auto"/>
              </w:rPr>
            </w:pPr>
          </w:p>
        </w:tc>
      </w:tr>
      <w:tr>
        <w:trPr>
          <w:trHeight w:val="34"/>
        </w:trPr>
        <w:tc>
          <w:tcPr>
            <w:tcW w:w="920" w:type="dxa"/>
            <w:vAlign w:val="bottom"/>
            <w:tcBorders>
              <w:bottom w:val="single" w:sz="8" w:color="auto"/>
              <w:right w:val="single" w:sz="8" w:color="auto"/>
            </w:tcBorders>
          </w:tcPr>
          <w:p>
            <w:pPr>
              <w:spacing w:after="0"/>
              <w:rPr>
                <w:sz w:val="2"/>
                <w:szCs w:val="2"/>
                <w:color w:val="auto"/>
              </w:rPr>
            </w:pPr>
          </w:p>
        </w:tc>
        <w:tc>
          <w:tcPr>
            <w:tcW w:w="460" w:type="dxa"/>
            <w:vAlign w:val="bottom"/>
            <w:tcBorders>
              <w:top w:val="single" w:sz="8" w:color="0000EE"/>
              <w:bottom w:val="single" w:sz="8" w:color="auto"/>
            </w:tcBorders>
          </w:tcPr>
          <w:p>
            <w:pPr>
              <w:spacing w:after="0"/>
              <w:rPr>
                <w:sz w:val="2"/>
                <w:szCs w:val="2"/>
                <w:color w:val="auto"/>
              </w:rPr>
            </w:pPr>
          </w:p>
        </w:tc>
        <w:tc>
          <w:tcPr>
            <w:tcW w:w="1140" w:type="dxa"/>
            <w:vAlign w:val="bottom"/>
            <w:tcBorders>
              <w:top w:val="single" w:sz="8" w:color="0000EE"/>
              <w:bottom w:val="single" w:sz="8" w:color="auto"/>
            </w:tcBorders>
          </w:tcPr>
          <w:p>
            <w:pPr>
              <w:spacing w:after="0"/>
              <w:rPr>
                <w:sz w:val="2"/>
                <w:szCs w:val="2"/>
                <w:color w:val="auto"/>
              </w:rPr>
            </w:pPr>
          </w:p>
        </w:tc>
        <w:tc>
          <w:tcPr>
            <w:tcW w:w="920" w:type="dxa"/>
            <w:vAlign w:val="bottom"/>
            <w:tcBorders>
              <w:top w:val="single" w:sz="8" w:color="0000EE"/>
              <w:bottom w:val="single" w:sz="8" w:color="auto"/>
            </w:tcBorders>
          </w:tcPr>
          <w:p>
            <w:pPr>
              <w:spacing w:after="0"/>
              <w:rPr>
                <w:sz w:val="2"/>
                <w:szCs w:val="2"/>
                <w:color w:val="auto"/>
              </w:rPr>
            </w:pPr>
          </w:p>
        </w:tc>
        <w:tc>
          <w:tcPr>
            <w:tcW w:w="600" w:type="dxa"/>
            <w:vAlign w:val="bottom"/>
            <w:tcBorders>
              <w:top w:val="single" w:sz="8" w:color="0000EE"/>
              <w:bottom w:val="single" w:sz="8" w:color="auto"/>
            </w:tcBorders>
          </w:tcPr>
          <w:p>
            <w:pPr>
              <w:spacing w:after="0"/>
              <w:rPr>
                <w:sz w:val="2"/>
                <w:szCs w:val="2"/>
                <w:color w:val="auto"/>
              </w:rPr>
            </w:pPr>
          </w:p>
        </w:tc>
        <w:tc>
          <w:tcPr>
            <w:tcW w:w="300" w:type="dxa"/>
            <w:vAlign w:val="bottom"/>
            <w:tcBorders>
              <w:top w:val="single" w:sz="8" w:color="0000EE"/>
              <w:bottom w:val="single" w:sz="8" w:color="auto"/>
            </w:tcBorders>
          </w:tcPr>
          <w:p>
            <w:pPr>
              <w:spacing w:after="0"/>
              <w:rPr>
                <w:sz w:val="2"/>
                <w:szCs w:val="2"/>
                <w:color w:val="auto"/>
              </w:rPr>
            </w:pPr>
          </w:p>
        </w:tc>
        <w:tc>
          <w:tcPr>
            <w:tcW w:w="760" w:type="dxa"/>
            <w:vAlign w:val="bottom"/>
            <w:tcBorders>
              <w:top w:val="single" w:sz="8" w:color="0000EE"/>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10"/>
        </w:trPr>
        <w:tc>
          <w:tcPr>
            <w:tcW w:w="920" w:type="dxa"/>
            <w:vAlign w:val="bottom"/>
            <w:tcBorders>
              <w:bottom w:val="single" w:sz="8" w:color="auto"/>
              <w:right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55"/>
        </w:trPr>
        <w:tc>
          <w:tcPr>
            <w:tcW w:w="920" w:type="dxa"/>
            <w:vAlign w:val="bottom"/>
            <w:tcBorders>
              <w:right w:val="single" w:sz="8" w:color="auto"/>
            </w:tcBorders>
          </w:tcPr>
          <w:p>
            <w:pPr>
              <w:ind w:left="40"/>
              <w:spacing w:after="0" w:line="156" w:lineRule="exact"/>
              <w:rPr>
                <w:sz w:val="20"/>
                <w:szCs w:val="20"/>
                <w:color w:val="auto"/>
              </w:rPr>
            </w:pPr>
            <w:r>
              <w:rPr>
                <w:rFonts w:ascii="Calibri" w:cs="Calibri" w:eastAsia="Calibri" w:hAnsi="Calibri"/>
                <w:sz w:val="16"/>
                <w:szCs w:val="16"/>
                <w:color w:val="auto"/>
              </w:rPr>
              <w:t>*(10.8)</w:t>
            </w:r>
          </w:p>
        </w:tc>
        <w:tc>
          <w:tcPr>
            <w:tcW w:w="9540" w:type="dxa"/>
            <w:vAlign w:val="bottom"/>
            <w:tcBorders>
              <w:bottom w:val="single" w:sz="8" w:color="0000EE"/>
            </w:tcBorders>
            <w:gridSpan w:val="16"/>
          </w:tcPr>
          <w:p>
            <w:pPr>
              <w:spacing w:after="0" w:line="156" w:lineRule="exact"/>
              <w:rPr>
                <w:rFonts w:ascii="Calibri" w:cs="Calibri" w:eastAsia="Calibri" w:hAnsi="Calibri"/>
                <w:sz w:val="16"/>
                <w:szCs w:val="16"/>
                <w:color w:val="0000EE"/>
              </w:rPr>
            </w:pPr>
            <w:hyperlink r:id="rId738">
              <w:r>
                <w:rPr>
                  <w:rFonts w:ascii="Calibri" w:cs="Calibri" w:eastAsia="Calibri" w:hAnsi="Calibri"/>
                  <w:sz w:val="16"/>
                  <w:szCs w:val="16"/>
                  <w:color w:val="0000EE"/>
                </w:rPr>
                <w:t>Eastman Kodak Company 2013 Omnibus Incentve Plan Form of Executve Restricted Stock Unit and Nonqualifed Stock Opton Award</w:t>
              </w:r>
            </w:hyperlink>
          </w:p>
        </w:tc>
        <w:tc>
          <w:tcPr>
            <w:tcW w:w="660" w:type="dxa"/>
            <w:vAlign w:val="bottom"/>
            <w:tcBorders>
              <w:right w:val="single" w:sz="8" w:color="auto"/>
            </w:tcBorders>
            <w:gridSpan w:val="15"/>
          </w:tcPr>
          <w:p>
            <w:pPr>
              <w:spacing w:after="0"/>
              <w:rPr>
                <w:sz w:val="13"/>
                <w:szCs w:val="13"/>
                <w:color w:val="auto"/>
              </w:rPr>
            </w:pPr>
          </w:p>
        </w:tc>
        <w:tc>
          <w:tcPr>
            <w:tcW w:w="120" w:type="dxa"/>
            <w:vAlign w:val="bottom"/>
          </w:tcPr>
          <w:p>
            <w:pPr>
              <w:spacing w:after="0"/>
              <w:rPr>
                <w:sz w:val="13"/>
                <w:szCs w:val="13"/>
                <w:color w:val="auto"/>
              </w:rPr>
            </w:pPr>
          </w:p>
        </w:tc>
      </w:tr>
      <w:tr>
        <w:trPr>
          <w:trHeight w:val="196"/>
        </w:trPr>
        <w:tc>
          <w:tcPr>
            <w:tcW w:w="920" w:type="dxa"/>
            <w:vAlign w:val="bottom"/>
            <w:tcBorders>
              <w:right w:val="single" w:sz="8" w:color="auto"/>
            </w:tcBorders>
          </w:tcPr>
          <w:p>
            <w:pPr>
              <w:spacing w:after="0"/>
              <w:rPr>
                <w:sz w:val="17"/>
                <w:szCs w:val="17"/>
                <w:color w:val="auto"/>
              </w:rPr>
            </w:pPr>
          </w:p>
        </w:tc>
        <w:tc>
          <w:tcPr>
            <w:tcW w:w="10020" w:type="dxa"/>
            <w:vAlign w:val="bottom"/>
            <w:tcBorders>
              <w:bottom w:val="single" w:sz="8" w:color="0000EE"/>
            </w:tcBorders>
            <w:gridSpan w:val="25"/>
          </w:tcPr>
          <w:p>
            <w:pPr>
              <w:spacing w:after="0" w:line="196" w:lineRule="exact"/>
              <w:rPr>
                <w:rFonts w:ascii="Calibri" w:cs="Calibri" w:eastAsia="Calibri" w:hAnsi="Calibri"/>
                <w:sz w:val="18"/>
                <w:szCs w:val="18"/>
                <w:color w:val="0000EE"/>
                <w:w w:val="98"/>
              </w:rPr>
            </w:pPr>
            <w:hyperlink r:id="rId738">
              <w:r>
                <w:rPr>
                  <w:rFonts w:ascii="Calibri" w:cs="Calibri" w:eastAsia="Calibri" w:hAnsi="Calibri"/>
                  <w:sz w:val="18"/>
                  <w:szCs w:val="18"/>
                  <w:color w:val="0000EE"/>
                  <w:w w:val="98"/>
                </w:rPr>
                <w:t>Agreement (with Forfeiture upon Terminaton). (Incorporated by reference to Exhibit 10.2 of the Company’s Quarterly Report on Form 10-Q</w:t>
              </w:r>
            </w:hyperlink>
          </w:p>
        </w:tc>
        <w:tc>
          <w:tcPr>
            <w:tcW w:w="180" w:type="dxa"/>
            <w:vAlign w:val="bottom"/>
            <w:tcBorders>
              <w:right w:val="single" w:sz="8" w:color="auto"/>
            </w:tcBorders>
            <w:gridSpan w:val="6"/>
          </w:tcPr>
          <w:p>
            <w:pPr>
              <w:spacing w:after="0"/>
              <w:rPr>
                <w:sz w:val="17"/>
                <w:szCs w:val="17"/>
                <w:color w:val="auto"/>
              </w:rPr>
            </w:pPr>
          </w:p>
        </w:tc>
        <w:tc>
          <w:tcPr>
            <w:tcW w:w="120" w:type="dxa"/>
            <w:vAlign w:val="bottom"/>
          </w:tcPr>
          <w:p>
            <w:pPr>
              <w:spacing w:after="0"/>
              <w:rPr>
                <w:sz w:val="17"/>
                <w:szCs w:val="17"/>
                <w:color w:val="auto"/>
              </w:rPr>
            </w:pPr>
          </w:p>
        </w:tc>
      </w:tr>
      <w:tr>
        <w:trPr>
          <w:trHeight w:val="196"/>
        </w:trPr>
        <w:tc>
          <w:tcPr>
            <w:tcW w:w="920" w:type="dxa"/>
            <w:vAlign w:val="bottom"/>
            <w:tcBorders>
              <w:right w:val="single" w:sz="8" w:color="auto"/>
            </w:tcBorders>
          </w:tcPr>
          <w:p>
            <w:pPr>
              <w:spacing w:after="0"/>
              <w:rPr>
                <w:sz w:val="17"/>
                <w:szCs w:val="17"/>
                <w:color w:val="auto"/>
              </w:rPr>
            </w:pPr>
          </w:p>
        </w:tc>
        <w:tc>
          <w:tcPr>
            <w:tcW w:w="10200" w:type="dxa"/>
            <w:vAlign w:val="bottom"/>
            <w:tcBorders>
              <w:right w:val="single" w:sz="8" w:color="auto"/>
            </w:tcBorders>
            <w:gridSpan w:val="31"/>
          </w:tcPr>
          <w:p>
            <w:pPr>
              <w:spacing w:after="0" w:line="196" w:lineRule="exact"/>
              <w:rPr>
                <w:rFonts w:ascii="Calibri" w:cs="Calibri" w:eastAsia="Calibri" w:hAnsi="Calibri"/>
                <w:sz w:val="18"/>
                <w:szCs w:val="18"/>
                <w:color w:val="0000EE"/>
              </w:rPr>
            </w:pPr>
            <w:hyperlink r:id="rId738">
              <w:r>
                <w:rPr>
                  <w:rFonts w:ascii="Calibri" w:cs="Calibri" w:eastAsia="Calibri" w:hAnsi="Calibri"/>
                  <w:sz w:val="18"/>
                  <w:szCs w:val="18"/>
                  <w:color w:val="0000EE"/>
                </w:rPr>
                <w:t>for the quarterly period ended June 30, 2017 as fled on August 9, 2017).</w:t>
              </w:r>
            </w:hyperlink>
          </w:p>
        </w:tc>
        <w:tc>
          <w:tcPr>
            <w:tcW w:w="120" w:type="dxa"/>
            <w:vAlign w:val="bottom"/>
          </w:tcPr>
          <w:p>
            <w:pPr>
              <w:spacing w:after="0"/>
              <w:rPr>
                <w:sz w:val="17"/>
                <w:szCs w:val="17"/>
                <w:color w:val="auto"/>
              </w:rPr>
            </w:pPr>
          </w:p>
        </w:tc>
      </w:tr>
      <w:tr>
        <w:trPr>
          <w:trHeight w:val="34"/>
        </w:trPr>
        <w:tc>
          <w:tcPr>
            <w:tcW w:w="920" w:type="dxa"/>
            <w:vAlign w:val="bottom"/>
            <w:tcBorders>
              <w:bottom w:val="single" w:sz="8" w:color="auto"/>
              <w:right w:val="single" w:sz="8" w:color="auto"/>
            </w:tcBorders>
          </w:tcPr>
          <w:p>
            <w:pPr>
              <w:spacing w:after="0"/>
              <w:rPr>
                <w:sz w:val="2"/>
                <w:szCs w:val="2"/>
                <w:color w:val="auto"/>
              </w:rPr>
            </w:pPr>
          </w:p>
        </w:tc>
        <w:tc>
          <w:tcPr>
            <w:tcW w:w="460" w:type="dxa"/>
            <w:vAlign w:val="bottom"/>
            <w:tcBorders>
              <w:top w:val="single" w:sz="8" w:color="0000EE"/>
              <w:bottom w:val="single" w:sz="8" w:color="auto"/>
            </w:tcBorders>
          </w:tcPr>
          <w:p>
            <w:pPr>
              <w:spacing w:after="0"/>
              <w:rPr>
                <w:sz w:val="2"/>
                <w:szCs w:val="2"/>
                <w:color w:val="auto"/>
              </w:rPr>
            </w:pPr>
          </w:p>
        </w:tc>
        <w:tc>
          <w:tcPr>
            <w:tcW w:w="1140" w:type="dxa"/>
            <w:vAlign w:val="bottom"/>
            <w:tcBorders>
              <w:top w:val="single" w:sz="8" w:color="0000EE"/>
              <w:bottom w:val="single" w:sz="8" w:color="auto"/>
            </w:tcBorders>
          </w:tcPr>
          <w:p>
            <w:pPr>
              <w:spacing w:after="0"/>
              <w:rPr>
                <w:sz w:val="2"/>
                <w:szCs w:val="2"/>
                <w:color w:val="auto"/>
              </w:rPr>
            </w:pPr>
          </w:p>
        </w:tc>
        <w:tc>
          <w:tcPr>
            <w:tcW w:w="920" w:type="dxa"/>
            <w:vAlign w:val="bottom"/>
            <w:tcBorders>
              <w:top w:val="single" w:sz="8" w:color="0000EE"/>
              <w:bottom w:val="single" w:sz="8" w:color="auto"/>
            </w:tcBorders>
          </w:tcPr>
          <w:p>
            <w:pPr>
              <w:spacing w:after="0"/>
              <w:rPr>
                <w:sz w:val="2"/>
                <w:szCs w:val="2"/>
                <w:color w:val="auto"/>
              </w:rPr>
            </w:pPr>
          </w:p>
        </w:tc>
        <w:tc>
          <w:tcPr>
            <w:tcW w:w="600" w:type="dxa"/>
            <w:vAlign w:val="bottom"/>
            <w:tcBorders>
              <w:top w:val="single" w:sz="8" w:color="0000EE"/>
              <w:bottom w:val="single" w:sz="8" w:color="auto"/>
            </w:tcBorders>
          </w:tcPr>
          <w:p>
            <w:pPr>
              <w:spacing w:after="0"/>
              <w:rPr>
                <w:sz w:val="2"/>
                <w:szCs w:val="2"/>
                <w:color w:val="auto"/>
              </w:rPr>
            </w:pPr>
          </w:p>
        </w:tc>
        <w:tc>
          <w:tcPr>
            <w:tcW w:w="300" w:type="dxa"/>
            <w:vAlign w:val="bottom"/>
            <w:tcBorders>
              <w:top w:val="single" w:sz="8" w:color="0000EE"/>
              <w:bottom w:val="single" w:sz="8" w:color="auto"/>
            </w:tcBorders>
          </w:tcPr>
          <w:p>
            <w:pPr>
              <w:spacing w:after="0"/>
              <w:rPr>
                <w:sz w:val="2"/>
                <w:szCs w:val="2"/>
                <w:color w:val="auto"/>
              </w:rPr>
            </w:pPr>
          </w:p>
        </w:tc>
        <w:tc>
          <w:tcPr>
            <w:tcW w:w="760" w:type="dxa"/>
            <w:vAlign w:val="bottom"/>
            <w:tcBorders>
              <w:top w:val="single" w:sz="8" w:color="0000EE"/>
              <w:bottom w:val="single" w:sz="8" w:color="auto"/>
            </w:tcBorders>
          </w:tcPr>
          <w:p>
            <w:pPr>
              <w:spacing w:after="0"/>
              <w:rPr>
                <w:sz w:val="2"/>
                <w:szCs w:val="2"/>
                <w:color w:val="auto"/>
              </w:rPr>
            </w:pPr>
          </w:p>
        </w:tc>
        <w:tc>
          <w:tcPr>
            <w:tcW w:w="680" w:type="dxa"/>
            <w:vAlign w:val="bottom"/>
            <w:tcBorders>
              <w:top w:val="single" w:sz="8" w:color="0000EE"/>
              <w:bottom w:val="single" w:sz="8" w:color="auto"/>
            </w:tcBorders>
          </w:tcPr>
          <w:p>
            <w:pPr>
              <w:spacing w:after="0"/>
              <w:rPr>
                <w:sz w:val="2"/>
                <w:szCs w:val="2"/>
                <w:color w:val="auto"/>
              </w:rPr>
            </w:pPr>
          </w:p>
        </w:tc>
        <w:tc>
          <w:tcPr>
            <w:tcW w:w="320" w:type="dxa"/>
            <w:vAlign w:val="bottom"/>
            <w:tcBorders>
              <w:top w:val="single" w:sz="8" w:color="0000EE"/>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10"/>
        </w:trPr>
        <w:tc>
          <w:tcPr>
            <w:tcW w:w="920" w:type="dxa"/>
            <w:vAlign w:val="bottom"/>
            <w:tcBorders>
              <w:bottom w:val="single" w:sz="8" w:color="auto"/>
              <w:right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375"/>
        </w:trPr>
        <w:tc>
          <w:tcPr>
            <w:tcW w:w="920" w:type="dxa"/>
            <w:vAlign w:val="bottom"/>
          </w:tcPr>
          <w:p>
            <w:pPr>
              <w:spacing w:after="0"/>
              <w:rPr>
                <w:sz w:val="24"/>
                <w:szCs w:val="24"/>
                <w:color w:val="auto"/>
              </w:rPr>
            </w:pPr>
          </w:p>
        </w:tc>
        <w:tc>
          <w:tcPr>
            <w:tcW w:w="4860" w:type="dxa"/>
            <w:vAlign w:val="bottom"/>
            <w:gridSpan w:val="7"/>
          </w:tcPr>
          <w:p>
            <w:pPr>
              <w:ind w:left="4580"/>
              <w:spacing w:after="0"/>
              <w:rPr>
                <w:sz w:val="20"/>
                <w:szCs w:val="20"/>
                <w:color w:val="auto"/>
              </w:rPr>
            </w:pPr>
            <w:r>
              <w:rPr>
                <w:rFonts w:ascii="Calibri" w:cs="Calibri" w:eastAsia="Calibri" w:hAnsi="Calibri"/>
                <w:sz w:val="18"/>
                <w:szCs w:val="18"/>
                <w:color w:val="auto"/>
                <w:w w:val="94"/>
              </w:rPr>
              <w:t>121</w:t>
            </w:r>
          </w:p>
        </w:tc>
        <w:tc>
          <w:tcPr>
            <w:tcW w:w="3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530"/>
        </w:trPr>
        <w:tc>
          <w:tcPr>
            <w:tcW w:w="9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21" w:name="page122"/>
    <w:bookmarkEnd w:id="121"/>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328" w:lineRule="exact"/>
        <w:rPr>
          <w:sz w:val="20"/>
          <w:szCs w:val="20"/>
          <w:color w:val="auto"/>
        </w:rPr>
      </w:pPr>
    </w:p>
    <w:p>
      <w:pPr>
        <w:ind w:left="920" w:right="120" w:hanging="890"/>
        <w:spacing w:after="0" w:line="258" w:lineRule="auto"/>
        <w:tabs>
          <w:tab w:leader="none" w:pos="900" w:val="left"/>
        </w:tabs>
        <w:rPr>
          <w:rFonts w:ascii="Calibri" w:cs="Calibri" w:eastAsia="Calibri" w:hAnsi="Calibri"/>
          <w:sz w:val="17"/>
          <w:szCs w:val="17"/>
          <w:u w:val="single" w:color="auto"/>
          <w:color w:val="0000EE"/>
        </w:rPr>
      </w:pPr>
      <w:r>
        <w:rPr>
          <w:rFonts w:ascii="Calibri" w:cs="Calibri" w:eastAsia="Calibri" w:hAnsi="Calibri"/>
          <w:sz w:val="18"/>
          <w:szCs w:val="18"/>
          <w:color w:val="auto"/>
        </w:rPr>
        <w:t>*(10.9)</w:t>
      </w:r>
      <w:r>
        <w:rPr>
          <w:sz w:val="20"/>
          <w:szCs w:val="20"/>
          <w:color w:val="auto"/>
        </w:rPr>
        <w:tab/>
      </w:r>
      <w:hyperlink r:id="rId741">
        <w:r>
          <w:rPr>
            <w:rFonts w:ascii="Calibri" w:cs="Calibri" w:eastAsia="Calibri" w:hAnsi="Calibri"/>
            <w:sz w:val="17"/>
            <w:szCs w:val="17"/>
            <w:u w:val="single" w:color="auto"/>
            <w:color w:val="0000EE"/>
          </w:rPr>
          <w:t>Eastman Kodak Company 2013 Omnibus Incentve Plan Form of Director Restricted Stock Unit Award Agreement. (Incorporated by reference</w:t>
        </w:r>
      </w:hyperlink>
      <w:r>
        <w:rPr>
          <w:rFonts w:ascii="Calibri" w:cs="Calibri" w:eastAsia="Calibri" w:hAnsi="Calibri"/>
          <w:sz w:val="17"/>
          <w:szCs w:val="17"/>
          <w:u w:val="single" w:color="auto"/>
          <w:color w:val="0000EE"/>
        </w:rPr>
        <w:t xml:space="preserve"> </w:t>
      </w:r>
      <w:hyperlink r:id="rId741">
        <w:r>
          <w:rPr>
            <w:rFonts w:ascii="Calibri" w:cs="Calibri" w:eastAsia="Calibri" w:hAnsi="Calibri"/>
            <w:sz w:val="17"/>
            <w:szCs w:val="17"/>
            <w:u w:val="single" w:color="auto"/>
            <w:color w:val="0000EE"/>
          </w:rPr>
          <w:t>to Exhibit 10.3 of the Company’s Annual Report on Form 10-K for the fscal year ended December 31, 2013 as fled on March 19, 2014).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-278765</wp:posOffset>
            </wp:positionV>
            <wp:extent cx="7057390" cy="142494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42">
                      <a:extLst>
                        <a:ext uri="{28A0092B-C50C-407E-A947-70E740481C1C}"/>
                      </a:extLst>
                    </a:blip>
                    <a:srcRect/>
                    <a:stretch>
                      <a:fillRect/>
                    </a:stretch>
                  </pic:blipFill>
                  <pic:spPr bwMode="auto">
                    <a:xfrm>
                      <a:off x="0" y="0"/>
                      <a:ext cx="7057390" cy="1424940"/>
                    </a:xfrm>
                    <a:prstGeom prst="rect">
                      <a:avLst/>
                    </a:prstGeom>
                    <a:noFill/>
                  </pic:spPr>
                </pic:pic>
              </a:graphicData>
            </a:graphic>
          </wp:anchor>
        </w:drawing>
      </w:r>
    </w:p>
    <w:p>
      <w:pPr>
        <w:spacing w:after="0" w:line="209" w:lineRule="exact"/>
        <w:rPr>
          <w:sz w:val="20"/>
          <w:szCs w:val="20"/>
          <w:color w:val="auto"/>
        </w:rPr>
      </w:pPr>
    </w:p>
    <w:p>
      <w:pPr>
        <w:ind w:left="920" w:right="160" w:hanging="890"/>
        <w:spacing w:after="0" w:line="235" w:lineRule="auto"/>
        <w:tabs>
          <w:tab w:leader="none" w:pos="900" w:val="left"/>
        </w:tabs>
        <w:rPr>
          <w:rFonts w:ascii="Calibri" w:cs="Calibri" w:eastAsia="Calibri" w:hAnsi="Calibri"/>
          <w:sz w:val="18"/>
          <w:szCs w:val="18"/>
          <w:u w:val="single" w:color="auto"/>
          <w:color w:val="0000EE"/>
        </w:rPr>
      </w:pPr>
      <w:r>
        <w:rPr>
          <w:rFonts w:ascii="Calibri" w:cs="Calibri" w:eastAsia="Calibri" w:hAnsi="Calibri"/>
          <w:sz w:val="18"/>
          <w:szCs w:val="18"/>
          <w:color w:val="auto"/>
        </w:rPr>
        <w:t>*(10.10)</w:t>
      </w:r>
      <w:r>
        <w:rPr>
          <w:sz w:val="20"/>
          <w:szCs w:val="20"/>
          <w:color w:val="auto"/>
        </w:rPr>
        <w:tab/>
      </w:r>
      <w:hyperlink r:id="rId743">
        <w:r>
          <w:rPr>
            <w:rFonts w:ascii="Calibri" w:cs="Calibri" w:eastAsia="Calibri" w:hAnsi="Calibri"/>
            <w:sz w:val="18"/>
            <w:szCs w:val="18"/>
            <w:u w:val="single" w:color="auto"/>
            <w:color w:val="0000EE"/>
          </w:rPr>
          <w:t>Eastman Kodak Company 2013 Omnibus Incentve Plan Form of Director Restricted Stock Unit Award Agreement (One Year Vestng).</w:t>
        </w:r>
      </w:hyperlink>
      <w:r>
        <w:rPr>
          <w:rFonts w:ascii="Calibri" w:cs="Calibri" w:eastAsia="Calibri" w:hAnsi="Calibri"/>
          <w:sz w:val="18"/>
          <w:szCs w:val="18"/>
          <w:u w:val="single" w:color="auto"/>
          <w:color w:val="0000EE"/>
        </w:rPr>
        <w:t xml:space="preserve"> </w:t>
      </w:r>
      <w:hyperlink r:id="rId743">
        <w:r>
          <w:rPr>
            <w:rFonts w:ascii="Calibri" w:cs="Calibri" w:eastAsia="Calibri" w:hAnsi="Calibri"/>
            <w:sz w:val="18"/>
            <w:szCs w:val="18"/>
            <w:u w:val="single" w:color="auto"/>
            <w:color w:val="0000EE"/>
          </w:rPr>
          <w:t>(Incorporated by reference to Exhibit 10.3 of the Company’s Quarterly Report on Form 10-Q for the quarterly period ended June 30, 2017 as</w:t>
        </w:r>
      </w:hyperlink>
      <w:r>
        <w:rPr>
          <w:rFonts w:ascii="Calibri" w:cs="Calibri" w:eastAsia="Calibri" w:hAnsi="Calibri"/>
          <w:sz w:val="18"/>
          <w:szCs w:val="18"/>
          <w:u w:val="single" w:color="auto"/>
          <w:color w:val="0000EE"/>
        </w:rPr>
        <w:t xml:space="preserve"> </w:t>
      </w:r>
      <w:hyperlink r:id="rId743">
        <w:r>
          <w:rPr>
            <w:rFonts w:ascii="Calibri" w:cs="Calibri" w:eastAsia="Calibri" w:hAnsi="Calibri"/>
            <w:sz w:val="18"/>
            <w:szCs w:val="18"/>
            <w:u w:val="single" w:color="auto"/>
            <w:color w:val="0000EE"/>
          </w:rPr>
          <w:t>fled on August 9, 2017).</w:t>
        </w:r>
      </w:hyperlink>
    </w:p>
    <w:p>
      <w:pPr>
        <w:spacing w:after="0" w:line="246" w:lineRule="exact"/>
        <w:rPr>
          <w:rFonts w:ascii="Calibri" w:cs="Calibri" w:eastAsia="Calibri" w:hAnsi="Calibri"/>
          <w:sz w:val="18"/>
          <w:szCs w:val="18"/>
          <w:u w:val="single" w:color="auto"/>
          <w:color w:val="0000EE"/>
        </w:rPr>
      </w:pPr>
    </w:p>
    <w:p>
      <w:pPr>
        <w:ind w:left="920" w:right="540" w:hanging="890"/>
        <w:spacing w:after="0" w:line="235" w:lineRule="auto"/>
        <w:tabs>
          <w:tab w:leader="none" w:pos="900" w:val="left"/>
        </w:tabs>
        <w:rPr>
          <w:rFonts w:ascii="Calibri" w:cs="Calibri" w:eastAsia="Calibri" w:hAnsi="Calibri"/>
          <w:sz w:val="18"/>
          <w:szCs w:val="18"/>
          <w:u w:val="single" w:color="auto"/>
          <w:color w:val="0000EE"/>
        </w:rPr>
      </w:pPr>
      <w:r>
        <w:rPr>
          <w:rFonts w:ascii="Calibri" w:cs="Calibri" w:eastAsia="Calibri" w:hAnsi="Calibri"/>
          <w:sz w:val="18"/>
          <w:szCs w:val="18"/>
          <w:color w:val="auto"/>
        </w:rPr>
        <w:t>*(10.11)</w:t>
      </w:r>
      <w:r>
        <w:rPr>
          <w:sz w:val="20"/>
          <w:szCs w:val="20"/>
          <w:color w:val="auto"/>
        </w:rPr>
        <w:tab/>
      </w:r>
      <w:hyperlink r:id="rId744">
        <w:r>
          <w:rPr>
            <w:rFonts w:ascii="Calibri" w:cs="Calibri" w:eastAsia="Calibri" w:hAnsi="Calibri"/>
            <w:sz w:val="18"/>
            <w:szCs w:val="18"/>
            <w:u w:val="single" w:color="auto"/>
            <w:color w:val="0000EE"/>
          </w:rPr>
          <w:t>Eastman Kodak Company 2013 Omnibus Incentve Plan Form of Quarterly Director Restricted Stock Unit Award Agreement (Immediate</w:t>
        </w:r>
      </w:hyperlink>
      <w:r>
        <w:rPr>
          <w:rFonts w:ascii="Calibri" w:cs="Calibri" w:eastAsia="Calibri" w:hAnsi="Calibri"/>
          <w:sz w:val="18"/>
          <w:szCs w:val="18"/>
          <w:u w:val="single" w:color="auto"/>
          <w:color w:val="0000EE"/>
        </w:rPr>
        <w:t xml:space="preserve"> </w:t>
      </w:r>
      <w:hyperlink r:id="rId744">
        <w:r>
          <w:rPr>
            <w:rFonts w:ascii="Calibri" w:cs="Calibri" w:eastAsia="Calibri" w:hAnsi="Calibri"/>
            <w:sz w:val="18"/>
            <w:szCs w:val="18"/>
            <w:u w:val="single" w:color="auto"/>
            <w:color w:val="0000EE"/>
          </w:rPr>
          <w:t>Vestng). (Incorporated by reference to Exhibit 10.1 of the Company’s Quarterly Report on Form 10-Q for the quarterly period ended</w:t>
        </w:r>
      </w:hyperlink>
      <w:r>
        <w:rPr>
          <w:rFonts w:ascii="Calibri" w:cs="Calibri" w:eastAsia="Calibri" w:hAnsi="Calibri"/>
          <w:sz w:val="18"/>
          <w:szCs w:val="18"/>
          <w:u w:val="single" w:color="auto"/>
          <w:color w:val="0000EE"/>
        </w:rPr>
        <w:t xml:space="preserve"> </w:t>
      </w:r>
      <w:hyperlink r:id="rId744">
        <w:r>
          <w:rPr>
            <w:rFonts w:ascii="Calibri" w:cs="Calibri" w:eastAsia="Calibri" w:hAnsi="Calibri"/>
            <w:sz w:val="18"/>
            <w:szCs w:val="18"/>
            <w:u w:val="single" w:color="auto"/>
            <w:color w:val="0000EE"/>
          </w:rPr>
          <w:t>September 30, 2019 as fled on November 7, 2019).</w:t>
        </w:r>
      </w:hyperlink>
    </w:p>
    <w:p>
      <w:pPr>
        <w:spacing w:after="0" w:line="246" w:lineRule="exact"/>
        <w:rPr>
          <w:rFonts w:ascii="Calibri" w:cs="Calibri" w:eastAsia="Calibri" w:hAnsi="Calibri"/>
          <w:sz w:val="18"/>
          <w:szCs w:val="18"/>
          <w:u w:val="single" w:color="auto"/>
          <w:color w:val="0000EE"/>
        </w:rPr>
      </w:pPr>
    </w:p>
    <w:p>
      <w:pPr>
        <w:jc w:val="both"/>
        <w:ind w:left="920" w:right="180" w:hanging="890"/>
        <w:spacing w:after="0" w:line="235" w:lineRule="auto"/>
        <w:tabs>
          <w:tab w:leader="none" w:pos="900" w:val="left"/>
        </w:tabs>
        <w:rPr>
          <w:rFonts w:ascii="Calibri" w:cs="Calibri" w:eastAsia="Calibri" w:hAnsi="Calibri"/>
          <w:sz w:val="18"/>
          <w:szCs w:val="18"/>
          <w:u w:val="single" w:color="auto"/>
          <w:color w:val="0000EE"/>
        </w:rPr>
      </w:pPr>
      <w:r>
        <w:rPr>
          <w:rFonts w:ascii="Calibri" w:cs="Calibri" w:eastAsia="Calibri" w:hAnsi="Calibri"/>
          <w:sz w:val="18"/>
          <w:szCs w:val="18"/>
          <w:color w:val="auto"/>
        </w:rPr>
        <w:t>*(10.12)</w:t>
      </w:r>
      <w:r>
        <w:rPr>
          <w:sz w:val="20"/>
          <w:szCs w:val="20"/>
          <w:color w:val="auto"/>
        </w:rPr>
        <w:tab/>
      </w:r>
      <w:hyperlink r:id="rId745">
        <w:r>
          <w:rPr>
            <w:rFonts w:ascii="Calibri" w:cs="Calibri" w:eastAsia="Calibri" w:hAnsi="Calibri"/>
            <w:sz w:val="18"/>
            <w:szCs w:val="18"/>
            <w:u w:val="single" w:color="auto"/>
            <w:color w:val="0000EE"/>
          </w:rPr>
          <w:t>Eastman Kodak Company 2013 Omnibus Incentve Plan Form of Executve Nonqualifed Stock Opton Award Agreement (multple tranches).</w:t>
        </w:r>
      </w:hyperlink>
      <w:r>
        <w:rPr>
          <w:rFonts w:ascii="Calibri" w:cs="Calibri" w:eastAsia="Calibri" w:hAnsi="Calibri"/>
          <w:sz w:val="18"/>
          <w:szCs w:val="18"/>
          <w:u w:val="single" w:color="auto"/>
          <w:color w:val="0000EE"/>
        </w:rPr>
        <w:t xml:space="preserve"> </w:t>
      </w:r>
      <w:hyperlink r:id="rId745">
        <w:r>
          <w:rPr>
            <w:rFonts w:ascii="Calibri" w:cs="Calibri" w:eastAsia="Calibri" w:hAnsi="Calibri"/>
            <w:sz w:val="18"/>
            <w:szCs w:val="18"/>
            <w:u w:val="single" w:color="auto"/>
            <w:color w:val="0000EE"/>
          </w:rPr>
          <w:t>(Incorporated by reference to Exhibit (10.2) of the Company’s Quarterly Report on Form 10-Q for the quarterly period ended September 30,</w:t>
        </w:r>
      </w:hyperlink>
      <w:r>
        <w:rPr>
          <w:rFonts w:ascii="Calibri" w:cs="Calibri" w:eastAsia="Calibri" w:hAnsi="Calibri"/>
          <w:sz w:val="18"/>
          <w:szCs w:val="18"/>
          <w:u w:val="single" w:color="auto"/>
          <w:color w:val="0000EE"/>
        </w:rPr>
        <w:t xml:space="preserve"> </w:t>
      </w:r>
      <w:hyperlink r:id="rId745">
        <w:r>
          <w:rPr>
            <w:rFonts w:ascii="Calibri" w:cs="Calibri" w:eastAsia="Calibri" w:hAnsi="Calibri"/>
            <w:sz w:val="18"/>
            <w:szCs w:val="18"/>
            <w:u w:val="single" w:color="auto"/>
            <w:color w:val="0000EE"/>
          </w:rPr>
          <w:t>2020 as fled on November 10, 2020).</w:t>
        </w:r>
      </w:hyperlink>
    </w:p>
    <w:p>
      <w:pPr>
        <w:spacing w:after="0" w:line="20" w:lineRule="exact"/>
        <w:rPr>
          <w:rFonts w:ascii="Calibri" w:cs="Calibri" w:eastAsia="Calibri" w:hAnsi="Calibri"/>
          <w:sz w:val="18"/>
          <w:szCs w:val="18"/>
          <w:u w:val="single" w:color="auto"/>
          <w:color w:val="0000EE"/>
        </w:rPr>
      </w:pPr>
      <w:r>
        <w:rPr>
          <w:rFonts w:ascii="Calibri" w:cs="Calibri" w:eastAsia="Calibri" w:hAnsi="Calibri"/>
          <w:sz w:val="18"/>
          <w:szCs w:val="18"/>
          <w:u w:val="single" w:color="auto"/>
          <w:color w:val="0000EE"/>
        </w:rPr>
        <w:drawing>
          <wp:anchor simplePos="0" relativeHeight="251657728" behindDoc="1" locked="0" layoutInCell="0" allowOverlap="1">
            <wp:simplePos x="0" y="0"/>
            <wp:positionH relativeFrom="column">
              <wp:posOffset>3175</wp:posOffset>
            </wp:positionH>
            <wp:positionV relativeFrom="paragraph">
              <wp:posOffset>-405765</wp:posOffset>
            </wp:positionV>
            <wp:extent cx="7057390" cy="582295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46">
                      <a:extLst>
                        <a:ext uri="{28A0092B-C50C-407E-A947-70E740481C1C}"/>
                      </a:extLst>
                    </a:blip>
                    <a:srcRect/>
                    <a:stretch>
                      <a:fillRect/>
                    </a:stretch>
                  </pic:blipFill>
                  <pic:spPr bwMode="auto">
                    <a:xfrm>
                      <a:off x="0" y="0"/>
                      <a:ext cx="7057390" cy="5822950"/>
                    </a:xfrm>
                    <a:prstGeom prst="rect">
                      <a:avLst/>
                    </a:prstGeom>
                    <a:noFill/>
                  </pic:spPr>
                </pic:pic>
              </a:graphicData>
            </a:graphic>
          </wp:anchor>
        </w:drawing>
      </w:r>
    </w:p>
    <w:p>
      <w:pPr>
        <w:spacing w:after="0" w:line="226" w:lineRule="exact"/>
        <w:rPr>
          <w:rFonts w:ascii="Calibri" w:cs="Calibri" w:eastAsia="Calibri" w:hAnsi="Calibri"/>
          <w:sz w:val="18"/>
          <w:szCs w:val="18"/>
          <w:u w:val="single" w:color="auto"/>
          <w:color w:val="0000EE"/>
        </w:rPr>
      </w:pPr>
    </w:p>
    <w:p>
      <w:pPr>
        <w:ind w:left="920" w:right="180" w:hanging="890"/>
        <w:spacing w:after="0" w:line="235" w:lineRule="auto"/>
        <w:tabs>
          <w:tab w:leader="none" w:pos="900" w:val="left"/>
        </w:tabs>
        <w:rPr>
          <w:rFonts w:ascii="Calibri" w:cs="Calibri" w:eastAsia="Calibri" w:hAnsi="Calibri"/>
          <w:sz w:val="18"/>
          <w:szCs w:val="18"/>
          <w:u w:val="single" w:color="auto"/>
          <w:color w:val="0000EE"/>
        </w:rPr>
      </w:pPr>
      <w:r>
        <w:rPr>
          <w:rFonts w:ascii="Calibri" w:cs="Calibri" w:eastAsia="Calibri" w:hAnsi="Calibri"/>
          <w:sz w:val="18"/>
          <w:szCs w:val="18"/>
          <w:color w:val="auto"/>
        </w:rPr>
        <w:t>*(10.13)</w:t>
      </w:r>
      <w:r>
        <w:rPr>
          <w:sz w:val="20"/>
          <w:szCs w:val="20"/>
          <w:color w:val="auto"/>
        </w:rPr>
        <w:tab/>
      </w:r>
      <w:hyperlink r:id="rId747">
        <w:r>
          <w:rPr>
            <w:rFonts w:ascii="Calibri" w:cs="Calibri" w:eastAsia="Calibri" w:hAnsi="Calibri"/>
            <w:sz w:val="18"/>
            <w:szCs w:val="18"/>
            <w:u w:val="single" w:color="auto"/>
            <w:color w:val="0000EE"/>
          </w:rPr>
          <w:t>Eastman Kodak Company 2013 Omnibus Incentve Plan Form of Director Nonqualifed Stock Opton Award Agreement (multple tranches).</w:t>
        </w:r>
      </w:hyperlink>
      <w:r>
        <w:rPr>
          <w:rFonts w:ascii="Calibri" w:cs="Calibri" w:eastAsia="Calibri" w:hAnsi="Calibri"/>
          <w:sz w:val="18"/>
          <w:szCs w:val="18"/>
          <w:u w:val="single" w:color="auto"/>
          <w:color w:val="0000EE"/>
        </w:rPr>
        <w:t xml:space="preserve"> </w:t>
      </w:r>
      <w:hyperlink r:id="rId747">
        <w:r>
          <w:rPr>
            <w:rFonts w:ascii="Calibri" w:cs="Calibri" w:eastAsia="Calibri" w:hAnsi="Calibri"/>
            <w:sz w:val="18"/>
            <w:szCs w:val="18"/>
            <w:u w:val="single" w:color="auto"/>
            <w:color w:val="0000EE"/>
          </w:rPr>
          <w:t>(Incorporated by reference to Exhibit (10.3) of the Company’s Quarterly Report on Form 10-Q for the quarterly period ended September 30,</w:t>
        </w:r>
      </w:hyperlink>
      <w:r>
        <w:rPr>
          <w:rFonts w:ascii="Calibri" w:cs="Calibri" w:eastAsia="Calibri" w:hAnsi="Calibri"/>
          <w:sz w:val="18"/>
          <w:szCs w:val="18"/>
          <w:u w:val="single" w:color="auto"/>
          <w:color w:val="0000EE"/>
        </w:rPr>
        <w:t xml:space="preserve"> </w:t>
      </w:r>
      <w:hyperlink r:id="rId747">
        <w:r>
          <w:rPr>
            <w:rFonts w:ascii="Calibri" w:cs="Calibri" w:eastAsia="Calibri" w:hAnsi="Calibri"/>
            <w:sz w:val="18"/>
            <w:szCs w:val="18"/>
            <w:u w:val="single" w:color="auto"/>
            <w:color w:val="0000EE"/>
          </w:rPr>
          <w:t>2020 as fled on November 10, 2020).</w:t>
        </w:r>
      </w:hyperlink>
    </w:p>
    <w:p>
      <w:pPr>
        <w:spacing w:after="0" w:line="246" w:lineRule="exact"/>
        <w:rPr>
          <w:rFonts w:ascii="Calibri" w:cs="Calibri" w:eastAsia="Calibri" w:hAnsi="Calibri"/>
          <w:sz w:val="18"/>
          <w:szCs w:val="18"/>
          <w:u w:val="single" w:color="auto"/>
          <w:color w:val="0000EE"/>
        </w:rPr>
      </w:pPr>
    </w:p>
    <w:p>
      <w:pPr>
        <w:ind w:left="920" w:right="200" w:hanging="890"/>
        <w:spacing w:after="0" w:line="235" w:lineRule="auto"/>
        <w:tabs>
          <w:tab w:leader="none" w:pos="900" w:val="left"/>
        </w:tabs>
        <w:rPr>
          <w:rFonts w:ascii="Calibri" w:cs="Calibri" w:eastAsia="Calibri" w:hAnsi="Calibri"/>
          <w:sz w:val="18"/>
          <w:szCs w:val="18"/>
          <w:u w:val="single" w:color="auto"/>
          <w:color w:val="0000EE"/>
        </w:rPr>
      </w:pPr>
      <w:r>
        <w:rPr>
          <w:rFonts w:ascii="Calibri" w:cs="Calibri" w:eastAsia="Calibri" w:hAnsi="Calibri"/>
          <w:sz w:val="18"/>
          <w:szCs w:val="18"/>
          <w:color w:val="auto"/>
        </w:rPr>
        <w:t>*(10.14)</w:t>
      </w:r>
      <w:r>
        <w:rPr>
          <w:sz w:val="20"/>
          <w:szCs w:val="20"/>
          <w:color w:val="auto"/>
        </w:rPr>
        <w:tab/>
      </w:r>
      <w:hyperlink r:id="rId748">
        <w:r>
          <w:rPr>
            <w:rFonts w:ascii="Calibri" w:cs="Calibri" w:eastAsia="Calibri" w:hAnsi="Calibri"/>
            <w:sz w:val="18"/>
            <w:szCs w:val="18"/>
            <w:u w:val="single" w:color="auto"/>
            <w:color w:val="0000EE"/>
          </w:rPr>
          <w:t>Eastman Kodak Company 2013 Omnibus Incentve Plan Form of Executve Restricted Stock Unit Award Agreement (with Immediate Vestng)</w:t>
        </w:r>
      </w:hyperlink>
      <w:r>
        <w:rPr>
          <w:rFonts w:ascii="Calibri" w:cs="Calibri" w:eastAsia="Calibri" w:hAnsi="Calibri"/>
          <w:sz w:val="18"/>
          <w:szCs w:val="18"/>
          <w:u w:val="single" w:color="auto"/>
          <w:color w:val="0000EE"/>
        </w:rPr>
        <w:t xml:space="preserve"> </w:t>
      </w:r>
      <w:hyperlink r:id="rId748">
        <w:r>
          <w:rPr>
            <w:rFonts w:ascii="Calibri" w:cs="Calibri" w:eastAsia="Calibri" w:hAnsi="Calibri"/>
            <w:sz w:val="18"/>
            <w:szCs w:val="18"/>
            <w:u w:val="single" w:color="auto"/>
            <w:color w:val="0000EE"/>
          </w:rPr>
          <w:t>(Incorporated by reference to Exhibit 10.12 of the Company’s Annual Report on Form 10-K for the fscal year ended December 31, 2020 as</w:t>
        </w:r>
      </w:hyperlink>
      <w:r>
        <w:rPr>
          <w:rFonts w:ascii="Calibri" w:cs="Calibri" w:eastAsia="Calibri" w:hAnsi="Calibri"/>
          <w:sz w:val="18"/>
          <w:szCs w:val="18"/>
          <w:u w:val="single" w:color="auto"/>
          <w:color w:val="0000EE"/>
        </w:rPr>
        <w:t xml:space="preserve"> </w:t>
      </w:r>
      <w:hyperlink r:id="rId748">
        <w:r>
          <w:rPr>
            <w:rFonts w:ascii="Calibri" w:cs="Calibri" w:eastAsia="Calibri" w:hAnsi="Calibri"/>
            <w:sz w:val="18"/>
            <w:szCs w:val="18"/>
            <w:u w:val="single" w:color="auto"/>
            <w:color w:val="0000EE"/>
          </w:rPr>
          <w:t>fled on March 16, 2021).</w:t>
        </w:r>
      </w:hyperlink>
    </w:p>
    <w:p>
      <w:pPr>
        <w:spacing w:after="0" w:line="246" w:lineRule="exact"/>
        <w:rPr>
          <w:rFonts w:ascii="Calibri" w:cs="Calibri" w:eastAsia="Calibri" w:hAnsi="Calibri"/>
          <w:sz w:val="18"/>
          <w:szCs w:val="18"/>
          <w:u w:val="single" w:color="auto"/>
          <w:color w:val="0000EE"/>
        </w:rPr>
      </w:pPr>
    </w:p>
    <w:p>
      <w:pPr>
        <w:ind w:left="920" w:right="60" w:hanging="890"/>
        <w:spacing w:after="0" w:line="235" w:lineRule="auto"/>
        <w:tabs>
          <w:tab w:leader="none" w:pos="900" w:val="left"/>
        </w:tabs>
        <w:rPr>
          <w:rFonts w:ascii="Calibri" w:cs="Calibri" w:eastAsia="Calibri" w:hAnsi="Calibri"/>
          <w:sz w:val="18"/>
          <w:szCs w:val="18"/>
          <w:u w:val="single" w:color="auto"/>
          <w:color w:val="0000EE"/>
        </w:rPr>
      </w:pPr>
      <w:r>
        <w:rPr>
          <w:rFonts w:ascii="Calibri" w:cs="Calibri" w:eastAsia="Calibri" w:hAnsi="Calibri"/>
          <w:sz w:val="18"/>
          <w:szCs w:val="18"/>
          <w:color w:val="auto"/>
        </w:rPr>
        <w:t>*(10.15)</w:t>
      </w:r>
      <w:r>
        <w:rPr>
          <w:sz w:val="20"/>
          <w:szCs w:val="20"/>
          <w:color w:val="auto"/>
        </w:rPr>
        <w:tab/>
      </w:r>
      <w:hyperlink r:id="rId749">
        <w:r>
          <w:rPr>
            <w:rFonts w:ascii="Calibri" w:cs="Calibri" w:eastAsia="Calibri" w:hAnsi="Calibri"/>
            <w:sz w:val="18"/>
            <w:szCs w:val="18"/>
            <w:u w:val="single" w:color="auto"/>
            <w:color w:val="0000EE"/>
          </w:rPr>
          <w:t>Eastman Kodak Company 2013 Omnibus Incentve Plan Form of Executve Restricted Stock Unit Award Agreement (with Modifed Accelerated</w:t>
        </w:r>
      </w:hyperlink>
      <w:r>
        <w:rPr>
          <w:rFonts w:ascii="Calibri" w:cs="Calibri" w:eastAsia="Calibri" w:hAnsi="Calibri"/>
          <w:sz w:val="18"/>
          <w:szCs w:val="18"/>
          <w:u w:val="single" w:color="auto"/>
          <w:color w:val="0000EE"/>
        </w:rPr>
        <w:t xml:space="preserve"> </w:t>
      </w:r>
      <w:hyperlink r:id="rId749">
        <w:r>
          <w:rPr>
            <w:rFonts w:ascii="Calibri" w:cs="Calibri" w:eastAsia="Calibri" w:hAnsi="Calibri"/>
            <w:sz w:val="18"/>
            <w:szCs w:val="18"/>
            <w:u w:val="single" w:color="auto"/>
            <w:color w:val="0000EE"/>
          </w:rPr>
          <w:t>Vestng) (Incorporated by reference to Exhibit 10.13 of the Company’s Annual Report on Form 10-K for the fscal year ended December 31,</w:t>
        </w:r>
      </w:hyperlink>
      <w:r>
        <w:rPr>
          <w:rFonts w:ascii="Calibri" w:cs="Calibri" w:eastAsia="Calibri" w:hAnsi="Calibri"/>
          <w:sz w:val="18"/>
          <w:szCs w:val="18"/>
          <w:u w:val="single" w:color="auto"/>
          <w:color w:val="0000EE"/>
        </w:rPr>
        <w:t xml:space="preserve"> </w:t>
      </w:r>
      <w:hyperlink r:id="rId749">
        <w:r>
          <w:rPr>
            <w:rFonts w:ascii="Calibri" w:cs="Calibri" w:eastAsia="Calibri" w:hAnsi="Calibri"/>
            <w:sz w:val="18"/>
            <w:szCs w:val="18"/>
            <w:u w:val="single" w:color="auto"/>
            <w:color w:val="0000EE"/>
          </w:rPr>
          <w:t>2020 as fled on March 16, 2021).</w:t>
        </w:r>
      </w:hyperlink>
    </w:p>
    <w:p>
      <w:pPr>
        <w:spacing w:after="0" w:line="246" w:lineRule="exact"/>
        <w:rPr>
          <w:rFonts w:ascii="Calibri" w:cs="Calibri" w:eastAsia="Calibri" w:hAnsi="Calibri"/>
          <w:sz w:val="18"/>
          <w:szCs w:val="18"/>
          <w:u w:val="single" w:color="auto"/>
          <w:color w:val="0000EE"/>
        </w:rPr>
      </w:pPr>
    </w:p>
    <w:p>
      <w:pPr>
        <w:ind w:left="920" w:right="300" w:hanging="890"/>
        <w:spacing w:after="0" w:line="258" w:lineRule="auto"/>
        <w:tabs>
          <w:tab w:leader="none" w:pos="900" w:val="left"/>
        </w:tabs>
        <w:rPr>
          <w:rFonts w:ascii="Calibri" w:cs="Calibri" w:eastAsia="Calibri" w:hAnsi="Calibri"/>
          <w:sz w:val="17"/>
          <w:szCs w:val="17"/>
          <w:u w:val="single" w:color="auto"/>
          <w:color w:val="0000EE"/>
        </w:rPr>
      </w:pPr>
      <w:r>
        <w:rPr>
          <w:rFonts w:ascii="Calibri" w:cs="Calibri" w:eastAsia="Calibri" w:hAnsi="Calibri"/>
          <w:sz w:val="18"/>
          <w:szCs w:val="18"/>
          <w:color w:val="auto"/>
        </w:rPr>
        <w:t>*(10.16)</w:t>
      </w:r>
      <w:r>
        <w:rPr>
          <w:sz w:val="20"/>
          <w:szCs w:val="20"/>
          <w:color w:val="auto"/>
        </w:rPr>
        <w:tab/>
      </w:r>
      <w:hyperlink r:id="rId750">
        <w:r>
          <w:rPr>
            <w:rFonts w:ascii="Calibri" w:cs="Calibri" w:eastAsia="Calibri" w:hAnsi="Calibri"/>
            <w:sz w:val="17"/>
            <w:szCs w:val="17"/>
            <w:u w:val="single" w:color="auto"/>
            <w:color w:val="0000EE"/>
          </w:rPr>
          <w:t>Eastman Kodak Company 2013 Omnibus Incentve Plan Form of Director Restricted Share Award Agreement (Incorporated by reference to</w:t>
        </w:r>
      </w:hyperlink>
      <w:r>
        <w:rPr>
          <w:rFonts w:ascii="Calibri" w:cs="Calibri" w:eastAsia="Calibri" w:hAnsi="Calibri"/>
          <w:sz w:val="17"/>
          <w:szCs w:val="17"/>
          <w:u w:val="single" w:color="auto"/>
          <w:color w:val="0000EE"/>
        </w:rPr>
        <w:t xml:space="preserve"> </w:t>
      </w:r>
      <w:hyperlink r:id="rId750">
        <w:r>
          <w:rPr>
            <w:rFonts w:ascii="Calibri" w:cs="Calibri" w:eastAsia="Calibri" w:hAnsi="Calibri"/>
            <w:sz w:val="17"/>
            <w:szCs w:val="17"/>
            <w:u w:val="single" w:color="auto"/>
            <w:color w:val="0000EE"/>
          </w:rPr>
          <w:t>Exhibit 10.2 of the Company’s Quarterly Report on Form 10-Q for the quarterly period ended June 30, 2021 as fled on August 10, 2021).</w:t>
        </w:r>
      </w:hyperlink>
    </w:p>
    <w:p>
      <w:pPr>
        <w:spacing w:after="0" w:line="229" w:lineRule="exact"/>
        <w:rPr>
          <w:sz w:val="20"/>
          <w:szCs w:val="20"/>
          <w:color w:val="auto"/>
        </w:rPr>
      </w:pPr>
    </w:p>
    <w:p>
      <w:pPr>
        <w:ind w:left="920" w:right="160" w:hanging="890"/>
        <w:spacing w:after="0" w:line="235" w:lineRule="auto"/>
        <w:tabs>
          <w:tab w:leader="none" w:pos="900" w:val="left"/>
        </w:tabs>
        <w:rPr>
          <w:rFonts w:ascii="Calibri" w:cs="Calibri" w:eastAsia="Calibri" w:hAnsi="Calibri"/>
          <w:sz w:val="18"/>
          <w:szCs w:val="18"/>
          <w:u w:val="single" w:color="auto"/>
          <w:color w:val="0000FF"/>
        </w:rPr>
      </w:pPr>
      <w:r>
        <w:rPr>
          <w:rFonts w:ascii="Calibri" w:cs="Calibri" w:eastAsia="Calibri" w:hAnsi="Calibri"/>
          <w:sz w:val="18"/>
          <w:szCs w:val="18"/>
          <w:color w:val="auto"/>
        </w:rPr>
        <w:t>*(10.17)</w:t>
      </w:r>
      <w:r>
        <w:rPr>
          <w:sz w:val="20"/>
          <w:szCs w:val="20"/>
          <w:color w:val="auto"/>
        </w:rPr>
        <w:tab/>
      </w:r>
      <w:hyperlink r:id="rId751">
        <w:r>
          <w:rPr>
            <w:rFonts w:ascii="Calibri" w:cs="Calibri" w:eastAsia="Calibri" w:hAnsi="Calibri"/>
            <w:sz w:val="18"/>
            <w:szCs w:val="18"/>
            <w:u w:val="single" w:color="auto"/>
            <w:color w:val="0000FF"/>
          </w:rPr>
          <w:t>Eastman Kodak Company 2013 Omnibus Incentve Plan Form of Contnenza Performance Stock Unit Award Agreement (Incorporated by</w:t>
        </w:r>
      </w:hyperlink>
      <w:r>
        <w:rPr>
          <w:rFonts w:ascii="Calibri" w:cs="Calibri" w:eastAsia="Calibri" w:hAnsi="Calibri"/>
          <w:sz w:val="18"/>
          <w:szCs w:val="18"/>
          <w:u w:val="single" w:color="auto"/>
          <w:color w:val="0000FF"/>
        </w:rPr>
        <w:t xml:space="preserve"> </w:t>
      </w:r>
      <w:hyperlink r:id="rId751">
        <w:r>
          <w:rPr>
            <w:rFonts w:ascii="Calibri" w:cs="Calibri" w:eastAsia="Calibri" w:hAnsi="Calibri"/>
            <w:sz w:val="18"/>
            <w:szCs w:val="18"/>
            <w:u w:val="single" w:color="auto"/>
            <w:color w:val="0000FF"/>
          </w:rPr>
          <w:t>reference to Exhibit 10.1 of the Company’s Quarterly Report on Form 10-Q for the quarterly period ended March 31, 2024 as fled on May 9,</w:t>
        </w:r>
      </w:hyperlink>
      <w:r>
        <w:rPr>
          <w:rFonts w:ascii="Calibri" w:cs="Calibri" w:eastAsia="Calibri" w:hAnsi="Calibri"/>
          <w:sz w:val="18"/>
          <w:szCs w:val="18"/>
          <w:u w:val="single" w:color="auto"/>
          <w:color w:val="0000FF"/>
        </w:rPr>
        <w:t xml:space="preserve"> </w:t>
      </w:r>
      <w:hyperlink r:id="rId751">
        <w:r>
          <w:rPr>
            <w:rFonts w:ascii="Calibri" w:cs="Calibri" w:eastAsia="Calibri" w:hAnsi="Calibri"/>
            <w:sz w:val="18"/>
            <w:szCs w:val="18"/>
            <w:u w:val="single" w:color="auto"/>
            <w:color w:val="0000FF"/>
          </w:rPr>
          <w:t>2024)</w:t>
        </w:r>
        <w:r>
          <w:rPr>
            <w:rFonts w:ascii="Calibri" w:cs="Calibri" w:eastAsia="Calibri" w:hAnsi="Calibri"/>
            <w:sz w:val="18"/>
            <w:szCs w:val="18"/>
            <w:u w:val="single" w:color="auto"/>
            <w:color w:val="000000"/>
          </w:rPr>
          <w:t>.</w:t>
        </w:r>
      </w:hyperlink>
    </w:p>
    <w:p>
      <w:pPr>
        <w:spacing w:after="0" w:line="246" w:lineRule="exact"/>
        <w:rPr>
          <w:rFonts w:ascii="Calibri" w:cs="Calibri" w:eastAsia="Calibri" w:hAnsi="Calibri"/>
          <w:sz w:val="18"/>
          <w:szCs w:val="18"/>
          <w:u w:val="single" w:color="auto"/>
          <w:color w:val="0000FF"/>
        </w:rPr>
      </w:pPr>
    </w:p>
    <w:p>
      <w:pPr>
        <w:ind w:left="920" w:right="80" w:hanging="890"/>
        <w:spacing w:after="0" w:line="235" w:lineRule="auto"/>
        <w:tabs>
          <w:tab w:leader="none" w:pos="900" w:val="left"/>
        </w:tabs>
        <w:rPr>
          <w:rFonts w:ascii="Calibri" w:cs="Calibri" w:eastAsia="Calibri" w:hAnsi="Calibri"/>
          <w:sz w:val="18"/>
          <w:szCs w:val="18"/>
          <w:u w:val="single" w:color="auto"/>
          <w:color w:val="0000EE"/>
        </w:rPr>
      </w:pPr>
      <w:r>
        <w:rPr>
          <w:rFonts w:ascii="Calibri" w:cs="Calibri" w:eastAsia="Calibri" w:hAnsi="Calibri"/>
          <w:sz w:val="18"/>
          <w:szCs w:val="18"/>
          <w:color w:val="auto"/>
        </w:rPr>
        <w:t>*(10.18)</w:t>
      </w:r>
      <w:r>
        <w:rPr>
          <w:sz w:val="20"/>
          <w:szCs w:val="20"/>
          <w:color w:val="auto"/>
        </w:rPr>
        <w:tab/>
      </w:r>
      <w:hyperlink r:id="rId752">
        <w:r>
          <w:rPr>
            <w:rFonts w:ascii="Calibri" w:cs="Calibri" w:eastAsia="Calibri" w:hAnsi="Calibri"/>
            <w:sz w:val="18"/>
            <w:szCs w:val="18"/>
            <w:u w:val="single" w:color="auto"/>
            <w:color w:val="0000EE"/>
          </w:rPr>
          <w:t>Eastman Kodak Company Deferred Compensaton Plan for Directors dated December 26, 2013. (Incorporated by reference to Exhibit 10.23 of</w:t>
        </w:r>
      </w:hyperlink>
      <w:r>
        <w:rPr>
          <w:rFonts w:ascii="Calibri" w:cs="Calibri" w:eastAsia="Calibri" w:hAnsi="Calibri"/>
          <w:sz w:val="18"/>
          <w:szCs w:val="18"/>
          <w:u w:val="single" w:color="auto"/>
          <w:color w:val="0000EE"/>
        </w:rPr>
        <w:t xml:space="preserve"> </w:t>
      </w:r>
      <w:hyperlink r:id="rId752">
        <w:r>
          <w:rPr>
            <w:rFonts w:ascii="Calibri" w:cs="Calibri" w:eastAsia="Calibri" w:hAnsi="Calibri"/>
            <w:sz w:val="18"/>
            <w:szCs w:val="18"/>
            <w:u w:val="single" w:color="auto"/>
            <w:color w:val="0000EE"/>
          </w:rPr>
          <w:t>the Company’s Annual Report on Form 10-K for the fscal year ended December 31, 2013 as fled on March 19, 2014).</w:t>
        </w:r>
      </w:hyperlink>
    </w:p>
    <w:p>
      <w:pPr>
        <w:spacing w:after="0" w:line="245" w:lineRule="exact"/>
        <w:rPr>
          <w:sz w:val="20"/>
          <w:szCs w:val="20"/>
          <w:color w:val="auto"/>
        </w:rPr>
      </w:pPr>
    </w:p>
    <w:p>
      <w:pPr>
        <w:jc w:val="both"/>
        <w:ind w:left="920" w:right="220" w:hanging="890"/>
        <w:spacing w:after="0" w:line="235" w:lineRule="auto"/>
        <w:tabs>
          <w:tab w:leader="none" w:pos="900" w:val="left"/>
        </w:tabs>
        <w:rPr>
          <w:rFonts w:ascii="Calibri" w:cs="Calibri" w:eastAsia="Calibri" w:hAnsi="Calibri"/>
          <w:sz w:val="18"/>
          <w:szCs w:val="18"/>
          <w:u w:val="single" w:color="auto"/>
          <w:color w:val="0000EE"/>
        </w:rPr>
      </w:pPr>
      <w:r>
        <w:rPr>
          <w:rFonts w:ascii="Calibri" w:cs="Calibri" w:eastAsia="Calibri" w:hAnsi="Calibri"/>
          <w:sz w:val="18"/>
          <w:szCs w:val="18"/>
          <w:color w:val="auto"/>
        </w:rPr>
        <w:t>*(10.19)</w:t>
      </w:r>
      <w:r>
        <w:rPr>
          <w:sz w:val="20"/>
          <w:szCs w:val="20"/>
          <w:color w:val="auto"/>
        </w:rPr>
        <w:tab/>
      </w:r>
      <w:hyperlink r:id="rId753">
        <w:r>
          <w:rPr>
            <w:rFonts w:ascii="Calibri" w:cs="Calibri" w:eastAsia="Calibri" w:hAnsi="Calibri"/>
            <w:sz w:val="18"/>
            <w:szCs w:val="18"/>
            <w:u w:val="single" w:color="auto"/>
            <w:color w:val="0000EE"/>
          </w:rPr>
          <w:t>Eastman Kodak Company Ofcer Severance Policy, efectve as of November 10, 2015 and revised as of February 16, 2023. (Incorporated by</w:t>
        </w:r>
      </w:hyperlink>
      <w:r>
        <w:rPr>
          <w:rFonts w:ascii="Calibri" w:cs="Calibri" w:eastAsia="Calibri" w:hAnsi="Calibri"/>
          <w:sz w:val="18"/>
          <w:szCs w:val="18"/>
          <w:u w:val="single" w:color="auto"/>
          <w:color w:val="0000EE"/>
        </w:rPr>
        <w:t xml:space="preserve"> </w:t>
      </w:r>
      <w:hyperlink r:id="rId753">
        <w:r>
          <w:rPr>
            <w:rFonts w:ascii="Calibri" w:cs="Calibri" w:eastAsia="Calibri" w:hAnsi="Calibri"/>
            <w:sz w:val="18"/>
            <w:szCs w:val="18"/>
            <w:u w:val="single" w:color="auto"/>
            <w:color w:val="0000EE"/>
          </w:rPr>
          <w:t>reference to Exhibit 10.17 of the Company's Annual Report on Form 10-K for the fscal year ended December 31, 2022 as fled on March 16,</w:t>
        </w:r>
      </w:hyperlink>
      <w:r>
        <w:rPr>
          <w:rFonts w:ascii="Calibri" w:cs="Calibri" w:eastAsia="Calibri" w:hAnsi="Calibri"/>
          <w:sz w:val="18"/>
          <w:szCs w:val="18"/>
          <w:u w:val="single" w:color="auto"/>
          <w:color w:val="0000EE"/>
        </w:rPr>
        <w:t xml:space="preserve"> </w:t>
      </w:r>
      <w:hyperlink r:id="rId753">
        <w:r>
          <w:rPr>
            <w:rFonts w:ascii="Calibri" w:cs="Calibri" w:eastAsia="Calibri" w:hAnsi="Calibri"/>
            <w:sz w:val="18"/>
            <w:szCs w:val="18"/>
            <w:u w:val="single" w:color="auto"/>
            <w:color w:val="0000EE"/>
          </w:rPr>
          <w:t>2023).</w:t>
        </w:r>
      </w:hyperlink>
    </w:p>
    <w:p>
      <w:pPr>
        <w:spacing w:after="0" w:line="246" w:lineRule="exact"/>
        <w:rPr>
          <w:rFonts w:ascii="Calibri" w:cs="Calibri" w:eastAsia="Calibri" w:hAnsi="Calibri"/>
          <w:sz w:val="18"/>
          <w:szCs w:val="18"/>
          <w:u w:val="single" w:color="auto"/>
          <w:color w:val="0000EE"/>
        </w:rPr>
      </w:pPr>
    </w:p>
    <w:p>
      <w:pPr>
        <w:ind w:left="920" w:hanging="890"/>
        <w:spacing w:after="0" w:line="235" w:lineRule="auto"/>
        <w:tabs>
          <w:tab w:leader="none" w:pos="900" w:val="left"/>
        </w:tabs>
        <w:rPr>
          <w:rFonts w:ascii="Calibri" w:cs="Calibri" w:eastAsia="Calibri" w:hAnsi="Calibri"/>
          <w:sz w:val="18"/>
          <w:szCs w:val="18"/>
          <w:color w:val="0000FF"/>
        </w:rPr>
      </w:pPr>
      <w:r>
        <w:rPr>
          <w:rFonts w:ascii="Calibri" w:cs="Calibri" w:eastAsia="Calibri" w:hAnsi="Calibri"/>
          <w:sz w:val="18"/>
          <w:szCs w:val="18"/>
          <w:color w:val="auto"/>
        </w:rPr>
        <w:t>*(10.20)</w:t>
      </w:r>
      <w:r>
        <w:rPr>
          <w:sz w:val="20"/>
          <w:szCs w:val="20"/>
          <w:color w:val="auto"/>
        </w:rPr>
        <w:tab/>
      </w:r>
      <w:hyperlink r:id="rId754">
        <w:r>
          <w:rPr>
            <w:rFonts w:ascii="Calibri" w:cs="Calibri" w:eastAsia="Calibri" w:hAnsi="Calibri"/>
            <w:sz w:val="18"/>
            <w:szCs w:val="18"/>
            <w:color w:val="0000FF"/>
          </w:rPr>
          <w:t>Eastman Kodak Company Executve Compensaton for Excellence and Leadership (as amended and restated January 1, 2014). (Incorporated by</w:t>
        </w:r>
      </w:hyperlink>
      <w:r>
        <w:rPr>
          <w:rFonts w:ascii="Calibri" w:cs="Calibri" w:eastAsia="Calibri" w:hAnsi="Calibri"/>
          <w:sz w:val="18"/>
          <w:szCs w:val="18"/>
          <w:color w:val="0000FF"/>
        </w:rPr>
        <w:t xml:space="preserve"> </w:t>
      </w:r>
      <w:hyperlink r:id="rId754">
        <w:r>
          <w:rPr>
            <w:rFonts w:ascii="Calibri" w:cs="Calibri" w:eastAsia="Calibri" w:hAnsi="Calibri"/>
            <w:sz w:val="18"/>
            <w:szCs w:val="18"/>
            <w:color w:val="0000FF"/>
          </w:rPr>
          <w:t>reference to Exhibit 10.2 of the Company’s Quarterly Report on Form 10-Q for the quarterly period ended March 31, 2014 as fled on May 6,</w:t>
        </w:r>
      </w:hyperlink>
      <w:r>
        <w:rPr>
          <w:rFonts w:ascii="Calibri" w:cs="Calibri" w:eastAsia="Calibri" w:hAnsi="Calibri"/>
          <w:sz w:val="18"/>
          <w:szCs w:val="18"/>
          <w:color w:val="0000FF"/>
        </w:rPr>
        <w:t xml:space="preserve"> </w:t>
      </w:r>
      <w:hyperlink r:id="rId754">
        <w:r>
          <w:rPr>
            <w:rFonts w:ascii="Calibri" w:cs="Calibri" w:eastAsia="Calibri" w:hAnsi="Calibri"/>
            <w:sz w:val="18"/>
            <w:szCs w:val="18"/>
            <w:color w:val="0000FF"/>
          </w:rPr>
          <w:t>2014).</w:t>
        </w:r>
      </w:hyperlink>
    </w:p>
    <w:p>
      <w:pPr>
        <w:spacing w:after="0" w:line="246" w:lineRule="exact"/>
        <w:rPr>
          <w:rFonts w:ascii="Calibri" w:cs="Calibri" w:eastAsia="Calibri" w:hAnsi="Calibri"/>
          <w:sz w:val="18"/>
          <w:szCs w:val="18"/>
          <w:color w:val="0000FF"/>
        </w:rPr>
      </w:pPr>
    </w:p>
    <w:p>
      <w:pPr>
        <w:ind w:left="920" w:right="220" w:hanging="890"/>
        <w:spacing w:after="0" w:line="235" w:lineRule="auto"/>
        <w:tabs>
          <w:tab w:leader="none" w:pos="900" w:val="left"/>
        </w:tabs>
        <w:rPr>
          <w:rFonts w:ascii="Calibri" w:cs="Calibri" w:eastAsia="Calibri" w:hAnsi="Calibri"/>
          <w:sz w:val="18"/>
          <w:szCs w:val="18"/>
          <w:color w:val="0000FF"/>
        </w:rPr>
      </w:pPr>
      <w:r>
        <w:rPr>
          <w:rFonts w:ascii="Calibri" w:cs="Calibri" w:eastAsia="Calibri" w:hAnsi="Calibri"/>
          <w:sz w:val="18"/>
          <w:szCs w:val="18"/>
          <w:color w:val="auto"/>
        </w:rPr>
        <w:t>*(10.21)</w:t>
      </w:r>
      <w:r>
        <w:rPr>
          <w:sz w:val="20"/>
          <w:szCs w:val="20"/>
          <w:color w:val="auto"/>
        </w:rPr>
        <w:tab/>
      </w:r>
      <w:hyperlink r:id="rId755">
        <w:r>
          <w:rPr>
            <w:rFonts w:ascii="Calibri" w:cs="Calibri" w:eastAsia="Calibri" w:hAnsi="Calibri"/>
            <w:sz w:val="18"/>
            <w:szCs w:val="18"/>
            <w:color w:val="0000FF"/>
          </w:rPr>
          <w:t>Eastman Kodak Company Sales Executve Compensaton Plan and Form of Notfcaton Leter, (Incorporated by reference to Exhibit 10.19 of</w:t>
        </w:r>
      </w:hyperlink>
      <w:r>
        <w:rPr>
          <w:rFonts w:ascii="Calibri" w:cs="Calibri" w:eastAsia="Calibri" w:hAnsi="Calibri"/>
          <w:sz w:val="18"/>
          <w:szCs w:val="18"/>
          <w:color w:val="0000FF"/>
        </w:rPr>
        <w:t xml:space="preserve"> </w:t>
      </w:r>
      <w:hyperlink r:id="rId755">
        <w:r>
          <w:rPr>
            <w:rFonts w:ascii="Calibri" w:cs="Calibri" w:eastAsia="Calibri" w:hAnsi="Calibri"/>
            <w:sz w:val="18"/>
            <w:szCs w:val="18"/>
            <w:color w:val="0000FF"/>
          </w:rPr>
          <w:t>the Company’s Annual Report on Form 10-K for the year ended December 31, 2023 as fled on March 14, 2024).</w:t>
        </w:r>
      </w:hyperlink>
    </w:p>
    <w:p>
      <w:pPr>
        <w:spacing w:after="0" w:line="245" w:lineRule="exact"/>
        <w:rPr>
          <w:sz w:val="20"/>
          <w:szCs w:val="20"/>
          <w:color w:val="auto"/>
        </w:rPr>
      </w:pPr>
    </w:p>
    <w:p>
      <w:pPr>
        <w:ind w:left="920" w:right="140" w:hanging="890"/>
        <w:spacing w:after="0" w:line="235" w:lineRule="auto"/>
        <w:tabs>
          <w:tab w:leader="none" w:pos="900" w:val="left"/>
        </w:tabs>
        <w:rPr>
          <w:rFonts w:ascii="Calibri" w:cs="Calibri" w:eastAsia="Calibri" w:hAnsi="Calibri"/>
          <w:sz w:val="18"/>
          <w:szCs w:val="18"/>
          <w:color w:val="0000FF"/>
        </w:rPr>
      </w:pPr>
      <w:r>
        <w:rPr>
          <w:rFonts w:ascii="Calibri" w:cs="Calibri" w:eastAsia="Calibri" w:hAnsi="Calibri"/>
          <w:sz w:val="18"/>
          <w:szCs w:val="18"/>
          <w:color w:val="auto"/>
        </w:rPr>
        <w:t>*(10.22)</w:t>
      </w:r>
      <w:r>
        <w:rPr>
          <w:sz w:val="20"/>
          <w:szCs w:val="20"/>
          <w:color w:val="auto"/>
        </w:rPr>
        <w:tab/>
      </w:r>
      <w:hyperlink r:id="rId756">
        <w:r>
          <w:rPr>
            <w:rFonts w:ascii="Calibri" w:cs="Calibri" w:eastAsia="Calibri" w:hAnsi="Calibri"/>
            <w:sz w:val="18"/>
            <w:szCs w:val="18"/>
            <w:color w:val="0000FF"/>
          </w:rPr>
          <w:t>Executve Chairman and CEO Agreement between Eastman Kodak Company and James V. Contnenza, dated November 29, 2023,</w:t>
        </w:r>
      </w:hyperlink>
      <w:r>
        <w:rPr>
          <w:rFonts w:ascii="Calibri" w:cs="Calibri" w:eastAsia="Calibri" w:hAnsi="Calibri"/>
          <w:sz w:val="18"/>
          <w:szCs w:val="18"/>
          <w:color w:val="0000FF"/>
        </w:rPr>
        <w:t xml:space="preserve"> </w:t>
      </w:r>
      <w:hyperlink r:id="rId756">
        <w:r>
          <w:rPr>
            <w:rFonts w:ascii="Calibri" w:cs="Calibri" w:eastAsia="Calibri" w:hAnsi="Calibri"/>
            <w:sz w:val="18"/>
            <w:szCs w:val="18"/>
            <w:color w:val="0000FF"/>
          </w:rPr>
          <w:t>(Incorporated by reference to Exhibit 10.20 of the Company’s Annual Report on Form 10-K for the year ended December 31, 2023 as fled on</w:t>
        </w:r>
      </w:hyperlink>
      <w:r>
        <w:rPr>
          <w:rFonts w:ascii="Calibri" w:cs="Calibri" w:eastAsia="Calibri" w:hAnsi="Calibri"/>
          <w:sz w:val="18"/>
          <w:szCs w:val="18"/>
          <w:color w:val="0000FF"/>
        </w:rPr>
        <w:t xml:space="preserve"> </w:t>
      </w:r>
      <w:hyperlink r:id="rId756">
        <w:r>
          <w:rPr>
            <w:rFonts w:ascii="Calibri" w:cs="Calibri" w:eastAsia="Calibri" w:hAnsi="Calibri"/>
            <w:sz w:val="18"/>
            <w:szCs w:val="18"/>
            <w:color w:val="0000FF"/>
          </w:rPr>
          <w:t>March 14, 2024).</w:t>
        </w:r>
      </w:hyperlink>
    </w:p>
    <w:p>
      <w:pPr>
        <w:spacing w:after="0" w:line="200" w:lineRule="exact"/>
        <w:rPr>
          <w:rFonts w:ascii="Calibri" w:cs="Calibri" w:eastAsia="Calibri" w:hAnsi="Calibri"/>
          <w:sz w:val="18"/>
          <w:szCs w:val="18"/>
          <w:color w:val="0000FF"/>
        </w:rPr>
      </w:pPr>
    </w:p>
    <w:p>
      <w:pPr>
        <w:spacing w:after="0" w:line="230" w:lineRule="exact"/>
        <w:rPr>
          <w:rFonts w:ascii="Calibri" w:cs="Calibri" w:eastAsia="Calibri" w:hAnsi="Calibri"/>
          <w:sz w:val="18"/>
          <w:szCs w:val="18"/>
          <w:color w:val="0000FF"/>
        </w:rPr>
      </w:pPr>
    </w:p>
    <w:p>
      <w:pPr>
        <w:jc w:val="center"/>
        <w:ind w:right="-179"/>
        <w:spacing w:after="0"/>
        <w:rPr>
          <w:sz w:val="20"/>
          <w:szCs w:val="20"/>
          <w:color w:val="auto"/>
        </w:rPr>
      </w:pPr>
      <w:r>
        <w:rPr>
          <w:rFonts w:ascii="Calibri" w:cs="Calibri" w:eastAsia="Calibri" w:hAnsi="Calibri"/>
          <w:sz w:val="18"/>
          <w:szCs w:val="18"/>
          <w:color w:val="auto"/>
        </w:rPr>
        <w:t>122</w:t>
      </w:r>
    </w:p>
    <w:p>
      <w:pPr>
        <w:spacing w:after="0" w:line="20" w:lineRule="exact"/>
        <w:rPr>
          <w:rFonts w:ascii="Calibri" w:cs="Calibri" w:eastAsia="Calibri" w:hAnsi="Calibri"/>
          <w:sz w:val="18"/>
          <w:szCs w:val="18"/>
          <w:color w:val="0000FF"/>
        </w:rPr>
      </w:pPr>
      <w:r>
        <w:rPr>
          <w:rFonts w:ascii="Calibri" w:cs="Calibri" w:eastAsia="Calibri" w:hAnsi="Calibri"/>
          <w:sz w:val="18"/>
          <w:szCs w:val="18"/>
          <w:color w:val="0000FF"/>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2" w:right="499" w:bottom="1440" w:gutter="0" w:footer="0" w:header="0"/>
        </w:sectPr>
      </w:pPr>
    </w:p>
    <w:bookmarkStart w:id="122" w:name="page123"/>
    <w:bookmarkEnd w:id="122"/>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328" w:lineRule="exact"/>
        <w:rPr>
          <w:sz w:val="20"/>
          <w:szCs w:val="20"/>
          <w:color w:val="auto"/>
        </w:rPr>
      </w:pPr>
    </w:p>
    <w:p>
      <w:pPr>
        <w:ind w:left="920" w:right="80" w:hanging="890"/>
        <w:spacing w:after="0" w:line="235" w:lineRule="auto"/>
        <w:tabs>
          <w:tab w:leader="none" w:pos="900" w:val="left"/>
        </w:tabs>
        <w:rPr>
          <w:rFonts w:ascii="Calibri" w:cs="Calibri" w:eastAsia="Calibri" w:hAnsi="Calibri"/>
          <w:sz w:val="18"/>
          <w:szCs w:val="18"/>
          <w:u w:val="single" w:color="auto"/>
          <w:color w:val="0000EE"/>
        </w:rPr>
      </w:pPr>
      <w:r>
        <w:rPr>
          <w:rFonts w:ascii="Calibri" w:cs="Calibri" w:eastAsia="Calibri" w:hAnsi="Calibri"/>
          <w:sz w:val="18"/>
          <w:szCs w:val="18"/>
          <w:color w:val="auto"/>
        </w:rPr>
        <w:t>*(10.23)</w:t>
      </w:r>
      <w:r>
        <w:rPr>
          <w:sz w:val="20"/>
          <w:szCs w:val="20"/>
          <w:color w:val="auto"/>
        </w:rPr>
        <w:tab/>
      </w:r>
      <w:hyperlink r:id="rId758">
        <w:r>
          <w:rPr>
            <w:rFonts w:ascii="Calibri" w:cs="Calibri" w:eastAsia="Calibri" w:hAnsi="Calibri"/>
            <w:sz w:val="18"/>
            <w:szCs w:val="18"/>
            <w:u w:val="single" w:color="auto"/>
            <w:color w:val="0000EE"/>
          </w:rPr>
          <w:t>James V. Contnenza Consolidated Award Agreements, Tranches 1-4, dated February 20, 2019 (Incorporated by reference to Exhibit (10.24) of</w:t>
        </w:r>
      </w:hyperlink>
      <w:r>
        <w:rPr>
          <w:rFonts w:ascii="Calibri" w:cs="Calibri" w:eastAsia="Calibri" w:hAnsi="Calibri"/>
          <w:sz w:val="18"/>
          <w:szCs w:val="18"/>
          <w:u w:val="single" w:color="auto"/>
          <w:color w:val="0000EE"/>
        </w:rPr>
        <w:t xml:space="preserve"> </w:t>
      </w:r>
      <w:hyperlink r:id="rId758">
        <w:r>
          <w:rPr>
            <w:rFonts w:ascii="Calibri" w:cs="Calibri" w:eastAsia="Calibri" w:hAnsi="Calibri"/>
            <w:sz w:val="18"/>
            <w:szCs w:val="18"/>
            <w:u w:val="single" w:color="auto"/>
            <w:color w:val="0000EE"/>
          </w:rPr>
          <w:t>the Company’s Annual Report on Form 10-K for the fscal year ended December 31, 2018 as fled on April 1,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-269240</wp:posOffset>
            </wp:positionV>
            <wp:extent cx="7057390" cy="171640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59">
                      <a:extLst>
                        <a:ext uri="{28A0092B-C50C-407E-A947-70E740481C1C}"/>
                      </a:extLst>
                    </a:blip>
                    <a:srcRect/>
                    <a:stretch>
                      <a:fillRect/>
                    </a:stretch>
                  </pic:blipFill>
                  <pic:spPr bwMode="auto">
                    <a:xfrm>
                      <a:off x="0" y="0"/>
                      <a:ext cx="7057390" cy="1716405"/>
                    </a:xfrm>
                    <a:prstGeom prst="rect">
                      <a:avLst/>
                    </a:prstGeom>
                    <a:noFill/>
                  </pic:spPr>
                </pic:pic>
              </a:graphicData>
            </a:graphic>
          </wp:anchor>
        </w:drawing>
      </w:r>
    </w:p>
    <w:p>
      <w:pPr>
        <w:spacing w:after="0" w:line="225" w:lineRule="exact"/>
        <w:rPr>
          <w:sz w:val="20"/>
          <w:szCs w:val="20"/>
          <w:color w:val="auto"/>
        </w:rPr>
      </w:pPr>
    </w:p>
    <w:p>
      <w:pPr>
        <w:ind w:left="920" w:right="500" w:hanging="890"/>
        <w:spacing w:after="0" w:line="258" w:lineRule="auto"/>
        <w:tabs>
          <w:tab w:leader="none" w:pos="900" w:val="left"/>
        </w:tabs>
        <w:rPr>
          <w:rFonts w:ascii="Calibri" w:cs="Calibri" w:eastAsia="Calibri" w:hAnsi="Calibri"/>
          <w:sz w:val="17"/>
          <w:szCs w:val="17"/>
          <w:u w:val="single" w:color="auto"/>
          <w:color w:val="0000EE"/>
        </w:rPr>
      </w:pPr>
      <w:r>
        <w:rPr>
          <w:rFonts w:ascii="Calibri" w:cs="Calibri" w:eastAsia="Calibri" w:hAnsi="Calibri"/>
          <w:sz w:val="18"/>
          <w:szCs w:val="18"/>
          <w:color w:val="auto"/>
        </w:rPr>
        <w:t>*(10.24)</w:t>
      </w:r>
      <w:r>
        <w:rPr>
          <w:sz w:val="20"/>
          <w:szCs w:val="20"/>
          <w:color w:val="auto"/>
        </w:rPr>
        <w:tab/>
      </w:r>
      <w:hyperlink r:id="rId760">
        <w:r>
          <w:rPr>
            <w:rFonts w:ascii="Calibri" w:cs="Calibri" w:eastAsia="Calibri" w:hAnsi="Calibri"/>
            <w:sz w:val="17"/>
            <w:szCs w:val="17"/>
            <w:u w:val="single" w:color="auto"/>
            <w:color w:val="0000EE"/>
          </w:rPr>
          <w:t>Employment Agreement between Eastman Kodak Company and David E. Bullwinkle, dated June 20, 2016. (Incorporated by reference to</w:t>
        </w:r>
      </w:hyperlink>
      <w:r>
        <w:rPr>
          <w:rFonts w:ascii="Calibri" w:cs="Calibri" w:eastAsia="Calibri" w:hAnsi="Calibri"/>
          <w:sz w:val="17"/>
          <w:szCs w:val="17"/>
          <w:u w:val="single" w:color="auto"/>
          <w:color w:val="0000EE"/>
        </w:rPr>
        <w:t xml:space="preserve"> </w:t>
      </w:r>
      <w:hyperlink r:id="rId760">
        <w:r>
          <w:rPr>
            <w:rFonts w:ascii="Calibri" w:cs="Calibri" w:eastAsia="Calibri" w:hAnsi="Calibri"/>
            <w:sz w:val="17"/>
            <w:szCs w:val="17"/>
            <w:u w:val="single" w:color="auto"/>
            <w:color w:val="0000EE"/>
          </w:rPr>
          <w:t>Exhibit 10.3 of the Company’s Quarterly Report on Form 10-Q for the quarterly period ended June 30, 2016 as fled on August 9, 2016).</w:t>
        </w:r>
      </w:hyperlink>
    </w:p>
    <w:p>
      <w:pPr>
        <w:spacing w:after="0" w:line="229" w:lineRule="exact"/>
        <w:rPr>
          <w:sz w:val="20"/>
          <w:szCs w:val="20"/>
          <w:color w:val="auto"/>
        </w:rPr>
      </w:pPr>
    </w:p>
    <w:p>
      <w:pPr>
        <w:ind w:left="920" w:hanging="890"/>
        <w:spacing w:after="0" w:line="235" w:lineRule="auto"/>
        <w:tabs>
          <w:tab w:leader="none" w:pos="900" w:val="left"/>
        </w:tabs>
        <w:rPr>
          <w:rFonts w:ascii="Calibri" w:cs="Calibri" w:eastAsia="Calibri" w:hAnsi="Calibri"/>
          <w:sz w:val="18"/>
          <w:szCs w:val="18"/>
          <w:u w:val="single" w:color="auto"/>
          <w:color w:val="0000EE"/>
        </w:rPr>
      </w:pPr>
      <w:r>
        <w:rPr>
          <w:rFonts w:ascii="Calibri" w:cs="Calibri" w:eastAsia="Calibri" w:hAnsi="Calibri"/>
          <w:sz w:val="18"/>
          <w:szCs w:val="18"/>
          <w:color w:val="auto"/>
        </w:rPr>
        <w:t>*(10.25)</w:t>
      </w:r>
      <w:r>
        <w:rPr>
          <w:sz w:val="20"/>
          <w:szCs w:val="20"/>
          <w:color w:val="auto"/>
        </w:rPr>
        <w:tab/>
      </w:r>
      <w:hyperlink r:id="rId761">
        <w:r>
          <w:rPr>
            <w:rFonts w:ascii="Calibri" w:cs="Calibri" w:eastAsia="Calibri" w:hAnsi="Calibri"/>
            <w:sz w:val="18"/>
            <w:szCs w:val="18"/>
            <w:u w:val="single" w:color="auto"/>
            <w:color w:val="0000EE"/>
          </w:rPr>
          <w:t>Descripton of David E. Bullwinkle Compensaton Increase. (Incorporated by reference to the descripton in Item 5.02 in the Company’s Current</w:t>
        </w:r>
      </w:hyperlink>
      <w:r>
        <w:rPr>
          <w:rFonts w:ascii="Calibri" w:cs="Calibri" w:eastAsia="Calibri" w:hAnsi="Calibri"/>
          <w:sz w:val="18"/>
          <w:szCs w:val="18"/>
          <w:u w:val="single" w:color="auto"/>
          <w:color w:val="0000EE"/>
        </w:rPr>
        <w:t xml:space="preserve"> </w:t>
      </w:r>
      <w:hyperlink r:id="rId761">
        <w:r>
          <w:rPr>
            <w:rFonts w:ascii="Calibri" w:cs="Calibri" w:eastAsia="Calibri" w:hAnsi="Calibri"/>
            <w:sz w:val="18"/>
            <w:szCs w:val="18"/>
            <w:u w:val="single" w:color="auto"/>
            <w:color w:val="0000EE"/>
          </w:rPr>
          <w:t>Report on Form 8-K as fled on November 30, 2018).</w:t>
        </w:r>
      </w:hyperlink>
    </w:p>
    <w:p>
      <w:pPr>
        <w:spacing w:after="0" w:line="245" w:lineRule="exact"/>
        <w:rPr>
          <w:sz w:val="20"/>
          <w:szCs w:val="20"/>
          <w:color w:val="auto"/>
        </w:rPr>
      </w:pPr>
    </w:p>
    <w:p>
      <w:pPr>
        <w:jc w:val="both"/>
        <w:ind w:left="920" w:right="120" w:hanging="890"/>
        <w:spacing w:after="0" w:line="235" w:lineRule="auto"/>
        <w:tabs>
          <w:tab w:leader="none" w:pos="900" w:val="left"/>
        </w:tabs>
        <w:rPr>
          <w:rFonts w:ascii="Calibri" w:cs="Calibri" w:eastAsia="Calibri" w:hAnsi="Calibri"/>
          <w:sz w:val="18"/>
          <w:szCs w:val="18"/>
          <w:u w:val="single" w:color="auto"/>
          <w:color w:val="0000EE"/>
        </w:rPr>
      </w:pPr>
      <w:r>
        <w:rPr>
          <w:rFonts w:ascii="Calibri" w:cs="Calibri" w:eastAsia="Calibri" w:hAnsi="Calibri"/>
          <w:sz w:val="18"/>
          <w:szCs w:val="18"/>
          <w:color w:val="auto"/>
        </w:rPr>
        <w:t>*(10.26)</w:t>
      </w:r>
      <w:r>
        <w:rPr>
          <w:sz w:val="20"/>
          <w:szCs w:val="20"/>
          <w:color w:val="auto"/>
        </w:rPr>
        <w:tab/>
      </w:r>
      <w:hyperlink r:id="rId762">
        <w:r>
          <w:rPr>
            <w:rFonts w:ascii="Calibri" w:cs="Calibri" w:eastAsia="Calibri" w:hAnsi="Calibri"/>
            <w:sz w:val="18"/>
            <w:szCs w:val="18"/>
            <w:u w:val="single" w:color="auto"/>
            <w:color w:val="0000EE"/>
          </w:rPr>
          <w:t>Leter Agreement Regarding Special Severance Plan dated May 31, 2018 between Eastman Kodak Company and Roger W. Byrd, Incorporated</w:t>
        </w:r>
      </w:hyperlink>
      <w:r>
        <w:rPr>
          <w:rFonts w:ascii="Calibri" w:cs="Calibri" w:eastAsia="Calibri" w:hAnsi="Calibri"/>
          <w:sz w:val="18"/>
          <w:szCs w:val="18"/>
          <w:u w:val="single" w:color="auto"/>
          <w:color w:val="0000EE"/>
        </w:rPr>
        <w:t xml:space="preserve"> </w:t>
      </w:r>
      <w:hyperlink r:id="rId762">
        <w:r>
          <w:rPr>
            <w:rFonts w:ascii="Calibri" w:cs="Calibri" w:eastAsia="Calibri" w:hAnsi="Calibri"/>
            <w:sz w:val="18"/>
            <w:szCs w:val="18"/>
            <w:u w:val="single" w:color="auto"/>
            <w:color w:val="0000EE"/>
          </w:rPr>
          <w:t>by reference to Exhibit (10.31) of the Company’s Annual Report on Form 10-K for the fscal year ended December 31, 2019 as fled on March</w:t>
        </w:r>
      </w:hyperlink>
      <w:r>
        <w:rPr>
          <w:rFonts w:ascii="Calibri" w:cs="Calibri" w:eastAsia="Calibri" w:hAnsi="Calibri"/>
          <w:sz w:val="18"/>
          <w:szCs w:val="18"/>
          <w:u w:val="single" w:color="auto"/>
          <w:color w:val="0000EE"/>
        </w:rPr>
        <w:t xml:space="preserve"> </w:t>
      </w:r>
      <w:hyperlink r:id="rId762">
        <w:r>
          <w:rPr>
            <w:rFonts w:ascii="Calibri" w:cs="Calibri" w:eastAsia="Calibri" w:hAnsi="Calibri"/>
            <w:sz w:val="18"/>
            <w:szCs w:val="18"/>
            <w:u w:val="single" w:color="auto"/>
            <w:color w:val="0000EE"/>
          </w:rPr>
          <w:t>17, 2020).</w:t>
        </w:r>
      </w:hyperlink>
    </w:p>
    <w:p>
      <w:pPr>
        <w:spacing w:after="0" w:line="246" w:lineRule="exact"/>
        <w:rPr>
          <w:rFonts w:ascii="Calibri" w:cs="Calibri" w:eastAsia="Calibri" w:hAnsi="Calibri"/>
          <w:sz w:val="18"/>
          <w:szCs w:val="18"/>
          <w:u w:val="single" w:color="auto"/>
          <w:color w:val="0000EE"/>
        </w:rPr>
      </w:pPr>
    </w:p>
    <w:p>
      <w:pPr>
        <w:ind w:left="920" w:right="160" w:hanging="890"/>
        <w:spacing w:after="0" w:line="254" w:lineRule="auto"/>
        <w:tabs>
          <w:tab w:leader="none" w:pos="900" w:val="left"/>
        </w:tabs>
        <w:rPr>
          <w:rFonts w:ascii="Calibri" w:cs="Calibri" w:eastAsia="Calibri" w:hAnsi="Calibri"/>
          <w:sz w:val="17"/>
          <w:szCs w:val="17"/>
          <w:u w:val="single" w:color="auto"/>
          <w:color w:val="0000EE"/>
        </w:rPr>
      </w:pPr>
      <w:r>
        <w:rPr>
          <w:rFonts w:ascii="Calibri" w:cs="Calibri" w:eastAsia="Calibri" w:hAnsi="Calibri"/>
          <w:sz w:val="18"/>
          <w:szCs w:val="18"/>
          <w:color w:val="auto"/>
        </w:rPr>
        <w:t>(10.27)</w:t>
      </w:r>
      <w:r>
        <w:rPr>
          <w:sz w:val="20"/>
          <w:szCs w:val="20"/>
          <w:color w:val="auto"/>
        </w:rPr>
        <w:tab/>
      </w:r>
      <w:hyperlink r:id="rId763">
        <w:r>
          <w:rPr>
            <w:rFonts w:ascii="Calibri" w:cs="Calibri" w:eastAsia="Calibri" w:hAnsi="Calibri"/>
            <w:sz w:val="17"/>
            <w:szCs w:val="17"/>
            <w:u w:val="single" w:color="auto"/>
            <w:color w:val="0000EE"/>
          </w:rPr>
          <w:t>Amendment No. 2 to Leter of Credit Facility Agreement, dated as of June 30, 2023, by and among the Company, the Subsidiary Guarantors</w:t>
        </w:r>
      </w:hyperlink>
      <w:r>
        <w:rPr>
          <w:rFonts w:ascii="Calibri" w:cs="Calibri" w:eastAsia="Calibri" w:hAnsi="Calibri"/>
          <w:sz w:val="17"/>
          <w:szCs w:val="17"/>
          <w:u w:val="single" w:color="auto"/>
          <w:color w:val="0000EE"/>
        </w:rPr>
        <w:t xml:space="preserve"> </w:t>
      </w:r>
      <w:hyperlink r:id="rId763">
        <w:r>
          <w:rPr>
            <w:rFonts w:ascii="Calibri" w:cs="Calibri" w:eastAsia="Calibri" w:hAnsi="Calibri"/>
            <w:sz w:val="17"/>
            <w:szCs w:val="17"/>
            <w:u w:val="single" w:color="auto"/>
            <w:color w:val="0000EE"/>
          </w:rPr>
          <w:t>named therein and Bank of America, N.A., as Agent, Lender and Issuing Bank, including as an exhibit the Amended and Restated Leter of</w:t>
        </w:r>
      </w:hyperlink>
      <w:r>
        <w:rPr>
          <w:rFonts w:ascii="Calibri" w:cs="Calibri" w:eastAsia="Calibri" w:hAnsi="Calibri"/>
          <w:sz w:val="17"/>
          <w:szCs w:val="17"/>
          <w:u w:val="single" w:color="auto"/>
          <w:color w:val="0000EE"/>
        </w:rPr>
        <w:t xml:space="preserve"> </w:t>
      </w:r>
      <w:hyperlink r:id="rId763">
        <w:r>
          <w:rPr>
            <w:rFonts w:ascii="Calibri" w:cs="Calibri" w:eastAsia="Calibri" w:hAnsi="Calibri"/>
            <w:sz w:val="17"/>
            <w:szCs w:val="17"/>
            <w:u w:val="single" w:color="auto"/>
            <w:color w:val="0000EE"/>
          </w:rPr>
          <w:t>Credit Facility Agreement (Incorporated by reference to Exhibit (10.2) of the Company’s Current Report on Form 8-K as fled on July 7, 2023).</w:t>
        </w:r>
      </w:hyperlink>
    </w:p>
    <w:p>
      <w:pPr>
        <w:spacing w:after="0" w:line="20" w:lineRule="exact"/>
        <w:rPr>
          <w:rFonts w:ascii="Calibri" w:cs="Calibri" w:eastAsia="Calibri" w:hAnsi="Calibri"/>
          <w:sz w:val="17"/>
          <w:szCs w:val="17"/>
          <w:u w:val="single" w:color="auto"/>
          <w:color w:val="0000EE"/>
        </w:rPr>
      </w:pPr>
      <w:r>
        <w:rPr>
          <w:rFonts w:ascii="Calibri" w:cs="Calibri" w:eastAsia="Calibri" w:hAnsi="Calibri"/>
          <w:sz w:val="17"/>
          <w:szCs w:val="17"/>
          <w:u w:val="single" w:color="auto"/>
          <w:color w:val="0000EE"/>
        </w:rPr>
        <w:drawing>
          <wp:anchor simplePos="0" relativeHeight="251657728" behindDoc="1" locked="0" layoutInCell="0" allowOverlap="1">
            <wp:simplePos x="0" y="0"/>
            <wp:positionH relativeFrom="column">
              <wp:posOffset>3175</wp:posOffset>
            </wp:positionH>
            <wp:positionV relativeFrom="paragraph">
              <wp:posOffset>-414020</wp:posOffset>
            </wp:positionV>
            <wp:extent cx="7057390" cy="496570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64">
                      <a:extLst>
                        <a:ext uri="{28A0092B-C50C-407E-A947-70E740481C1C}"/>
                      </a:extLst>
                    </a:blip>
                    <a:srcRect/>
                    <a:stretch>
                      <a:fillRect/>
                    </a:stretch>
                  </pic:blipFill>
                  <pic:spPr bwMode="auto">
                    <a:xfrm>
                      <a:off x="0" y="0"/>
                      <a:ext cx="7057390" cy="4965700"/>
                    </a:xfrm>
                    <a:prstGeom prst="rect">
                      <a:avLst/>
                    </a:prstGeom>
                    <a:noFill/>
                  </pic:spPr>
                </pic:pic>
              </a:graphicData>
            </a:graphic>
          </wp:anchor>
        </w:drawing>
      </w:r>
    </w:p>
    <w:p>
      <w:pPr>
        <w:spacing w:after="0" w:line="212" w:lineRule="exact"/>
        <w:rPr>
          <w:rFonts w:ascii="Calibri" w:cs="Calibri" w:eastAsia="Calibri" w:hAnsi="Calibri"/>
          <w:sz w:val="17"/>
          <w:szCs w:val="17"/>
          <w:u w:val="single" w:color="auto"/>
          <w:color w:val="0000EE"/>
        </w:rPr>
      </w:pPr>
    </w:p>
    <w:p>
      <w:pPr>
        <w:ind w:left="920" w:right="780" w:hanging="890"/>
        <w:spacing w:after="0" w:line="235" w:lineRule="auto"/>
        <w:tabs>
          <w:tab w:leader="none" w:pos="900" w:val="left"/>
        </w:tabs>
        <w:rPr>
          <w:sz w:val="20"/>
          <w:szCs w:val="20"/>
          <w:color w:val="auto"/>
        </w:rPr>
      </w:pPr>
      <w:r>
        <w:rPr>
          <w:rFonts w:ascii="Calibri" w:cs="Calibri" w:eastAsia="Calibri" w:hAnsi="Calibri"/>
          <w:sz w:val="18"/>
          <w:szCs w:val="18"/>
          <w:color w:val="auto"/>
        </w:rPr>
        <w:t>(10.28)</w:t>
      </w:r>
      <w:r>
        <w:rPr>
          <w:sz w:val="20"/>
          <w:szCs w:val="20"/>
          <w:color w:val="auto"/>
        </w:rPr>
        <w:tab/>
      </w:r>
      <w:r>
        <w:rPr>
          <w:rFonts w:ascii="Calibri" w:cs="Calibri" w:eastAsia="Calibri" w:hAnsi="Calibri"/>
          <w:sz w:val="18"/>
          <w:szCs w:val="18"/>
          <w:color w:val="0000FF"/>
        </w:rPr>
        <w:t>Amendment No. 3 to Leter of Credit Facility Agreement, dated as of February 26, 2025, by and among the Company, the Subsidiary Guarantors named therein and Bank of America, N.A., as Agent, Lender and Issuing Bank, fled herewith.</w:t>
      </w:r>
    </w:p>
    <w:p>
      <w:pPr>
        <w:spacing w:after="0" w:line="245" w:lineRule="exact"/>
        <w:rPr>
          <w:rFonts w:ascii="Calibri" w:cs="Calibri" w:eastAsia="Calibri" w:hAnsi="Calibri"/>
          <w:sz w:val="17"/>
          <w:szCs w:val="17"/>
          <w:u w:val="single" w:color="auto"/>
          <w:color w:val="0000EE"/>
        </w:rPr>
      </w:pPr>
    </w:p>
    <w:p>
      <w:pPr>
        <w:ind w:left="920" w:right="340" w:hanging="890"/>
        <w:spacing w:after="0" w:line="235" w:lineRule="auto"/>
        <w:tabs>
          <w:tab w:leader="none" w:pos="900" w:val="left"/>
        </w:tabs>
        <w:rPr>
          <w:rFonts w:ascii="Calibri" w:cs="Calibri" w:eastAsia="Calibri" w:hAnsi="Calibri"/>
          <w:sz w:val="18"/>
          <w:szCs w:val="18"/>
          <w:u w:val="single" w:color="auto"/>
          <w:color w:val="0000EE"/>
        </w:rPr>
      </w:pPr>
      <w:r>
        <w:rPr>
          <w:rFonts w:ascii="Calibri" w:cs="Calibri" w:eastAsia="Calibri" w:hAnsi="Calibri"/>
          <w:sz w:val="18"/>
          <w:szCs w:val="18"/>
          <w:color w:val="auto"/>
        </w:rPr>
        <w:t>(10.29)</w:t>
      </w:r>
      <w:r>
        <w:rPr>
          <w:sz w:val="20"/>
          <w:szCs w:val="20"/>
          <w:color w:val="auto"/>
        </w:rPr>
        <w:tab/>
      </w:r>
      <w:hyperlink r:id="rId765">
        <w:r>
          <w:rPr>
            <w:rFonts w:ascii="Calibri" w:cs="Calibri" w:eastAsia="Calibri" w:hAnsi="Calibri"/>
            <w:sz w:val="18"/>
            <w:szCs w:val="18"/>
            <w:u w:val="single" w:color="auto"/>
            <w:color w:val="0000EE"/>
          </w:rPr>
          <w:t>Security Agreement, dated February 26, 2021, from the Grantors referred to therein, as Grantors, to Bank of America, N.A., as Agent</w:t>
        </w:r>
      </w:hyperlink>
      <w:r>
        <w:rPr>
          <w:rFonts w:ascii="Calibri" w:cs="Calibri" w:eastAsia="Calibri" w:hAnsi="Calibri"/>
          <w:sz w:val="18"/>
          <w:szCs w:val="18"/>
          <w:u w:val="single" w:color="auto"/>
          <w:color w:val="0000EE"/>
        </w:rPr>
        <w:t xml:space="preserve"> </w:t>
      </w:r>
      <w:hyperlink r:id="rId765">
        <w:r>
          <w:rPr>
            <w:rFonts w:ascii="Calibri" w:cs="Calibri" w:eastAsia="Calibri" w:hAnsi="Calibri"/>
            <w:sz w:val="18"/>
            <w:szCs w:val="18"/>
            <w:u w:val="single" w:color="auto"/>
            <w:color w:val="0000EE"/>
          </w:rPr>
          <w:t>(Incorporated by reference to Exhibit 10.26 of the Company’s Annual Report on Form 10-K for the fscal year ended December 31, 2020 as</w:t>
        </w:r>
      </w:hyperlink>
      <w:r>
        <w:rPr>
          <w:rFonts w:ascii="Calibri" w:cs="Calibri" w:eastAsia="Calibri" w:hAnsi="Calibri"/>
          <w:sz w:val="18"/>
          <w:szCs w:val="18"/>
          <w:u w:val="single" w:color="auto"/>
          <w:color w:val="0000EE"/>
        </w:rPr>
        <w:t xml:space="preserve"> </w:t>
      </w:r>
      <w:hyperlink r:id="rId765">
        <w:r>
          <w:rPr>
            <w:rFonts w:ascii="Calibri" w:cs="Calibri" w:eastAsia="Calibri" w:hAnsi="Calibri"/>
            <w:sz w:val="18"/>
            <w:szCs w:val="18"/>
            <w:u w:val="single" w:color="auto"/>
            <w:color w:val="0000EE"/>
          </w:rPr>
          <w:t>fled on March 16, 2021).</w:t>
        </w:r>
      </w:hyperlink>
    </w:p>
    <w:p>
      <w:pPr>
        <w:spacing w:after="0" w:line="246" w:lineRule="exact"/>
        <w:rPr>
          <w:rFonts w:ascii="Calibri" w:cs="Calibri" w:eastAsia="Calibri" w:hAnsi="Calibri"/>
          <w:sz w:val="18"/>
          <w:szCs w:val="18"/>
          <w:u w:val="single" w:color="auto"/>
          <w:color w:val="0000EE"/>
        </w:rPr>
      </w:pPr>
    </w:p>
    <w:p>
      <w:pPr>
        <w:ind w:left="920" w:right="60" w:hanging="890"/>
        <w:spacing w:after="0" w:line="235" w:lineRule="auto"/>
        <w:tabs>
          <w:tab w:leader="none" w:pos="900" w:val="left"/>
        </w:tabs>
        <w:rPr>
          <w:rFonts w:ascii="Calibri" w:cs="Calibri" w:eastAsia="Calibri" w:hAnsi="Calibri"/>
          <w:sz w:val="18"/>
          <w:szCs w:val="18"/>
          <w:u w:val="single" w:color="auto"/>
          <w:color w:val="0000EE"/>
        </w:rPr>
      </w:pPr>
      <w:r>
        <w:rPr>
          <w:rFonts w:ascii="Calibri" w:cs="Calibri" w:eastAsia="Calibri" w:hAnsi="Calibri"/>
          <w:sz w:val="18"/>
          <w:szCs w:val="18"/>
          <w:color w:val="auto"/>
        </w:rPr>
        <w:t>(10.30)</w:t>
      </w:r>
      <w:r>
        <w:rPr>
          <w:sz w:val="20"/>
          <w:szCs w:val="20"/>
          <w:color w:val="auto"/>
        </w:rPr>
        <w:tab/>
      </w:r>
      <w:hyperlink r:id="rId766">
        <w:r>
          <w:rPr>
            <w:rFonts w:ascii="Calibri" w:cs="Calibri" w:eastAsia="Calibri" w:hAnsi="Calibri"/>
            <w:sz w:val="18"/>
            <w:szCs w:val="18"/>
            <w:u w:val="single" w:color="auto"/>
            <w:color w:val="0000EE"/>
          </w:rPr>
          <w:t>First Amendment to Credit Agreement, dated as of June 30, 2023, by and among the Company, the Subsidiary Guarantors named therein, the</w:t>
        </w:r>
      </w:hyperlink>
      <w:r>
        <w:rPr>
          <w:rFonts w:ascii="Calibri" w:cs="Calibri" w:eastAsia="Calibri" w:hAnsi="Calibri"/>
          <w:sz w:val="18"/>
          <w:szCs w:val="18"/>
          <w:u w:val="single" w:color="auto"/>
          <w:color w:val="0000EE"/>
        </w:rPr>
        <w:t xml:space="preserve"> </w:t>
      </w:r>
      <w:hyperlink r:id="rId766">
        <w:r>
          <w:rPr>
            <w:rFonts w:ascii="Calibri" w:cs="Calibri" w:eastAsia="Calibri" w:hAnsi="Calibri"/>
            <w:sz w:val="18"/>
            <w:szCs w:val="18"/>
            <w:u w:val="single" w:color="auto"/>
            <w:color w:val="0000EE"/>
          </w:rPr>
          <w:t>Lenders named therein and Alter Domus (US), LLC, as Administratve Agent, including as exhibits the Amended and Restated Term Loan Credit</w:t>
        </w:r>
      </w:hyperlink>
      <w:r>
        <w:rPr>
          <w:rFonts w:ascii="Calibri" w:cs="Calibri" w:eastAsia="Calibri" w:hAnsi="Calibri"/>
          <w:sz w:val="18"/>
          <w:szCs w:val="18"/>
          <w:u w:val="single" w:color="auto"/>
          <w:color w:val="0000EE"/>
        </w:rPr>
        <w:t xml:space="preserve"> </w:t>
      </w:r>
      <w:hyperlink r:id="rId766">
        <w:r>
          <w:rPr>
            <w:rFonts w:ascii="Calibri" w:cs="Calibri" w:eastAsia="Calibri" w:hAnsi="Calibri"/>
            <w:sz w:val="18"/>
            <w:szCs w:val="18"/>
            <w:u w:val="single" w:color="auto"/>
            <w:color w:val="0000EE"/>
          </w:rPr>
          <w:t>Agreement and Guarantee and Collateral Agreement, as amended (Incorporated by reference to Exhibit (10.1) of the Company’s Current</w:t>
        </w:r>
      </w:hyperlink>
      <w:r>
        <w:rPr>
          <w:rFonts w:ascii="Calibri" w:cs="Calibri" w:eastAsia="Calibri" w:hAnsi="Calibri"/>
          <w:sz w:val="18"/>
          <w:szCs w:val="18"/>
          <w:u w:val="single" w:color="auto"/>
          <w:color w:val="0000EE"/>
        </w:rPr>
        <w:t xml:space="preserve"> </w:t>
      </w:r>
      <w:hyperlink r:id="rId766">
        <w:r>
          <w:rPr>
            <w:rFonts w:ascii="Calibri" w:cs="Calibri" w:eastAsia="Calibri" w:hAnsi="Calibri"/>
            <w:sz w:val="18"/>
            <w:szCs w:val="18"/>
            <w:u w:val="single" w:color="auto"/>
            <w:color w:val="0000EE"/>
          </w:rPr>
          <w:t>Report on Form 8-K as fled on July 7, 2023).</w:t>
        </w:r>
      </w:hyperlink>
    </w:p>
    <w:p>
      <w:pPr>
        <w:spacing w:after="0" w:line="246" w:lineRule="exact"/>
        <w:rPr>
          <w:rFonts w:ascii="Calibri" w:cs="Calibri" w:eastAsia="Calibri" w:hAnsi="Calibri"/>
          <w:sz w:val="18"/>
          <w:szCs w:val="18"/>
          <w:u w:val="single" w:color="auto"/>
          <w:color w:val="0000EE"/>
        </w:rPr>
      </w:pPr>
    </w:p>
    <w:p>
      <w:pPr>
        <w:ind w:left="920" w:right="280" w:hanging="890"/>
        <w:spacing w:after="0" w:line="235" w:lineRule="auto"/>
        <w:tabs>
          <w:tab w:leader="none" w:pos="900" w:val="left"/>
        </w:tabs>
        <w:rPr>
          <w:sz w:val="20"/>
          <w:szCs w:val="20"/>
          <w:color w:val="auto"/>
        </w:rPr>
      </w:pPr>
      <w:r>
        <w:rPr>
          <w:rFonts w:ascii="Calibri" w:cs="Calibri" w:eastAsia="Calibri" w:hAnsi="Calibri"/>
          <w:sz w:val="18"/>
          <w:szCs w:val="18"/>
          <w:color w:val="auto"/>
        </w:rPr>
        <w:t>(10.31)</w:t>
      </w:r>
      <w:r>
        <w:rPr>
          <w:sz w:val="20"/>
          <w:szCs w:val="20"/>
          <w:color w:val="auto"/>
        </w:rPr>
        <w:tab/>
      </w:r>
      <w:r>
        <w:rPr>
          <w:rFonts w:ascii="Calibri" w:cs="Calibri" w:eastAsia="Calibri" w:hAnsi="Calibri"/>
          <w:sz w:val="18"/>
          <w:szCs w:val="18"/>
          <w:u w:val="single" w:color="auto"/>
          <w:color w:val="0000FF"/>
        </w:rPr>
        <w:t>First Amendment to Amended and Restated Credit Agreement, dated as of February 26, 2025, by and among the Company, the other Loan Partes named therein, the Lenders named therein and Alter Domus (US), LLC, as Administratve Agent, fled herewith.</w:t>
      </w:r>
    </w:p>
    <w:p>
      <w:pPr>
        <w:spacing w:after="0" w:line="245" w:lineRule="exact"/>
        <w:rPr>
          <w:rFonts w:ascii="Calibri" w:cs="Calibri" w:eastAsia="Calibri" w:hAnsi="Calibri"/>
          <w:sz w:val="18"/>
          <w:szCs w:val="18"/>
          <w:u w:val="single" w:color="auto"/>
          <w:color w:val="0000EE"/>
        </w:rPr>
      </w:pPr>
    </w:p>
    <w:p>
      <w:pPr>
        <w:ind w:left="920" w:right="60" w:hanging="890"/>
        <w:spacing w:after="0" w:line="235" w:lineRule="auto"/>
        <w:tabs>
          <w:tab w:leader="none" w:pos="900" w:val="left"/>
        </w:tabs>
        <w:rPr>
          <w:rFonts w:ascii="Calibri" w:cs="Calibri" w:eastAsia="Calibri" w:hAnsi="Calibri"/>
          <w:sz w:val="18"/>
          <w:szCs w:val="18"/>
          <w:u w:val="single" w:color="auto"/>
          <w:color w:val="0000EE"/>
        </w:rPr>
      </w:pPr>
      <w:r>
        <w:rPr>
          <w:rFonts w:ascii="Calibri" w:cs="Calibri" w:eastAsia="Calibri" w:hAnsi="Calibri"/>
          <w:sz w:val="18"/>
          <w:szCs w:val="18"/>
          <w:color w:val="auto"/>
        </w:rPr>
        <w:t>(10.32)</w:t>
      </w:r>
      <w:r>
        <w:rPr>
          <w:sz w:val="20"/>
          <w:szCs w:val="20"/>
          <w:color w:val="auto"/>
        </w:rPr>
        <w:tab/>
      </w:r>
      <w:hyperlink r:id="rId767">
        <w:r>
          <w:rPr>
            <w:rFonts w:ascii="Calibri" w:cs="Calibri" w:eastAsia="Calibri" w:hAnsi="Calibri"/>
            <w:sz w:val="18"/>
            <w:szCs w:val="18"/>
            <w:u w:val="single" w:color="auto"/>
            <w:color w:val="0000EE"/>
          </w:rPr>
          <w:t>Series A Preferred Stock Purchase Agreement, dated as of November 7, 2016, by and among Eastman Kodak Company, Southeastern Asset</w:t>
        </w:r>
      </w:hyperlink>
      <w:r>
        <w:rPr>
          <w:rFonts w:ascii="Calibri" w:cs="Calibri" w:eastAsia="Calibri" w:hAnsi="Calibri"/>
          <w:sz w:val="18"/>
          <w:szCs w:val="18"/>
          <w:u w:val="single" w:color="auto"/>
          <w:color w:val="0000EE"/>
        </w:rPr>
        <w:t xml:space="preserve"> </w:t>
      </w:r>
      <w:hyperlink r:id="rId767">
        <w:r>
          <w:rPr>
            <w:rFonts w:ascii="Calibri" w:cs="Calibri" w:eastAsia="Calibri" w:hAnsi="Calibri"/>
            <w:sz w:val="18"/>
            <w:szCs w:val="18"/>
            <w:u w:val="single" w:color="auto"/>
            <w:color w:val="0000EE"/>
          </w:rPr>
          <w:t>Management, Inc., Longleaf Partners Small-Cap Fund, C2W Partners Master Fund Limited and Deseret Mutual Pension Trust. (Incorporated by</w:t>
        </w:r>
      </w:hyperlink>
      <w:r>
        <w:rPr>
          <w:rFonts w:ascii="Calibri" w:cs="Calibri" w:eastAsia="Calibri" w:hAnsi="Calibri"/>
          <w:sz w:val="18"/>
          <w:szCs w:val="18"/>
          <w:u w:val="single" w:color="auto"/>
          <w:color w:val="0000EE"/>
        </w:rPr>
        <w:t xml:space="preserve"> </w:t>
      </w:r>
      <w:hyperlink r:id="rId767">
        <w:r>
          <w:rPr>
            <w:rFonts w:ascii="Calibri" w:cs="Calibri" w:eastAsia="Calibri" w:hAnsi="Calibri"/>
            <w:sz w:val="18"/>
            <w:szCs w:val="18"/>
            <w:u w:val="single" w:color="auto"/>
            <w:color w:val="0000EE"/>
          </w:rPr>
          <w:t>reference to Exhibit 10.1 of the Company’s Current Report on Form 8-K as fled on November 7, 2016).</w:t>
        </w:r>
      </w:hyperlink>
    </w:p>
    <w:p>
      <w:pPr>
        <w:spacing w:after="0" w:line="246" w:lineRule="exact"/>
        <w:rPr>
          <w:rFonts w:ascii="Calibri" w:cs="Calibri" w:eastAsia="Calibri" w:hAnsi="Calibri"/>
          <w:sz w:val="18"/>
          <w:szCs w:val="18"/>
          <w:u w:val="single" w:color="auto"/>
          <w:color w:val="0000EE"/>
        </w:rPr>
      </w:pPr>
    </w:p>
    <w:p>
      <w:pPr>
        <w:ind w:left="920" w:right="180" w:hanging="890"/>
        <w:spacing w:after="0" w:line="235" w:lineRule="auto"/>
        <w:tabs>
          <w:tab w:leader="none" w:pos="900" w:val="left"/>
        </w:tabs>
        <w:rPr>
          <w:rFonts w:ascii="Calibri" w:cs="Calibri" w:eastAsia="Calibri" w:hAnsi="Calibri"/>
          <w:sz w:val="18"/>
          <w:szCs w:val="18"/>
          <w:u w:val="single" w:color="auto"/>
          <w:color w:val="0000EE"/>
        </w:rPr>
      </w:pPr>
      <w:r>
        <w:rPr>
          <w:rFonts w:ascii="Calibri" w:cs="Calibri" w:eastAsia="Calibri" w:hAnsi="Calibri"/>
          <w:sz w:val="18"/>
          <w:szCs w:val="18"/>
          <w:color w:val="auto"/>
        </w:rPr>
        <w:t>(10.33)</w:t>
      </w:r>
      <w:r>
        <w:rPr>
          <w:sz w:val="20"/>
          <w:szCs w:val="20"/>
          <w:color w:val="auto"/>
        </w:rPr>
        <w:tab/>
      </w:r>
      <w:hyperlink r:id="rId768">
        <w:r>
          <w:rPr>
            <w:rFonts w:ascii="Calibri" w:cs="Calibri" w:eastAsia="Calibri" w:hAnsi="Calibri"/>
            <w:sz w:val="18"/>
            <w:szCs w:val="18"/>
            <w:u w:val="single" w:color="auto"/>
            <w:color w:val="0000EE"/>
          </w:rPr>
          <w:t>Amendment Number One to Series A Preferred Stock Purchase Agreement, dated as of December 24, 2020, by and among Eastman Kodak</w:t>
        </w:r>
      </w:hyperlink>
      <w:r>
        <w:rPr>
          <w:rFonts w:ascii="Calibri" w:cs="Calibri" w:eastAsia="Calibri" w:hAnsi="Calibri"/>
          <w:sz w:val="18"/>
          <w:szCs w:val="18"/>
          <w:u w:val="single" w:color="auto"/>
          <w:color w:val="0000EE"/>
        </w:rPr>
        <w:t xml:space="preserve"> </w:t>
      </w:r>
      <w:hyperlink r:id="rId768">
        <w:r>
          <w:rPr>
            <w:rFonts w:ascii="Calibri" w:cs="Calibri" w:eastAsia="Calibri" w:hAnsi="Calibri"/>
            <w:sz w:val="18"/>
            <w:szCs w:val="18"/>
            <w:u w:val="single" w:color="auto"/>
            <w:color w:val="0000EE"/>
          </w:rPr>
          <w:t>Company, Southeastern Asset Management, Inc., Longleaf Partners Small-Cap Fund, C2W Partners Master Fund Limited and Deseret Mutual</w:t>
        </w:r>
      </w:hyperlink>
      <w:r>
        <w:rPr>
          <w:rFonts w:ascii="Calibri" w:cs="Calibri" w:eastAsia="Calibri" w:hAnsi="Calibri"/>
          <w:sz w:val="18"/>
          <w:szCs w:val="18"/>
          <w:u w:val="single" w:color="auto"/>
          <w:color w:val="0000EE"/>
        </w:rPr>
        <w:t xml:space="preserve"> </w:t>
      </w:r>
      <w:hyperlink r:id="rId768">
        <w:r>
          <w:rPr>
            <w:rFonts w:ascii="Calibri" w:cs="Calibri" w:eastAsia="Calibri" w:hAnsi="Calibri"/>
            <w:sz w:val="18"/>
            <w:szCs w:val="18"/>
            <w:u w:val="single" w:color="auto"/>
            <w:color w:val="0000EE"/>
          </w:rPr>
          <w:t>Pension Trust (Incorporated by reference to Exhibit 10.32 of the Company’s Annual Report on Form 10-K for the fscal year ended December</w:t>
        </w:r>
      </w:hyperlink>
      <w:r>
        <w:rPr>
          <w:rFonts w:ascii="Calibri" w:cs="Calibri" w:eastAsia="Calibri" w:hAnsi="Calibri"/>
          <w:sz w:val="18"/>
          <w:szCs w:val="18"/>
          <w:u w:val="single" w:color="auto"/>
          <w:color w:val="0000EE"/>
        </w:rPr>
        <w:t xml:space="preserve"> </w:t>
      </w:r>
      <w:hyperlink r:id="rId768">
        <w:r>
          <w:rPr>
            <w:rFonts w:ascii="Calibri" w:cs="Calibri" w:eastAsia="Calibri" w:hAnsi="Calibri"/>
            <w:sz w:val="18"/>
            <w:szCs w:val="18"/>
            <w:u w:val="single" w:color="auto"/>
            <w:color w:val="0000EE"/>
          </w:rPr>
          <w:t>31, 2020 as fled on March 16, 2021).</w:t>
        </w:r>
      </w:hyperlink>
    </w:p>
    <w:p>
      <w:pPr>
        <w:spacing w:after="0" w:line="246" w:lineRule="exact"/>
        <w:rPr>
          <w:rFonts w:ascii="Calibri" w:cs="Calibri" w:eastAsia="Calibri" w:hAnsi="Calibri"/>
          <w:sz w:val="18"/>
          <w:szCs w:val="18"/>
          <w:u w:val="single" w:color="auto"/>
          <w:color w:val="0000EE"/>
        </w:rPr>
      </w:pPr>
    </w:p>
    <w:p>
      <w:pPr>
        <w:ind w:left="920" w:right="320" w:hanging="890"/>
        <w:spacing w:after="0" w:line="235" w:lineRule="auto"/>
        <w:tabs>
          <w:tab w:leader="none" w:pos="900" w:val="left"/>
        </w:tabs>
        <w:rPr>
          <w:rFonts w:ascii="Calibri" w:cs="Calibri" w:eastAsia="Calibri" w:hAnsi="Calibri"/>
          <w:sz w:val="18"/>
          <w:szCs w:val="18"/>
          <w:u w:val="single" w:color="auto"/>
          <w:color w:val="0000EE"/>
        </w:rPr>
      </w:pPr>
      <w:r>
        <w:rPr>
          <w:rFonts w:ascii="Calibri" w:cs="Calibri" w:eastAsia="Calibri" w:hAnsi="Calibri"/>
          <w:sz w:val="18"/>
          <w:szCs w:val="18"/>
          <w:color w:val="auto"/>
        </w:rPr>
        <w:t>(10.34)</w:t>
      </w:r>
      <w:r>
        <w:rPr>
          <w:sz w:val="20"/>
          <w:szCs w:val="20"/>
          <w:color w:val="auto"/>
        </w:rPr>
        <w:tab/>
      </w:r>
      <w:hyperlink r:id="rId769">
        <w:r>
          <w:rPr>
            <w:rFonts w:ascii="Calibri" w:cs="Calibri" w:eastAsia="Calibri" w:hAnsi="Calibri"/>
            <w:sz w:val="18"/>
            <w:szCs w:val="18"/>
            <w:u w:val="single" w:color="auto"/>
            <w:color w:val="0000EE"/>
          </w:rPr>
          <w:t>Series A Preferred Stock Repurchase and Exchange Agreement, dated as of February 26, 2021, by and among Eastman Kodak Company,</w:t>
        </w:r>
      </w:hyperlink>
      <w:r>
        <w:rPr>
          <w:rFonts w:ascii="Calibri" w:cs="Calibri" w:eastAsia="Calibri" w:hAnsi="Calibri"/>
          <w:sz w:val="18"/>
          <w:szCs w:val="18"/>
          <w:u w:val="single" w:color="auto"/>
          <w:color w:val="0000EE"/>
        </w:rPr>
        <w:t xml:space="preserve"> </w:t>
      </w:r>
      <w:hyperlink r:id="rId769">
        <w:r>
          <w:rPr>
            <w:rFonts w:ascii="Calibri" w:cs="Calibri" w:eastAsia="Calibri" w:hAnsi="Calibri"/>
            <w:sz w:val="18"/>
            <w:szCs w:val="18"/>
            <w:u w:val="single" w:color="auto"/>
            <w:color w:val="0000EE"/>
          </w:rPr>
          <w:t>Southeastern Asset Management, Inc., Longleaf Partners Small-Cap Fund, C2W Partners Master Fund Limited and Deseret Mutual Pension</w:t>
        </w:r>
      </w:hyperlink>
      <w:r>
        <w:rPr>
          <w:rFonts w:ascii="Calibri" w:cs="Calibri" w:eastAsia="Calibri" w:hAnsi="Calibri"/>
          <w:sz w:val="18"/>
          <w:szCs w:val="18"/>
          <w:u w:val="single" w:color="auto"/>
          <w:color w:val="0000EE"/>
        </w:rPr>
        <w:t xml:space="preserve"> </w:t>
      </w:r>
      <w:hyperlink r:id="rId769">
        <w:r>
          <w:rPr>
            <w:rFonts w:ascii="Calibri" w:cs="Calibri" w:eastAsia="Calibri" w:hAnsi="Calibri"/>
            <w:sz w:val="18"/>
            <w:szCs w:val="18"/>
            <w:u w:val="single" w:color="auto"/>
            <w:color w:val="0000EE"/>
          </w:rPr>
          <w:t>Trust. (Incorporated by reference to Exhibit 10.1 of the Company’s Current Report on Form 8-K as fled March 1, 2021).</w:t>
        </w:r>
      </w:hyperlink>
    </w:p>
    <w:p>
      <w:pPr>
        <w:spacing w:after="0" w:line="246" w:lineRule="exact"/>
        <w:rPr>
          <w:rFonts w:ascii="Calibri" w:cs="Calibri" w:eastAsia="Calibri" w:hAnsi="Calibri"/>
          <w:sz w:val="18"/>
          <w:szCs w:val="18"/>
          <w:u w:val="single" w:color="auto"/>
          <w:color w:val="0000EE"/>
        </w:rPr>
      </w:pPr>
    </w:p>
    <w:p>
      <w:pPr>
        <w:ind w:left="920" w:right="80" w:hanging="890"/>
        <w:spacing w:after="0" w:line="235" w:lineRule="auto"/>
        <w:tabs>
          <w:tab w:leader="none" w:pos="900" w:val="left"/>
        </w:tabs>
        <w:rPr>
          <w:rFonts w:ascii="Calibri" w:cs="Calibri" w:eastAsia="Calibri" w:hAnsi="Calibri"/>
          <w:sz w:val="18"/>
          <w:szCs w:val="18"/>
          <w:u w:val="single" w:color="auto"/>
          <w:color w:val="0000EE"/>
        </w:rPr>
      </w:pPr>
      <w:r>
        <w:rPr>
          <w:rFonts w:ascii="Calibri" w:cs="Calibri" w:eastAsia="Calibri" w:hAnsi="Calibri"/>
          <w:sz w:val="18"/>
          <w:szCs w:val="18"/>
          <w:color w:val="auto"/>
        </w:rPr>
        <w:t>(10.35)</w:t>
      </w:r>
      <w:r>
        <w:rPr>
          <w:sz w:val="20"/>
          <w:szCs w:val="20"/>
          <w:color w:val="auto"/>
        </w:rPr>
        <w:tab/>
      </w:r>
      <w:hyperlink r:id="rId770">
        <w:r>
          <w:rPr>
            <w:rFonts w:ascii="Calibri" w:cs="Calibri" w:eastAsia="Calibri" w:hAnsi="Calibri"/>
            <w:sz w:val="18"/>
            <w:szCs w:val="18"/>
            <w:u w:val="single" w:color="auto"/>
            <w:color w:val="0000EE"/>
          </w:rPr>
          <w:t>Series C Preferred Stock Purchase Agreement, dated as of February 26, 2021, by and among Eastman Kodak Company and GO EK Ventures IV,</w:t>
        </w:r>
      </w:hyperlink>
      <w:r>
        <w:rPr>
          <w:rFonts w:ascii="Calibri" w:cs="Calibri" w:eastAsia="Calibri" w:hAnsi="Calibri"/>
          <w:sz w:val="18"/>
          <w:szCs w:val="18"/>
          <w:u w:val="single" w:color="auto"/>
          <w:color w:val="0000EE"/>
        </w:rPr>
        <w:t xml:space="preserve"> </w:t>
      </w:r>
      <w:hyperlink r:id="rId770">
        <w:r>
          <w:rPr>
            <w:rFonts w:ascii="Calibri" w:cs="Calibri" w:eastAsia="Calibri" w:hAnsi="Calibri"/>
            <w:sz w:val="18"/>
            <w:szCs w:val="18"/>
            <w:u w:val="single" w:color="auto"/>
            <w:color w:val="0000EE"/>
          </w:rPr>
          <w:t>LLC. (Incorporated by reference to Exhibit 10.2 of the Company’s Current Report on Form 8-K as fled March 1, 2021).</w:t>
        </w:r>
      </w:hyperlink>
    </w:p>
    <w:p>
      <w:pPr>
        <w:spacing w:after="0" w:line="200" w:lineRule="exact"/>
        <w:rPr>
          <w:sz w:val="20"/>
          <w:szCs w:val="20"/>
          <w:color w:val="auto"/>
        </w:rPr>
      </w:pPr>
    </w:p>
    <w:p>
      <w:pPr>
        <w:spacing w:after="0" w:line="229" w:lineRule="exact"/>
        <w:rPr>
          <w:sz w:val="20"/>
          <w:szCs w:val="20"/>
          <w:color w:val="auto"/>
        </w:rPr>
      </w:pPr>
    </w:p>
    <w:p>
      <w:pPr>
        <w:jc w:val="center"/>
        <w:ind w:right="-159"/>
        <w:spacing w:after="0"/>
        <w:rPr>
          <w:sz w:val="20"/>
          <w:szCs w:val="20"/>
          <w:color w:val="auto"/>
        </w:rPr>
      </w:pPr>
      <w:r>
        <w:rPr>
          <w:rFonts w:ascii="Calibri" w:cs="Calibri" w:eastAsia="Calibri" w:hAnsi="Calibri"/>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2" w:right="479" w:bottom="1440" w:gutter="0" w:footer="0" w:header="0"/>
        </w:sectPr>
      </w:pPr>
    </w:p>
    <w:bookmarkStart w:id="123" w:name="page124"/>
    <w:bookmarkEnd w:id="123"/>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313" w:lineRule="exact"/>
        <w:rPr>
          <w:sz w:val="20"/>
          <w:szCs w:val="20"/>
          <w:color w:val="auto"/>
        </w:rPr>
      </w:pPr>
    </w:p>
    <w:tbl>
      <w:tblPr>
        <w:tblLayout w:type="fixed"/>
        <w:tblInd w:w="10" w:type="dxa"/>
        <w:tblCellMar>
          <w:top w:w="0" w:type="dxa"/>
          <w:left w:w="0" w:type="dxa"/>
          <w:bottom w:w="0" w:type="dxa"/>
          <w:right w:w="0" w:type="dxa"/>
        </w:tblCellMar>
      </w:tblPr>
      <w:tr>
        <w:trPr>
          <w:trHeight w:val="179"/>
        </w:trPr>
        <w:tc>
          <w:tcPr>
            <w:tcW w:w="920" w:type="dxa"/>
            <w:vAlign w:val="bottom"/>
            <w:tcBorders>
              <w:top w:val="single" w:sz="8" w:color="auto"/>
              <w:left w:val="single" w:sz="8" w:color="auto"/>
              <w:right w:val="single" w:sz="8" w:color="auto"/>
            </w:tcBorders>
          </w:tcPr>
          <w:p>
            <w:pPr>
              <w:ind w:left="40"/>
              <w:spacing w:after="0" w:line="179" w:lineRule="exact"/>
              <w:rPr>
                <w:sz w:val="20"/>
                <w:szCs w:val="20"/>
                <w:color w:val="auto"/>
              </w:rPr>
            </w:pPr>
            <w:r>
              <w:rPr>
                <w:rFonts w:ascii="Calibri" w:cs="Calibri" w:eastAsia="Calibri" w:hAnsi="Calibri"/>
                <w:sz w:val="18"/>
                <w:szCs w:val="18"/>
                <w:color w:val="auto"/>
              </w:rPr>
              <w:t>(10.36)</w:t>
            </w:r>
          </w:p>
        </w:tc>
        <w:tc>
          <w:tcPr>
            <w:tcW w:w="9720" w:type="dxa"/>
            <w:vAlign w:val="bottom"/>
            <w:tcBorders>
              <w:top w:val="single" w:sz="8" w:color="auto"/>
              <w:bottom w:val="single" w:sz="8" w:color="0000EE"/>
            </w:tcBorders>
            <w:gridSpan w:val="12"/>
          </w:tcPr>
          <w:p>
            <w:pPr>
              <w:spacing w:after="0" w:line="179" w:lineRule="exact"/>
              <w:rPr>
                <w:rFonts w:ascii="Calibri" w:cs="Calibri" w:eastAsia="Calibri" w:hAnsi="Calibri"/>
                <w:sz w:val="18"/>
                <w:szCs w:val="18"/>
                <w:color w:val="0000EE"/>
                <w:w w:val="98"/>
              </w:rPr>
            </w:pPr>
            <w:hyperlink r:id="rId772">
              <w:r>
                <w:rPr>
                  <w:rFonts w:ascii="Calibri" w:cs="Calibri" w:eastAsia="Calibri" w:hAnsi="Calibri"/>
                  <w:sz w:val="18"/>
                  <w:szCs w:val="18"/>
                  <w:color w:val="0000EE"/>
                  <w:w w:val="98"/>
                </w:rPr>
                <w:t>Securites Purchase Agreement, dated as of February 26, 2021, by and among Eastman Kodak Company, Kennedy Lewis Capital Partners</w:t>
              </w:r>
            </w:hyperlink>
          </w:p>
        </w:tc>
        <w:tc>
          <w:tcPr>
            <w:tcW w:w="480" w:type="dxa"/>
            <w:vAlign w:val="bottom"/>
            <w:tcBorders>
              <w:top w:val="single" w:sz="8" w:color="auto"/>
              <w:right w:val="single" w:sz="8" w:color="auto"/>
            </w:tcBorders>
            <w:gridSpan w:val="5"/>
          </w:tcPr>
          <w:p>
            <w:pPr>
              <w:spacing w:after="0"/>
              <w:rPr>
                <w:sz w:val="15"/>
                <w:szCs w:val="15"/>
                <w:color w:val="auto"/>
              </w:rPr>
            </w:pPr>
          </w:p>
        </w:tc>
      </w:tr>
      <w:tr>
        <w:trPr>
          <w:trHeight w:val="196"/>
        </w:trPr>
        <w:tc>
          <w:tcPr>
            <w:tcW w:w="920" w:type="dxa"/>
            <w:vAlign w:val="bottom"/>
            <w:tcBorders>
              <w:left w:val="single" w:sz="8" w:color="auto"/>
              <w:right w:val="single" w:sz="8" w:color="auto"/>
            </w:tcBorders>
          </w:tcPr>
          <w:p>
            <w:pPr>
              <w:spacing w:after="0"/>
              <w:rPr>
                <w:sz w:val="17"/>
                <w:szCs w:val="17"/>
                <w:color w:val="auto"/>
              </w:rPr>
            </w:pPr>
          </w:p>
        </w:tc>
        <w:tc>
          <w:tcPr>
            <w:tcW w:w="9960" w:type="dxa"/>
            <w:vAlign w:val="bottom"/>
            <w:tcBorders>
              <w:bottom w:val="single" w:sz="8" w:color="0000EE"/>
            </w:tcBorders>
            <w:gridSpan w:val="16"/>
          </w:tcPr>
          <w:p>
            <w:pPr>
              <w:spacing w:after="0" w:line="196" w:lineRule="exact"/>
              <w:rPr>
                <w:rFonts w:ascii="Calibri" w:cs="Calibri" w:eastAsia="Calibri" w:hAnsi="Calibri"/>
                <w:sz w:val="18"/>
                <w:szCs w:val="18"/>
                <w:color w:val="0000EE"/>
                <w:w w:val="97"/>
              </w:rPr>
            </w:pPr>
            <w:hyperlink r:id="rId772">
              <w:r>
                <w:rPr>
                  <w:rFonts w:ascii="Calibri" w:cs="Calibri" w:eastAsia="Calibri" w:hAnsi="Calibri"/>
                  <w:sz w:val="18"/>
                  <w:szCs w:val="18"/>
                  <w:color w:val="0000EE"/>
                  <w:w w:val="97"/>
                </w:rPr>
                <w:t>Master Fund LP and Kennedy Lewis Capital Partners Master Fund II LP. (Incorporated by reference to Exhibit 10.8 of the Company’s Current</w:t>
              </w:r>
            </w:hyperlink>
          </w:p>
        </w:tc>
        <w:tc>
          <w:tcPr>
            <w:tcW w:w="240" w:type="dxa"/>
            <w:vAlign w:val="bottom"/>
            <w:tcBorders>
              <w:right w:val="single" w:sz="8" w:color="auto"/>
            </w:tcBorders>
          </w:tcPr>
          <w:p>
            <w:pPr>
              <w:spacing w:after="0"/>
              <w:rPr>
                <w:sz w:val="17"/>
                <w:szCs w:val="17"/>
                <w:color w:val="auto"/>
              </w:rPr>
            </w:pPr>
          </w:p>
        </w:tc>
      </w:tr>
      <w:tr>
        <w:trPr>
          <w:trHeight w:val="196"/>
        </w:trPr>
        <w:tc>
          <w:tcPr>
            <w:tcW w:w="920" w:type="dxa"/>
            <w:vAlign w:val="bottom"/>
            <w:tcBorders>
              <w:left w:val="single" w:sz="8" w:color="auto"/>
              <w:right w:val="single" w:sz="8" w:color="auto"/>
            </w:tcBorders>
          </w:tcPr>
          <w:p>
            <w:pPr>
              <w:spacing w:after="0"/>
              <w:rPr>
                <w:sz w:val="17"/>
                <w:szCs w:val="17"/>
                <w:color w:val="auto"/>
              </w:rPr>
            </w:pPr>
          </w:p>
        </w:tc>
        <w:tc>
          <w:tcPr>
            <w:tcW w:w="10200" w:type="dxa"/>
            <w:vAlign w:val="bottom"/>
            <w:tcBorders>
              <w:right w:val="single" w:sz="8" w:color="auto"/>
            </w:tcBorders>
            <w:gridSpan w:val="17"/>
          </w:tcPr>
          <w:p>
            <w:pPr>
              <w:spacing w:after="0" w:line="196" w:lineRule="exact"/>
              <w:rPr>
                <w:rFonts w:ascii="Calibri" w:cs="Calibri" w:eastAsia="Calibri" w:hAnsi="Calibri"/>
                <w:sz w:val="18"/>
                <w:szCs w:val="18"/>
                <w:color w:val="0000EE"/>
              </w:rPr>
            </w:pPr>
            <w:hyperlink r:id="rId772">
              <w:r>
                <w:rPr>
                  <w:rFonts w:ascii="Calibri" w:cs="Calibri" w:eastAsia="Calibri" w:hAnsi="Calibri"/>
                  <w:sz w:val="18"/>
                  <w:szCs w:val="18"/>
                  <w:color w:val="0000EE"/>
                </w:rPr>
                <w:t>Report on Form 8-K as fled March 1, 2021).</w:t>
              </w:r>
            </w:hyperlink>
          </w:p>
        </w:tc>
      </w:tr>
      <w:tr>
        <w:trPr>
          <w:trHeight w:val="31"/>
        </w:trPr>
        <w:tc>
          <w:tcPr>
            <w:tcW w:w="92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56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r>
      <w:tr>
        <w:trPr>
          <w:trHeight w:val="213"/>
        </w:trPr>
        <w:tc>
          <w:tcPr>
            <w:tcW w:w="920" w:type="dxa"/>
            <w:vAlign w:val="bottom"/>
            <w:tcBorders>
              <w:bottom w:val="single" w:sz="8" w:color="auto"/>
              <w:right w:val="single" w:sz="8" w:color="auto"/>
            </w:tcBorders>
          </w:tcPr>
          <w:p>
            <w:pPr>
              <w:spacing w:after="0"/>
              <w:rPr>
                <w:sz w:val="18"/>
                <w:szCs w:val="18"/>
                <w:color w:val="auto"/>
              </w:rPr>
            </w:pPr>
          </w:p>
        </w:tc>
        <w:tc>
          <w:tcPr>
            <w:tcW w:w="2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r>
      <w:tr>
        <w:trPr>
          <w:trHeight w:val="155"/>
        </w:trPr>
        <w:tc>
          <w:tcPr>
            <w:tcW w:w="920" w:type="dxa"/>
            <w:vAlign w:val="bottom"/>
            <w:tcBorders>
              <w:right w:val="single" w:sz="8" w:color="auto"/>
            </w:tcBorders>
          </w:tcPr>
          <w:p>
            <w:pPr>
              <w:ind w:left="40"/>
              <w:spacing w:after="0" w:line="156" w:lineRule="exact"/>
              <w:rPr>
                <w:sz w:val="20"/>
                <w:szCs w:val="20"/>
                <w:color w:val="auto"/>
              </w:rPr>
            </w:pPr>
            <w:r>
              <w:rPr>
                <w:rFonts w:ascii="Calibri" w:cs="Calibri" w:eastAsia="Calibri" w:hAnsi="Calibri"/>
                <w:sz w:val="16"/>
                <w:szCs w:val="16"/>
                <w:color w:val="auto"/>
              </w:rPr>
              <w:t>(10.37)#</w:t>
            </w:r>
          </w:p>
        </w:tc>
        <w:tc>
          <w:tcPr>
            <w:tcW w:w="9640" w:type="dxa"/>
            <w:vAlign w:val="bottom"/>
            <w:tcBorders>
              <w:bottom w:val="single" w:sz="8" w:color="0000EE"/>
            </w:tcBorders>
            <w:gridSpan w:val="11"/>
          </w:tcPr>
          <w:p>
            <w:pPr>
              <w:spacing w:after="0" w:line="156" w:lineRule="exact"/>
              <w:rPr>
                <w:sz w:val="20"/>
                <w:szCs w:val="20"/>
                <w:color w:val="auto"/>
              </w:rPr>
            </w:pPr>
            <w:r>
              <w:rPr>
                <w:rFonts w:ascii="Calibri" w:cs="Calibri" w:eastAsia="Calibri" w:hAnsi="Calibri"/>
                <w:sz w:val="16"/>
                <w:szCs w:val="16"/>
                <w:color w:val="0000FF"/>
              </w:rPr>
              <w:t>Agreement of Purchase and Sale, dated as of November 20, 2024), by and between Mastercard Foundaton and Trust Under the Kodak</w:t>
            </w:r>
          </w:p>
        </w:tc>
        <w:tc>
          <w:tcPr>
            <w:tcW w:w="560" w:type="dxa"/>
            <w:vAlign w:val="bottom"/>
            <w:tcBorders>
              <w:right w:val="single" w:sz="8" w:color="auto"/>
            </w:tcBorders>
            <w:gridSpan w:val="6"/>
          </w:tcPr>
          <w:p>
            <w:pPr>
              <w:spacing w:after="0"/>
              <w:rPr>
                <w:sz w:val="13"/>
                <w:szCs w:val="13"/>
                <w:color w:val="auto"/>
              </w:rPr>
            </w:pPr>
          </w:p>
        </w:tc>
      </w:tr>
      <w:tr>
        <w:trPr>
          <w:trHeight w:val="196"/>
        </w:trPr>
        <w:tc>
          <w:tcPr>
            <w:tcW w:w="920" w:type="dxa"/>
            <w:vAlign w:val="bottom"/>
            <w:tcBorders>
              <w:right w:val="single" w:sz="8" w:color="auto"/>
            </w:tcBorders>
          </w:tcPr>
          <w:p>
            <w:pPr>
              <w:spacing w:after="0"/>
              <w:rPr>
                <w:sz w:val="17"/>
                <w:szCs w:val="17"/>
                <w:color w:val="auto"/>
              </w:rPr>
            </w:pPr>
          </w:p>
        </w:tc>
        <w:tc>
          <w:tcPr>
            <w:tcW w:w="10200" w:type="dxa"/>
            <w:vAlign w:val="bottom"/>
            <w:tcBorders>
              <w:right w:val="single" w:sz="8" w:color="auto"/>
            </w:tcBorders>
            <w:gridSpan w:val="17"/>
          </w:tcPr>
          <w:p>
            <w:pPr>
              <w:spacing w:after="0" w:line="196" w:lineRule="exact"/>
              <w:rPr>
                <w:sz w:val="20"/>
                <w:szCs w:val="20"/>
                <w:color w:val="auto"/>
              </w:rPr>
            </w:pPr>
            <w:r>
              <w:rPr>
                <w:rFonts w:ascii="Calibri" w:cs="Calibri" w:eastAsia="Calibri" w:hAnsi="Calibri"/>
                <w:sz w:val="18"/>
                <w:szCs w:val="18"/>
                <w:color w:val="0000FF"/>
              </w:rPr>
              <w:t>Retrement Income Plan, fled herewith.</w:t>
            </w:r>
          </w:p>
        </w:tc>
      </w:tr>
      <w:tr>
        <w:trPr>
          <w:trHeight w:val="34"/>
        </w:trPr>
        <w:tc>
          <w:tcPr>
            <w:tcW w:w="920" w:type="dxa"/>
            <w:vAlign w:val="bottom"/>
            <w:tcBorders>
              <w:bottom w:val="single" w:sz="8" w:color="auto"/>
              <w:right w:val="single" w:sz="8" w:color="auto"/>
            </w:tcBorders>
          </w:tcPr>
          <w:p>
            <w:pPr>
              <w:spacing w:after="0"/>
              <w:rPr>
                <w:sz w:val="2"/>
                <w:szCs w:val="2"/>
                <w:color w:val="auto"/>
              </w:rPr>
            </w:pPr>
          </w:p>
        </w:tc>
        <w:tc>
          <w:tcPr>
            <w:tcW w:w="22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560" w:type="dxa"/>
            <w:vAlign w:val="bottom"/>
            <w:tcBorders>
              <w:top w:val="single" w:sz="8" w:color="0000EE"/>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r>
      <w:tr>
        <w:trPr>
          <w:trHeight w:val="210"/>
        </w:trPr>
        <w:tc>
          <w:tcPr>
            <w:tcW w:w="920" w:type="dxa"/>
            <w:vAlign w:val="bottom"/>
            <w:tcBorders>
              <w:bottom w:val="single" w:sz="8" w:color="auto"/>
              <w:right w:val="single" w:sz="8" w:color="auto"/>
            </w:tcBorders>
          </w:tcPr>
          <w:p>
            <w:pPr>
              <w:spacing w:after="0"/>
              <w:rPr>
                <w:sz w:val="18"/>
                <w:szCs w:val="18"/>
                <w:color w:val="auto"/>
              </w:rPr>
            </w:pPr>
          </w:p>
        </w:tc>
        <w:tc>
          <w:tcPr>
            <w:tcW w:w="2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r>
      <w:tr>
        <w:trPr>
          <w:trHeight w:val="155"/>
        </w:trPr>
        <w:tc>
          <w:tcPr>
            <w:tcW w:w="920" w:type="dxa"/>
            <w:vAlign w:val="bottom"/>
            <w:tcBorders>
              <w:right w:val="single" w:sz="8" w:color="auto"/>
            </w:tcBorders>
          </w:tcPr>
          <w:p>
            <w:pPr>
              <w:ind w:left="40"/>
              <w:spacing w:after="0" w:line="156" w:lineRule="exact"/>
              <w:rPr>
                <w:sz w:val="20"/>
                <w:szCs w:val="20"/>
                <w:color w:val="auto"/>
              </w:rPr>
            </w:pPr>
            <w:r>
              <w:rPr>
                <w:rFonts w:ascii="Calibri" w:cs="Calibri" w:eastAsia="Calibri" w:hAnsi="Calibri"/>
                <w:sz w:val="16"/>
                <w:szCs w:val="16"/>
                <w:color w:val="auto"/>
              </w:rPr>
              <w:t>(10.38)</w:t>
            </w:r>
          </w:p>
        </w:tc>
        <w:tc>
          <w:tcPr>
            <w:tcW w:w="10200" w:type="dxa"/>
            <w:vAlign w:val="bottom"/>
            <w:tcBorders>
              <w:bottom w:val="single" w:sz="8" w:color="0000EE"/>
              <w:right w:val="single" w:sz="8" w:color="auto"/>
            </w:tcBorders>
            <w:gridSpan w:val="17"/>
          </w:tcPr>
          <w:p>
            <w:pPr>
              <w:spacing w:after="0" w:line="156" w:lineRule="exact"/>
              <w:rPr>
                <w:rFonts w:ascii="Calibri" w:cs="Calibri" w:eastAsia="Calibri" w:hAnsi="Calibri"/>
                <w:sz w:val="16"/>
                <w:szCs w:val="16"/>
                <w:color w:val="0000EE"/>
              </w:rPr>
            </w:pPr>
            <w:hyperlink r:id="rId773">
              <w:r>
                <w:rPr>
                  <w:rFonts w:ascii="Calibri" w:cs="Calibri" w:eastAsia="Calibri" w:hAnsi="Calibri"/>
                  <w:sz w:val="16"/>
                  <w:szCs w:val="16"/>
                  <w:color w:val="0000EE"/>
                </w:rPr>
                <w:t>Amended and Restated Setlement Agreement (Eastman Business Park) between Eastman Kodak Company, the New York State Department of</w:t>
              </w:r>
            </w:hyperlink>
          </w:p>
        </w:tc>
      </w:tr>
      <w:tr>
        <w:trPr>
          <w:trHeight w:val="196"/>
        </w:trPr>
        <w:tc>
          <w:tcPr>
            <w:tcW w:w="920" w:type="dxa"/>
            <w:vAlign w:val="bottom"/>
            <w:tcBorders>
              <w:right w:val="single" w:sz="8" w:color="auto"/>
            </w:tcBorders>
          </w:tcPr>
          <w:p>
            <w:pPr>
              <w:spacing w:after="0"/>
              <w:rPr>
                <w:sz w:val="17"/>
                <w:szCs w:val="17"/>
                <w:color w:val="auto"/>
              </w:rPr>
            </w:pPr>
          </w:p>
        </w:tc>
        <w:tc>
          <w:tcPr>
            <w:tcW w:w="9820" w:type="dxa"/>
            <w:vAlign w:val="bottom"/>
            <w:tcBorders>
              <w:bottom w:val="single" w:sz="8" w:color="0000EE"/>
            </w:tcBorders>
            <w:gridSpan w:val="13"/>
          </w:tcPr>
          <w:p>
            <w:pPr>
              <w:spacing w:after="0" w:line="196" w:lineRule="exact"/>
              <w:rPr>
                <w:rFonts w:ascii="Calibri" w:cs="Calibri" w:eastAsia="Calibri" w:hAnsi="Calibri"/>
                <w:sz w:val="18"/>
                <w:szCs w:val="18"/>
                <w:color w:val="0000EE"/>
                <w:w w:val="98"/>
              </w:rPr>
            </w:pPr>
            <w:hyperlink r:id="rId773">
              <w:r>
                <w:rPr>
                  <w:rFonts w:ascii="Calibri" w:cs="Calibri" w:eastAsia="Calibri" w:hAnsi="Calibri"/>
                  <w:sz w:val="18"/>
                  <w:szCs w:val="18"/>
                  <w:color w:val="0000EE"/>
                  <w:w w:val="98"/>
                </w:rPr>
                <w:t>Environmental Conservaton, and the New York State Urban Development Corporaton d/b/a Empire State Development, dated August 6,</w:t>
              </w:r>
            </w:hyperlink>
          </w:p>
        </w:tc>
        <w:tc>
          <w:tcPr>
            <w:tcW w:w="380" w:type="dxa"/>
            <w:vAlign w:val="bottom"/>
            <w:tcBorders>
              <w:right w:val="single" w:sz="8" w:color="auto"/>
            </w:tcBorders>
            <w:gridSpan w:val="4"/>
          </w:tcPr>
          <w:p>
            <w:pPr>
              <w:spacing w:after="0"/>
              <w:rPr>
                <w:sz w:val="17"/>
                <w:szCs w:val="17"/>
                <w:color w:val="auto"/>
              </w:rPr>
            </w:pPr>
          </w:p>
        </w:tc>
      </w:tr>
      <w:tr>
        <w:trPr>
          <w:trHeight w:val="196"/>
        </w:trPr>
        <w:tc>
          <w:tcPr>
            <w:tcW w:w="920" w:type="dxa"/>
            <w:vAlign w:val="bottom"/>
            <w:tcBorders>
              <w:right w:val="single" w:sz="8" w:color="auto"/>
            </w:tcBorders>
          </w:tcPr>
          <w:p>
            <w:pPr>
              <w:spacing w:after="0"/>
              <w:rPr>
                <w:sz w:val="17"/>
                <w:szCs w:val="17"/>
                <w:color w:val="auto"/>
              </w:rPr>
            </w:pPr>
          </w:p>
        </w:tc>
        <w:tc>
          <w:tcPr>
            <w:tcW w:w="10200" w:type="dxa"/>
            <w:vAlign w:val="bottom"/>
            <w:tcBorders>
              <w:bottom w:val="single" w:sz="8" w:color="0000EE"/>
              <w:right w:val="single" w:sz="8" w:color="auto"/>
            </w:tcBorders>
            <w:gridSpan w:val="17"/>
          </w:tcPr>
          <w:p>
            <w:pPr>
              <w:spacing w:after="0" w:line="196" w:lineRule="exact"/>
              <w:rPr>
                <w:rFonts w:ascii="Calibri" w:cs="Calibri" w:eastAsia="Calibri" w:hAnsi="Calibri"/>
                <w:sz w:val="18"/>
                <w:szCs w:val="18"/>
                <w:color w:val="0000EE"/>
                <w:w w:val="97"/>
              </w:rPr>
            </w:pPr>
            <w:hyperlink r:id="rId773">
              <w:r>
                <w:rPr>
                  <w:rFonts w:ascii="Calibri" w:cs="Calibri" w:eastAsia="Calibri" w:hAnsi="Calibri"/>
                  <w:sz w:val="18"/>
                  <w:szCs w:val="18"/>
                  <w:color w:val="0000EE"/>
                  <w:w w:val="97"/>
                </w:rPr>
                <w:t>2013. (Incorporated by reference to Exhibit 10.10 of the Company’s Quarterly Report on Form 10-Q for the quarterly period ended September</w:t>
              </w:r>
            </w:hyperlink>
          </w:p>
        </w:tc>
      </w:tr>
      <w:tr>
        <w:trPr>
          <w:trHeight w:val="196"/>
        </w:trPr>
        <w:tc>
          <w:tcPr>
            <w:tcW w:w="920" w:type="dxa"/>
            <w:vAlign w:val="bottom"/>
            <w:tcBorders>
              <w:right w:val="single" w:sz="8" w:color="auto"/>
            </w:tcBorders>
          </w:tcPr>
          <w:p>
            <w:pPr>
              <w:spacing w:after="0"/>
              <w:rPr>
                <w:sz w:val="17"/>
                <w:szCs w:val="17"/>
                <w:color w:val="auto"/>
              </w:rPr>
            </w:pPr>
          </w:p>
        </w:tc>
        <w:tc>
          <w:tcPr>
            <w:tcW w:w="10200" w:type="dxa"/>
            <w:vAlign w:val="bottom"/>
            <w:tcBorders>
              <w:right w:val="single" w:sz="8" w:color="auto"/>
            </w:tcBorders>
            <w:gridSpan w:val="17"/>
          </w:tcPr>
          <w:p>
            <w:pPr>
              <w:spacing w:after="0" w:line="196" w:lineRule="exact"/>
              <w:rPr>
                <w:rFonts w:ascii="Calibri" w:cs="Calibri" w:eastAsia="Calibri" w:hAnsi="Calibri"/>
                <w:sz w:val="18"/>
                <w:szCs w:val="18"/>
                <w:color w:val="0000EE"/>
              </w:rPr>
            </w:pPr>
            <w:hyperlink r:id="rId773">
              <w:r>
                <w:rPr>
                  <w:rFonts w:ascii="Calibri" w:cs="Calibri" w:eastAsia="Calibri" w:hAnsi="Calibri"/>
                  <w:sz w:val="18"/>
                  <w:szCs w:val="18"/>
                  <w:color w:val="0000EE"/>
                </w:rPr>
                <w:t>30, 2013 as fled on November 12, 2013).</w:t>
              </w:r>
            </w:hyperlink>
          </w:p>
        </w:tc>
      </w:tr>
      <w:tr>
        <w:trPr>
          <w:trHeight w:val="34"/>
        </w:trPr>
        <w:tc>
          <w:tcPr>
            <w:tcW w:w="920" w:type="dxa"/>
            <w:vAlign w:val="bottom"/>
            <w:tcBorders>
              <w:bottom w:val="single" w:sz="8" w:color="auto"/>
              <w:right w:val="single" w:sz="8" w:color="auto"/>
            </w:tcBorders>
          </w:tcPr>
          <w:p>
            <w:pPr>
              <w:spacing w:after="0"/>
              <w:rPr>
                <w:sz w:val="2"/>
                <w:szCs w:val="2"/>
                <w:color w:val="auto"/>
              </w:rPr>
            </w:pPr>
          </w:p>
        </w:tc>
        <w:tc>
          <w:tcPr>
            <w:tcW w:w="22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56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r>
      <w:tr>
        <w:trPr>
          <w:trHeight w:val="209"/>
        </w:trPr>
        <w:tc>
          <w:tcPr>
            <w:tcW w:w="920" w:type="dxa"/>
            <w:vAlign w:val="bottom"/>
            <w:tcBorders>
              <w:bottom w:val="single" w:sz="8" w:color="auto"/>
              <w:right w:val="single" w:sz="8" w:color="auto"/>
            </w:tcBorders>
          </w:tcPr>
          <w:p>
            <w:pPr>
              <w:spacing w:after="0"/>
              <w:rPr>
                <w:sz w:val="18"/>
                <w:szCs w:val="18"/>
                <w:color w:val="auto"/>
              </w:rPr>
            </w:pPr>
          </w:p>
        </w:tc>
        <w:tc>
          <w:tcPr>
            <w:tcW w:w="2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r>
      <w:tr>
        <w:trPr>
          <w:trHeight w:val="156"/>
        </w:trPr>
        <w:tc>
          <w:tcPr>
            <w:tcW w:w="920" w:type="dxa"/>
            <w:vAlign w:val="bottom"/>
            <w:tcBorders>
              <w:right w:val="single" w:sz="8" w:color="auto"/>
            </w:tcBorders>
          </w:tcPr>
          <w:p>
            <w:pPr>
              <w:ind w:left="40"/>
              <w:spacing w:after="0" w:line="156" w:lineRule="exact"/>
              <w:rPr>
                <w:sz w:val="20"/>
                <w:szCs w:val="20"/>
                <w:color w:val="auto"/>
              </w:rPr>
            </w:pPr>
            <w:r>
              <w:rPr>
                <w:rFonts w:ascii="Calibri" w:cs="Calibri" w:eastAsia="Calibri" w:hAnsi="Calibri"/>
                <w:sz w:val="16"/>
                <w:szCs w:val="16"/>
                <w:color w:val="auto"/>
              </w:rPr>
              <w:t>(19)</w:t>
            </w:r>
          </w:p>
        </w:tc>
        <w:tc>
          <w:tcPr>
            <w:tcW w:w="10200" w:type="dxa"/>
            <w:vAlign w:val="bottom"/>
            <w:tcBorders>
              <w:right w:val="single" w:sz="8" w:color="auto"/>
            </w:tcBorders>
            <w:gridSpan w:val="17"/>
          </w:tcPr>
          <w:p>
            <w:pPr>
              <w:spacing w:after="0" w:line="156" w:lineRule="exact"/>
              <w:rPr>
                <w:sz w:val="20"/>
                <w:szCs w:val="20"/>
                <w:color w:val="auto"/>
              </w:rPr>
            </w:pPr>
            <w:r>
              <w:rPr>
                <w:rFonts w:ascii="Calibri" w:cs="Calibri" w:eastAsia="Calibri" w:hAnsi="Calibri"/>
                <w:sz w:val="16"/>
                <w:szCs w:val="16"/>
                <w:color w:val="0000FF"/>
              </w:rPr>
              <w:t>Eastman Kodak Company Policy on Insider Trading, fled herewith.</w:t>
            </w:r>
          </w:p>
        </w:tc>
      </w:tr>
      <w:tr>
        <w:trPr>
          <w:trHeight w:val="34"/>
        </w:trPr>
        <w:tc>
          <w:tcPr>
            <w:tcW w:w="920" w:type="dxa"/>
            <w:vAlign w:val="bottom"/>
            <w:tcBorders>
              <w:bottom w:val="single" w:sz="8" w:color="auto"/>
              <w:right w:val="single" w:sz="8" w:color="auto"/>
            </w:tcBorders>
          </w:tcPr>
          <w:p>
            <w:pPr>
              <w:spacing w:after="0"/>
              <w:rPr>
                <w:sz w:val="2"/>
                <w:szCs w:val="2"/>
                <w:color w:val="auto"/>
              </w:rPr>
            </w:pPr>
          </w:p>
        </w:tc>
        <w:tc>
          <w:tcPr>
            <w:tcW w:w="22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56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88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500" w:type="dxa"/>
            <w:vAlign w:val="bottom"/>
            <w:tcBorders>
              <w:top w:val="single" w:sz="8" w:color="0000EE"/>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r>
      <w:tr>
        <w:trPr>
          <w:trHeight w:val="210"/>
        </w:trPr>
        <w:tc>
          <w:tcPr>
            <w:tcW w:w="920" w:type="dxa"/>
            <w:vAlign w:val="bottom"/>
            <w:tcBorders>
              <w:bottom w:val="single" w:sz="8" w:color="auto"/>
              <w:right w:val="single" w:sz="8" w:color="auto"/>
            </w:tcBorders>
          </w:tcPr>
          <w:p>
            <w:pPr>
              <w:spacing w:after="0"/>
              <w:rPr>
                <w:sz w:val="18"/>
                <w:szCs w:val="18"/>
                <w:color w:val="auto"/>
              </w:rPr>
            </w:pPr>
          </w:p>
        </w:tc>
        <w:tc>
          <w:tcPr>
            <w:tcW w:w="2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r>
      <w:tr>
        <w:trPr>
          <w:trHeight w:val="155"/>
        </w:trPr>
        <w:tc>
          <w:tcPr>
            <w:tcW w:w="920" w:type="dxa"/>
            <w:vAlign w:val="bottom"/>
            <w:tcBorders>
              <w:right w:val="single" w:sz="8" w:color="auto"/>
            </w:tcBorders>
          </w:tcPr>
          <w:p>
            <w:pPr>
              <w:ind w:left="40"/>
              <w:spacing w:after="0" w:line="156" w:lineRule="exact"/>
              <w:rPr>
                <w:sz w:val="20"/>
                <w:szCs w:val="20"/>
                <w:color w:val="auto"/>
              </w:rPr>
            </w:pPr>
            <w:r>
              <w:rPr>
                <w:rFonts w:ascii="Calibri" w:cs="Calibri" w:eastAsia="Calibri" w:hAnsi="Calibri"/>
                <w:sz w:val="16"/>
                <w:szCs w:val="16"/>
                <w:color w:val="auto"/>
              </w:rPr>
              <w:t>(21)</w:t>
            </w:r>
          </w:p>
        </w:tc>
        <w:tc>
          <w:tcPr>
            <w:tcW w:w="10200" w:type="dxa"/>
            <w:vAlign w:val="bottom"/>
            <w:tcBorders>
              <w:right w:val="single" w:sz="8" w:color="auto"/>
            </w:tcBorders>
            <w:gridSpan w:val="17"/>
          </w:tcPr>
          <w:p>
            <w:pPr>
              <w:spacing w:after="0" w:line="156" w:lineRule="exact"/>
              <w:rPr>
                <w:sz w:val="20"/>
                <w:szCs w:val="20"/>
                <w:color w:val="auto"/>
              </w:rPr>
            </w:pPr>
            <w:r>
              <w:rPr>
                <w:rFonts w:ascii="Calibri" w:cs="Calibri" w:eastAsia="Calibri" w:hAnsi="Calibri"/>
                <w:sz w:val="16"/>
                <w:szCs w:val="16"/>
                <w:color w:val="0000FF"/>
              </w:rPr>
              <w:t>Subsidiaries of Eastman Kodak Company, fled herewith.</w:t>
            </w:r>
          </w:p>
        </w:tc>
      </w:tr>
      <w:tr>
        <w:trPr>
          <w:trHeight w:val="34"/>
        </w:trPr>
        <w:tc>
          <w:tcPr>
            <w:tcW w:w="920" w:type="dxa"/>
            <w:vAlign w:val="bottom"/>
            <w:tcBorders>
              <w:bottom w:val="single" w:sz="8" w:color="auto"/>
              <w:right w:val="single" w:sz="8" w:color="auto"/>
            </w:tcBorders>
          </w:tcPr>
          <w:p>
            <w:pPr>
              <w:spacing w:after="0"/>
              <w:rPr>
                <w:sz w:val="2"/>
                <w:szCs w:val="2"/>
                <w:color w:val="auto"/>
              </w:rPr>
            </w:pPr>
          </w:p>
        </w:tc>
        <w:tc>
          <w:tcPr>
            <w:tcW w:w="22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56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880" w:type="dxa"/>
            <w:vAlign w:val="bottom"/>
            <w:tcBorders>
              <w:top w:val="single" w:sz="8" w:color="0000EE"/>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r>
      <w:tr>
        <w:trPr>
          <w:trHeight w:val="210"/>
        </w:trPr>
        <w:tc>
          <w:tcPr>
            <w:tcW w:w="920" w:type="dxa"/>
            <w:vAlign w:val="bottom"/>
            <w:tcBorders>
              <w:bottom w:val="single" w:sz="8" w:color="auto"/>
              <w:right w:val="single" w:sz="8" w:color="auto"/>
            </w:tcBorders>
          </w:tcPr>
          <w:p>
            <w:pPr>
              <w:spacing w:after="0"/>
              <w:rPr>
                <w:sz w:val="18"/>
                <w:szCs w:val="18"/>
                <w:color w:val="auto"/>
              </w:rPr>
            </w:pPr>
          </w:p>
        </w:tc>
        <w:tc>
          <w:tcPr>
            <w:tcW w:w="2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r>
      <w:tr>
        <w:trPr>
          <w:trHeight w:val="155"/>
        </w:trPr>
        <w:tc>
          <w:tcPr>
            <w:tcW w:w="920" w:type="dxa"/>
            <w:vAlign w:val="bottom"/>
            <w:tcBorders>
              <w:right w:val="single" w:sz="8" w:color="auto"/>
            </w:tcBorders>
          </w:tcPr>
          <w:p>
            <w:pPr>
              <w:ind w:left="40"/>
              <w:spacing w:after="0" w:line="156" w:lineRule="exact"/>
              <w:rPr>
                <w:sz w:val="20"/>
                <w:szCs w:val="20"/>
                <w:color w:val="auto"/>
              </w:rPr>
            </w:pPr>
            <w:r>
              <w:rPr>
                <w:rFonts w:ascii="Calibri" w:cs="Calibri" w:eastAsia="Calibri" w:hAnsi="Calibri"/>
                <w:sz w:val="16"/>
                <w:szCs w:val="16"/>
                <w:color w:val="auto"/>
              </w:rPr>
              <w:t>(23.1)</w:t>
            </w:r>
          </w:p>
        </w:tc>
        <w:tc>
          <w:tcPr>
            <w:tcW w:w="10200" w:type="dxa"/>
            <w:vAlign w:val="bottom"/>
            <w:tcBorders>
              <w:right w:val="single" w:sz="8" w:color="auto"/>
            </w:tcBorders>
            <w:gridSpan w:val="17"/>
          </w:tcPr>
          <w:p>
            <w:pPr>
              <w:spacing w:after="0" w:line="156" w:lineRule="exact"/>
              <w:rPr>
                <w:sz w:val="20"/>
                <w:szCs w:val="20"/>
                <w:color w:val="auto"/>
              </w:rPr>
            </w:pPr>
            <w:r>
              <w:rPr>
                <w:rFonts w:ascii="Calibri" w:cs="Calibri" w:eastAsia="Calibri" w:hAnsi="Calibri"/>
                <w:sz w:val="16"/>
                <w:szCs w:val="16"/>
                <w:color w:val="0000FF"/>
              </w:rPr>
              <w:t>Consent of Ernst &amp; Young LLP, Independent Registered Public Accountng Firm, fled herewith.</w:t>
            </w:r>
          </w:p>
        </w:tc>
      </w:tr>
      <w:tr>
        <w:trPr>
          <w:trHeight w:val="34"/>
        </w:trPr>
        <w:tc>
          <w:tcPr>
            <w:tcW w:w="920" w:type="dxa"/>
            <w:vAlign w:val="bottom"/>
            <w:tcBorders>
              <w:bottom w:val="single" w:sz="8" w:color="auto"/>
              <w:right w:val="single" w:sz="8" w:color="auto"/>
            </w:tcBorders>
          </w:tcPr>
          <w:p>
            <w:pPr>
              <w:spacing w:after="0"/>
              <w:rPr>
                <w:sz w:val="2"/>
                <w:szCs w:val="2"/>
                <w:color w:val="auto"/>
              </w:rPr>
            </w:pPr>
          </w:p>
        </w:tc>
        <w:tc>
          <w:tcPr>
            <w:tcW w:w="22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56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88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500" w:type="dxa"/>
            <w:vAlign w:val="bottom"/>
            <w:tcBorders>
              <w:top w:val="single" w:sz="8" w:color="0000EE"/>
              <w:bottom w:val="single" w:sz="8" w:color="auto"/>
            </w:tcBorders>
          </w:tcPr>
          <w:p>
            <w:pPr>
              <w:spacing w:after="0"/>
              <w:rPr>
                <w:sz w:val="2"/>
                <w:szCs w:val="2"/>
                <w:color w:val="auto"/>
              </w:rPr>
            </w:pPr>
          </w:p>
        </w:tc>
        <w:tc>
          <w:tcPr>
            <w:tcW w:w="1980" w:type="dxa"/>
            <w:vAlign w:val="bottom"/>
            <w:tcBorders>
              <w:top w:val="single" w:sz="8" w:color="0000EE"/>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r>
      <w:tr>
        <w:trPr>
          <w:trHeight w:val="209"/>
        </w:trPr>
        <w:tc>
          <w:tcPr>
            <w:tcW w:w="920" w:type="dxa"/>
            <w:vAlign w:val="bottom"/>
            <w:tcBorders>
              <w:bottom w:val="single" w:sz="8" w:color="auto"/>
              <w:right w:val="single" w:sz="8" w:color="auto"/>
            </w:tcBorders>
          </w:tcPr>
          <w:p>
            <w:pPr>
              <w:spacing w:after="0"/>
              <w:rPr>
                <w:sz w:val="18"/>
                <w:szCs w:val="18"/>
                <w:color w:val="auto"/>
              </w:rPr>
            </w:pPr>
          </w:p>
        </w:tc>
        <w:tc>
          <w:tcPr>
            <w:tcW w:w="2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r>
      <w:tr>
        <w:trPr>
          <w:trHeight w:val="156"/>
        </w:trPr>
        <w:tc>
          <w:tcPr>
            <w:tcW w:w="920" w:type="dxa"/>
            <w:vAlign w:val="bottom"/>
            <w:tcBorders>
              <w:right w:val="single" w:sz="8" w:color="auto"/>
            </w:tcBorders>
          </w:tcPr>
          <w:p>
            <w:pPr>
              <w:ind w:left="40"/>
              <w:spacing w:after="0" w:line="156" w:lineRule="exact"/>
              <w:rPr>
                <w:sz w:val="20"/>
                <w:szCs w:val="20"/>
                <w:color w:val="auto"/>
              </w:rPr>
            </w:pPr>
            <w:r>
              <w:rPr>
                <w:rFonts w:ascii="Calibri" w:cs="Calibri" w:eastAsia="Calibri" w:hAnsi="Calibri"/>
                <w:sz w:val="16"/>
                <w:szCs w:val="16"/>
                <w:color w:val="auto"/>
              </w:rPr>
              <w:t>(31.1)</w:t>
            </w:r>
          </w:p>
        </w:tc>
        <w:tc>
          <w:tcPr>
            <w:tcW w:w="10200" w:type="dxa"/>
            <w:vAlign w:val="bottom"/>
            <w:tcBorders>
              <w:right w:val="single" w:sz="8" w:color="auto"/>
            </w:tcBorders>
            <w:gridSpan w:val="17"/>
          </w:tcPr>
          <w:p>
            <w:pPr>
              <w:spacing w:after="0" w:line="156" w:lineRule="exact"/>
              <w:rPr>
                <w:sz w:val="20"/>
                <w:szCs w:val="20"/>
                <w:color w:val="auto"/>
              </w:rPr>
            </w:pPr>
            <w:r>
              <w:rPr>
                <w:rFonts w:ascii="Calibri" w:cs="Calibri" w:eastAsia="Calibri" w:hAnsi="Calibri"/>
                <w:sz w:val="16"/>
                <w:szCs w:val="16"/>
                <w:color w:val="0000FF"/>
              </w:rPr>
              <w:t>Certfcaton signed by James V. Contnenza, fled herewith.</w:t>
            </w:r>
          </w:p>
        </w:tc>
      </w:tr>
      <w:tr>
        <w:trPr>
          <w:trHeight w:val="34"/>
        </w:trPr>
        <w:tc>
          <w:tcPr>
            <w:tcW w:w="920" w:type="dxa"/>
            <w:vAlign w:val="bottom"/>
            <w:tcBorders>
              <w:bottom w:val="single" w:sz="8" w:color="auto"/>
              <w:right w:val="single" w:sz="8" w:color="auto"/>
            </w:tcBorders>
          </w:tcPr>
          <w:p>
            <w:pPr>
              <w:spacing w:after="0"/>
              <w:rPr>
                <w:sz w:val="2"/>
                <w:szCs w:val="2"/>
                <w:color w:val="auto"/>
              </w:rPr>
            </w:pPr>
          </w:p>
        </w:tc>
        <w:tc>
          <w:tcPr>
            <w:tcW w:w="22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56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88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r>
      <w:tr>
        <w:trPr>
          <w:trHeight w:val="209"/>
        </w:trPr>
        <w:tc>
          <w:tcPr>
            <w:tcW w:w="920" w:type="dxa"/>
            <w:vAlign w:val="bottom"/>
            <w:tcBorders>
              <w:bottom w:val="single" w:sz="8" w:color="auto"/>
              <w:right w:val="single" w:sz="8" w:color="auto"/>
            </w:tcBorders>
          </w:tcPr>
          <w:p>
            <w:pPr>
              <w:spacing w:after="0"/>
              <w:rPr>
                <w:sz w:val="18"/>
                <w:szCs w:val="18"/>
                <w:color w:val="auto"/>
              </w:rPr>
            </w:pPr>
          </w:p>
        </w:tc>
        <w:tc>
          <w:tcPr>
            <w:tcW w:w="2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r>
      <w:tr>
        <w:trPr>
          <w:trHeight w:val="155"/>
        </w:trPr>
        <w:tc>
          <w:tcPr>
            <w:tcW w:w="920" w:type="dxa"/>
            <w:vAlign w:val="bottom"/>
            <w:tcBorders>
              <w:right w:val="single" w:sz="8" w:color="auto"/>
            </w:tcBorders>
          </w:tcPr>
          <w:p>
            <w:pPr>
              <w:ind w:left="40"/>
              <w:spacing w:after="0" w:line="156" w:lineRule="exact"/>
              <w:rPr>
                <w:sz w:val="20"/>
                <w:szCs w:val="20"/>
                <w:color w:val="auto"/>
              </w:rPr>
            </w:pPr>
            <w:r>
              <w:rPr>
                <w:rFonts w:ascii="Calibri" w:cs="Calibri" w:eastAsia="Calibri" w:hAnsi="Calibri"/>
                <w:sz w:val="16"/>
                <w:szCs w:val="16"/>
                <w:color w:val="auto"/>
              </w:rPr>
              <w:t>(31.2)</w:t>
            </w:r>
          </w:p>
        </w:tc>
        <w:tc>
          <w:tcPr>
            <w:tcW w:w="10200" w:type="dxa"/>
            <w:vAlign w:val="bottom"/>
            <w:tcBorders>
              <w:right w:val="single" w:sz="8" w:color="auto"/>
            </w:tcBorders>
            <w:gridSpan w:val="17"/>
          </w:tcPr>
          <w:p>
            <w:pPr>
              <w:spacing w:after="0" w:line="156" w:lineRule="exact"/>
              <w:rPr>
                <w:sz w:val="20"/>
                <w:szCs w:val="20"/>
                <w:color w:val="auto"/>
              </w:rPr>
            </w:pPr>
            <w:r>
              <w:rPr>
                <w:rFonts w:ascii="Calibri" w:cs="Calibri" w:eastAsia="Calibri" w:hAnsi="Calibri"/>
                <w:sz w:val="16"/>
                <w:szCs w:val="16"/>
                <w:color w:val="0000FF"/>
              </w:rPr>
              <w:t>Certfcaton signed by David E. Bullwinkle, fled herewith.</w:t>
            </w:r>
          </w:p>
        </w:tc>
      </w:tr>
      <w:tr>
        <w:trPr>
          <w:trHeight w:val="34"/>
        </w:trPr>
        <w:tc>
          <w:tcPr>
            <w:tcW w:w="920" w:type="dxa"/>
            <w:vAlign w:val="bottom"/>
            <w:tcBorders>
              <w:bottom w:val="single" w:sz="8" w:color="auto"/>
              <w:right w:val="single" w:sz="8" w:color="auto"/>
            </w:tcBorders>
          </w:tcPr>
          <w:p>
            <w:pPr>
              <w:spacing w:after="0"/>
              <w:rPr>
                <w:sz w:val="2"/>
                <w:szCs w:val="2"/>
                <w:color w:val="auto"/>
              </w:rPr>
            </w:pPr>
          </w:p>
        </w:tc>
        <w:tc>
          <w:tcPr>
            <w:tcW w:w="22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56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88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r>
      <w:tr>
        <w:trPr>
          <w:trHeight w:val="385"/>
        </w:trPr>
        <w:tc>
          <w:tcPr>
            <w:tcW w:w="920" w:type="dxa"/>
            <w:vAlign w:val="bottom"/>
            <w:tcBorders>
              <w:right w:val="single" w:sz="8" w:color="auto"/>
            </w:tcBorders>
          </w:tcPr>
          <w:p>
            <w:pPr>
              <w:ind w:left="40"/>
              <w:spacing w:after="0"/>
              <w:rPr>
                <w:sz w:val="20"/>
                <w:szCs w:val="20"/>
                <w:color w:val="auto"/>
              </w:rPr>
            </w:pPr>
            <w:r>
              <w:rPr>
                <w:rFonts w:ascii="Calibri" w:cs="Calibri" w:eastAsia="Calibri" w:hAnsi="Calibri"/>
                <w:sz w:val="18"/>
                <w:szCs w:val="18"/>
                <w:color w:val="auto"/>
              </w:rPr>
              <w:t>(32.1)</w:t>
            </w:r>
            <w:r>
              <w:rPr>
                <w:rFonts w:ascii="Calibri" w:cs="Calibri" w:eastAsia="Calibri" w:hAnsi="Calibri"/>
                <w:sz w:val="24"/>
                <w:szCs w:val="24"/>
                <w:color w:val="auto"/>
                <w:vertAlign w:val="superscript"/>
              </w:rPr>
              <w:t>(1)</w:t>
            </w:r>
          </w:p>
        </w:tc>
        <w:tc>
          <w:tcPr>
            <w:tcW w:w="9940" w:type="dxa"/>
            <w:vAlign w:val="bottom"/>
            <w:tcBorders>
              <w:bottom w:val="single" w:sz="8" w:color="0000EE"/>
            </w:tcBorders>
            <w:gridSpan w:val="15"/>
          </w:tcPr>
          <w:p>
            <w:pPr>
              <w:spacing w:after="0"/>
              <w:rPr>
                <w:sz w:val="20"/>
                <w:szCs w:val="20"/>
                <w:color w:val="auto"/>
              </w:rPr>
            </w:pPr>
            <w:r>
              <w:rPr>
                <w:rFonts w:ascii="Calibri" w:cs="Calibri" w:eastAsia="Calibri" w:hAnsi="Calibri"/>
                <w:sz w:val="18"/>
                <w:szCs w:val="18"/>
                <w:color w:val="0000FF"/>
                <w:w w:val="99"/>
              </w:rPr>
              <w:t>Certfcaton Pursuant to 18 U.S.C. Secton 1350, as Adopted Pursuant to Secton 906 of the Sarbanes-Oxley Act of 2002, signed by James V.</w:t>
            </w:r>
          </w:p>
        </w:tc>
        <w:tc>
          <w:tcPr>
            <w:tcW w:w="260" w:type="dxa"/>
            <w:vAlign w:val="bottom"/>
            <w:tcBorders>
              <w:right w:val="single" w:sz="8" w:color="auto"/>
            </w:tcBorders>
            <w:gridSpan w:val="2"/>
          </w:tcPr>
          <w:p>
            <w:pPr>
              <w:spacing w:after="0"/>
              <w:rPr>
                <w:sz w:val="24"/>
                <w:szCs w:val="24"/>
                <w:color w:val="auto"/>
              </w:rPr>
            </w:pPr>
          </w:p>
        </w:tc>
      </w:tr>
      <w:tr>
        <w:trPr>
          <w:trHeight w:val="196"/>
        </w:trPr>
        <w:tc>
          <w:tcPr>
            <w:tcW w:w="920" w:type="dxa"/>
            <w:vAlign w:val="bottom"/>
            <w:tcBorders>
              <w:right w:val="single" w:sz="8" w:color="auto"/>
            </w:tcBorders>
          </w:tcPr>
          <w:p>
            <w:pPr>
              <w:spacing w:after="0"/>
              <w:rPr>
                <w:sz w:val="17"/>
                <w:szCs w:val="17"/>
                <w:color w:val="auto"/>
              </w:rPr>
            </w:pPr>
          </w:p>
        </w:tc>
        <w:tc>
          <w:tcPr>
            <w:tcW w:w="10200" w:type="dxa"/>
            <w:vAlign w:val="bottom"/>
            <w:tcBorders>
              <w:right w:val="single" w:sz="8" w:color="auto"/>
            </w:tcBorders>
            <w:gridSpan w:val="17"/>
          </w:tcPr>
          <w:p>
            <w:pPr>
              <w:spacing w:after="0" w:line="196" w:lineRule="exact"/>
              <w:rPr>
                <w:sz w:val="20"/>
                <w:szCs w:val="20"/>
                <w:color w:val="auto"/>
              </w:rPr>
            </w:pPr>
            <w:r>
              <w:rPr>
                <w:rFonts w:ascii="Calibri" w:cs="Calibri" w:eastAsia="Calibri" w:hAnsi="Calibri"/>
                <w:sz w:val="18"/>
                <w:szCs w:val="18"/>
                <w:color w:val="0000FF"/>
              </w:rPr>
              <w:t>Contnenza, furnished herewith.</w:t>
            </w:r>
          </w:p>
        </w:tc>
      </w:tr>
      <w:tr>
        <w:trPr>
          <w:trHeight w:val="34"/>
        </w:trPr>
        <w:tc>
          <w:tcPr>
            <w:tcW w:w="920" w:type="dxa"/>
            <w:vAlign w:val="bottom"/>
            <w:tcBorders>
              <w:bottom w:val="single" w:sz="8" w:color="auto"/>
              <w:right w:val="single" w:sz="8" w:color="auto"/>
            </w:tcBorders>
          </w:tcPr>
          <w:p>
            <w:pPr>
              <w:spacing w:after="0"/>
              <w:rPr>
                <w:sz w:val="2"/>
                <w:szCs w:val="2"/>
                <w:color w:val="auto"/>
              </w:rPr>
            </w:pPr>
          </w:p>
        </w:tc>
        <w:tc>
          <w:tcPr>
            <w:tcW w:w="22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r>
      <w:tr>
        <w:trPr>
          <w:trHeight w:val="385"/>
        </w:trPr>
        <w:tc>
          <w:tcPr>
            <w:tcW w:w="920" w:type="dxa"/>
            <w:vAlign w:val="bottom"/>
            <w:tcBorders>
              <w:right w:val="single" w:sz="8" w:color="auto"/>
            </w:tcBorders>
          </w:tcPr>
          <w:p>
            <w:pPr>
              <w:ind w:left="40"/>
              <w:spacing w:after="0"/>
              <w:rPr>
                <w:sz w:val="20"/>
                <w:szCs w:val="20"/>
                <w:color w:val="auto"/>
              </w:rPr>
            </w:pPr>
            <w:r>
              <w:rPr>
                <w:rFonts w:ascii="Calibri" w:cs="Calibri" w:eastAsia="Calibri" w:hAnsi="Calibri"/>
                <w:sz w:val="18"/>
                <w:szCs w:val="18"/>
                <w:color w:val="auto"/>
              </w:rPr>
              <w:t>(32.2)</w:t>
            </w:r>
            <w:r>
              <w:rPr>
                <w:rFonts w:ascii="Calibri" w:cs="Calibri" w:eastAsia="Calibri" w:hAnsi="Calibri"/>
                <w:sz w:val="24"/>
                <w:szCs w:val="24"/>
                <w:color w:val="auto"/>
                <w:vertAlign w:val="superscript"/>
              </w:rPr>
              <w:t>(1)</w:t>
            </w:r>
          </w:p>
        </w:tc>
        <w:tc>
          <w:tcPr>
            <w:tcW w:w="9840" w:type="dxa"/>
            <w:vAlign w:val="bottom"/>
            <w:tcBorders>
              <w:bottom w:val="single" w:sz="8" w:color="0000EE"/>
            </w:tcBorders>
            <w:gridSpan w:val="14"/>
          </w:tcPr>
          <w:p>
            <w:pPr>
              <w:spacing w:after="0"/>
              <w:rPr>
                <w:sz w:val="20"/>
                <w:szCs w:val="20"/>
                <w:color w:val="auto"/>
              </w:rPr>
            </w:pPr>
            <w:r>
              <w:rPr>
                <w:rFonts w:ascii="Calibri" w:cs="Calibri" w:eastAsia="Calibri" w:hAnsi="Calibri"/>
                <w:sz w:val="18"/>
                <w:szCs w:val="18"/>
                <w:color w:val="0000FF"/>
                <w:w w:val="99"/>
              </w:rPr>
              <w:t>Certfcaton Pursuant to 18 U.S.C. Secton 1350, as Adopted Pursuant to Secton 906 of the Sarbanes-Oxley Act of 2002 signed by David E.</w:t>
            </w:r>
          </w:p>
        </w:tc>
        <w:tc>
          <w:tcPr>
            <w:tcW w:w="360" w:type="dxa"/>
            <w:vAlign w:val="bottom"/>
            <w:tcBorders>
              <w:right w:val="single" w:sz="8" w:color="auto"/>
            </w:tcBorders>
            <w:gridSpan w:val="3"/>
          </w:tcPr>
          <w:p>
            <w:pPr>
              <w:spacing w:after="0"/>
              <w:rPr>
                <w:sz w:val="24"/>
                <w:szCs w:val="24"/>
                <w:color w:val="auto"/>
              </w:rPr>
            </w:pPr>
          </w:p>
        </w:tc>
      </w:tr>
      <w:tr>
        <w:trPr>
          <w:trHeight w:val="196"/>
        </w:trPr>
        <w:tc>
          <w:tcPr>
            <w:tcW w:w="920" w:type="dxa"/>
            <w:vAlign w:val="bottom"/>
            <w:tcBorders>
              <w:right w:val="single" w:sz="8" w:color="auto"/>
            </w:tcBorders>
          </w:tcPr>
          <w:p>
            <w:pPr>
              <w:spacing w:after="0"/>
              <w:rPr>
                <w:sz w:val="17"/>
                <w:szCs w:val="17"/>
                <w:color w:val="auto"/>
              </w:rPr>
            </w:pPr>
          </w:p>
        </w:tc>
        <w:tc>
          <w:tcPr>
            <w:tcW w:w="10200" w:type="dxa"/>
            <w:vAlign w:val="bottom"/>
            <w:tcBorders>
              <w:right w:val="single" w:sz="8" w:color="auto"/>
            </w:tcBorders>
            <w:gridSpan w:val="17"/>
          </w:tcPr>
          <w:p>
            <w:pPr>
              <w:spacing w:after="0" w:line="196" w:lineRule="exact"/>
              <w:rPr>
                <w:sz w:val="20"/>
                <w:szCs w:val="20"/>
                <w:color w:val="auto"/>
              </w:rPr>
            </w:pPr>
            <w:r>
              <w:rPr>
                <w:rFonts w:ascii="Calibri" w:cs="Calibri" w:eastAsia="Calibri" w:hAnsi="Calibri"/>
                <w:sz w:val="18"/>
                <w:szCs w:val="18"/>
                <w:color w:val="0000FF"/>
              </w:rPr>
              <w:t>Bullwinkle, furnished herewith.</w:t>
            </w:r>
          </w:p>
        </w:tc>
      </w:tr>
      <w:tr>
        <w:trPr>
          <w:trHeight w:val="34"/>
        </w:trPr>
        <w:tc>
          <w:tcPr>
            <w:tcW w:w="920" w:type="dxa"/>
            <w:vAlign w:val="bottom"/>
            <w:tcBorders>
              <w:bottom w:val="single" w:sz="8" w:color="auto"/>
              <w:right w:val="single" w:sz="8" w:color="auto"/>
            </w:tcBorders>
          </w:tcPr>
          <w:p>
            <w:pPr>
              <w:spacing w:after="0"/>
              <w:rPr>
                <w:sz w:val="2"/>
                <w:szCs w:val="2"/>
                <w:color w:val="auto"/>
              </w:rPr>
            </w:pPr>
          </w:p>
        </w:tc>
        <w:tc>
          <w:tcPr>
            <w:tcW w:w="2220" w:type="dxa"/>
            <w:vAlign w:val="bottom"/>
            <w:tcBorders>
              <w:top w:val="single" w:sz="8" w:color="0000EE"/>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-719455</wp:posOffset>
            </wp:positionV>
            <wp:extent cx="7054850"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74">
                      <a:extLst>
                        <a:ext uri="{28A0092B-C50C-407E-A947-70E740481C1C}"/>
                      </a:extLst>
                    </a:blip>
                    <a:srcRect/>
                    <a:stretch>
                      <a:fillRect/>
                    </a:stretch>
                  </pic:blipFill>
                  <pic:spPr bwMode="auto">
                    <a:xfrm>
                      <a:off x="0" y="0"/>
                      <a:ext cx="705485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-290830</wp:posOffset>
            </wp:positionV>
            <wp:extent cx="7054850"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75">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pacing w:after="0" w:line="187" w:lineRule="exact"/>
        <w:rPr>
          <w:sz w:val="20"/>
          <w:szCs w:val="20"/>
          <w:color w:val="auto"/>
        </w:rPr>
      </w:pPr>
    </w:p>
    <w:p>
      <w:pPr>
        <w:ind w:left="920" w:right="380" w:hanging="885"/>
        <w:spacing w:after="0" w:line="235" w:lineRule="auto"/>
        <w:tabs>
          <w:tab w:leader="none" w:pos="920" w:val="left"/>
        </w:tabs>
        <w:numPr>
          <w:ilvl w:val="0"/>
          <w:numId w:val="50"/>
        </w:numPr>
        <w:rPr>
          <w:rFonts w:ascii="Calibri" w:cs="Calibri" w:eastAsia="Calibri" w:hAnsi="Calibri"/>
          <w:sz w:val="18"/>
          <w:szCs w:val="18"/>
          <w:color w:val="0000FF"/>
        </w:rPr>
      </w:pPr>
      <w:hyperlink r:id="rId776">
        <w:r>
          <w:rPr>
            <w:rFonts w:ascii="Calibri" w:cs="Calibri" w:eastAsia="Calibri" w:hAnsi="Calibri"/>
            <w:sz w:val="18"/>
            <w:szCs w:val="18"/>
            <w:color w:val="0000FF"/>
          </w:rPr>
          <w:t>Eastman Kodak Company Compensaton Recoupment (Clawback) Policy (Incorporated by reference to Exhibit 97 of the Company’s Annual</w:t>
        </w:r>
      </w:hyperlink>
      <w:r>
        <w:rPr>
          <w:rFonts w:ascii="Calibri" w:cs="Calibri" w:eastAsia="Calibri" w:hAnsi="Calibri"/>
          <w:sz w:val="18"/>
          <w:szCs w:val="18"/>
          <w:color w:val="0000FF"/>
        </w:rPr>
        <w:t xml:space="preserve"> </w:t>
      </w:r>
      <w:hyperlink r:id="rId776">
        <w:r>
          <w:rPr>
            <w:rFonts w:ascii="Calibri" w:cs="Calibri" w:eastAsia="Calibri" w:hAnsi="Calibri"/>
            <w:sz w:val="18"/>
            <w:szCs w:val="18"/>
            <w:color w:val="0000FF"/>
          </w:rPr>
          <w:t>Report on Form 10-K for the year ended December 31, 2023 as fled on March 14, 2024).</w:t>
        </w:r>
      </w:hyperlink>
    </w:p>
    <w:p>
      <w:pPr>
        <w:spacing w:after="0" w:line="20" w:lineRule="exact"/>
        <w:rPr>
          <w:rFonts w:ascii="Calibri" w:cs="Calibri" w:eastAsia="Calibri" w:hAnsi="Calibri"/>
          <w:sz w:val="18"/>
          <w:szCs w:val="18"/>
          <w:color w:val="auto"/>
        </w:rPr>
      </w:pPr>
      <w:r>
        <w:rPr>
          <w:rFonts w:ascii="Calibri" w:cs="Calibri" w:eastAsia="Calibri" w:hAnsi="Calibri"/>
          <w:sz w:val="18"/>
          <w:szCs w:val="18"/>
          <w:color w:val="auto"/>
        </w:rPr>
        <w:drawing>
          <wp:anchor simplePos="0" relativeHeight="251657728" behindDoc="1" locked="0" layoutInCell="0" allowOverlap="1">
            <wp:simplePos x="0" y="0"/>
            <wp:positionH relativeFrom="column">
              <wp:posOffset>3175</wp:posOffset>
            </wp:positionH>
            <wp:positionV relativeFrom="paragraph">
              <wp:posOffset>-269240</wp:posOffset>
            </wp:positionV>
            <wp:extent cx="7057390" cy="145097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77">
                      <a:extLst>
                        <a:ext uri="{28A0092B-C50C-407E-A947-70E740481C1C}"/>
                      </a:extLst>
                    </a:blip>
                    <a:srcRect/>
                    <a:stretch>
                      <a:fillRect/>
                    </a:stretch>
                  </pic:blipFill>
                  <pic:spPr bwMode="auto">
                    <a:xfrm>
                      <a:off x="0" y="0"/>
                      <a:ext cx="7057390" cy="1450975"/>
                    </a:xfrm>
                    <a:prstGeom prst="rect">
                      <a:avLst/>
                    </a:prstGeom>
                    <a:noFill/>
                  </pic:spPr>
                </pic:pic>
              </a:graphicData>
            </a:graphic>
          </wp:anchor>
        </w:drawing>
      </w:r>
    </w:p>
    <w:p>
      <w:pPr>
        <w:spacing w:after="0" w:line="220" w:lineRule="exact"/>
        <w:rPr>
          <w:rFonts w:ascii="Calibri" w:cs="Calibri" w:eastAsia="Calibri" w:hAnsi="Calibri"/>
          <w:sz w:val="18"/>
          <w:szCs w:val="18"/>
          <w:color w:val="auto"/>
        </w:rPr>
      </w:pPr>
    </w:p>
    <w:tbl>
      <w:tblPr>
        <w:tblLayout w:type="fixed"/>
        <w:tblInd w:w="0" w:type="dxa"/>
        <w:tblCellMar>
          <w:top w:w="0" w:type="dxa"/>
          <w:left w:w="0" w:type="dxa"/>
          <w:bottom w:w="0" w:type="dxa"/>
          <w:right w:w="0" w:type="dxa"/>
        </w:tblCellMar>
      </w:tblPr>
      <w:tr>
        <w:trPr>
          <w:trHeight w:val="220"/>
        </w:trPr>
        <w:tc>
          <w:tcPr>
            <w:tcW w:w="780" w:type="dxa"/>
            <w:vAlign w:val="bottom"/>
          </w:tcPr>
          <w:p>
            <w:pPr>
              <w:ind w:left="40"/>
              <w:spacing w:after="0"/>
              <w:rPr>
                <w:sz w:val="20"/>
                <w:szCs w:val="20"/>
                <w:color w:val="auto"/>
              </w:rPr>
            </w:pPr>
            <w:r>
              <w:rPr>
                <w:rFonts w:ascii="Calibri" w:cs="Calibri" w:eastAsia="Calibri" w:hAnsi="Calibri"/>
                <w:sz w:val="18"/>
                <w:szCs w:val="18"/>
                <w:color w:val="auto"/>
              </w:rPr>
              <w:t>101.INS</w:t>
            </w:r>
          </w:p>
        </w:tc>
        <w:tc>
          <w:tcPr>
            <w:tcW w:w="10340" w:type="dxa"/>
            <w:vAlign w:val="bottom"/>
          </w:tcPr>
          <w:p>
            <w:pPr>
              <w:ind w:left="140"/>
              <w:spacing w:after="0"/>
              <w:rPr>
                <w:sz w:val="20"/>
                <w:szCs w:val="20"/>
                <w:color w:val="auto"/>
              </w:rPr>
            </w:pPr>
            <w:r>
              <w:rPr>
                <w:rFonts w:ascii="Calibri" w:cs="Calibri" w:eastAsia="Calibri" w:hAnsi="Calibri"/>
                <w:sz w:val="18"/>
                <w:szCs w:val="18"/>
                <w:color w:val="auto"/>
                <w:w w:val="98"/>
              </w:rPr>
              <w:t>Inline XBRL Instance Document - the instance document does not appear in the Interactve Data File as its XBRL tags are embedded within the</w:t>
            </w:r>
          </w:p>
        </w:tc>
      </w:tr>
      <w:tr>
        <w:trPr>
          <w:trHeight w:val="216"/>
        </w:trPr>
        <w:tc>
          <w:tcPr>
            <w:tcW w:w="780" w:type="dxa"/>
            <w:vAlign w:val="bottom"/>
          </w:tcPr>
          <w:p>
            <w:pPr>
              <w:spacing w:after="0"/>
              <w:rPr>
                <w:sz w:val="18"/>
                <w:szCs w:val="18"/>
                <w:color w:val="auto"/>
              </w:rPr>
            </w:pPr>
          </w:p>
        </w:tc>
        <w:tc>
          <w:tcPr>
            <w:tcW w:w="10340" w:type="dxa"/>
            <w:vAlign w:val="bottom"/>
          </w:tcPr>
          <w:p>
            <w:pPr>
              <w:ind w:left="140"/>
              <w:spacing w:after="0" w:line="216" w:lineRule="exact"/>
              <w:rPr>
                <w:sz w:val="20"/>
                <w:szCs w:val="20"/>
                <w:color w:val="auto"/>
              </w:rPr>
            </w:pPr>
            <w:r>
              <w:rPr>
                <w:rFonts w:ascii="Calibri" w:cs="Calibri" w:eastAsia="Calibri" w:hAnsi="Calibri"/>
                <w:sz w:val="18"/>
                <w:szCs w:val="18"/>
                <w:color w:val="auto"/>
              </w:rPr>
              <w:t>Inline XBRL document</w:t>
            </w:r>
          </w:p>
        </w:tc>
      </w:tr>
      <w:tr>
        <w:trPr>
          <w:trHeight w:val="23"/>
        </w:trPr>
        <w:tc>
          <w:tcPr>
            <w:tcW w:w="780" w:type="dxa"/>
            <w:vAlign w:val="bottom"/>
            <w:tcBorders>
              <w:bottom w:val="single" w:sz="8" w:color="auto"/>
            </w:tcBorders>
          </w:tcPr>
          <w:p>
            <w:pPr>
              <w:spacing w:after="0"/>
              <w:rPr>
                <w:sz w:val="2"/>
                <w:szCs w:val="2"/>
                <w:color w:val="auto"/>
              </w:rPr>
            </w:pPr>
          </w:p>
        </w:tc>
        <w:tc>
          <w:tcPr>
            <w:tcW w:w="10340" w:type="dxa"/>
            <w:vAlign w:val="bottom"/>
            <w:tcBorders>
              <w:bottom w:val="single" w:sz="8" w:color="auto"/>
            </w:tcBorders>
          </w:tcPr>
          <w:p>
            <w:pPr>
              <w:spacing w:after="0"/>
              <w:rPr>
                <w:sz w:val="2"/>
                <w:szCs w:val="2"/>
                <w:color w:val="auto"/>
              </w:rPr>
            </w:pPr>
          </w:p>
        </w:tc>
      </w:tr>
      <w:tr>
        <w:trPr>
          <w:trHeight w:val="209"/>
        </w:trPr>
        <w:tc>
          <w:tcPr>
            <w:tcW w:w="780" w:type="dxa"/>
            <w:vAlign w:val="bottom"/>
            <w:tcBorders>
              <w:bottom w:val="single" w:sz="8" w:color="auto"/>
            </w:tcBorders>
          </w:tcPr>
          <w:p>
            <w:pPr>
              <w:spacing w:after="0"/>
              <w:rPr>
                <w:sz w:val="18"/>
                <w:szCs w:val="18"/>
                <w:color w:val="auto"/>
              </w:rPr>
            </w:pPr>
          </w:p>
        </w:tc>
        <w:tc>
          <w:tcPr>
            <w:tcW w:w="10340" w:type="dxa"/>
            <w:vAlign w:val="bottom"/>
            <w:tcBorders>
              <w:bottom w:val="single" w:sz="8" w:color="auto"/>
            </w:tcBorders>
          </w:tcPr>
          <w:p>
            <w:pPr>
              <w:spacing w:after="0"/>
              <w:rPr>
                <w:sz w:val="18"/>
                <w:szCs w:val="18"/>
                <w:color w:val="auto"/>
              </w:rPr>
            </w:pPr>
          </w:p>
        </w:tc>
      </w:tr>
      <w:tr>
        <w:trPr>
          <w:trHeight w:val="208"/>
        </w:trPr>
        <w:tc>
          <w:tcPr>
            <w:tcW w:w="780" w:type="dxa"/>
            <w:vAlign w:val="bottom"/>
          </w:tcPr>
          <w:p>
            <w:pPr>
              <w:ind w:left="40"/>
              <w:spacing w:after="0" w:line="208" w:lineRule="exact"/>
              <w:rPr>
                <w:sz w:val="20"/>
                <w:szCs w:val="20"/>
                <w:color w:val="auto"/>
              </w:rPr>
            </w:pPr>
            <w:r>
              <w:rPr>
                <w:rFonts w:ascii="Calibri" w:cs="Calibri" w:eastAsia="Calibri" w:hAnsi="Calibri"/>
                <w:sz w:val="18"/>
                <w:szCs w:val="18"/>
                <w:color w:val="auto"/>
              </w:rPr>
              <w:t>101.SCH</w:t>
            </w:r>
          </w:p>
        </w:tc>
        <w:tc>
          <w:tcPr>
            <w:tcW w:w="10340" w:type="dxa"/>
            <w:vAlign w:val="bottom"/>
          </w:tcPr>
          <w:p>
            <w:pPr>
              <w:ind w:left="140"/>
              <w:spacing w:after="0" w:line="208" w:lineRule="exact"/>
              <w:rPr>
                <w:sz w:val="20"/>
                <w:szCs w:val="20"/>
                <w:color w:val="auto"/>
              </w:rPr>
            </w:pPr>
            <w:r>
              <w:rPr>
                <w:rFonts w:ascii="Calibri" w:cs="Calibri" w:eastAsia="Calibri" w:hAnsi="Calibri"/>
                <w:sz w:val="18"/>
                <w:szCs w:val="18"/>
                <w:color w:val="auto"/>
              </w:rPr>
              <w:t>Inline XBRL Taxonomy Extension Schema With Embedded Linkbase Documents</w:t>
            </w:r>
          </w:p>
        </w:tc>
      </w:tr>
    </w:tbl>
    <w:p>
      <w:pPr>
        <w:spacing w:after="0" w:line="222" w:lineRule="exact"/>
        <w:rPr>
          <w:rFonts w:ascii="Calibri" w:cs="Calibri" w:eastAsia="Calibri" w:hAnsi="Calibri"/>
          <w:sz w:val="18"/>
          <w:szCs w:val="18"/>
          <w:color w:val="auto"/>
        </w:rPr>
      </w:pPr>
    </w:p>
    <w:p>
      <w:pPr>
        <w:ind w:right="5580" w:firstLine="35"/>
        <w:spacing w:after="0" w:line="604" w:lineRule="auto"/>
        <w:tabs>
          <w:tab w:leader="none" w:pos="918" w:val="left"/>
        </w:tabs>
        <w:numPr>
          <w:ilvl w:val="1"/>
          <w:numId w:val="51"/>
        </w:numPr>
        <w:rPr>
          <w:rFonts w:ascii="Calibri" w:cs="Calibri" w:eastAsia="Calibri" w:hAnsi="Calibri"/>
          <w:sz w:val="18"/>
          <w:szCs w:val="18"/>
          <w:color w:val="auto"/>
        </w:rPr>
      </w:pPr>
      <w:r>
        <w:rPr>
          <w:rFonts w:ascii="Calibri" w:cs="Calibri" w:eastAsia="Calibri" w:hAnsi="Calibri"/>
          <w:sz w:val="18"/>
          <w:szCs w:val="18"/>
          <w:color w:val="auto"/>
        </w:rPr>
        <w:t>Cover page formated as Inline XBRL and contained in Exhibit 101 * Management contract or compensatory plan or arrangement.</w:t>
      </w:r>
    </w:p>
    <w:p>
      <w:pPr>
        <w:spacing w:after="0" w:line="1" w:lineRule="exact"/>
        <w:rPr>
          <w:rFonts w:ascii="Calibri" w:cs="Calibri" w:eastAsia="Calibri" w:hAnsi="Calibri"/>
          <w:sz w:val="18"/>
          <w:szCs w:val="18"/>
          <w:color w:val="auto"/>
        </w:rPr>
      </w:pPr>
    </w:p>
    <w:p>
      <w:pPr>
        <w:ind w:right="180" w:firstLine="8"/>
        <w:spacing w:after="0" w:line="235" w:lineRule="auto"/>
        <w:tabs>
          <w:tab w:leader="none" w:pos="127" w:val="left"/>
        </w:tabs>
        <w:numPr>
          <w:ilvl w:val="0"/>
          <w:numId w:val="52"/>
        </w:numPr>
        <w:rPr>
          <w:rFonts w:ascii="Calibri" w:cs="Calibri" w:eastAsia="Calibri" w:hAnsi="Calibri"/>
          <w:sz w:val="18"/>
          <w:szCs w:val="18"/>
          <w:color w:val="auto"/>
        </w:rPr>
      </w:pPr>
      <w:r>
        <w:rPr>
          <w:rFonts w:ascii="Calibri" w:cs="Calibri" w:eastAsia="Calibri" w:hAnsi="Calibri"/>
          <w:sz w:val="18"/>
          <w:szCs w:val="18"/>
          <w:color w:val="auto"/>
        </w:rPr>
        <w:t>Certain identfed informaton has been omited by means of marking such informaton with asterisks in reliance on Item 601(b)(10)(iv) of Regulaton S-K because it is both (i) not material and (ii) the type that the registrant treats as private or confdental.</w:t>
      </w:r>
    </w:p>
    <w:p>
      <w:pPr>
        <w:spacing w:after="0" w:line="245" w:lineRule="exact"/>
        <w:rPr>
          <w:rFonts w:ascii="Calibri" w:cs="Calibri" w:eastAsia="Calibri" w:hAnsi="Calibri"/>
          <w:sz w:val="18"/>
          <w:szCs w:val="18"/>
          <w:color w:val="auto"/>
        </w:rPr>
      </w:pPr>
    </w:p>
    <w:p>
      <w:pPr>
        <w:ind w:firstLine="8"/>
        <w:spacing w:after="0" w:line="227" w:lineRule="auto"/>
        <w:tabs>
          <w:tab w:leader="none" w:pos="174" w:val="left"/>
        </w:tabs>
        <w:numPr>
          <w:ilvl w:val="0"/>
          <w:numId w:val="53"/>
        </w:numPr>
        <w:rPr>
          <w:rFonts w:ascii="Calibri" w:cs="Calibri" w:eastAsia="Calibri" w:hAnsi="Calibri"/>
          <w:sz w:val="22"/>
          <w:szCs w:val="22"/>
          <w:color w:val="auto"/>
          <w:vertAlign w:val="superscript"/>
        </w:rPr>
      </w:pPr>
      <w:r>
        <w:rPr>
          <w:rFonts w:ascii="Calibri" w:cs="Calibri" w:eastAsia="Calibri" w:hAnsi="Calibri"/>
          <w:sz w:val="17"/>
          <w:szCs w:val="17"/>
          <w:color w:val="auto"/>
        </w:rPr>
        <w:t>Furnished herewith. The certfcatons that accompany this Annual Report on Form 10-K are not deemed fled with the SEC and are not to be incorporated by reference into any fling of the Registrant under the Securites Act of 1933, as amended, or the Securites Exchange Act of 1934, as amended (whether made before or afer the date of this Annual Report on Form 10 K), irrespectve of any general incorporaton language contained in such fling.</w:t>
      </w:r>
    </w:p>
    <w:p>
      <w:pPr>
        <w:spacing w:after="0" w:line="200" w:lineRule="exact"/>
        <w:rPr>
          <w:rFonts w:ascii="Calibri" w:cs="Calibri" w:eastAsia="Calibri" w:hAnsi="Calibri"/>
          <w:sz w:val="18"/>
          <w:szCs w:val="18"/>
          <w:color w:val="auto"/>
        </w:rPr>
      </w:pPr>
    </w:p>
    <w:p>
      <w:pPr>
        <w:spacing w:after="0" w:line="202" w:lineRule="exact"/>
        <w:rPr>
          <w:rFonts w:ascii="Calibri" w:cs="Calibri" w:eastAsia="Calibri" w:hAnsi="Calibri"/>
          <w:sz w:val="18"/>
          <w:szCs w:val="18"/>
          <w:color w:val="auto"/>
        </w:rPr>
      </w:pPr>
    </w:p>
    <w:p>
      <w:pPr>
        <w:spacing w:after="0"/>
        <w:rPr>
          <w:sz w:val="20"/>
          <w:szCs w:val="20"/>
          <w:color w:val="auto"/>
        </w:rPr>
      </w:pPr>
      <w:r>
        <w:rPr>
          <w:rFonts w:ascii="Calibri" w:cs="Calibri" w:eastAsia="Calibri" w:hAnsi="Calibri"/>
          <w:sz w:val="18"/>
          <w:szCs w:val="18"/>
          <w:b w:val="1"/>
          <w:bCs w:val="1"/>
          <w:color w:val="auto"/>
        </w:rPr>
        <w:t>ITEM 16. FORM 10-K SUMMARY</w:t>
      </w:r>
    </w:p>
    <w:p>
      <w:pPr>
        <w:spacing w:after="0" w:line="172" w:lineRule="exact"/>
        <w:rPr>
          <w:rFonts w:ascii="Calibri" w:cs="Calibri" w:eastAsia="Calibri" w:hAnsi="Calibri"/>
          <w:sz w:val="18"/>
          <w:szCs w:val="18"/>
          <w:color w:val="auto"/>
        </w:rPr>
      </w:pPr>
    </w:p>
    <w:p>
      <w:pPr>
        <w:spacing w:after="0"/>
        <w:rPr>
          <w:sz w:val="20"/>
          <w:szCs w:val="20"/>
          <w:color w:val="auto"/>
        </w:rPr>
      </w:pPr>
      <w:r>
        <w:rPr>
          <w:rFonts w:ascii="Calibri" w:cs="Calibri" w:eastAsia="Calibri" w:hAnsi="Calibri"/>
          <w:sz w:val="18"/>
          <w:szCs w:val="18"/>
          <w:color w:val="auto"/>
        </w:rPr>
        <w:t>None.</w:t>
      </w:r>
    </w:p>
    <w:p>
      <w:pPr>
        <w:spacing w:after="0" w:line="172" w:lineRule="exact"/>
        <w:rPr>
          <w:rFonts w:ascii="Calibri" w:cs="Calibri" w:eastAsia="Calibri" w:hAnsi="Calibri"/>
          <w:sz w:val="18"/>
          <w:szCs w:val="18"/>
          <w:color w:val="auto"/>
        </w:rPr>
      </w:pPr>
    </w:p>
    <w:p>
      <w:pPr>
        <w:jc w:val="center"/>
        <w:ind w:right="-99"/>
        <w:spacing w:after="0"/>
        <w:rPr>
          <w:sz w:val="20"/>
          <w:szCs w:val="20"/>
          <w:color w:val="auto"/>
        </w:rPr>
      </w:pPr>
      <w:r>
        <w:rPr>
          <w:rFonts w:ascii="Calibri" w:cs="Calibri" w:eastAsia="Calibri" w:hAnsi="Calibri"/>
          <w:sz w:val="18"/>
          <w:szCs w:val="18"/>
          <w:color w:val="auto"/>
        </w:rPr>
        <w:t>124</w:t>
      </w:r>
    </w:p>
    <w:p>
      <w:pPr>
        <w:spacing w:after="0" w:line="20" w:lineRule="exact"/>
        <w:rPr>
          <w:rFonts w:ascii="Calibri" w:cs="Calibri" w:eastAsia="Calibri" w:hAnsi="Calibri"/>
          <w:sz w:val="18"/>
          <w:szCs w:val="18"/>
          <w:color w:val="auto"/>
        </w:rPr>
      </w:pPr>
      <w:r>
        <w:rPr>
          <w:rFonts w:ascii="Calibri" w:cs="Calibri" w:eastAsia="Calibri" w:hAnsi="Calibri"/>
          <w:sz w:val="18"/>
          <w:szCs w:val="18"/>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2" w:right="419" w:bottom="1440" w:gutter="0" w:footer="0" w:header="0"/>
        </w:sectPr>
      </w:pPr>
    </w:p>
    <w:bookmarkStart w:id="124" w:name="page125"/>
    <w:bookmarkEnd w:id="124"/>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309" w:lineRule="exact"/>
        <w:rPr>
          <w:sz w:val="20"/>
          <w:szCs w:val="20"/>
          <w:color w:val="auto"/>
        </w:rPr>
      </w:pPr>
    </w:p>
    <w:p>
      <w:pPr>
        <w:jc w:val="center"/>
        <w:ind w:right="-159"/>
        <w:spacing w:after="0"/>
        <w:rPr>
          <w:sz w:val="20"/>
          <w:szCs w:val="20"/>
          <w:color w:val="auto"/>
        </w:rPr>
      </w:pPr>
      <w:r>
        <w:rPr>
          <w:rFonts w:ascii="Calibri" w:cs="Calibri" w:eastAsia="Calibri" w:hAnsi="Calibri"/>
          <w:sz w:val="18"/>
          <w:szCs w:val="18"/>
          <w:b w:val="1"/>
          <w:bCs w:val="1"/>
          <w:color w:val="auto"/>
        </w:rPr>
        <w:t>SIGNATURES</w:t>
      </w:r>
    </w:p>
    <w:p>
      <w:pPr>
        <w:spacing w:after="0" w:line="190" w:lineRule="exact"/>
        <w:rPr>
          <w:sz w:val="20"/>
          <w:szCs w:val="20"/>
          <w:color w:val="auto"/>
        </w:rPr>
      </w:pPr>
    </w:p>
    <w:p>
      <w:pPr>
        <w:ind w:right="280"/>
        <w:spacing w:after="0" w:line="235" w:lineRule="auto"/>
        <w:rPr>
          <w:sz w:val="20"/>
          <w:szCs w:val="20"/>
          <w:color w:val="auto"/>
        </w:rPr>
      </w:pPr>
      <w:r>
        <w:rPr>
          <w:rFonts w:ascii="Calibri" w:cs="Calibri" w:eastAsia="Calibri" w:hAnsi="Calibri"/>
          <w:sz w:val="18"/>
          <w:szCs w:val="18"/>
          <w:color w:val="auto"/>
        </w:rPr>
        <w:t>Pursuant to the requirements of Secton 13 or 15(d) of the Securites Exchange Act of 1934, the registrant has duly caused this report to be signed on its behalf by the undersigned, thereunto duly authorized.</w:t>
      </w:r>
    </w:p>
    <w:p>
      <w:pPr>
        <w:spacing w:after="0" w:line="213" w:lineRule="exact"/>
        <w:rPr>
          <w:sz w:val="20"/>
          <w:szCs w:val="20"/>
          <w:color w:val="auto"/>
        </w:rPr>
      </w:pPr>
    </w:p>
    <w:p>
      <w:pPr>
        <w:ind w:left="360"/>
        <w:spacing w:after="0"/>
        <w:rPr>
          <w:sz w:val="20"/>
          <w:szCs w:val="20"/>
          <w:color w:val="auto"/>
        </w:rPr>
      </w:pPr>
      <w:r>
        <w:rPr>
          <w:rFonts w:ascii="Calibri" w:cs="Calibri" w:eastAsia="Calibri" w:hAnsi="Calibri"/>
          <w:sz w:val="18"/>
          <w:szCs w:val="18"/>
          <w:b w:val="1"/>
          <w:bCs w:val="1"/>
          <w:color w:val="auto"/>
        </w:rPr>
        <w:t>EASTMAN KODAK COMPANY</w:t>
      </w:r>
    </w:p>
    <w:p>
      <w:pPr>
        <w:ind w:left="360"/>
        <w:spacing w:after="0" w:line="235" w:lineRule="auto"/>
        <w:rPr>
          <w:sz w:val="20"/>
          <w:szCs w:val="20"/>
          <w:color w:val="auto"/>
        </w:rPr>
      </w:pPr>
      <w:r>
        <w:rPr>
          <w:rFonts w:ascii="Calibri" w:cs="Calibri" w:eastAsia="Calibri" w:hAnsi="Calibri"/>
          <w:sz w:val="18"/>
          <w:szCs w:val="18"/>
          <w:color w:val="auto"/>
        </w:rPr>
        <w:t>(Registrant)</w:t>
      </w:r>
    </w:p>
    <w:p>
      <w:pPr>
        <w:spacing w:after="0" w:line="218"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By:  /s/ James V. Contnenza</w:t>
      </w:r>
    </w:p>
    <w:p>
      <w:pPr>
        <w:spacing w:after="0" w:line="5" w:lineRule="exact"/>
        <w:rPr>
          <w:sz w:val="20"/>
          <w:szCs w:val="20"/>
          <w:color w:val="auto"/>
        </w:rPr>
      </w:pPr>
    </w:p>
    <w:p>
      <w:pPr>
        <w:ind w:left="360"/>
        <w:spacing w:after="0"/>
        <w:rPr>
          <w:sz w:val="20"/>
          <w:szCs w:val="20"/>
          <w:color w:val="auto"/>
        </w:rPr>
      </w:pPr>
      <w:r>
        <w:rPr>
          <w:rFonts w:ascii="Calibri" w:cs="Calibri" w:eastAsia="Calibri" w:hAnsi="Calibri"/>
          <w:sz w:val="18"/>
          <w:szCs w:val="18"/>
          <w:color w:val="auto"/>
        </w:rPr>
        <w:t>James V. Contnenza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-130175</wp:posOffset>
            </wp:positionV>
            <wp:extent cx="2640330"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79">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ind w:left="360"/>
        <w:spacing w:after="0" w:line="235" w:lineRule="auto"/>
        <w:rPr>
          <w:sz w:val="20"/>
          <w:szCs w:val="20"/>
          <w:color w:val="auto"/>
        </w:rPr>
      </w:pPr>
      <w:r>
        <w:rPr>
          <w:rFonts w:ascii="Calibri" w:cs="Calibri" w:eastAsia="Calibri" w:hAnsi="Calibri"/>
          <w:sz w:val="18"/>
          <w:szCs w:val="18"/>
          <w:color w:val="auto"/>
        </w:rPr>
        <w:t>Executve Chairman and Chief Executve Ofcer</w:t>
      </w:r>
    </w:p>
    <w:p>
      <w:pPr>
        <w:ind w:left="360"/>
        <w:spacing w:after="0" w:line="236" w:lineRule="auto"/>
        <w:rPr>
          <w:sz w:val="20"/>
          <w:szCs w:val="20"/>
          <w:color w:val="auto"/>
        </w:rPr>
      </w:pPr>
      <w:r>
        <w:rPr>
          <w:rFonts w:ascii="Calibri" w:cs="Calibri" w:eastAsia="Calibri" w:hAnsi="Calibri"/>
          <w:sz w:val="18"/>
          <w:szCs w:val="18"/>
          <w:color w:val="auto"/>
        </w:rPr>
        <w:t>March 17, 2025</w:t>
      </w:r>
    </w:p>
    <w:p>
      <w:pPr>
        <w:spacing w:after="0" w:line="218"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Pursuant to the requirements of the Securites Exchange Act of 1934, this report has been signed below by the following persons on behalf of the registrant and in the capacites and on the date indicated.</w:t>
      </w:r>
    </w:p>
    <w:p>
      <w:pPr>
        <w:sectPr>
          <w:pgSz w:w="11900" w:h="16838" w:orient="portrait"/>
          <w:cols w:equalWidth="0" w:num="1">
            <w:col w:w="11100"/>
          </w:cols>
          <w:pgMar w:left="320" w:top="112" w:right="479" w:bottom="1440" w:gutter="0" w:footer="0" w:header="0"/>
        </w:sectPr>
      </w:pPr>
    </w:p>
    <w:p>
      <w:pPr>
        <w:spacing w:after="0" w:line="213" w:lineRule="exact"/>
        <w:rPr>
          <w:sz w:val="20"/>
          <w:szCs w:val="20"/>
          <w:color w:val="auto"/>
        </w:rPr>
      </w:pPr>
    </w:p>
    <w:p>
      <w:pPr>
        <w:ind w:left="480"/>
        <w:spacing w:after="0"/>
        <w:rPr>
          <w:sz w:val="20"/>
          <w:szCs w:val="20"/>
          <w:color w:val="auto"/>
        </w:rPr>
      </w:pPr>
      <w:r>
        <w:rPr>
          <w:rFonts w:ascii="Calibri" w:cs="Calibri" w:eastAsia="Calibri" w:hAnsi="Calibri"/>
          <w:sz w:val="18"/>
          <w:szCs w:val="18"/>
          <w:b w:val="1"/>
          <w:bCs w:val="1"/>
          <w:color w:val="auto"/>
        </w:rPr>
        <w:t>Signature</w:t>
      </w:r>
    </w:p>
    <w:p>
      <w:pPr>
        <w:spacing w:after="0" w:line="217" w:lineRule="exact"/>
        <w:rPr>
          <w:sz w:val="20"/>
          <w:szCs w:val="20"/>
          <w:color w:val="auto"/>
        </w:rPr>
      </w:pPr>
    </w:p>
    <w:p>
      <w:pPr>
        <w:ind w:left="20"/>
        <w:spacing w:after="0"/>
        <w:tabs>
          <w:tab w:leader="none" w:pos="460" w:val="left"/>
        </w:tabs>
        <w:rPr>
          <w:sz w:val="20"/>
          <w:szCs w:val="20"/>
          <w:color w:val="auto"/>
        </w:rPr>
      </w:pPr>
      <w:r>
        <w:rPr>
          <w:rFonts w:ascii="Calibri" w:cs="Calibri" w:eastAsia="Calibri" w:hAnsi="Calibri"/>
          <w:sz w:val="17"/>
          <w:szCs w:val="17"/>
          <w:color w:val="auto"/>
        </w:rPr>
        <w:t>By:</w:t>
        <w:tab/>
        <w:t>/s/ James V. Contnenza</w:t>
      </w:r>
    </w:p>
    <w:p>
      <w:pPr>
        <w:spacing w:after="0" w:line="17" w:lineRule="exact"/>
        <w:rPr>
          <w:sz w:val="20"/>
          <w:szCs w:val="20"/>
          <w:color w:val="auto"/>
        </w:rPr>
      </w:pPr>
    </w:p>
    <w:p>
      <w:pPr>
        <w:ind w:left="480"/>
        <w:spacing w:after="0"/>
        <w:rPr>
          <w:sz w:val="20"/>
          <w:szCs w:val="20"/>
          <w:color w:val="auto"/>
        </w:rPr>
      </w:pPr>
      <w:r>
        <w:rPr>
          <w:rFonts w:ascii="Calibri" w:cs="Calibri" w:eastAsia="Calibri" w:hAnsi="Calibri"/>
          <w:sz w:val="18"/>
          <w:szCs w:val="18"/>
          <w:color w:val="auto"/>
        </w:rPr>
        <w:t>James V. Contnenza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-130175</wp:posOffset>
            </wp:positionV>
            <wp:extent cx="3360420"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80">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192" w:lineRule="exact"/>
        <w:rPr>
          <w:sz w:val="20"/>
          <w:szCs w:val="20"/>
          <w:color w:val="auto"/>
        </w:rPr>
      </w:pPr>
    </w:p>
    <w:p>
      <w:pPr>
        <w:ind w:left="20"/>
        <w:spacing w:after="0"/>
        <w:tabs>
          <w:tab w:leader="none" w:pos="460" w:val="left"/>
        </w:tabs>
        <w:rPr>
          <w:sz w:val="20"/>
          <w:szCs w:val="20"/>
          <w:color w:val="auto"/>
        </w:rPr>
      </w:pPr>
      <w:r>
        <w:rPr>
          <w:rFonts w:ascii="Calibri" w:cs="Calibri" w:eastAsia="Calibri" w:hAnsi="Calibri"/>
          <w:sz w:val="18"/>
          <w:szCs w:val="18"/>
          <w:color w:val="auto"/>
        </w:rPr>
        <w:t>By:</w:t>
        <w:tab/>
        <w:t>/s/ David E. Bullwinkle</w:t>
      </w:r>
    </w:p>
    <w:p>
      <w:pPr>
        <w:spacing w:after="0" w:line="10" w:lineRule="exact"/>
        <w:rPr>
          <w:sz w:val="20"/>
          <w:szCs w:val="20"/>
          <w:color w:val="auto"/>
        </w:rPr>
      </w:pPr>
    </w:p>
    <w:p>
      <w:pPr>
        <w:ind w:left="480"/>
        <w:spacing w:after="0"/>
        <w:rPr>
          <w:sz w:val="20"/>
          <w:szCs w:val="20"/>
          <w:color w:val="auto"/>
        </w:rPr>
      </w:pPr>
      <w:r>
        <w:rPr>
          <w:rFonts w:ascii="Calibri" w:cs="Calibri" w:eastAsia="Calibri" w:hAnsi="Calibri"/>
          <w:sz w:val="18"/>
          <w:szCs w:val="18"/>
          <w:color w:val="auto"/>
        </w:rPr>
        <w:t>David E. Bullwinkle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-130175</wp:posOffset>
            </wp:positionV>
            <wp:extent cx="3360420"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81">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192" w:lineRule="exact"/>
        <w:rPr>
          <w:sz w:val="20"/>
          <w:szCs w:val="20"/>
          <w:color w:val="auto"/>
        </w:rPr>
      </w:pPr>
    </w:p>
    <w:p>
      <w:pPr>
        <w:ind w:left="20"/>
        <w:spacing w:after="0"/>
        <w:tabs>
          <w:tab w:leader="none" w:pos="460" w:val="left"/>
        </w:tabs>
        <w:rPr>
          <w:sz w:val="20"/>
          <w:szCs w:val="20"/>
          <w:color w:val="auto"/>
        </w:rPr>
      </w:pPr>
      <w:r>
        <w:rPr>
          <w:rFonts w:ascii="Calibri" w:cs="Calibri" w:eastAsia="Calibri" w:hAnsi="Calibri"/>
          <w:sz w:val="18"/>
          <w:szCs w:val="18"/>
          <w:color w:val="auto"/>
        </w:rPr>
        <w:t>By:</w:t>
        <w:tab/>
        <w:t>/s/ Richard T. Michaels</w:t>
      </w:r>
    </w:p>
    <w:p>
      <w:pPr>
        <w:spacing w:after="0" w:line="10" w:lineRule="exact"/>
        <w:rPr>
          <w:sz w:val="20"/>
          <w:szCs w:val="20"/>
          <w:color w:val="auto"/>
        </w:rPr>
      </w:pPr>
    </w:p>
    <w:p>
      <w:pPr>
        <w:ind w:left="480"/>
        <w:spacing w:after="0"/>
        <w:rPr>
          <w:sz w:val="20"/>
          <w:szCs w:val="20"/>
          <w:color w:val="auto"/>
        </w:rPr>
      </w:pPr>
      <w:r>
        <w:rPr>
          <w:rFonts w:ascii="Calibri" w:cs="Calibri" w:eastAsia="Calibri" w:hAnsi="Calibri"/>
          <w:sz w:val="18"/>
          <w:szCs w:val="18"/>
          <w:color w:val="auto"/>
        </w:rPr>
        <w:t>Richard T. Michaels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-130175</wp:posOffset>
            </wp:positionV>
            <wp:extent cx="3360420"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82">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192" w:lineRule="exact"/>
        <w:rPr>
          <w:sz w:val="20"/>
          <w:szCs w:val="20"/>
          <w:color w:val="auto"/>
        </w:rPr>
      </w:pPr>
    </w:p>
    <w:p>
      <w:pPr>
        <w:ind w:left="20"/>
        <w:spacing w:after="0"/>
        <w:tabs>
          <w:tab w:leader="none" w:pos="460" w:val="left"/>
        </w:tabs>
        <w:rPr>
          <w:sz w:val="20"/>
          <w:szCs w:val="20"/>
          <w:color w:val="auto"/>
        </w:rPr>
      </w:pPr>
      <w:r>
        <w:rPr>
          <w:rFonts w:ascii="Calibri" w:cs="Calibri" w:eastAsia="Calibri" w:hAnsi="Calibri"/>
          <w:sz w:val="18"/>
          <w:szCs w:val="18"/>
          <w:color w:val="auto"/>
        </w:rPr>
        <w:t>By:</w:t>
        <w:tab/>
        <w:t>/s/ David P. Bovenzi</w:t>
      </w:r>
    </w:p>
    <w:p>
      <w:pPr>
        <w:spacing w:after="0" w:line="10" w:lineRule="exact"/>
        <w:rPr>
          <w:sz w:val="20"/>
          <w:szCs w:val="20"/>
          <w:color w:val="auto"/>
        </w:rPr>
      </w:pPr>
    </w:p>
    <w:p>
      <w:pPr>
        <w:ind w:left="480"/>
        <w:spacing w:after="0"/>
        <w:rPr>
          <w:sz w:val="20"/>
          <w:szCs w:val="20"/>
          <w:color w:val="auto"/>
        </w:rPr>
      </w:pPr>
      <w:r>
        <w:rPr>
          <w:rFonts w:ascii="Calibri" w:cs="Calibri" w:eastAsia="Calibri" w:hAnsi="Calibri"/>
          <w:sz w:val="18"/>
          <w:szCs w:val="18"/>
          <w:color w:val="auto"/>
        </w:rPr>
        <w:t>David P. Bovenzi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-130175</wp:posOffset>
            </wp:positionV>
            <wp:extent cx="3360420" cy="88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83">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192" w:lineRule="exact"/>
        <w:rPr>
          <w:sz w:val="20"/>
          <w:szCs w:val="20"/>
          <w:color w:val="auto"/>
        </w:rPr>
      </w:pPr>
    </w:p>
    <w:p>
      <w:pPr>
        <w:ind w:left="20"/>
        <w:spacing w:after="0"/>
        <w:tabs>
          <w:tab w:leader="none" w:pos="460" w:val="left"/>
        </w:tabs>
        <w:rPr>
          <w:sz w:val="20"/>
          <w:szCs w:val="20"/>
          <w:color w:val="auto"/>
        </w:rPr>
      </w:pPr>
      <w:r>
        <w:rPr>
          <w:rFonts w:ascii="Calibri" w:cs="Calibri" w:eastAsia="Calibri" w:hAnsi="Calibri"/>
          <w:sz w:val="18"/>
          <w:szCs w:val="18"/>
          <w:color w:val="auto"/>
        </w:rPr>
        <w:t>By:</w:t>
        <w:tab/>
        <w:t>/s/ Philippe D. Katz</w:t>
      </w:r>
    </w:p>
    <w:p>
      <w:pPr>
        <w:spacing w:after="0" w:line="10" w:lineRule="exact"/>
        <w:rPr>
          <w:sz w:val="20"/>
          <w:szCs w:val="20"/>
          <w:color w:val="auto"/>
        </w:rPr>
      </w:pPr>
    </w:p>
    <w:p>
      <w:pPr>
        <w:ind w:left="480"/>
        <w:spacing w:after="0"/>
        <w:rPr>
          <w:sz w:val="20"/>
          <w:szCs w:val="20"/>
          <w:color w:val="auto"/>
        </w:rPr>
      </w:pPr>
      <w:r>
        <w:rPr>
          <w:rFonts w:ascii="Calibri" w:cs="Calibri" w:eastAsia="Calibri" w:hAnsi="Calibri"/>
          <w:sz w:val="18"/>
          <w:szCs w:val="18"/>
          <w:color w:val="auto"/>
        </w:rPr>
        <w:t>Philippe D.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-130175</wp:posOffset>
            </wp:positionV>
            <wp:extent cx="3360420"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84">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192" w:lineRule="exact"/>
        <w:rPr>
          <w:sz w:val="20"/>
          <w:szCs w:val="20"/>
          <w:color w:val="auto"/>
        </w:rPr>
      </w:pPr>
    </w:p>
    <w:p>
      <w:pPr>
        <w:ind w:left="20"/>
        <w:spacing w:after="0"/>
        <w:tabs>
          <w:tab w:leader="none" w:pos="460" w:val="left"/>
        </w:tabs>
        <w:rPr>
          <w:sz w:val="20"/>
          <w:szCs w:val="20"/>
          <w:color w:val="auto"/>
        </w:rPr>
      </w:pPr>
      <w:r>
        <w:rPr>
          <w:rFonts w:ascii="Calibri" w:cs="Calibri" w:eastAsia="Calibri" w:hAnsi="Calibri"/>
          <w:sz w:val="18"/>
          <w:szCs w:val="18"/>
          <w:color w:val="auto"/>
        </w:rPr>
        <w:t>By:</w:t>
        <w:tab/>
        <w:t>/s/ Kathleen B. Lynch</w:t>
      </w:r>
    </w:p>
    <w:p>
      <w:pPr>
        <w:spacing w:after="0" w:line="10" w:lineRule="exact"/>
        <w:rPr>
          <w:sz w:val="20"/>
          <w:szCs w:val="20"/>
          <w:color w:val="auto"/>
        </w:rPr>
      </w:pPr>
    </w:p>
    <w:p>
      <w:pPr>
        <w:ind w:left="480"/>
        <w:spacing w:after="0"/>
        <w:rPr>
          <w:sz w:val="20"/>
          <w:szCs w:val="20"/>
          <w:color w:val="auto"/>
        </w:rPr>
      </w:pPr>
      <w:r>
        <w:rPr>
          <w:rFonts w:ascii="Calibri" w:cs="Calibri" w:eastAsia="Calibri" w:hAnsi="Calibri"/>
          <w:sz w:val="18"/>
          <w:szCs w:val="18"/>
          <w:color w:val="auto"/>
        </w:rPr>
        <w:t>Kathleen B.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-130175</wp:posOffset>
            </wp:positionV>
            <wp:extent cx="3360420"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85">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192" w:lineRule="exact"/>
        <w:rPr>
          <w:sz w:val="20"/>
          <w:szCs w:val="20"/>
          <w:color w:val="auto"/>
        </w:rPr>
      </w:pPr>
    </w:p>
    <w:p>
      <w:pPr>
        <w:ind w:left="20"/>
        <w:spacing w:after="0"/>
        <w:tabs>
          <w:tab w:leader="none" w:pos="460" w:val="left"/>
        </w:tabs>
        <w:rPr>
          <w:sz w:val="20"/>
          <w:szCs w:val="20"/>
          <w:color w:val="auto"/>
        </w:rPr>
      </w:pPr>
      <w:r>
        <w:rPr>
          <w:rFonts w:ascii="Calibri" w:cs="Calibri" w:eastAsia="Calibri" w:hAnsi="Calibri"/>
          <w:sz w:val="18"/>
          <w:szCs w:val="18"/>
          <w:color w:val="auto"/>
        </w:rPr>
        <w:t>By:</w:t>
        <w:tab/>
        <w:t>/s/ Jason New</w:t>
      </w:r>
    </w:p>
    <w:p>
      <w:pPr>
        <w:spacing w:after="0" w:line="10" w:lineRule="exact"/>
        <w:rPr>
          <w:sz w:val="20"/>
          <w:szCs w:val="20"/>
          <w:color w:val="auto"/>
        </w:rPr>
      </w:pPr>
    </w:p>
    <w:p>
      <w:pPr>
        <w:ind w:left="480"/>
        <w:spacing w:after="0"/>
        <w:rPr>
          <w:sz w:val="20"/>
          <w:szCs w:val="20"/>
          <w:color w:val="auto"/>
        </w:rPr>
      </w:pPr>
      <w:r>
        <w:rPr>
          <w:rFonts w:ascii="Calibri" w:cs="Calibri" w:eastAsia="Calibri" w:hAnsi="Calibri"/>
          <w:sz w:val="18"/>
          <w:szCs w:val="18"/>
          <w:color w:val="auto"/>
        </w:rPr>
        <w:t>Jason New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-130175</wp:posOffset>
            </wp:positionV>
            <wp:extent cx="3360420"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86">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192" w:lineRule="exact"/>
        <w:rPr>
          <w:sz w:val="20"/>
          <w:szCs w:val="20"/>
          <w:color w:val="auto"/>
        </w:rPr>
      </w:pPr>
    </w:p>
    <w:p>
      <w:pPr>
        <w:ind w:left="20"/>
        <w:spacing w:after="0"/>
        <w:tabs>
          <w:tab w:leader="none" w:pos="460" w:val="left"/>
        </w:tabs>
        <w:rPr>
          <w:sz w:val="20"/>
          <w:szCs w:val="20"/>
          <w:color w:val="auto"/>
        </w:rPr>
      </w:pPr>
      <w:r>
        <w:rPr>
          <w:rFonts w:ascii="Calibri" w:cs="Calibri" w:eastAsia="Calibri" w:hAnsi="Calibri"/>
          <w:sz w:val="18"/>
          <w:szCs w:val="18"/>
          <w:color w:val="auto"/>
        </w:rPr>
        <w:t>By:</w:t>
        <w:tab/>
        <w:t>/s/ Darren L. Richman</w:t>
      </w:r>
    </w:p>
    <w:p>
      <w:pPr>
        <w:spacing w:after="0" w:line="10" w:lineRule="exact"/>
        <w:rPr>
          <w:sz w:val="20"/>
          <w:szCs w:val="20"/>
          <w:color w:val="auto"/>
        </w:rPr>
      </w:pPr>
    </w:p>
    <w:p>
      <w:pPr>
        <w:ind w:left="480"/>
        <w:spacing w:after="0"/>
        <w:rPr>
          <w:sz w:val="20"/>
          <w:szCs w:val="20"/>
          <w:color w:val="auto"/>
        </w:rPr>
      </w:pPr>
      <w:r>
        <w:rPr>
          <w:rFonts w:ascii="Calibri" w:cs="Calibri" w:eastAsia="Calibri" w:hAnsi="Calibri"/>
          <w:sz w:val="18"/>
          <w:szCs w:val="18"/>
          <w:color w:val="auto"/>
        </w:rPr>
        <w:t>Darren L. Richman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-130175</wp:posOffset>
            </wp:positionV>
            <wp:extent cx="3360420" cy="88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87">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197" w:lineRule="exact"/>
        <w:rPr>
          <w:sz w:val="20"/>
          <w:szCs w:val="20"/>
          <w:color w:val="auto"/>
        </w:rPr>
      </w:pPr>
    </w:p>
    <w:p>
      <w:pPr>
        <w:ind w:left="20"/>
        <w:spacing w:after="0"/>
        <w:tabs>
          <w:tab w:leader="none" w:pos="460" w:val="left"/>
        </w:tabs>
        <w:rPr>
          <w:sz w:val="20"/>
          <w:szCs w:val="20"/>
          <w:color w:val="auto"/>
        </w:rPr>
      </w:pPr>
      <w:r>
        <w:rPr>
          <w:rFonts w:ascii="Calibri" w:cs="Calibri" w:eastAsia="Calibri" w:hAnsi="Calibri"/>
          <w:sz w:val="17"/>
          <w:szCs w:val="17"/>
          <w:color w:val="auto"/>
        </w:rPr>
        <w:t>By:</w:t>
        <w:tab/>
        <w:t>/s/ Michael E. Sileck, Jr.</w:t>
      </w:r>
    </w:p>
    <w:p>
      <w:pPr>
        <w:spacing w:after="0" w:line="17" w:lineRule="exact"/>
        <w:rPr>
          <w:sz w:val="20"/>
          <w:szCs w:val="20"/>
          <w:color w:val="auto"/>
        </w:rPr>
      </w:pPr>
    </w:p>
    <w:p>
      <w:pPr>
        <w:ind w:left="480"/>
        <w:spacing w:after="0"/>
        <w:rPr>
          <w:sz w:val="20"/>
          <w:szCs w:val="20"/>
          <w:color w:val="auto"/>
        </w:rPr>
      </w:pPr>
      <w:r>
        <w:rPr>
          <w:rFonts w:ascii="Calibri" w:cs="Calibri" w:eastAsia="Calibri" w:hAnsi="Calibri"/>
          <w:sz w:val="18"/>
          <w:szCs w:val="18"/>
          <w:color w:val="auto"/>
        </w:rPr>
        <w:t>Michael E. Sileck,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-130175</wp:posOffset>
            </wp:positionV>
            <wp:extent cx="3360420" cy="82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88">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Calibri" w:cs="Calibri" w:eastAsia="Calibri" w:hAnsi="Calibri"/>
          <w:sz w:val="18"/>
          <w:szCs w:val="18"/>
          <w:color w:val="auto"/>
        </w:rPr>
        <w:t>Date: March 17, 2025</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color w:val="auto"/>
        </w:rPr>
        <w:t>Title</w:t>
      </w:r>
    </w:p>
    <w:p>
      <w:pPr>
        <w:spacing w:after="0" w:line="226" w:lineRule="exact"/>
        <w:rPr>
          <w:sz w:val="20"/>
          <w:szCs w:val="20"/>
          <w:color w:val="auto"/>
        </w:rPr>
      </w:pPr>
    </w:p>
    <w:p>
      <w:pPr>
        <w:ind w:left="260"/>
        <w:spacing w:after="0"/>
        <w:rPr>
          <w:sz w:val="20"/>
          <w:szCs w:val="20"/>
          <w:color w:val="auto"/>
        </w:rPr>
      </w:pPr>
      <w:r>
        <w:rPr>
          <w:rFonts w:ascii="Calibri" w:cs="Calibri" w:eastAsia="Calibri" w:hAnsi="Calibri"/>
          <w:sz w:val="18"/>
          <w:szCs w:val="18"/>
          <w:color w:val="auto"/>
        </w:rPr>
        <w:t>Executve Chairman and Chief Executve Ofcer</w:t>
      </w:r>
    </w:p>
    <w:p>
      <w:pPr>
        <w:ind w:left="580"/>
        <w:spacing w:after="0" w:line="235" w:lineRule="auto"/>
        <w:rPr>
          <w:sz w:val="20"/>
          <w:szCs w:val="20"/>
          <w:color w:val="auto"/>
        </w:rPr>
      </w:pPr>
      <w:r>
        <w:rPr>
          <w:rFonts w:ascii="Calibri" w:cs="Calibri" w:eastAsia="Calibri" w:hAnsi="Calibri"/>
          <w:sz w:val="18"/>
          <w:szCs w:val="18"/>
          <w:color w:val="auto"/>
        </w:rPr>
        <w:t>(Principal Executve Ofcer)</w:t>
      </w:r>
    </w:p>
    <w:p>
      <w:pPr>
        <w:spacing w:after="0" w:line="227" w:lineRule="exact"/>
        <w:rPr>
          <w:sz w:val="20"/>
          <w:szCs w:val="20"/>
          <w:color w:val="auto"/>
        </w:rPr>
      </w:pPr>
    </w:p>
    <w:p>
      <w:pPr>
        <w:ind w:left="260"/>
        <w:spacing w:after="0"/>
        <w:rPr>
          <w:sz w:val="20"/>
          <w:szCs w:val="20"/>
          <w:color w:val="auto"/>
        </w:rPr>
      </w:pPr>
      <w:r>
        <w:rPr>
          <w:rFonts w:ascii="Calibri" w:cs="Calibri" w:eastAsia="Calibri" w:hAnsi="Calibri"/>
          <w:sz w:val="18"/>
          <w:szCs w:val="18"/>
          <w:color w:val="auto"/>
        </w:rPr>
        <w:t>Chief Financial Ofcer and Senior Vice President</w:t>
      </w:r>
    </w:p>
    <w:p>
      <w:pPr>
        <w:ind w:left="580"/>
        <w:spacing w:after="0" w:line="235" w:lineRule="auto"/>
        <w:rPr>
          <w:sz w:val="20"/>
          <w:szCs w:val="20"/>
          <w:color w:val="auto"/>
        </w:rPr>
      </w:pPr>
      <w:r>
        <w:rPr>
          <w:rFonts w:ascii="Calibri" w:cs="Calibri" w:eastAsia="Calibri" w:hAnsi="Calibri"/>
          <w:sz w:val="18"/>
          <w:szCs w:val="18"/>
          <w:color w:val="auto"/>
        </w:rPr>
        <w:t>(Principal Financial Ofcer)</w:t>
      </w:r>
    </w:p>
    <w:p>
      <w:pPr>
        <w:spacing w:after="0" w:line="227" w:lineRule="exact"/>
        <w:rPr>
          <w:sz w:val="20"/>
          <w:szCs w:val="20"/>
          <w:color w:val="auto"/>
        </w:rPr>
      </w:pPr>
    </w:p>
    <w:p>
      <w:pPr>
        <w:ind w:left="260"/>
        <w:spacing w:after="0"/>
        <w:rPr>
          <w:sz w:val="20"/>
          <w:szCs w:val="20"/>
          <w:color w:val="auto"/>
        </w:rPr>
      </w:pPr>
      <w:r>
        <w:rPr>
          <w:rFonts w:ascii="Calibri" w:cs="Calibri" w:eastAsia="Calibri" w:hAnsi="Calibri"/>
          <w:sz w:val="18"/>
          <w:szCs w:val="18"/>
          <w:color w:val="auto"/>
        </w:rPr>
        <w:t>Chief Accountng Ofcer and Corporate Controller</w:t>
      </w:r>
    </w:p>
    <w:p>
      <w:pPr>
        <w:ind w:left="580"/>
        <w:spacing w:after="0" w:line="235" w:lineRule="auto"/>
        <w:rPr>
          <w:sz w:val="20"/>
          <w:szCs w:val="20"/>
          <w:color w:val="auto"/>
        </w:rPr>
      </w:pPr>
      <w:r>
        <w:rPr>
          <w:rFonts w:ascii="Calibri" w:cs="Calibri" w:eastAsia="Calibri" w:hAnsi="Calibri"/>
          <w:sz w:val="18"/>
          <w:szCs w:val="18"/>
          <w:color w:val="auto"/>
        </w:rPr>
        <w:t>(Principal Accountng Ofcer)</w:t>
      </w:r>
    </w:p>
    <w:p>
      <w:pPr>
        <w:spacing w:after="0" w:line="227" w:lineRule="exact"/>
        <w:rPr>
          <w:sz w:val="20"/>
          <w:szCs w:val="20"/>
          <w:color w:val="auto"/>
        </w:rPr>
      </w:pPr>
    </w:p>
    <w:p>
      <w:pPr>
        <w:ind w:left="260"/>
        <w:spacing w:after="0"/>
        <w:rPr>
          <w:sz w:val="20"/>
          <w:szCs w:val="20"/>
          <w:color w:val="auto"/>
        </w:rPr>
      </w:pPr>
      <w:r>
        <w:rPr>
          <w:rFonts w:ascii="Calibri" w:cs="Calibri" w:eastAsia="Calibri" w:hAnsi="Calibri"/>
          <w:sz w:val="18"/>
          <w:szCs w:val="18"/>
          <w:color w:val="auto"/>
        </w:rPr>
        <w:t>Director</w:t>
      </w:r>
    </w:p>
    <w:p>
      <w:pPr>
        <w:spacing w:after="0" w:line="200" w:lineRule="exact"/>
        <w:rPr>
          <w:sz w:val="20"/>
          <w:szCs w:val="20"/>
          <w:color w:val="auto"/>
        </w:rPr>
      </w:pPr>
    </w:p>
    <w:p>
      <w:pPr>
        <w:spacing w:after="0" w:line="242" w:lineRule="exact"/>
        <w:rPr>
          <w:sz w:val="20"/>
          <w:szCs w:val="20"/>
          <w:color w:val="auto"/>
        </w:rPr>
      </w:pPr>
    </w:p>
    <w:p>
      <w:pPr>
        <w:ind w:left="260"/>
        <w:spacing w:after="0"/>
        <w:rPr>
          <w:sz w:val="20"/>
          <w:szCs w:val="20"/>
          <w:color w:val="auto"/>
        </w:rPr>
      </w:pPr>
      <w:r>
        <w:rPr>
          <w:rFonts w:ascii="Calibri" w:cs="Calibri" w:eastAsia="Calibri" w:hAnsi="Calibri"/>
          <w:sz w:val="18"/>
          <w:szCs w:val="18"/>
          <w:color w:val="auto"/>
        </w:rPr>
        <w:t>Director</w:t>
      </w:r>
    </w:p>
    <w:p>
      <w:pPr>
        <w:spacing w:after="0" w:line="200" w:lineRule="exact"/>
        <w:rPr>
          <w:sz w:val="20"/>
          <w:szCs w:val="20"/>
          <w:color w:val="auto"/>
        </w:rPr>
      </w:pPr>
    </w:p>
    <w:p>
      <w:pPr>
        <w:spacing w:after="0" w:line="242" w:lineRule="exact"/>
        <w:rPr>
          <w:sz w:val="20"/>
          <w:szCs w:val="20"/>
          <w:color w:val="auto"/>
        </w:rPr>
      </w:pPr>
    </w:p>
    <w:p>
      <w:pPr>
        <w:ind w:left="260"/>
        <w:spacing w:after="0"/>
        <w:rPr>
          <w:sz w:val="20"/>
          <w:szCs w:val="20"/>
          <w:color w:val="auto"/>
        </w:rPr>
      </w:pPr>
      <w:r>
        <w:rPr>
          <w:rFonts w:ascii="Calibri" w:cs="Calibri" w:eastAsia="Calibri" w:hAnsi="Calibri"/>
          <w:sz w:val="18"/>
          <w:szCs w:val="18"/>
          <w:color w:val="auto"/>
        </w:rPr>
        <w:t>Director</w:t>
      </w:r>
    </w:p>
    <w:p>
      <w:pPr>
        <w:spacing w:after="0" w:line="200" w:lineRule="exact"/>
        <w:rPr>
          <w:sz w:val="20"/>
          <w:szCs w:val="20"/>
          <w:color w:val="auto"/>
        </w:rPr>
      </w:pPr>
    </w:p>
    <w:p>
      <w:pPr>
        <w:spacing w:after="0" w:line="242" w:lineRule="exact"/>
        <w:rPr>
          <w:sz w:val="20"/>
          <w:szCs w:val="20"/>
          <w:color w:val="auto"/>
        </w:rPr>
      </w:pPr>
    </w:p>
    <w:p>
      <w:pPr>
        <w:ind w:left="260"/>
        <w:spacing w:after="0"/>
        <w:rPr>
          <w:sz w:val="20"/>
          <w:szCs w:val="20"/>
          <w:color w:val="auto"/>
        </w:rPr>
      </w:pPr>
      <w:r>
        <w:rPr>
          <w:rFonts w:ascii="Calibri" w:cs="Calibri" w:eastAsia="Calibri" w:hAnsi="Calibri"/>
          <w:sz w:val="18"/>
          <w:szCs w:val="18"/>
          <w:color w:val="auto"/>
        </w:rPr>
        <w:t>Director</w:t>
      </w:r>
    </w:p>
    <w:p>
      <w:pPr>
        <w:spacing w:after="0" w:line="200" w:lineRule="exact"/>
        <w:rPr>
          <w:sz w:val="20"/>
          <w:szCs w:val="20"/>
          <w:color w:val="auto"/>
        </w:rPr>
      </w:pPr>
    </w:p>
    <w:p>
      <w:pPr>
        <w:spacing w:after="0" w:line="242" w:lineRule="exact"/>
        <w:rPr>
          <w:sz w:val="20"/>
          <w:szCs w:val="20"/>
          <w:color w:val="auto"/>
        </w:rPr>
      </w:pPr>
    </w:p>
    <w:p>
      <w:pPr>
        <w:ind w:left="260"/>
        <w:spacing w:after="0"/>
        <w:rPr>
          <w:sz w:val="20"/>
          <w:szCs w:val="20"/>
          <w:color w:val="auto"/>
        </w:rPr>
      </w:pPr>
      <w:r>
        <w:rPr>
          <w:rFonts w:ascii="Calibri" w:cs="Calibri" w:eastAsia="Calibri" w:hAnsi="Calibri"/>
          <w:sz w:val="18"/>
          <w:szCs w:val="18"/>
          <w:color w:val="auto"/>
        </w:rPr>
        <w:t>Director</w:t>
      </w:r>
    </w:p>
    <w:p>
      <w:pPr>
        <w:spacing w:after="0" w:line="200" w:lineRule="exact"/>
        <w:rPr>
          <w:sz w:val="20"/>
          <w:szCs w:val="20"/>
          <w:color w:val="auto"/>
        </w:rPr>
      </w:pPr>
    </w:p>
    <w:p>
      <w:pPr>
        <w:spacing w:after="0" w:line="242" w:lineRule="exact"/>
        <w:rPr>
          <w:sz w:val="20"/>
          <w:szCs w:val="20"/>
          <w:color w:val="auto"/>
        </w:rPr>
      </w:pPr>
    </w:p>
    <w:p>
      <w:pPr>
        <w:ind w:left="260"/>
        <w:spacing w:after="0"/>
        <w:rPr>
          <w:sz w:val="20"/>
          <w:szCs w:val="20"/>
          <w:color w:val="auto"/>
        </w:rPr>
      </w:pPr>
      <w:r>
        <w:rPr>
          <w:rFonts w:ascii="Calibri" w:cs="Calibri" w:eastAsia="Calibri" w:hAnsi="Calibri"/>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alibri" w:cs="Calibri" w:eastAsia="Calibri" w:hAnsi="Calibri"/>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319405</wp:posOffset>
            </wp:positionV>
            <wp:extent cx="7157720" cy="4254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4780" w:space="720"/>
            <w:col w:w="5600"/>
          </w:cols>
          <w:pgMar w:left="320" w:top="112" w:right="479" w:bottom="1440" w:gutter="0" w:footer="0" w:header="0"/>
          <w:type w:val="continuous"/>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color w:val="auto"/>
        </w:rPr>
        <w:t>[Execution]</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CONFIDENTIAL</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(10.28)</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AMENDMENT NO. 3 TO LETTER OF CREDIT FACILITY AGREEMENT</w:t>
      </w:r>
    </w:p>
    <w:p>
      <w:pPr>
        <w:spacing w:after="0" w:line="216" w:lineRule="exact"/>
        <w:rPr>
          <w:sz w:val="20"/>
          <w:szCs w:val="20"/>
          <w:color w:val="auto"/>
        </w:rPr>
      </w:pPr>
    </w:p>
    <w:p>
      <w:pPr>
        <w:ind w:right="140" w:firstLine="749"/>
        <w:spacing w:after="0" w:line="245" w:lineRule="auto"/>
        <w:rPr>
          <w:sz w:val="20"/>
          <w:szCs w:val="20"/>
          <w:color w:val="auto"/>
        </w:rPr>
      </w:pPr>
      <w:r>
        <w:rPr>
          <w:rFonts w:ascii="Times New Roman" w:cs="Times New Roman" w:eastAsia="Times New Roman" w:hAnsi="Times New Roman"/>
          <w:sz w:val="20"/>
          <w:szCs w:val="20"/>
          <w:color w:val="auto"/>
        </w:rPr>
        <w:t>AMENDMENT NO. 3 TO LETTER OF CREDIT FACILITY AGREEMENT, dated as of February 26, 2025 (this “Amendment No. 3”), is by and among Bank of America, N.A., a national banking association, in its capacity as administrative agent and collateral agent (in such capacity, together with its successors and assigns, “Agent”) pursuant to the LC Credit Agreement (as defined below), and in its capacity as lender (in such capacity, “Lender”), Bank of America, N.A., as issuing bank (in such capacity, “Issuing Bank”), Eastman Kodak Company, a New Jersey corporation (the “Borrower” or “Company”) and the subsidiaries of Borrower party hereto as Guarantors (individually, each a “Guarantor” and collectively, “Guarantors”).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W I T N E S S E T H</w:t>
      </w:r>
      <w:r>
        <w:rPr>
          <w:rFonts w:ascii="Times New Roman" w:cs="Times New Roman" w:eastAsia="Times New Roman" w:hAnsi="Times New Roman"/>
          <w:sz w:val="20"/>
          <w:szCs w:val="20"/>
          <w:color w:val="auto"/>
        </w:rPr>
        <w:t xml:space="preserve"> :</w:t>
      </w:r>
    </w:p>
    <w:p>
      <w:pPr>
        <w:spacing w:after="0" w:line="216" w:lineRule="exact"/>
        <w:rPr>
          <w:sz w:val="20"/>
          <w:szCs w:val="20"/>
          <w:color w:val="auto"/>
        </w:rPr>
      </w:pPr>
    </w:p>
    <w:p>
      <w:pPr>
        <w:ind w:right="80" w:firstLine="396"/>
        <w:spacing w:after="0" w:line="245" w:lineRule="auto"/>
        <w:rPr>
          <w:sz w:val="20"/>
          <w:szCs w:val="20"/>
          <w:color w:val="auto"/>
        </w:rPr>
      </w:pPr>
      <w:r>
        <w:rPr>
          <w:rFonts w:ascii="Times New Roman" w:cs="Times New Roman" w:eastAsia="Times New Roman" w:hAnsi="Times New Roman"/>
          <w:sz w:val="20"/>
          <w:szCs w:val="20"/>
          <w:color w:val="auto"/>
        </w:rPr>
        <w:t>WHEREAS, Agent, Issuing Bank and Lender have entered into the letter of credit facility pursuant to which Issuing Bank has issued, and may from time to time issue, letters of credit to Borrower as set forth in the Letter of Credit Facility Agreement, dated as of February 26, 2021, by and among Borrower, Guarantors, Lender, Issuing Bank and Agent (as amended by Amendment No. 1 to Letter of Credit Facility Agreement, dated as of March 14, 2023, and by Amendment No. 2 to Letter of Credit Facility Agreement, dated as of June 30, 2023, and as amended pursuant hereto and as may hereafter be further amended, modified, supplemented, extended, renewed, restated or replaced, the “LC Credit Agreement”) and the other Loan Documents (as defined in the LC Credit Agreement);</w:t>
      </w:r>
    </w:p>
    <w:p>
      <w:pPr>
        <w:spacing w:after="0" w:line="198" w:lineRule="exact"/>
        <w:rPr>
          <w:sz w:val="20"/>
          <w:szCs w:val="20"/>
          <w:color w:val="auto"/>
        </w:rPr>
      </w:pPr>
    </w:p>
    <w:p>
      <w:pPr>
        <w:ind w:right="460" w:firstLine="396"/>
        <w:spacing w:after="0" w:line="254" w:lineRule="auto"/>
        <w:rPr>
          <w:sz w:val="20"/>
          <w:szCs w:val="20"/>
          <w:color w:val="auto"/>
        </w:rPr>
      </w:pPr>
      <w:r>
        <w:rPr>
          <w:rFonts w:ascii="Times New Roman" w:cs="Times New Roman" w:eastAsia="Times New Roman" w:hAnsi="Times New Roman"/>
          <w:sz w:val="20"/>
          <w:szCs w:val="20"/>
          <w:color w:val="auto"/>
        </w:rPr>
        <w:t>WHEREAS, Borrower and Guarantors have requested that Agent, Issuing Bank and Lender agree to certain amendments to the LC Credit Agreement, and Agent, Issuing Bank and Lender are willing to agree to such amendments, subject to the terms and conditions contained herein; and</w:t>
      </w:r>
    </w:p>
    <w:p>
      <w:pPr>
        <w:spacing w:after="0" w:line="174" w:lineRule="exact"/>
        <w:rPr>
          <w:sz w:val="20"/>
          <w:szCs w:val="20"/>
          <w:color w:val="auto"/>
        </w:rPr>
      </w:pPr>
    </w:p>
    <w:p>
      <w:pPr>
        <w:ind w:right="320" w:firstLine="749"/>
        <w:spacing w:after="0" w:line="269" w:lineRule="auto"/>
        <w:rPr>
          <w:sz w:val="20"/>
          <w:szCs w:val="20"/>
          <w:color w:val="auto"/>
        </w:rPr>
      </w:pPr>
      <w:r>
        <w:rPr>
          <w:rFonts w:ascii="Times New Roman" w:cs="Times New Roman" w:eastAsia="Times New Roman" w:hAnsi="Times New Roman"/>
          <w:sz w:val="20"/>
          <w:szCs w:val="20"/>
          <w:color w:val="auto"/>
        </w:rPr>
        <w:t>WHEREAS, by this Amendment No. 3, Agent, Issuing Bank, Lender and the Loan Parties intend to evidence such amendments, which shall not be effective unless and until the satisfaction of the applicable conditions precedent set forth herein.</w:t>
      </w:r>
    </w:p>
    <w:p>
      <w:pPr>
        <w:spacing w:after="0" w:line="159" w:lineRule="exact"/>
        <w:rPr>
          <w:sz w:val="20"/>
          <w:szCs w:val="20"/>
          <w:color w:val="auto"/>
        </w:rPr>
      </w:pPr>
    </w:p>
    <w:p>
      <w:pPr>
        <w:ind w:right="80" w:firstLine="749"/>
        <w:spacing w:after="0" w:line="269" w:lineRule="auto"/>
        <w:rPr>
          <w:sz w:val="20"/>
          <w:szCs w:val="20"/>
          <w:color w:val="auto"/>
        </w:rPr>
      </w:pPr>
      <w:r>
        <w:rPr>
          <w:rFonts w:ascii="Times New Roman" w:cs="Times New Roman" w:eastAsia="Times New Roman" w:hAnsi="Times New Roman"/>
          <w:sz w:val="20"/>
          <w:szCs w:val="20"/>
          <w:color w:val="auto"/>
        </w:rPr>
        <w:t>NOW, THEREFORE, in consideration of the foregoing and the mutual agreements and covenants contained herein, and other good and valuable consideration, the receipt and sufficiency of which are hereby acknowledged, the parties hereto agree as follows:</w:t>
      </w:r>
    </w:p>
    <w:p>
      <w:pPr>
        <w:spacing w:after="0" w:line="159" w:lineRule="exact"/>
        <w:rPr>
          <w:sz w:val="20"/>
          <w:szCs w:val="20"/>
          <w:color w:val="auto"/>
        </w:rPr>
      </w:pPr>
    </w:p>
    <w:p>
      <w:pPr>
        <w:ind w:left="1020" w:hanging="263"/>
        <w:spacing w:after="0"/>
        <w:tabs>
          <w:tab w:leader="none" w:pos="102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0"/>
          <w:szCs w:val="20"/>
          <w:color w:val="auto"/>
        </w:rPr>
        <w:t xml:space="preserve">1.1. </w:t>
      </w:r>
      <w:r>
        <w:rPr>
          <w:rFonts w:ascii="Times New Roman" w:cs="Times New Roman" w:eastAsia="Times New Roman" w:hAnsi="Times New Roman"/>
          <w:sz w:val="20"/>
          <w:szCs w:val="20"/>
          <w:u w:val="single" w:color="auto"/>
          <w:color w:val="auto"/>
        </w:rPr>
        <w:t>Additional Definitions</w:t>
      </w:r>
      <w:r>
        <w:rPr>
          <w:rFonts w:ascii="Times New Roman" w:cs="Times New Roman" w:eastAsia="Times New Roman" w:hAnsi="Times New Roman"/>
          <w:sz w:val="20"/>
          <w:szCs w:val="20"/>
          <w:color w:val="auto"/>
        </w:rPr>
        <w:t>. As used herein, the following terms shall have the meanings specified below:</w:t>
      </w:r>
    </w:p>
    <w:p>
      <w:pPr>
        <w:spacing w:after="0" w:line="216" w:lineRule="exact"/>
        <w:rPr>
          <w:sz w:val="20"/>
          <w:szCs w:val="20"/>
          <w:color w:val="auto"/>
        </w:rPr>
      </w:pPr>
    </w:p>
    <w:p>
      <w:pPr>
        <w:ind w:right="100" w:firstLine="1505"/>
        <w:spacing w:after="0" w:line="254" w:lineRule="auto"/>
        <w:tabs>
          <w:tab w:leader="none" w:pos="2036"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Amendment No. 3</w:t>
      </w:r>
      <w:r>
        <w:rPr>
          <w:rFonts w:ascii="Times New Roman" w:cs="Times New Roman" w:eastAsia="Times New Roman" w:hAnsi="Times New Roman"/>
          <w:sz w:val="20"/>
          <w:szCs w:val="20"/>
          <w:color w:val="auto"/>
        </w:rPr>
        <w:t>” means the Amendment No. 3 to Letter of Credit Facility Agreement, dated as of February 26, 2025, by and among Agent, Issuing Bank, Lender and Loan Parties, as the same now exists or may hereafter be amended, modified, supplemented, extended, renewed, restated or replaced.</w:t>
      </w:r>
    </w:p>
    <w:p>
      <w:pPr>
        <w:spacing w:after="0" w:line="174" w:lineRule="exact"/>
        <w:rPr>
          <w:rFonts w:ascii="Times New Roman" w:cs="Times New Roman" w:eastAsia="Times New Roman" w:hAnsi="Times New Roman"/>
          <w:sz w:val="20"/>
          <w:szCs w:val="20"/>
          <w:color w:val="auto"/>
        </w:rPr>
      </w:pPr>
    </w:p>
    <w:p>
      <w:pPr>
        <w:ind w:right="80" w:firstLine="1505"/>
        <w:spacing w:after="0" w:line="269" w:lineRule="auto"/>
        <w:tabs>
          <w:tab w:leader="none" w:pos="2036"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Amendment No. 3 Effective Date</w:t>
      </w:r>
      <w:r>
        <w:rPr>
          <w:rFonts w:ascii="Times New Roman" w:cs="Times New Roman" w:eastAsia="Times New Roman" w:hAnsi="Times New Roman"/>
          <w:sz w:val="20"/>
          <w:szCs w:val="20"/>
          <w:color w:val="auto"/>
        </w:rPr>
        <w:t>” means the first date on which the conditions precedent set forth in Section 4 of this Amendment No. 3 are satisfied.</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4898-7160-0670 v.6</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8338823.2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6" w:name="page127"/>
    <w:bookmarkEnd w:id="126"/>
    <w:p>
      <w:pPr>
        <w:jc w:val="both"/>
        <w:ind w:right="460" w:firstLine="1123"/>
        <w:spacing w:after="0" w:line="254" w:lineRule="auto"/>
        <w:rPr>
          <w:sz w:val="20"/>
          <w:szCs w:val="20"/>
          <w:color w:val="auto"/>
        </w:rPr>
      </w:pPr>
      <w:r>
        <w:rPr>
          <w:rFonts w:ascii="Times New Roman" w:cs="Times New Roman" w:eastAsia="Times New Roman" w:hAnsi="Times New Roman"/>
          <w:sz w:val="20"/>
          <w:szCs w:val="20"/>
          <w:color w:val="auto"/>
        </w:rPr>
        <w:t xml:space="preserve">1.2. </w:t>
      </w:r>
      <w:r>
        <w:rPr>
          <w:rFonts w:ascii="Times New Roman" w:cs="Times New Roman" w:eastAsia="Times New Roman" w:hAnsi="Times New Roman"/>
          <w:sz w:val="20"/>
          <w:szCs w:val="20"/>
          <w:u w:val="single" w:color="auto"/>
          <w:color w:val="auto"/>
        </w:rPr>
        <w:t>Interpretation</w:t>
      </w:r>
      <w:r>
        <w:rPr>
          <w:rFonts w:ascii="Times New Roman" w:cs="Times New Roman" w:eastAsia="Times New Roman" w:hAnsi="Times New Roman"/>
          <w:sz w:val="20"/>
          <w:szCs w:val="20"/>
          <w:color w:val="auto"/>
        </w:rPr>
        <w:t>. For purposes of this Amendment No. 3, all terms used herein which are not otherwise defined herein, including but not limited to, those terms used in the recitals hereto, shall have the respective meanings assigned thereto in the LC Credit Agreement.</w:t>
      </w:r>
    </w:p>
    <w:p>
      <w:pPr>
        <w:spacing w:after="0" w:line="174" w:lineRule="exact"/>
        <w:rPr>
          <w:sz w:val="20"/>
          <w:szCs w:val="20"/>
          <w:color w:val="auto"/>
        </w:rPr>
      </w:pPr>
    </w:p>
    <w:p>
      <w:pPr>
        <w:ind w:right="600" w:firstLine="757"/>
        <w:spacing w:after="0" w:line="269" w:lineRule="auto"/>
        <w:tabs>
          <w:tab w:leader="none" w:pos="1018"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Amendments to LC Credit Agreement</w:t>
      </w:r>
      <w:r>
        <w:rPr>
          <w:rFonts w:ascii="Times New Roman" w:cs="Times New Roman" w:eastAsia="Times New Roman" w:hAnsi="Times New Roman"/>
          <w:sz w:val="20"/>
          <w:szCs w:val="20"/>
          <w:color w:val="auto"/>
        </w:rPr>
        <w:t>. The definition of the term “Maturity Date” in the LC Credit Agreement is hereby amended and restated to read in its entirety as follows:</w:t>
      </w:r>
    </w:p>
    <w:p>
      <w:pPr>
        <w:spacing w:after="0" w:line="159" w:lineRule="exact"/>
        <w:rPr>
          <w:sz w:val="20"/>
          <w:szCs w:val="20"/>
          <w:color w:val="auto"/>
        </w:rPr>
      </w:pPr>
    </w:p>
    <w:p>
      <w:pPr>
        <w:ind w:left="760" w:right="40" w:firstLine="749"/>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Maturity Date</w:t>
      </w:r>
      <w:r>
        <w:rPr>
          <w:rFonts w:ascii="Times New Roman" w:cs="Times New Roman" w:eastAsia="Times New Roman" w:hAnsi="Times New Roman"/>
          <w:sz w:val="19"/>
          <w:szCs w:val="19"/>
          <w:color w:val="auto"/>
        </w:rPr>
        <w:t>” means the earliest of: (a) the fifth anniversary of the Restatement Date, (b) ten (10) days prior to the maturity of the Term Loan Facility as such date may be extended pursuant to the terms thereof (or the maturity date of any Permitted Refinancing thereof, in which case thirty (30) days prior to the maturity date of any Indebtedness arising pursuant to such Permitted Refinancing), (c) fifteen (15) days prior to the date required for the redemption of the Series B Preferred Stock (or, if the Series B Preferred Stock shall have been replaced, refinanced or otherwise retired with proceeds of any preferred equity interests or unsecured convertible debt pursuant to a Permitted Refinancing thereof, then thirty (30) days prior to the mandatory redemption date or other obligation for the purchase or defeasance of such preferred equity interests and/or the mandatory redemption date or other obligation for the purchase or defeasance or maturity date of such unsecured convertible debt, as the case may be), or (d) fifteen (15) days prior to the date required for the redemption of the Series C Preferred Stock (or, if the Series C Preferred Stock shall have been replaced, refinanced or otherwise retired with proceeds of any preferred equity interests or unsecured convertible debt pursuant to a Permitted Refinancing thereof, then thirty (30) days prior to the mandatory redemption date or other obligation for the purchase or defeasance of such preferred equity interests and/or the mandatory redemption date or other obligation for the purchase or defeasance or maturity date of such unsecured convertible debt, as the case may be); provided, that, to the extent that the Maturity Date does not fall on a Business Day, then the Maturity Date shall be the immediately preceding Business Day.</w:t>
      </w:r>
    </w:p>
    <w:p>
      <w:pPr>
        <w:spacing w:after="0" w:line="179" w:lineRule="exact"/>
        <w:rPr>
          <w:sz w:val="20"/>
          <w:szCs w:val="20"/>
          <w:color w:val="auto"/>
        </w:rPr>
      </w:pPr>
    </w:p>
    <w:p>
      <w:pPr>
        <w:ind w:right="540" w:firstLine="757"/>
        <w:spacing w:after="0" w:line="269" w:lineRule="auto"/>
        <w:tabs>
          <w:tab w:leader="none" w:pos="1018"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w:t>
      </w:r>
      <w:r>
        <w:rPr>
          <w:rFonts w:ascii="Times New Roman" w:cs="Times New Roman" w:eastAsia="Times New Roman" w:hAnsi="Times New Roman"/>
          <w:sz w:val="20"/>
          <w:szCs w:val="20"/>
          <w:color w:val="auto"/>
        </w:rPr>
        <w:t>. Each Loan Party represents and warrants with and to Agent, Issuing Bank and Lender as follows, which representations and warranties shall survive the execution and delivery hereof:</w:t>
      </w:r>
    </w:p>
    <w:p>
      <w:pPr>
        <w:spacing w:after="0" w:line="15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0"/>
          <w:szCs w:val="20"/>
          <w:color w:val="auto"/>
        </w:rPr>
        <w:t>3.1. As of the Amendment No. 3 Effective Date, no Default or Event of Default exists or has occurred and is continuing.</w:t>
      </w:r>
    </w:p>
    <w:p>
      <w:pPr>
        <w:spacing w:after="0" w:line="216" w:lineRule="exact"/>
        <w:rPr>
          <w:sz w:val="20"/>
          <w:szCs w:val="20"/>
          <w:color w:val="auto"/>
        </w:rPr>
      </w:pPr>
    </w:p>
    <w:p>
      <w:pPr>
        <w:ind w:firstLine="1123"/>
        <w:spacing w:after="0" w:line="245" w:lineRule="auto"/>
        <w:rPr>
          <w:sz w:val="20"/>
          <w:szCs w:val="20"/>
          <w:color w:val="auto"/>
        </w:rPr>
      </w:pPr>
      <w:r>
        <w:rPr>
          <w:rFonts w:ascii="Times New Roman" w:cs="Times New Roman" w:eastAsia="Times New Roman" w:hAnsi="Times New Roman"/>
          <w:sz w:val="20"/>
          <w:szCs w:val="20"/>
          <w:color w:val="auto"/>
        </w:rPr>
        <w:t>3.2. This Amendment No. 3 has been duly authorized, executed and delivered by all necessary corporate or limited liability company action, as applicable, on the part of each Loan Party and, upon the notification by Agent to Borrower and Lender of the Amendment No. 3 Effective Date, is in full force and effect as of the date hereof, as the case may be, and the agreements and obligations of each Loan Party, as the case may be, contained herein constitute legal, valid and binding obligations of each Loan Party, enforceable against it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84" w:lineRule="exact"/>
        <w:rPr>
          <w:sz w:val="20"/>
          <w:szCs w:val="20"/>
          <w:color w:val="auto"/>
        </w:rPr>
      </w:pPr>
    </w:p>
    <w:p>
      <w:pPr>
        <w:ind w:right="20" w:firstLine="1123"/>
        <w:spacing w:after="0" w:line="245" w:lineRule="auto"/>
        <w:rPr>
          <w:sz w:val="20"/>
          <w:szCs w:val="20"/>
          <w:color w:val="auto"/>
        </w:rPr>
      </w:pPr>
      <w:r>
        <w:rPr>
          <w:rFonts w:ascii="Times New Roman" w:cs="Times New Roman" w:eastAsia="Times New Roman" w:hAnsi="Times New Roman"/>
          <w:sz w:val="20"/>
          <w:szCs w:val="20"/>
          <w:color w:val="auto"/>
        </w:rPr>
        <w:t>3.3. All of the representations and warranties of each Loan Party set forth herein and in each of the other Loan Documents are true and correct in all material respects (or, in the case of any representations and warranties qualified by materiality or Material Adverse Effect, in all respects) on and as of the Amendment No. 3 Effective Date before and after giving effect to the provisions of this Amendment No. 3 and the transactions contemplated hereby with the same effect as though made on and as of such date, except to the extent such representations and warranties expressly relate to an earlier date in which case such representations and warranties shall be true and correct in all material respects (or, in</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4898-7160-0670 v.6</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8338823.2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20"/>
          <w:szCs w:val="20"/>
          <w:color w:val="auto"/>
        </w:rPr>
        <w:t>the case of any representations and warranties qualified by materiality or Material Adverse Effect, in all respects) as of such earlier date.</w:t>
      </w:r>
    </w:p>
    <w:p>
      <w:pPr>
        <w:spacing w:after="0" w:line="216" w:lineRule="exact"/>
        <w:rPr>
          <w:sz w:val="20"/>
          <w:szCs w:val="20"/>
          <w:color w:val="auto"/>
        </w:rPr>
      </w:pPr>
    </w:p>
    <w:p>
      <w:pPr>
        <w:ind w:right="120" w:firstLine="757"/>
        <w:spacing w:after="0" w:line="269" w:lineRule="auto"/>
        <w:tabs>
          <w:tab w:leader="none" w:pos="1018"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Conditions Precedent to Effectiveness of Amendment No. 3</w:t>
      </w:r>
      <w:r>
        <w:rPr>
          <w:rFonts w:ascii="Times New Roman" w:cs="Times New Roman" w:eastAsia="Times New Roman" w:hAnsi="Times New Roman"/>
          <w:sz w:val="20"/>
          <w:szCs w:val="20"/>
          <w:color w:val="auto"/>
        </w:rPr>
        <w:t>. This Amendment No. 3 shall be effective upon the date on which each of the following conditions is satisfied (or waived by Agent in writing) in the reasonable determination of Agent:</w:t>
      </w:r>
    </w:p>
    <w:p>
      <w:pPr>
        <w:spacing w:after="0" w:line="15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0"/>
          <w:szCs w:val="20"/>
          <w:color w:val="auto"/>
        </w:rPr>
        <w:t>4.1. Agent shall have received executed counterparts of this Amendment No. 3 from each Loan Party and the Lender; and</w:t>
      </w:r>
    </w:p>
    <w:p>
      <w:pPr>
        <w:spacing w:after="0" w:line="216" w:lineRule="exact"/>
        <w:rPr>
          <w:sz w:val="20"/>
          <w:szCs w:val="20"/>
          <w:color w:val="auto"/>
        </w:rPr>
      </w:pPr>
    </w:p>
    <w:p>
      <w:pPr>
        <w:jc w:val="both"/>
        <w:ind w:firstLine="1123"/>
        <w:spacing w:after="0" w:line="254" w:lineRule="auto"/>
        <w:rPr>
          <w:sz w:val="20"/>
          <w:szCs w:val="20"/>
          <w:color w:val="auto"/>
        </w:rPr>
      </w:pPr>
      <w:r>
        <w:rPr>
          <w:rFonts w:ascii="Times New Roman" w:cs="Times New Roman" w:eastAsia="Times New Roman" w:hAnsi="Times New Roman"/>
          <w:sz w:val="20"/>
          <w:szCs w:val="20"/>
          <w:color w:val="auto"/>
        </w:rPr>
        <w:t>4.2. Agent shall have received evidence that Borrower has entered into an amendment to the Term Loan Facility amending the maturity date thereof, which amendment shall be in form and substance reasonably satisfactory to Agent, and duly executed and delivered by the parties thereto; and</w:t>
      </w:r>
    </w:p>
    <w:p>
      <w:pPr>
        <w:spacing w:after="0" w:line="17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0"/>
          <w:szCs w:val="20"/>
          <w:color w:val="auto"/>
        </w:rPr>
        <w:t>4.3. no Default or Event of Default under any of the Loan Documents shall exist.</w:t>
      </w:r>
    </w:p>
    <w:p>
      <w:pPr>
        <w:spacing w:after="0" w:line="216" w:lineRule="exact"/>
        <w:rPr>
          <w:sz w:val="20"/>
          <w:szCs w:val="20"/>
          <w:color w:val="auto"/>
        </w:rPr>
      </w:pPr>
    </w:p>
    <w:p>
      <w:pPr>
        <w:ind w:right="100" w:firstLine="757"/>
        <w:spacing w:after="0" w:line="243" w:lineRule="auto"/>
        <w:tabs>
          <w:tab w:leader="none" w:pos="1018"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Reaffirmation</w:t>
      </w:r>
      <w:r>
        <w:rPr>
          <w:rFonts w:ascii="Times New Roman" w:cs="Times New Roman" w:eastAsia="Times New Roman" w:hAnsi="Times New Roman"/>
          <w:sz w:val="20"/>
          <w:szCs w:val="20"/>
          <w:color w:val="auto"/>
        </w:rPr>
        <w:t>. Each Loan Party acknowledges, confirms and agrees that (a) it is indebted to Agent and Lender under the LC Credit Agreement, including principal and all interest accrued and accruing thereon (to the extent applicable), and all fees, costs, expenses and other charges relating thereto, all of which are unconditionally owing by Loan Parties, without offset, defense or counterclaim of any kind, nature or description whatsoever, (b) Agent has had and shall on and after the date hereof continue to have, for itself and the benefit of the other Secured Parties, a security interest in and lien upon the Collateral heretofore granted to Agent (or its predecessors in whatever capacity) pursuant to the Loan Documents to secure the Obligations, (c) the liens and security interests of Agent in the Collateral shall be deemed to be continuously granted and perfected from the earliest date of the granting and perfection of such liens and security interests to Agent, and (d) the LC Credit Agreement and each of the other Loan Documents remain in full force and effect and are hereby ratified and confirmed.</w:t>
      </w:r>
    </w:p>
    <w:p>
      <w:pPr>
        <w:spacing w:after="0" w:line="185" w:lineRule="exact"/>
        <w:rPr>
          <w:rFonts w:ascii="Times New Roman" w:cs="Times New Roman" w:eastAsia="Times New Roman" w:hAnsi="Times New Roman"/>
          <w:sz w:val="20"/>
          <w:szCs w:val="20"/>
          <w:color w:val="auto"/>
        </w:rPr>
      </w:pPr>
    </w:p>
    <w:p>
      <w:pPr>
        <w:ind w:firstLine="757"/>
        <w:spacing w:after="0" w:line="241" w:lineRule="auto"/>
        <w:tabs>
          <w:tab w:leader="none" w:pos="1018"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Novation</w:t>
      </w:r>
      <w:r>
        <w:rPr>
          <w:rFonts w:ascii="Times New Roman" w:cs="Times New Roman" w:eastAsia="Times New Roman" w:hAnsi="Times New Roman"/>
          <w:sz w:val="20"/>
          <w:szCs w:val="20"/>
          <w:color w:val="auto"/>
        </w:rPr>
        <w:t>. Nothing in this Amendment No. 3 or the LC Credit Agreement shall be deemed to be a novation of any of the Obligations as defined in the LC Credit Agreement or in any way impair or otherwise affect the rights or obligations of the parties thereunder except as such rights or obligations are amended or modified pursuant to the LC Credit Agreement. As of the Amendment No. 3 Effective Date, the LC Credit Agreement as amended pursuant to the terms of the LC Credit Agreement shall be deemed to be a continuing agreement among the parties, and all documents, instruments and agreements delivered pursuant to or in connection with the LC Credit Agreement not amended in connection with the LC Credit Agreement shall remain in full force and effect, each in accordance with its terms, as of the date of delivery or such other date as contemplated by such document, instrument or agreement to the same extent as if the modifications to the LC Credit Agreement pursuant to the LC Credit Agreement were set forth in an amendment to the LC Credit Agreement in a customary form, unless such document, instrument or agreement has otherwise been terminated or has expired in accordance with or pursuant to the terms of the LC Credit Agreement or such document, instrument or agreement or as otherwise agreed by the required parties hereto or thereto. The amendments provided for in the LC Credit Agreement shall not, in any manner, be construed to impair, limit, cancel or extinguish, or constitute a novation in respect of, the Indebtedness and other obligations and liabilities of any Loan Party evidenced by or arising under the LC Credit Agreement or the other Loan Documents.</w:t>
      </w:r>
    </w:p>
    <w:p>
      <w:pPr>
        <w:spacing w:after="0" w:line="197" w:lineRule="exact"/>
        <w:rPr>
          <w:rFonts w:ascii="Times New Roman" w:cs="Times New Roman" w:eastAsia="Times New Roman" w:hAnsi="Times New Roman"/>
          <w:sz w:val="20"/>
          <w:szCs w:val="20"/>
          <w:color w:val="auto"/>
        </w:rPr>
      </w:pPr>
    </w:p>
    <w:p>
      <w:pPr>
        <w:jc w:val="both"/>
        <w:ind w:right="100" w:firstLine="757"/>
        <w:spacing w:after="0" w:line="249" w:lineRule="auto"/>
        <w:tabs>
          <w:tab w:leader="none" w:pos="1018"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 of Amendment No. 3</w:t>
      </w:r>
      <w:r>
        <w:rPr>
          <w:rFonts w:ascii="Times New Roman" w:cs="Times New Roman" w:eastAsia="Times New Roman" w:hAnsi="Times New Roman"/>
          <w:sz w:val="20"/>
          <w:szCs w:val="20"/>
          <w:color w:val="auto"/>
        </w:rPr>
        <w:t>. Except as expressly set forth herein, no other amendments, changes or modifications to the Loan Documents are intended or implied, and in all other respects the Loan Documents are hereby specifically ratified, restated and confirmed by all parties hereto as of the effective date hereof and the Loan Parties shall not be entitled to any other or further amendment by virtue of the provisions of this Amendment No. 3 or with respect to the subject matter of this Amendment</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4898-7160-0670 v.6</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8338823.2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128" w:name="page129"/>
    <w:bookmarkEnd w:id="128"/>
    <w:p>
      <w:pPr>
        <w:ind w:right="140"/>
        <w:spacing w:after="0" w:line="274" w:lineRule="auto"/>
        <w:rPr>
          <w:sz w:val="20"/>
          <w:szCs w:val="20"/>
          <w:color w:val="auto"/>
        </w:rPr>
      </w:pPr>
      <w:r>
        <w:rPr>
          <w:rFonts w:ascii="Times New Roman" w:cs="Times New Roman" w:eastAsia="Times New Roman" w:hAnsi="Times New Roman"/>
          <w:sz w:val="19"/>
          <w:szCs w:val="19"/>
          <w:color w:val="auto"/>
        </w:rPr>
        <w:t>No. 3. To the extent of conflict between the terms of this Amendment No. 3 and the other Loan Documents, on and after the Amendment No. 3 Effective Date, the terms of this Amendment No. 3 shall control. On and after the Amendment No. 3 Effective Date, the LC Credit Agreement and this Amendment No. 3 shall be read and construed as one agreement and this Amendment No. 3 shall be a Loan Document.</w:t>
      </w:r>
    </w:p>
    <w:p>
      <w:pPr>
        <w:spacing w:after="0" w:line="156" w:lineRule="exact"/>
        <w:rPr>
          <w:sz w:val="20"/>
          <w:szCs w:val="20"/>
          <w:color w:val="auto"/>
        </w:rPr>
      </w:pPr>
    </w:p>
    <w:p>
      <w:pPr>
        <w:ind w:left="1020" w:hanging="263"/>
        <w:spacing w:after="0"/>
        <w:tabs>
          <w:tab w:leader="none" w:pos="102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Jurisdiction</w:t>
      </w:r>
      <w:r>
        <w:rPr>
          <w:rFonts w:ascii="Times New Roman" w:cs="Times New Roman" w:eastAsia="Times New Roman" w:hAnsi="Times New Roman"/>
          <w:sz w:val="20"/>
          <w:szCs w:val="20"/>
          <w:color w:val="auto"/>
        </w:rPr>
        <w:t>. The provisions of Section 9.13 of the LC Credit Agreement shall apply with like effect to this Amendment No. 3.</w:t>
      </w:r>
    </w:p>
    <w:p>
      <w:pPr>
        <w:spacing w:after="0" w:line="215" w:lineRule="exact"/>
        <w:rPr>
          <w:rFonts w:ascii="Times New Roman" w:cs="Times New Roman" w:eastAsia="Times New Roman" w:hAnsi="Times New Roman"/>
          <w:sz w:val="20"/>
          <w:szCs w:val="20"/>
          <w:color w:val="auto"/>
        </w:rPr>
      </w:pPr>
    </w:p>
    <w:p>
      <w:pPr>
        <w:ind w:right="340" w:firstLine="757"/>
        <w:spacing w:after="0" w:line="269" w:lineRule="auto"/>
        <w:tabs>
          <w:tab w:leader="none" w:pos="1018"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Binding Effect</w:t>
      </w:r>
      <w:r>
        <w:rPr>
          <w:rFonts w:ascii="Times New Roman" w:cs="Times New Roman" w:eastAsia="Times New Roman" w:hAnsi="Times New Roman"/>
          <w:sz w:val="20"/>
          <w:szCs w:val="20"/>
          <w:color w:val="auto"/>
        </w:rPr>
        <w:t>. This Amendment No. 3 shall be binding upon and inure to the benefit of each of the parties hereto and their respective successors and assigns.</w:t>
      </w:r>
    </w:p>
    <w:p>
      <w:pPr>
        <w:spacing w:after="0" w:line="159" w:lineRule="exact"/>
        <w:rPr>
          <w:rFonts w:ascii="Times New Roman" w:cs="Times New Roman" w:eastAsia="Times New Roman" w:hAnsi="Times New Roman"/>
          <w:sz w:val="20"/>
          <w:szCs w:val="20"/>
          <w:color w:val="auto"/>
        </w:rPr>
      </w:pPr>
    </w:p>
    <w:p>
      <w:pPr>
        <w:ind w:right="340" w:firstLine="757"/>
        <w:spacing w:after="0" w:line="254" w:lineRule="auto"/>
        <w:tabs>
          <w:tab w:leader="none" w:pos="1018"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 Modification, Etc.</w:t>
      </w:r>
      <w:r>
        <w:rPr>
          <w:rFonts w:ascii="Times New Roman" w:cs="Times New Roman" w:eastAsia="Times New Roman" w:hAnsi="Times New Roman"/>
          <w:sz w:val="20"/>
          <w:szCs w:val="20"/>
          <w:color w:val="auto"/>
        </w:rPr>
        <w:t xml:space="preserve"> No provision or term of this Amendment No. 3 may be modified, altered, waived, discharged or terminated orally or by course of conduct, but only by an instrument in writing executed by the party against whom such modification, alteration, waiver, discharge or termination is sought to be enforced.</w:t>
      </w:r>
    </w:p>
    <w:p>
      <w:pPr>
        <w:spacing w:after="0" w:line="174" w:lineRule="exact"/>
        <w:rPr>
          <w:rFonts w:ascii="Times New Roman" w:cs="Times New Roman" w:eastAsia="Times New Roman" w:hAnsi="Times New Roman"/>
          <w:sz w:val="20"/>
          <w:szCs w:val="20"/>
          <w:color w:val="auto"/>
        </w:rPr>
      </w:pPr>
    </w:p>
    <w:p>
      <w:pPr>
        <w:ind w:right="260" w:firstLine="757"/>
        <w:spacing w:after="0" w:line="269" w:lineRule="auto"/>
        <w:tabs>
          <w:tab w:leader="none" w:pos="1018"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Further Assurances</w:t>
      </w:r>
      <w:r>
        <w:rPr>
          <w:rFonts w:ascii="Times New Roman" w:cs="Times New Roman" w:eastAsia="Times New Roman" w:hAnsi="Times New Roman"/>
          <w:sz w:val="20"/>
          <w:szCs w:val="20"/>
          <w:color w:val="auto"/>
        </w:rPr>
        <w:t>. The Loan Parties shall execute and deliver such additional documents and take such additional action as may be reasonably requested by Agent to effectuate the provisions and purposes of this Amendment No. 3.</w:t>
      </w:r>
    </w:p>
    <w:p>
      <w:pPr>
        <w:spacing w:after="0" w:line="159" w:lineRule="exact"/>
        <w:rPr>
          <w:rFonts w:ascii="Times New Roman" w:cs="Times New Roman" w:eastAsia="Times New Roman" w:hAnsi="Times New Roman"/>
          <w:sz w:val="20"/>
          <w:szCs w:val="20"/>
          <w:color w:val="auto"/>
        </w:rPr>
      </w:pPr>
    </w:p>
    <w:p>
      <w:pPr>
        <w:jc w:val="both"/>
        <w:ind w:right="320" w:firstLine="757"/>
        <w:spacing w:after="0" w:line="254" w:lineRule="auto"/>
        <w:tabs>
          <w:tab w:leader="none" w:pos="1018"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Amendment No. 3 represents the entire agreement and understanding concerning the subject matter hereof among the parties hereto, and supersedes all other prior agreements, understandings, negotiations and discussions, representations, warranties, commitments, proposals, offers and contracts concerning the subject matter hereof, whether oral or written.</w:t>
      </w:r>
    </w:p>
    <w:p>
      <w:pPr>
        <w:spacing w:after="0" w:line="174" w:lineRule="exact"/>
        <w:rPr>
          <w:rFonts w:ascii="Times New Roman" w:cs="Times New Roman" w:eastAsia="Times New Roman" w:hAnsi="Times New Roman"/>
          <w:sz w:val="20"/>
          <w:szCs w:val="20"/>
          <w:color w:val="auto"/>
        </w:rPr>
      </w:pPr>
    </w:p>
    <w:p>
      <w:pPr>
        <w:ind w:right="80" w:firstLine="757"/>
        <w:spacing w:after="0" w:line="269" w:lineRule="auto"/>
        <w:tabs>
          <w:tab w:leader="none" w:pos="1018"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The headings listed herein are for convenience only and do not constitute matters to be construed in interpreting this Amendment No. 3.</w:t>
      </w:r>
    </w:p>
    <w:p>
      <w:pPr>
        <w:spacing w:after="0" w:line="159" w:lineRule="exact"/>
        <w:rPr>
          <w:rFonts w:ascii="Times New Roman" w:cs="Times New Roman" w:eastAsia="Times New Roman" w:hAnsi="Times New Roman"/>
          <w:sz w:val="20"/>
          <w:szCs w:val="20"/>
          <w:color w:val="auto"/>
        </w:rPr>
      </w:pPr>
    </w:p>
    <w:p>
      <w:pPr>
        <w:ind w:firstLine="757"/>
        <w:spacing w:after="0" w:line="243" w:lineRule="auto"/>
        <w:tabs>
          <w:tab w:leader="none" w:pos="1018"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Amendment No. 3 may be executed in any number of counterparts, each of which shall be an original, but all of which taken together shall constitute one and the same agreement and may be executed by means of (a) an electronic signature that complies with the federal Electronic Signatures in Global and National Commerce Act, state enactments of the Uniform Electronic Transactions Act, or any other relevant and applicable electronic signatures law; (b) an original manual signature; or (c) a faxed, scanned, or photocopied manual signature. Each electronic signature or faxed, scanned, or photocopied manual signature shall for all purposes have the same validity, legal effect, and admissibility in evidence as an original manual signature. Any party delivering an executed counterpart of this Amendment No. 3 by electronic method of transmission shall also deliver an original executed counterpart of this Amendment No. 3, but the failure to do so shall not affect the validity, enforceability, and binding effect of this Amendment No. 3.</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[REMAINDER OF THIS PAGE INTENTIONALLY LEFT BLANK]</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4898-7160-0670 v.6</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8338823.2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129" w:name="page130"/>
    <w:bookmarkEnd w:id="129"/>
    <w:p>
      <w:pPr>
        <w:ind w:firstLine="711"/>
        <w:spacing w:after="0" w:line="269" w:lineRule="auto"/>
        <w:rPr>
          <w:sz w:val="20"/>
          <w:szCs w:val="20"/>
          <w:color w:val="auto"/>
        </w:rPr>
      </w:pPr>
      <w:r>
        <w:rPr>
          <w:rFonts w:ascii="Times New Roman" w:cs="Times New Roman" w:eastAsia="Times New Roman" w:hAnsi="Times New Roman"/>
          <w:sz w:val="20"/>
          <w:szCs w:val="20"/>
          <w:color w:val="auto"/>
        </w:rPr>
        <w:t>IN WITNESS WHEREOF, the parties hereto have caused this Amendment No. 3 to be duly executed and delivered by their authorized officers as of the day and year first above written.</w:t>
      </w:r>
    </w:p>
    <w:p>
      <w:pPr>
        <w:spacing w:after="0" w:line="38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EASTMAN KODAK COMPANY</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Matthew C. Ebersold</w:t>
      </w:r>
    </w:p>
    <w:p>
      <w:pPr>
        <w:spacing w:after="0" w:line="2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Name: Matthew C. Ebersold</w:t>
      </w:r>
    </w:p>
    <w:p>
      <w:pPr>
        <w:ind w:left="4500"/>
        <w:spacing w:after="0"/>
        <w:rPr>
          <w:sz w:val="20"/>
          <w:szCs w:val="20"/>
          <w:color w:val="auto"/>
        </w:rPr>
      </w:pPr>
      <w:r>
        <w:rPr>
          <w:rFonts w:ascii="Times New Roman" w:cs="Times New Roman" w:eastAsia="Times New Roman" w:hAnsi="Times New Roman"/>
          <w:sz w:val="20"/>
          <w:szCs w:val="20"/>
          <w:color w:val="auto"/>
        </w:rPr>
        <w:t>Title: Treasurer</w:t>
      </w:r>
    </w:p>
    <w:p>
      <w:pPr>
        <w:spacing w:after="0" w:line="200" w:lineRule="exact"/>
        <w:rPr>
          <w:sz w:val="20"/>
          <w:szCs w:val="20"/>
          <w:color w:val="auto"/>
        </w:rPr>
      </w:pPr>
    </w:p>
    <w:p>
      <w:pPr>
        <w:spacing w:after="0" w:line="23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KODAK (NEAR EAST), INC.</w:t>
      </w:r>
    </w:p>
    <w:p>
      <w:pPr>
        <w:spacing w:after="0" w:line="2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KODAK AMERICAS, LTD.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Matthew C. Ebersold</w:t>
      </w:r>
    </w:p>
    <w:p>
      <w:pPr>
        <w:spacing w:after="0" w:line="2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Name: Matthew C. Ebersold</w:t>
      </w:r>
    </w:p>
    <w:p>
      <w:pPr>
        <w:ind w:left="4500"/>
        <w:spacing w:after="0"/>
        <w:rPr>
          <w:sz w:val="20"/>
          <w:szCs w:val="20"/>
          <w:color w:val="auto"/>
        </w:rPr>
      </w:pPr>
      <w:r>
        <w:rPr>
          <w:rFonts w:ascii="Times New Roman" w:cs="Times New Roman" w:eastAsia="Times New Roman" w:hAnsi="Times New Roman"/>
          <w:sz w:val="20"/>
          <w:szCs w:val="20"/>
          <w:color w:val="auto"/>
        </w:rPr>
        <w:t>Title: Treasurer</w:t>
      </w:r>
    </w:p>
    <w:p>
      <w:pPr>
        <w:spacing w:after="0" w:line="200" w:lineRule="exact"/>
        <w:rPr>
          <w:sz w:val="20"/>
          <w:szCs w:val="20"/>
          <w:color w:val="auto"/>
        </w:rPr>
      </w:pPr>
    </w:p>
    <w:p>
      <w:pPr>
        <w:spacing w:after="0" w:line="23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EASTMAN KODAK INTERNATIONAL CAPITAL COMPANY, INC.</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Matthew C. Ebersold</w:t>
      </w:r>
    </w:p>
    <w:p>
      <w:pPr>
        <w:spacing w:after="0" w:line="2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Name: Matthew C. Ebersold</w:t>
      </w:r>
    </w:p>
    <w:p>
      <w:pPr>
        <w:ind w:left="4500"/>
        <w:spacing w:after="0"/>
        <w:rPr>
          <w:sz w:val="20"/>
          <w:szCs w:val="20"/>
          <w:color w:val="auto"/>
        </w:rPr>
      </w:pPr>
      <w:r>
        <w:rPr>
          <w:rFonts w:ascii="Times New Roman" w:cs="Times New Roman" w:eastAsia="Times New Roman" w:hAnsi="Times New Roman"/>
          <w:sz w:val="20"/>
          <w:szCs w:val="20"/>
          <w:color w:val="auto"/>
        </w:rPr>
        <w:t>Title: Director, President &amp; Treasurer</w:t>
      </w:r>
    </w:p>
    <w:p>
      <w:pPr>
        <w:spacing w:after="0" w:line="200" w:lineRule="exact"/>
        <w:rPr>
          <w:sz w:val="20"/>
          <w:szCs w:val="20"/>
          <w:color w:val="auto"/>
        </w:rPr>
      </w:pPr>
    </w:p>
    <w:p>
      <w:pPr>
        <w:spacing w:after="0" w:line="23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KODAK PHILIPPINES, LTD.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Matthew C. Ebersold</w:t>
      </w:r>
    </w:p>
    <w:p>
      <w:pPr>
        <w:spacing w:after="0" w:line="2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Name: Matthew C. Ebersold</w:t>
      </w:r>
    </w:p>
    <w:p>
      <w:pPr>
        <w:ind w:left="4500"/>
        <w:spacing w:after="0"/>
        <w:rPr>
          <w:sz w:val="20"/>
          <w:szCs w:val="20"/>
          <w:color w:val="auto"/>
        </w:rPr>
      </w:pPr>
      <w:r>
        <w:rPr>
          <w:rFonts w:ascii="Times New Roman" w:cs="Times New Roman" w:eastAsia="Times New Roman" w:hAnsi="Times New Roman"/>
          <w:sz w:val="20"/>
          <w:szCs w:val="20"/>
          <w:color w:val="auto"/>
        </w:rPr>
        <w:t>Title: Director and Treasurer</w:t>
      </w:r>
    </w:p>
    <w:p>
      <w:pPr>
        <w:spacing w:after="0" w:line="15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13"/>
          <w:szCs w:val="13"/>
          <w:color w:val="auto"/>
        </w:rPr>
        <w:t>mendment</w:t>
      </w:r>
      <w:r>
        <w:rPr>
          <w:rFonts w:ascii="Times New Roman" w:cs="Times New Roman" w:eastAsia="Times New Roman" w:hAnsi="Times New Roman"/>
          <w:sz w:val="20"/>
          <w:szCs w:val="20"/>
          <w:color w:val="auto"/>
        </w:rPr>
        <w:t xml:space="preserve"> N</w:t>
      </w:r>
      <w:r>
        <w:rPr>
          <w:rFonts w:ascii="Times New Roman" w:cs="Times New Roman" w:eastAsia="Times New Roman" w:hAnsi="Times New Roman"/>
          <w:sz w:val="13"/>
          <w:szCs w:val="13"/>
          <w:color w:val="auto"/>
        </w:rPr>
        <w:t>o</w:t>
      </w:r>
      <w:r>
        <w:rPr>
          <w:rFonts w:ascii="Times New Roman" w:cs="Times New Roman" w:eastAsia="Times New Roman" w:hAnsi="Times New Roman"/>
          <w:sz w:val="20"/>
          <w:szCs w:val="20"/>
          <w:color w:val="auto"/>
        </w:rPr>
        <w:t xml:space="preserve">. 3 </w:t>
      </w:r>
      <w:r>
        <w:rPr>
          <w:rFonts w:ascii="Times New Roman" w:cs="Times New Roman" w:eastAsia="Times New Roman" w:hAnsi="Times New Roman"/>
          <w:sz w:val="13"/>
          <w:szCs w:val="13"/>
          <w:color w:val="auto"/>
        </w:rPr>
        <w:t>to</w:t>
      </w:r>
      <w:r>
        <w:rPr>
          <w:rFonts w:ascii="Times New Roman" w:cs="Times New Roman" w:eastAsia="Times New Roman" w:hAnsi="Times New Roman"/>
          <w:sz w:val="20"/>
          <w:szCs w:val="20"/>
          <w:color w:val="auto"/>
        </w:rPr>
        <w:t xml:space="preserve"> L</w:t>
      </w:r>
      <w:r>
        <w:rPr>
          <w:rFonts w:ascii="Times New Roman" w:cs="Times New Roman" w:eastAsia="Times New Roman" w:hAnsi="Times New Roman"/>
          <w:sz w:val="13"/>
          <w:szCs w:val="13"/>
          <w:color w:val="auto"/>
        </w:rPr>
        <w:t>etter of</w:t>
      </w:r>
      <w:r>
        <w:rPr>
          <w:rFonts w:ascii="Times New Roman" w:cs="Times New Roman" w:eastAsia="Times New Roman" w:hAnsi="Times New Roman"/>
          <w:sz w:val="20"/>
          <w:szCs w:val="20"/>
          <w:color w:val="auto"/>
        </w:rPr>
        <w:t xml:space="preserve"> C</w:t>
      </w:r>
      <w:r>
        <w:rPr>
          <w:rFonts w:ascii="Times New Roman" w:cs="Times New Roman" w:eastAsia="Times New Roman" w:hAnsi="Times New Roman"/>
          <w:sz w:val="13"/>
          <w:szCs w:val="13"/>
          <w:color w:val="auto"/>
        </w:rPr>
        <w:t>redit</w:t>
      </w:r>
      <w:r>
        <w:rPr>
          <w:rFonts w:ascii="Times New Roman" w:cs="Times New Roman" w:eastAsia="Times New Roman" w:hAnsi="Times New Roman"/>
          <w:sz w:val="20"/>
          <w:szCs w:val="20"/>
          <w:color w:val="auto"/>
        </w:rPr>
        <w:t xml:space="preserve"> F</w:t>
      </w:r>
      <w:r>
        <w:rPr>
          <w:rFonts w:ascii="Times New Roman" w:cs="Times New Roman" w:eastAsia="Times New Roman" w:hAnsi="Times New Roman"/>
          <w:sz w:val="13"/>
          <w:szCs w:val="13"/>
          <w:color w:val="auto"/>
        </w:rPr>
        <w:t>acility</w:t>
      </w:r>
      <w:r>
        <w:rPr>
          <w:rFonts w:ascii="Times New Roman" w:cs="Times New Roman" w:eastAsia="Times New Roman" w:hAnsi="Times New Roman"/>
          <w:sz w:val="20"/>
          <w:szCs w:val="20"/>
          <w:color w:val="auto"/>
        </w:rPr>
        <w:t xml:space="preserve"> A</w:t>
      </w:r>
      <w:r>
        <w:rPr>
          <w:rFonts w:ascii="Times New Roman" w:cs="Times New Roman" w:eastAsia="Times New Roman" w:hAnsi="Times New Roman"/>
          <w:sz w:val="13"/>
          <w:szCs w:val="13"/>
          <w:color w:val="auto"/>
        </w:rPr>
        <w:t>greement</w:t>
      </w:r>
      <w:r>
        <w:rPr>
          <w:rFonts w:ascii="Times New Roman" w:cs="Times New Roman" w:eastAsia="Times New Roman" w:hAnsi="Times New Roman"/>
          <w:sz w:val="20"/>
          <w:szCs w:val="20"/>
          <w:color w:val="auto"/>
        </w:rPr>
        <w:t xml:space="preserve"> – E</w:t>
      </w:r>
      <w:r>
        <w:rPr>
          <w:rFonts w:ascii="Times New Roman" w:cs="Times New Roman" w:eastAsia="Times New Roman" w:hAnsi="Times New Roman"/>
          <w:sz w:val="13"/>
          <w:szCs w:val="13"/>
          <w:color w:val="auto"/>
        </w:rPr>
        <w:t>astman</w:t>
      </w:r>
      <w:r>
        <w:rPr>
          <w:rFonts w:ascii="Times New Roman" w:cs="Times New Roman" w:eastAsia="Times New Roman" w:hAnsi="Times New Roman"/>
          <w:sz w:val="20"/>
          <w:szCs w:val="20"/>
          <w:color w:val="auto"/>
        </w:rPr>
        <w:t xml:space="preserve"> K</w:t>
      </w:r>
      <w:r>
        <w:rPr>
          <w:rFonts w:ascii="Times New Roman" w:cs="Times New Roman" w:eastAsia="Times New Roman" w:hAnsi="Times New Roman"/>
          <w:sz w:val="13"/>
          <w:szCs w:val="13"/>
          <w:color w:val="auto"/>
        </w:rPr>
        <w:t>odak</w:t>
      </w:r>
      <w:r>
        <w:rPr>
          <w:rFonts w:ascii="Times New Roman" w:cs="Times New Roman" w:eastAsia="Times New Roman" w:hAnsi="Times New Roman"/>
          <w:sz w:val="20"/>
          <w:szCs w:val="20"/>
          <w:color w:val="auto"/>
        </w:rPr>
        <w:t xml:space="preserve"> C</w:t>
      </w:r>
      <w:r>
        <w:rPr>
          <w:rFonts w:ascii="Times New Roman" w:cs="Times New Roman" w:eastAsia="Times New Roman" w:hAnsi="Times New Roman"/>
          <w:sz w:val="13"/>
          <w:szCs w:val="13"/>
          <w:color w:val="auto"/>
        </w:rPr>
        <w:t>ompany</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635635</wp:posOffset>
            </wp:positionV>
            <wp:extent cx="7157720" cy="4254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40"/>
          </w:cols>
          <w:pgMar w:left="320" w:top="1413" w:right="1039" w:bottom="1440" w:gutter="0" w:footer="0" w:header="0"/>
        </w:sectPr>
      </w:pPr>
    </w:p>
    <w:bookmarkStart w:id="130" w:name="page131"/>
    <w:bookmarkEnd w:id="130"/>
    <w:p>
      <w:pPr>
        <w:ind w:left="3380"/>
        <w:spacing w:after="0"/>
        <w:rPr>
          <w:sz w:val="20"/>
          <w:szCs w:val="20"/>
          <w:color w:val="auto"/>
        </w:rPr>
      </w:pPr>
      <w:r>
        <w:rPr>
          <w:rFonts w:ascii="Times New Roman" w:cs="Times New Roman" w:eastAsia="Times New Roman" w:hAnsi="Times New Roman"/>
          <w:sz w:val="20"/>
          <w:szCs w:val="20"/>
          <w:color w:val="auto"/>
        </w:rPr>
        <w:t>BANK OF AMERICA, N.A.,</w:t>
      </w:r>
    </w:p>
    <w:p>
      <w:pPr>
        <w:spacing w:after="0" w:line="22"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as Agent, Issuing Bank and Lender</w:t>
      </w:r>
    </w:p>
    <w:p>
      <w:pPr>
        <w:spacing w:after="0" w:line="22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Matthew T. O’Keefe</w:t>
      </w:r>
    </w:p>
    <w:p>
      <w:pPr>
        <w:spacing w:after="0" w:line="2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Name: Matthew T. O’Keefe</w:t>
      </w:r>
    </w:p>
    <w:p>
      <w:pPr>
        <w:ind w:left="3380"/>
        <w:spacing w:after="0"/>
        <w:rPr>
          <w:sz w:val="20"/>
          <w:szCs w:val="20"/>
          <w:color w:val="auto"/>
        </w:rPr>
      </w:pPr>
      <w:r>
        <w:rPr>
          <w:rFonts w:ascii="Times New Roman" w:cs="Times New Roman" w:eastAsia="Times New Roman" w:hAnsi="Times New Roman"/>
          <w:sz w:val="20"/>
          <w:szCs w:val="20"/>
          <w:color w:val="auto"/>
        </w:rPr>
        <w:t>Title: Senior Vice President</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13"/>
          <w:szCs w:val="13"/>
          <w:color w:val="auto"/>
        </w:rPr>
        <w:t>mendment</w:t>
      </w:r>
      <w:r>
        <w:rPr>
          <w:rFonts w:ascii="Times New Roman" w:cs="Times New Roman" w:eastAsia="Times New Roman" w:hAnsi="Times New Roman"/>
          <w:sz w:val="20"/>
          <w:szCs w:val="20"/>
          <w:color w:val="auto"/>
        </w:rPr>
        <w:t xml:space="preserve"> N</w:t>
      </w:r>
      <w:r>
        <w:rPr>
          <w:rFonts w:ascii="Times New Roman" w:cs="Times New Roman" w:eastAsia="Times New Roman" w:hAnsi="Times New Roman"/>
          <w:sz w:val="13"/>
          <w:szCs w:val="13"/>
          <w:color w:val="auto"/>
        </w:rPr>
        <w:t>o</w:t>
      </w:r>
      <w:r>
        <w:rPr>
          <w:rFonts w:ascii="Times New Roman" w:cs="Times New Roman" w:eastAsia="Times New Roman" w:hAnsi="Times New Roman"/>
          <w:sz w:val="20"/>
          <w:szCs w:val="20"/>
          <w:color w:val="auto"/>
        </w:rPr>
        <w:t xml:space="preserve">. 3 </w:t>
      </w:r>
      <w:r>
        <w:rPr>
          <w:rFonts w:ascii="Times New Roman" w:cs="Times New Roman" w:eastAsia="Times New Roman" w:hAnsi="Times New Roman"/>
          <w:sz w:val="13"/>
          <w:szCs w:val="13"/>
          <w:color w:val="auto"/>
        </w:rPr>
        <w:t>to</w:t>
      </w:r>
      <w:r>
        <w:rPr>
          <w:rFonts w:ascii="Times New Roman" w:cs="Times New Roman" w:eastAsia="Times New Roman" w:hAnsi="Times New Roman"/>
          <w:sz w:val="20"/>
          <w:szCs w:val="20"/>
          <w:color w:val="auto"/>
        </w:rPr>
        <w:t xml:space="preserve"> L</w:t>
      </w:r>
      <w:r>
        <w:rPr>
          <w:rFonts w:ascii="Times New Roman" w:cs="Times New Roman" w:eastAsia="Times New Roman" w:hAnsi="Times New Roman"/>
          <w:sz w:val="13"/>
          <w:szCs w:val="13"/>
          <w:color w:val="auto"/>
        </w:rPr>
        <w:t>etter of</w:t>
      </w:r>
      <w:r>
        <w:rPr>
          <w:rFonts w:ascii="Times New Roman" w:cs="Times New Roman" w:eastAsia="Times New Roman" w:hAnsi="Times New Roman"/>
          <w:sz w:val="20"/>
          <w:szCs w:val="20"/>
          <w:color w:val="auto"/>
        </w:rPr>
        <w:t xml:space="preserve"> C</w:t>
      </w:r>
      <w:r>
        <w:rPr>
          <w:rFonts w:ascii="Times New Roman" w:cs="Times New Roman" w:eastAsia="Times New Roman" w:hAnsi="Times New Roman"/>
          <w:sz w:val="13"/>
          <w:szCs w:val="13"/>
          <w:color w:val="auto"/>
        </w:rPr>
        <w:t>redit</w:t>
      </w:r>
      <w:r>
        <w:rPr>
          <w:rFonts w:ascii="Times New Roman" w:cs="Times New Roman" w:eastAsia="Times New Roman" w:hAnsi="Times New Roman"/>
          <w:sz w:val="20"/>
          <w:szCs w:val="20"/>
          <w:color w:val="auto"/>
        </w:rPr>
        <w:t xml:space="preserve"> F</w:t>
      </w:r>
      <w:r>
        <w:rPr>
          <w:rFonts w:ascii="Times New Roman" w:cs="Times New Roman" w:eastAsia="Times New Roman" w:hAnsi="Times New Roman"/>
          <w:sz w:val="13"/>
          <w:szCs w:val="13"/>
          <w:color w:val="auto"/>
        </w:rPr>
        <w:t>acility</w:t>
      </w:r>
      <w:r>
        <w:rPr>
          <w:rFonts w:ascii="Times New Roman" w:cs="Times New Roman" w:eastAsia="Times New Roman" w:hAnsi="Times New Roman"/>
          <w:sz w:val="20"/>
          <w:szCs w:val="20"/>
          <w:color w:val="auto"/>
        </w:rPr>
        <w:t xml:space="preserve"> A</w:t>
      </w:r>
      <w:r>
        <w:rPr>
          <w:rFonts w:ascii="Times New Roman" w:cs="Times New Roman" w:eastAsia="Times New Roman" w:hAnsi="Times New Roman"/>
          <w:sz w:val="13"/>
          <w:szCs w:val="13"/>
          <w:color w:val="auto"/>
        </w:rPr>
        <w:t>greement</w:t>
      </w:r>
      <w:r>
        <w:rPr>
          <w:rFonts w:ascii="Times New Roman" w:cs="Times New Roman" w:eastAsia="Times New Roman" w:hAnsi="Times New Roman"/>
          <w:sz w:val="20"/>
          <w:szCs w:val="20"/>
          <w:color w:val="auto"/>
        </w:rPr>
        <w:t xml:space="preserve"> – E</w:t>
      </w:r>
      <w:r>
        <w:rPr>
          <w:rFonts w:ascii="Times New Roman" w:cs="Times New Roman" w:eastAsia="Times New Roman" w:hAnsi="Times New Roman"/>
          <w:sz w:val="13"/>
          <w:szCs w:val="13"/>
          <w:color w:val="auto"/>
        </w:rPr>
        <w:t>astman</w:t>
      </w:r>
      <w:r>
        <w:rPr>
          <w:rFonts w:ascii="Times New Roman" w:cs="Times New Roman" w:eastAsia="Times New Roman" w:hAnsi="Times New Roman"/>
          <w:sz w:val="20"/>
          <w:szCs w:val="20"/>
          <w:color w:val="auto"/>
        </w:rPr>
        <w:t xml:space="preserve"> K</w:t>
      </w:r>
      <w:r>
        <w:rPr>
          <w:rFonts w:ascii="Times New Roman" w:cs="Times New Roman" w:eastAsia="Times New Roman" w:hAnsi="Times New Roman"/>
          <w:sz w:val="13"/>
          <w:szCs w:val="13"/>
          <w:color w:val="auto"/>
        </w:rPr>
        <w:t>odak</w:t>
      </w:r>
      <w:r>
        <w:rPr>
          <w:rFonts w:ascii="Times New Roman" w:cs="Times New Roman" w:eastAsia="Times New Roman" w:hAnsi="Times New Roman"/>
          <w:sz w:val="20"/>
          <w:szCs w:val="20"/>
          <w:color w:val="auto"/>
        </w:rPr>
        <w:t xml:space="preserve"> C</w:t>
      </w:r>
      <w:r>
        <w:rPr>
          <w:rFonts w:ascii="Times New Roman" w:cs="Times New Roman" w:eastAsia="Times New Roman" w:hAnsi="Times New Roman"/>
          <w:sz w:val="13"/>
          <w:szCs w:val="13"/>
          <w:color w:val="auto"/>
        </w:rPr>
        <w:t>ompany</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635635</wp:posOffset>
            </wp:positionV>
            <wp:extent cx="7157720" cy="4254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31" w:name="page132"/>
    <w:bookmarkEnd w:id="131"/>
    <w:p>
      <w:pPr>
        <w:spacing w:after="0" w:line="19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(10.31)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w:t>
      </w:r>
      <w:r>
        <w:rPr>
          <w:rFonts w:ascii="Times New Roman" w:cs="Times New Roman" w:eastAsia="Times New Roman" w:hAnsi="Times New Roman"/>
          <w:sz w:val="13"/>
          <w:szCs w:val="13"/>
          <w:b w:val="1"/>
          <w:bCs w:val="1"/>
          <w:color w:val="auto"/>
        </w:rPr>
        <w:t>irst</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3"/>
          <w:szCs w:val="13"/>
          <w:b w:val="1"/>
          <w:bCs w:val="1"/>
          <w:color w:val="auto"/>
        </w:rPr>
        <w:t>mendment to</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3"/>
          <w:szCs w:val="13"/>
          <w:b w:val="1"/>
          <w:bCs w:val="1"/>
          <w:color w:val="auto"/>
        </w:rPr>
        <w:t>mended and</w:t>
      </w:r>
      <w:r>
        <w:rPr>
          <w:rFonts w:ascii="Times New Roman" w:cs="Times New Roman" w:eastAsia="Times New Roman" w:hAnsi="Times New Roman"/>
          <w:sz w:val="20"/>
          <w:szCs w:val="20"/>
          <w:b w:val="1"/>
          <w:bCs w:val="1"/>
          <w:color w:val="auto"/>
        </w:rPr>
        <w:t xml:space="preserve"> R</w:t>
      </w:r>
      <w:r>
        <w:rPr>
          <w:rFonts w:ascii="Times New Roman" w:cs="Times New Roman" w:eastAsia="Times New Roman" w:hAnsi="Times New Roman"/>
          <w:sz w:val="13"/>
          <w:szCs w:val="13"/>
          <w:b w:val="1"/>
          <w:bCs w:val="1"/>
          <w:color w:val="auto"/>
        </w:rPr>
        <w:t>estated</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3"/>
          <w:szCs w:val="13"/>
          <w:b w:val="1"/>
          <w:bCs w:val="1"/>
          <w:color w:val="auto"/>
        </w:rPr>
        <w:t>redit</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3"/>
          <w:szCs w:val="13"/>
          <w:b w:val="1"/>
          <w:bCs w:val="1"/>
          <w:color w:val="auto"/>
        </w:rPr>
        <w:t>greement</w:t>
      </w:r>
    </w:p>
    <w:p>
      <w:pPr>
        <w:spacing w:after="0" w:line="25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 xml:space="preserve">This First Amendment to Amended and Restated Credit Agreement (this </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Amendment</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is entered into as of February 26, 2025, by and among E</w:t>
      </w:r>
      <w:r>
        <w:rPr>
          <w:rFonts w:ascii="Times New Roman" w:cs="Times New Roman" w:eastAsia="Times New Roman" w:hAnsi="Times New Roman"/>
          <w:sz w:val="13"/>
          <w:szCs w:val="13"/>
          <w:color w:val="auto"/>
        </w:rPr>
        <w:t>astman</w:t>
      </w:r>
      <w:r>
        <w:rPr>
          <w:rFonts w:ascii="Times New Roman" w:cs="Times New Roman" w:eastAsia="Times New Roman" w:hAnsi="Times New Roman"/>
          <w:sz w:val="20"/>
          <w:szCs w:val="20"/>
          <w:color w:val="auto"/>
        </w:rPr>
        <w:t xml:space="preserve"> K</w:t>
      </w:r>
      <w:r>
        <w:rPr>
          <w:rFonts w:ascii="Times New Roman" w:cs="Times New Roman" w:eastAsia="Times New Roman" w:hAnsi="Times New Roman"/>
          <w:sz w:val="13"/>
          <w:szCs w:val="13"/>
          <w:color w:val="auto"/>
        </w:rPr>
        <w:t>odak</w:t>
      </w:r>
      <w:r>
        <w:rPr>
          <w:rFonts w:ascii="Times New Roman" w:cs="Times New Roman" w:eastAsia="Times New Roman" w:hAnsi="Times New Roman"/>
          <w:sz w:val="20"/>
          <w:szCs w:val="20"/>
          <w:color w:val="auto"/>
        </w:rPr>
        <w:t xml:space="preserve"> C</w:t>
      </w:r>
      <w:r>
        <w:rPr>
          <w:rFonts w:ascii="Times New Roman" w:cs="Times New Roman" w:eastAsia="Times New Roman" w:hAnsi="Times New Roman"/>
          <w:sz w:val="13"/>
          <w:szCs w:val="13"/>
          <w:color w:val="auto"/>
        </w:rPr>
        <w:t>ompany</w:t>
      </w:r>
      <w:r>
        <w:rPr>
          <w:rFonts w:ascii="Times New Roman" w:cs="Times New Roman" w:eastAsia="Times New Roman" w:hAnsi="Times New Roman"/>
          <w:sz w:val="20"/>
          <w:szCs w:val="20"/>
          <w:color w:val="auto"/>
        </w:rPr>
        <w:t xml:space="preserve">, a New Jersey corporation (the </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Borrower</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the other undersigned Loan Parties (as defined in the Credit Agreement (as defined below)) identified on the signature pages hereto, the undersigned Lenders identified on the signature pages hereto (the “</w:t>
      </w:r>
      <w:r>
        <w:rPr>
          <w:rFonts w:ascii="Times New Roman" w:cs="Times New Roman" w:eastAsia="Times New Roman" w:hAnsi="Times New Roman"/>
          <w:sz w:val="20"/>
          <w:szCs w:val="20"/>
          <w:b w:val="1"/>
          <w:bCs w:val="1"/>
          <w:i w:val="1"/>
          <w:iCs w:val="1"/>
          <w:color w:val="auto"/>
        </w:rPr>
        <w:t>Lenders</w:t>
      </w:r>
      <w:r>
        <w:rPr>
          <w:rFonts w:ascii="Times New Roman" w:cs="Times New Roman" w:eastAsia="Times New Roman" w:hAnsi="Times New Roman"/>
          <w:sz w:val="20"/>
          <w:szCs w:val="20"/>
          <w:color w:val="auto"/>
        </w:rPr>
        <w:t>”), and Alter Domus (US) LLC, as administrative agent (in such capacity, the “</w:t>
      </w:r>
      <w:r>
        <w:rPr>
          <w:rFonts w:ascii="Times New Roman" w:cs="Times New Roman" w:eastAsia="Times New Roman" w:hAnsi="Times New Roman"/>
          <w:sz w:val="20"/>
          <w:szCs w:val="20"/>
          <w:b w:val="1"/>
          <w:bCs w:val="1"/>
          <w:i w:val="1"/>
          <w:iCs w:val="1"/>
          <w:color w:val="auto"/>
        </w:rPr>
        <w:t>Administrative Agent</w:t>
      </w:r>
      <w:r>
        <w:rPr>
          <w:rFonts w:ascii="Times New Roman" w:cs="Times New Roman" w:eastAsia="Times New Roman" w:hAnsi="Times New Roman"/>
          <w:sz w:val="20"/>
          <w:szCs w:val="20"/>
          <w:color w:val="auto"/>
        </w:rPr>
        <w: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w:t>
      </w:r>
      <w:r>
        <w:rPr>
          <w:rFonts w:ascii="Times New Roman" w:cs="Times New Roman" w:eastAsia="Times New Roman" w:hAnsi="Times New Roman"/>
          <w:sz w:val="13"/>
          <w:szCs w:val="13"/>
          <w:b w:val="1"/>
          <w:bCs w:val="1"/>
          <w:color w:val="auto"/>
        </w:rPr>
        <w:t>ecitals</w:t>
      </w:r>
    </w:p>
    <w:p>
      <w:pPr>
        <w:spacing w:after="0" w:line="25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A. The Borrower, the Administrative Agent and the undersigned Lenders (the “</w:t>
      </w:r>
      <w:r>
        <w:rPr>
          <w:rFonts w:ascii="Times New Roman" w:cs="Times New Roman" w:eastAsia="Times New Roman" w:hAnsi="Times New Roman"/>
          <w:sz w:val="20"/>
          <w:szCs w:val="20"/>
          <w:b w:val="1"/>
          <w:bCs w:val="1"/>
          <w:i w:val="1"/>
          <w:iCs w:val="1"/>
          <w:color w:val="auto"/>
        </w:rPr>
        <w:t>Lenders</w:t>
      </w:r>
      <w:r>
        <w:rPr>
          <w:rFonts w:ascii="Times New Roman" w:cs="Times New Roman" w:eastAsia="Times New Roman" w:hAnsi="Times New Roman"/>
          <w:sz w:val="20"/>
          <w:szCs w:val="20"/>
          <w:color w:val="auto"/>
        </w:rPr>
        <w:t>”) are party to that certain Amended and Restated Credit Agreement, dated as of June 30, 2023 (as in effect prior to the effect of this Amendment, the “</w:t>
      </w:r>
      <w:r>
        <w:rPr>
          <w:rFonts w:ascii="Times New Roman" w:cs="Times New Roman" w:eastAsia="Times New Roman" w:hAnsi="Times New Roman"/>
          <w:sz w:val="20"/>
          <w:szCs w:val="20"/>
          <w:b w:val="1"/>
          <w:bCs w:val="1"/>
          <w:i w:val="1"/>
          <w:iCs w:val="1"/>
          <w:color w:val="auto"/>
        </w:rPr>
        <w:t>Existing Credit Agreement</w:t>
      </w:r>
      <w:r>
        <w:rPr>
          <w:rFonts w:ascii="Times New Roman" w:cs="Times New Roman" w:eastAsia="Times New Roman" w:hAnsi="Times New Roman"/>
          <w:sz w:val="20"/>
          <w:szCs w:val="20"/>
          <w:color w:val="auto"/>
        </w:rPr>
        <w:t>” and as amended by this Amendment, the “</w:t>
      </w:r>
      <w:r>
        <w:rPr>
          <w:rFonts w:ascii="Times New Roman" w:cs="Times New Roman" w:eastAsia="Times New Roman" w:hAnsi="Times New Roman"/>
          <w:sz w:val="20"/>
          <w:szCs w:val="20"/>
          <w:b w:val="1"/>
          <w:bCs w:val="1"/>
          <w:i w:val="1"/>
          <w:iCs w:val="1"/>
          <w:color w:val="auto"/>
        </w:rPr>
        <w:t>Credit Agreement</w:t>
      </w:r>
      <w:r>
        <w:rPr>
          <w:rFonts w:ascii="Times New Roman" w:cs="Times New Roman" w:eastAsia="Times New Roman" w:hAnsi="Times New Roman"/>
          <w:sz w:val="20"/>
          <w:szCs w:val="20"/>
          <w:color w:val="auto"/>
        </w:rPr>
        <w:t>”).</w:t>
      </w:r>
    </w:p>
    <w:p>
      <w:pPr>
        <w:spacing w:after="0" w:line="213"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 xml:space="preserve">B. The Borrower has requested, and the Administrative Agent and the undersigned Lenders, constituting 100% of the Lenders under the Existing Credit Agreement, are willing to agree to the amendment of the Existing Credit Agreement as set forth in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xml:space="preserve"> hereof, in each case, on the terms and conditions set forth in this Amendment.</w:t>
      </w:r>
    </w:p>
    <w:p>
      <w:pPr>
        <w:spacing w:after="0" w:line="201" w:lineRule="exact"/>
        <w:rPr>
          <w:sz w:val="20"/>
          <w:szCs w:val="20"/>
          <w:color w:val="auto"/>
        </w:rPr>
      </w:pPr>
    </w:p>
    <w:p>
      <w:pPr>
        <w:ind w:firstLine="757"/>
        <w:spacing w:after="0" w:line="269" w:lineRule="auto"/>
        <w:tabs>
          <w:tab w:leader="none" w:pos="1018"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w:t>
      </w:r>
      <w:r>
        <w:rPr>
          <w:rFonts w:ascii="Times New Roman" w:cs="Times New Roman" w:eastAsia="Times New Roman" w:hAnsi="Times New Roman"/>
          <w:sz w:val="13"/>
          <w:szCs w:val="13"/>
          <w:color w:val="auto"/>
        </w:rPr>
        <w:t>ow</w:t>
      </w:r>
      <w:r>
        <w:rPr>
          <w:rFonts w:ascii="Times New Roman" w:cs="Times New Roman" w:eastAsia="Times New Roman" w:hAnsi="Times New Roman"/>
          <w:sz w:val="20"/>
          <w:szCs w:val="20"/>
          <w:color w:val="auto"/>
        </w:rPr>
        <w:t>, T</w:t>
      </w:r>
      <w:r>
        <w:rPr>
          <w:rFonts w:ascii="Times New Roman" w:cs="Times New Roman" w:eastAsia="Times New Roman" w:hAnsi="Times New Roman"/>
          <w:sz w:val="13"/>
          <w:szCs w:val="13"/>
          <w:color w:val="auto"/>
        </w:rPr>
        <w:t>herefore</w:t>
      </w:r>
      <w:r>
        <w:rPr>
          <w:rFonts w:ascii="Times New Roman" w:cs="Times New Roman" w:eastAsia="Times New Roman" w:hAnsi="Times New Roman"/>
          <w:sz w:val="20"/>
          <w:szCs w:val="20"/>
          <w:color w:val="auto"/>
        </w:rPr>
        <w:t>, for good and valuable consideration, the receipt and sufficiency of which is hereby acknowledged, the parties hereto agree as follows:</w:t>
      </w:r>
    </w:p>
    <w:p>
      <w:pPr>
        <w:spacing w:after="0" w:line="195" w:lineRule="exact"/>
        <w:rPr>
          <w:rFonts w:ascii="Times New Roman" w:cs="Times New Roman" w:eastAsia="Times New Roman" w:hAnsi="Times New Roman"/>
          <w:sz w:val="20"/>
          <w:szCs w:val="20"/>
          <w:color w:val="auto"/>
        </w:rPr>
      </w:pPr>
    </w:p>
    <w:p>
      <w:pPr>
        <w:ind w:left="800" w:hanging="396"/>
        <w:spacing w:after="0"/>
        <w:tabs>
          <w:tab w:leader="none" w:pos="80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Defined Terms.</w:t>
      </w:r>
    </w:p>
    <w:p>
      <w:pPr>
        <w:spacing w:after="0" w:line="260" w:lineRule="exact"/>
        <w:rPr>
          <w:sz w:val="20"/>
          <w:szCs w:val="20"/>
          <w:color w:val="auto"/>
        </w:rPr>
      </w:pPr>
    </w:p>
    <w:p>
      <w:pPr>
        <w:ind w:left="760" w:firstLine="749"/>
        <w:spacing w:after="0" w:line="269" w:lineRule="auto"/>
        <w:rPr>
          <w:sz w:val="20"/>
          <w:szCs w:val="20"/>
          <w:color w:val="auto"/>
        </w:rPr>
      </w:pPr>
      <w:r>
        <w:rPr>
          <w:rFonts w:ascii="Times New Roman" w:cs="Times New Roman" w:eastAsia="Times New Roman" w:hAnsi="Times New Roman"/>
          <w:sz w:val="20"/>
          <w:szCs w:val="20"/>
          <w:color w:val="auto"/>
        </w:rPr>
        <w:t>1.1 All capitalized terms used herein, including the Recitals, but not defined herein shall have the same meanings herein as such terms have in the Credit Agreement.</w:t>
      </w:r>
    </w:p>
    <w:p>
      <w:pPr>
        <w:spacing w:after="0" w:line="182" w:lineRule="exact"/>
        <w:rPr>
          <w:sz w:val="20"/>
          <w:szCs w:val="20"/>
          <w:color w:val="auto"/>
        </w:rPr>
      </w:pPr>
    </w:p>
    <w:p>
      <w:pPr>
        <w:ind w:left="800" w:hanging="396"/>
        <w:spacing w:after="0"/>
        <w:tabs>
          <w:tab w:leader="none" w:pos="80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Amendment</w:t>
      </w:r>
      <w:r>
        <w:rPr>
          <w:rFonts w:ascii="Times New Roman" w:cs="Times New Roman" w:eastAsia="Times New Roman" w:hAnsi="Times New Roman"/>
          <w:sz w:val="20"/>
          <w:szCs w:val="20"/>
          <w:color w:val="auto"/>
        </w:rPr>
        <w:t>. On the First Amendment Effective Date, subject to the terms and conditions set forth herein:</w:t>
      </w:r>
    </w:p>
    <w:p>
      <w:pPr>
        <w:spacing w:after="0" w:line="260" w:lineRule="exact"/>
        <w:rPr>
          <w:sz w:val="20"/>
          <w:szCs w:val="20"/>
          <w:color w:val="auto"/>
        </w:rPr>
      </w:pPr>
    </w:p>
    <w:p>
      <w:pPr>
        <w:ind w:left="760" w:right="20" w:firstLine="749"/>
        <w:spacing w:after="0" w:line="269" w:lineRule="auto"/>
        <w:rPr>
          <w:sz w:val="20"/>
          <w:szCs w:val="20"/>
          <w:color w:val="auto"/>
        </w:rPr>
      </w:pPr>
      <w:r>
        <w:rPr>
          <w:rFonts w:ascii="Times New Roman" w:cs="Times New Roman" w:eastAsia="Times New Roman" w:hAnsi="Times New Roman"/>
          <w:sz w:val="20"/>
          <w:szCs w:val="20"/>
          <w:color w:val="auto"/>
        </w:rPr>
        <w:t>2.1 The definition of “Maturity Date” in Section 1.01 of the Existing Credit Agreement shall be amended and restated in its entirety as follows:</w:t>
      </w:r>
    </w:p>
    <w:p>
      <w:pPr>
        <w:spacing w:after="0" w:line="277" w:lineRule="exact"/>
        <w:rPr>
          <w:sz w:val="20"/>
          <w:szCs w:val="20"/>
          <w:color w:val="auto"/>
        </w:rPr>
      </w:pPr>
    </w:p>
    <w:p>
      <w:pPr>
        <w:jc w:val="both"/>
        <w:ind w:left="1500" w:firstLine="396"/>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Maturity Date</w:t>
      </w:r>
      <w:r>
        <w:rPr>
          <w:rFonts w:ascii="Times New Roman" w:cs="Times New Roman" w:eastAsia="Times New Roman" w:hAnsi="Times New Roman"/>
          <w:sz w:val="20"/>
          <w:szCs w:val="20"/>
          <w:color w:val="auto"/>
        </w:rPr>
        <w:t>” means the earlier of: (i) August 15, 2028 (or in the case of any Extended Loans, the maturity date related to such Extended Loans as such date may be extended pursuant to Section 2.16) and (ii) 5 days prior to the mandatory redemption date of any outstanding shares of Series B Preferred Stock and Series C Preferred Stock, (or, if the Series B Preferred Stock and/or the Series C Preferred Stock shall have been replaced, refinanced or otherwise retired with proceeds of any preferred equity interests or unsecured convertible debt, then 5 days prior to the mandatory redemption date of such preferred</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2" w:name="page133"/>
    <w:bookmarkEnd w:id="132"/>
    <w:p>
      <w:pPr>
        <w:jc w:val="both"/>
        <w:ind w:left="1480"/>
        <w:spacing w:after="0" w:line="254" w:lineRule="auto"/>
        <w:rPr>
          <w:sz w:val="20"/>
          <w:szCs w:val="20"/>
          <w:color w:val="auto"/>
        </w:rPr>
      </w:pPr>
      <w:r>
        <w:rPr>
          <w:rFonts w:ascii="Times New Roman" w:cs="Times New Roman" w:eastAsia="Times New Roman" w:hAnsi="Times New Roman"/>
          <w:sz w:val="20"/>
          <w:szCs w:val="20"/>
          <w:color w:val="auto"/>
        </w:rPr>
        <w:t xml:space="preserve">equity interests and/or unsecured convertible debt, as the case may be) with written notice of such date provided to the Administrative Agent and the Lenders by the Borrower;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to the extent that the Maturity Date does not fall on a Business Day, then the Maturity Date shall be the immediately preceding Business Day.</w:t>
      </w:r>
    </w:p>
    <w:p>
      <w:pPr>
        <w:spacing w:after="0" w:line="211" w:lineRule="exact"/>
        <w:rPr>
          <w:sz w:val="20"/>
          <w:szCs w:val="20"/>
          <w:color w:val="auto"/>
        </w:rPr>
      </w:pPr>
    </w:p>
    <w:p>
      <w:pPr>
        <w:ind w:left="-20" w:firstLine="757"/>
        <w:spacing w:after="0" w:line="273" w:lineRule="auto"/>
        <w:tabs>
          <w:tab w:leader="none" w:pos="1125"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Representations of the Loan Parties</w:t>
      </w:r>
      <w:r>
        <w:rPr>
          <w:rFonts w:ascii="Times New Roman" w:cs="Times New Roman" w:eastAsia="Times New Roman" w:hAnsi="Times New Roman"/>
          <w:sz w:val="20"/>
          <w:szCs w:val="20"/>
          <w:color w:val="auto"/>
        </w:rPr>
        <w:t>. To induce the Administrative Agent and each of the Lenders to execute and deliver this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Amendment, each Loan Party represents and warrants as of the First Amendment Effective Date that:</w:t>
      </w:r>
    </w:p>
    <w:p>
      <w:pPr>
        <w:spacing w:after="0" w:line="183" w:lineRule="exact"/>
        <w:rPr>
          <w:sz w:val="20"/>
          <w:szCs w:val="20"/>
          <w:color w:val="auto"/>
        </w:rPr>
      </w:pPr>
    </w:p>
    <w:p>
      <w:pPr>
        <w:jc w:val="both"/>
        <w:ind w:left="740" w:firstLine="749"/>
        <w:spacing w:after="0" w:line="242" w:lineRule="auto"/>
        <w:rPr>
          <w:sz w:val="20"/>
          <w:szCs w:val="20"/>
          <w:color w:val="auto"/>
        </w:rPr>
      </w:pPr>
      <w:r>
        <w:rPr>
          <w:rFonts w:ascii="Times New Roman" w:cs="Times New Roman" w:eastAsia="Times New Roman" w:hAnsi="Times New Roman"/>
          <w:sz w:val="20"/>
          <w:szCs w:val="20"/>
          <w:color w:val="auto"/>
        </w:rPr>
        <w:t>3.1. the execution, delivery and performance by each Loan Party of this Amendment (a) are within each Loan Party’s corporate powers, and have been duly authorized by all necessary corporate action; (b) will not violate any Applicable Law or regulation or the charter, by-laws or other organizational documents of the Borrower or any of the Loan Parties or any order of any Governmental Authority applicable to the Borrower or any Loan Party; (c) does not require any consent or approval of, registration or filing with, or any other action by, any Governmental Authority with competent jurisdiction over the Borrower or any Loan Party, except (i) such as have been obtained or made and are in full force and effect, (ii) any consent or approval of, registration or filings necessary to perfect Liens created under the Loan Documents (or release existing Liens) and (iii) immaterial consents, approvals, registrations or filings; and (d) will not violate or result in a default under any indenture, agreement or other instrument binding upon the Borrower or any of the other Loan Parties or its assets, or give rise to a right thereunder to require any payment to be made by the Borrower or any of the other Loan Parties, except with respect to any default, conflict, breach or contravention or payment, to the extent that such violation, conflict, breach, contravention or payment would not reasonably be expected to have a Material Adverse Effect;</w:t>
      </w:r>
    </w:p>
    <w:p>
      <w:pPr>
        <w:spacing w:after="0" w:line="228" w:lineRule="exact"/>
        <w:rPr>
          <w:sz w:val="20"/>
          <w:szCs w:val="20"/>
          <w:color w:val="auto"/>
        </w:rPr>
      </w:pPr>
    </w:p>
    <w:p>
      <w:pPr>
        <w:jc w:val="both"/>
        <w:ind w:left="740" w:firstLine="749"/>
        <w:spacing w:after="0" w:line="246" w:lineRule="auto"/>
        <w:rPr>
          <w:sz w:val="20"/>
          <w:szCs w:val="20"/>
          <w:color w:val="auto"/>
        </w:rPr>
      </w:pPr>
      <w:r>
        <w:rPr>
          <w:rFonts w:ascii="Times New Roman" w:cs="Times New Roman" w:eastAsia="Times New Roman" w:hAnsi="Times New Roman"/>
          <w:sz w:val="20"/>
          <w:szCs w:val="20"/>
          <w:color w:val="auto"/>
        </w:rPr>
        <w:t>3.2. this Amendment has been duly executed and delivered by each Loan Party and constitutes, when executed and delivered by such Loan Party, a legal, valid and binding obligation of each Loan Party, enforceable against such Loan Party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22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3.3. after giving effect to this Amendment, no Default or Event of Default has occurred and is continuing;</w:t>
      </w:r>
    </w:p>
    <w:p>
      <w:pPr>
        <w:spacing w:after="0" w:line="243" w:lineRule="exact"/>
        <w:rPr>
          <w:sz w:val="20"/>
          <w:szCs w:val="20"/>
          <w:color w:val="auto"/>
        </w:rPr>
      </w:pPr>
    </w:p>
    <w:p>
      <w:pPr>
        <w:jc w:val="both"/>
        <w:ind w:left="740" w:firstLine="749"/>
        <w:spacing w:after="0" w:line="254" w:lineRule="auto"/>
        <w:rPr>
          <w:sz w:val="20"/>
          <w:szCs w:val="20"/>
          <w:color w:val="auto"/>
        </w:rPr>
      </w:pPr>
      <w:r>
        <w:rPr>
          <w:rFonts w:ascii="Times New Roman" w:cs="Times New Roman" w:eastAsia="Times New Roman" w:hAnsi="Times New Roman"/>
          <w:sz w:val="20"/>
          <w:szCs w:val="20"/>
          <w:color w:val="auto"/>
        </w:rPr>
        <w:t>3.4 none of the execution, delivery or performance of this Amendment impairs the validity of the Liens granted pursuant to the Loan Documents, which Liens, remain valid, subsisting and perfected to the same extent and secure the Obligations with the same priority required by the Loan Documents; and</w:t>
      </w:r>
    </w:p>
    <w:p>
      <w:pPr>
        <w:spacing w:after="0" w:line="215" w:lineRule="exact"/>
        <w:rPr>
          <w:sz w:val="20"/>
          <w:szCs w:val="20"/>
          <w:color w:val="auto"/>
        </w:rPr>
      </w:pPr>
    </w:p>
    <w:p>
      <w:pPr>
        <w:jc w:val="both"/>
        <w:ind w:left="740" w:firstLine="749"/>
        <w:spacing w:after="0" w:line="249" w:lineRule="auto"/>
        <w:rPr>
          <w:sz w:val="20"/>
          <w:szCs w:val="20"/>
          <w:color w:val="auto"/>
        </w:rPr>
      </w:pPr>
      <w:r>
        <w:rPr>
          <w:rFonts w:ascii="Times New Roman" w:cs="Times New Roman" w:eastAsia="Times New Roman" w:hAnsi="Times New Roman"/>
          <w:sz w:val="20"/>
          <w:szCs w:val="20"/>
          <w:color w:val="auto"/>
        </w:rPr>
        <w:t>3.5 all of the representations and warranties set forth in the Credit Agreement are true and correct in all material respects (or, with respect to any representation or warranty that is itself modified or qualified by materiality or a “Material Adverse Effect” standard, such representation or warranty shall be true and correct in all respects) on and as of the date hereof, as if made on the date hereof, except to the extent any such representation or warranty is made as of a specified date,</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572770</wp:posOffset>
            </wp:positionV>
            <wp:extent cx="7157720" cy="4254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13" w:right="339" w:bottom="1440" w:gutter="0" w:footer="0" w:header="0"/>
        </w:sectPr>
      </w:pPr>
    </w:p>
    <w:bookmarkStart w:id="133" w:name="page134"/>
    <w:bookmarkEnd w:id="133"/>
    <w:p>
      <w:pPr>
        <w:spacing w:after="0" w:line="23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in which case such representation or warranty shall have been true and correct in all material respects as of such date.</w:t>
      </w:r>
    </w:p>
    <w:p>
      <w:pPr>
        <w:spacing w:after="0" w:line="239" w:lineRule="exact"/>
        <w:rPr>
          <w:sz w:val="20"/>
          <w:szCs w:val="20"/>
          <w:color w:val="auto"/>
        </w:rPr>
      </w:pPr>
    </w:p>
    <w:p>
      <w:pPr>
        <w:ind w:firstLine="749"/>
        <w:spacing w:after="0" w:line="273" w:lineRule="auto"/>
        <w:rPr>
          <w:sz w:val="20"/>
          <w:szCs w:val="20"/>
          <w:color w:val="auto"/>
        </w:rPr>
      </w:pPr>
      <w:r>
        <w:rPr>
          <w:rFonts w:ascii="Times New Roman" w:cs="Times New Roman" w:eastAsia="Times New Roman" w:hAnsi="Times New Roman"/>
          <w:sz w:val="20"/>
          <w:szCs w:val="20"/>
          <w:color w:val="auto"/>
        </w:rPr>
        <w:t>4</w:t>
      </w:r>
      <w:r>
        <w:rPr>
          <w:rFonts w:ascii="Times New Roman" w:cs="Times New Roman" w:eastAsia="Times New Roman" w:hAnsi="Times New Roman"/>
          <w:sz w:val="20"/>
          <w:szCs w:val="20"/>
          <w:i w:val="1"/>
          <w:iCs w:val="1"/>
          <w:color w:val="auto"/>
        </w:rPr>
        <w:t>. Conditions Precedent to Effective Date.</w:t>
      </w:r>
      <w:r>
        <w:rPr>
          <w:rFonts w:ascii="Times New Roman" w:cs="Times New Roman" w:eastAsia="Times New Roman" w:hAnsi="Times New Roman"/>
          <w:sz w:val="20"/>
          <w:szCs w:val="20"/>
          <w:color w:val="auto"/>
        </w:rPr>
        <w:t xml:space="preserve"> This Amendment shall become effective on the date on which each of the following conditions is satisfied (or waived by the Lenders in writing) (such date, the “</w:t>
      </w:r>
      <w:r>
        <w:rPr>
          <w:rFonts w:ascii="Times New Roman" w:cs="Times New Roman" w:eastAsia="Times New Roman" w:hAnsi="Times New Roman"/>
          <w:sz w:val="20"/>
          <w:szCs w:val="20"/>
          <w:b w:val="1"/>
          <w:bCs w:val="1"/>
          <w:i w:val="1"/>
          <w:iCs w:val="1"/>
          <w:color w:val="auto"/>
        </w:rPr>
        <w:t>First Amendment Effective Date</w:t>
      </w:r>
      <w:r>
        <w:rPr>
          <w:rFonts w:ascii="Times New Roman" w:cs="Times New Roman" w:eastAsia="Times New Roman" w:hAnsi="Times New Roman"/>
          <w:sz w:val="20"/>
          <w:szCs w:val="20"/>
          <w:color w:val="auto"/>
        </w:rPr>
        <w:t>”):</w:t>
      </w:r>
    </w:p>
    <w:p>
      <w:pPr>
        <w:spacing w:after="0" w:line="196" w:lineRule="exact"/>
        <w:rPr>
          <w:sz w:val="20"/>
          <w:szCs w:val="20"/>
          <w:color w:val="auto"/>
        </w:rPr>
      </w:pPr>
    </w:p>
    <w:p>
      <w:pPr>
        <w:jc w:val="both"/>
        <w:ind w:left="760" w:right="20" w:firstLine="749"/>
        <w:spacing w:after="0" w:line="269" w:lineRule="auto"/>
        <w:rPr>
          <w:sz w:val="20"/>
          <w:szCs w:val="20"/>
          <w:color w:val="auto"/>
        </w:rPr>
      </w:pPr>
      <w:r>
        <w:rPr>
          <w:rFonts w:ascii="Times New Roman" w:cs="Times New Roman" w:eastAsia="Times New Roman" w:hAnsi="Times New Roman"/>
          <w:sz w:val="20"/>
          <w:szCs w:val="20"/>
          <w:color w:val="auto"/>
        </w:rPr>
        <w:t>4.1 the Administrative Agent and the Lenders shall have received duly executed counterparts of this Amendment from each of the Borrower, the other Loan Parties and each of the Lenders;</w:t>
      </w:r>
    </w:p>
    <w:p>
      <w:pPr>
        <w:spacing w:after="0" w:line="200" w:lineRule="exact"/>
        <w:rPr>
          <w:sz w:val="20"/>
          <w:szCs w:val="20"/>
          <w:color w:val="auto"/>
        </w:rPr>
      </w:pPr>
    </w:p>
    <w:p>
      <w:pPr>
        <w:jc w:val="both"/>
        <w:ind w:left="760" w:firstLine="749"/>
        <w:spacing w:after="0" w:line="249" w:lineRule="auto"/>
        <w:rPr>
          <w:sz w:val="20"/>
          <w:szCs w:val="20"/>
          <w:color w:val="auto"/>
        </w:rPr>
      </w:pPr>
      <w:r>
        <w:rPr>
          <w:rFonts w:ascii="Times New Roman" w:cs="Times New Roman" w:eastAsia="Times New Roman" w:hAnsi="Times New Roman"/>
          <w:sz w:val="20"/>
          <w:szCs w:val="20"/>
          <w:color w:val="auto"/>
        </w:rPr>
        <w:t>4.2 the representations and warranties contained in this Amendment, the Credit Agreement and the other Loan Documents shall be true and correct in all material respects on and as of such date as if made on and as of such date (except to the extent such representation and warranty speaks to an earlier date, in which case such representation and warranty shall be true and correct in all material respects on and as of such earlier date), in each case, without duplication of materiality qualifiers; and</w:t>
      </w:r>
    </w:p>
    <w:p>
      <w:pPr>
        <w:spacing w:after="0" w:line="207" w:lineRule="exact"/>
        <w:rPr>
          <w:sz w:val="20"/>
          <w:szCs w:val="20"/>
          <w:color w:val="auto"/>
        </w:rPr>
      </w:pPr>
    </w:p>
    <w:p>
      <w:pPr>
        <w:jc w:val="both"/>
        <w:ind w:left="760" w:firstLine="749"/>
        <w:spacing w:after="0" w:line="269" w:lineRule="auto"/>
        <w:rPr>
          <w:sz w:val="20"/>
          <w:szCs w:val="20"/>
          <w:color w:val="auto"/>
        </w:rPr>
      </w:pPr>
      <w:r>
        <w:rPr>
          <w:rFonts w:ascii="Times New Roman" w:cs="Times New Roman" w:eastAsia="Times New Roman" w:hAnsi="Times New Roman"/>
          <w:sz w:val="20"/>
          <w:szCs w:val="20"/>
          <w:color w:val="auto"/>
        </w:rPr>
        <w:t>4.3 no Default or Event of Default shall exist or have occurred and be continuing (after giving effect to the provisions of this Amendment).</w:t>
      </w:r>
    </w:p>
    <w:p>
      <w:pPr>
        <w:spacing w:after="0" w:line="196" w:lineRule="exact"/>
        <w:rPr>
          <w:sz w:val="20"/>
          <w:szCs w:val="20"/>
          <w:color w:val="auto"/>
        </w:rPr>
      </w:pPr>
    </w:p>
    <w:p>
      <w:pPr>
        <w:jc w:val="both"/>
        <w:ind w:firstLine="757"/>
        <w:spacing w:after="0" w:line="242" w:lineRule="auto"/>
        <w:tabs>
          <w:tab w:leader="none" w:pos="1145"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Effect of this Amendment; No Novation. </w:t>
      </w:r>
      <w:r>
        <w:rPr>
          <w:rFonts w:ascii="Times New Roman" w:cs="Times New Roman" w:eastAsia="Times New Roman" w:hAnsi="Times New Roman"/>
          <w:sz w:val="20"/>
          <w:szCs w:val="20"/>
          <w:color w:val="auto"/>
        </w:rPr>
        <w:t>Except as expressly set forth herein, no other amendments, changes or modifications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to the Loan Documents are intended or implied, and in all other respects the Loan Documents are hereby specifically ratified, reaffirmed and confirmed by each Loan Party as of the First Amendment Effective Date and the Loan Parties shall not be entitled to any other or further amendment by virtue of the provisions of this Amendment or with respect to the subject matter of this Amendment. To the extent of conflict between the terms of this Amendment and the other Loan Documents, the terms of this Amendment shall control. On and after the First Amendment Effective Date, the Credit Agreement and this Amendment shall be read and construed as one agreement. On and after the First Amendment Effective Date, each reference in the Credit Agreement to “this Agreement”, “hereunder”, “hereof”, “herein” or words of like import, and each reference in the other Loan Documents to the Credit Agreement, shall mean and be a reference to the Existing Credit Agreement as amended by this Amendment. The parties hereto acknowledge and agree that this Amendment does not constitute a novation, satisfaction, payment, re-borrowing or termination of the “Obligations” under the Existing Credit Agreement or the other Loan Documents, and that all such “Obligations” under the Existing Credit Agreement or the other Loan Documents are in all respects continued and outstanding as “Obligations” under the Credit Agreement. The parties hereto hereby acknowledge and agree that this Amendment shall constitute a Loan Document for all purposes of the Credit Agreement and the other Loan Documents.</w:t>
      </w:r>
    </w:p>
    <w:p>
      <w:pPr>
        <w:spacing w:after="0" w:line="225" w:lineRule="exact"/>
        <w:rPr>
          <w:rFonts w:ascii="Times New Roman" w:cs="Times New Roman" w:eastAsia="Times New Roman" w:hAnsi="Times New Roman"/>
          <w:sz w:val="20"/>
          <w:szCs w:val="20"/>
          <w:color w:val="auto"/>
        </w:rPr>
      </w:pPr>
    </w:p>
    <w:p>
      <w:pPr>
        <w:jc w:val="both"/>
        <w:ind w:firstLine="757"/>
        <w:spacing w:after="0" w:line="256" w:lineRule="auto"/>
        <w:tabs>
          <w:tab w:leader="none" w:pos="1158"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Entire Agreement. </w:t>
      </w:r>
      <w:r>
        <w:rPr>
          <w:rFonts w:ascii="Times New Roman" w:cs="Times New Roman" w:eastAsia="Times New Roman" w:hAnsi="Times New Roman"/>
          <w:sz w:val="20"/>
          <w:szCs w:val="20"/>
          <w:color w:val="auto"/>
        </w:rPr>
        <w:t>This Amendment represents the entire agreement and understanding concerning the subject matter hereof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among the parties hereto, and supersedes all other prior agreements, understandings, negotiations and discussions, representations, warranties, commitments, proposals, offers and contracts concerning the subject matter hereof, whether oral or written.</w:t>
      </w:r>
    </w:p>
    <w:p>
      <w:pPr>
        <w:spacing w:after="0" w:line="195" w:lineRule="exact"/>
        <w:rPr>
          <w:rFonts w:ascii="Times New Roman" w:cs="Times New Roman" w:eastAsia="Times New Roman" w:hAnsi="Times New Roman"/>
          <w:sz w:val="20"/>
          <w:szCs w:val="20"/>
          <w:color w:val="auto"/>
        </w:rPr>
      </w:pPr>
    </w:p>
    <w:p>
      <w:pPr>
        <w:ind w:left="800" w:hanging="396"/>
        <w:spacing w:after="0"/>
        <w:tabs>
          <w:tab w:leader="none" w:pos="80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Governing Law and Waiver of Right to Trial by Jury.</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230" w:lineRule="exact"/>
        <w:rPr>
          <w:sz w:val="20"/>
          <w:szCs w:val="20"/>
          <w:color w:val="auto"/>
        </w:rPr>
      </w:pPr>
    </w:p>
    <w:p>
      <w:pPr>
        <w:jc w:val="both"/>
        <w:ind w:left="760" w:firstLine="749"/>
        <w:spacing w:after="0" w:line="254" w:lineRule="auto"/>
        <w:rPr>
          <w:sz w:val="20"/>
          <w:szCs w:val="20"/>
          <w:color w:val="auto"/>
        </w:rPr>
      </w:pPr>
      <w:r>
        <w:rPr>
          <w:rFonts w:ascii="Times New Roman" w:cs="Times New Roman" w:eastAsia="Times New Roman" w:hAnsi="Times New Roman"/>
          <w:sz w:val="20"/>
          <w:szCs w:val="20"/>
          <w:color w:val="auto"/>
        </w:rPr>
        <w:t>7.1 THIS AMENDMENT SHALL BE CONSTRUED IN ACCORDANCE WITH AND GOVERNED BY THE LAW OF THE STATE OF NEW YORK (EXCEPT FOR THE CONFLICT OF LAWS RULES THEREOF, BUT INCLUDING GENERAL OBLIGATIONS LAW SECTIONS 5-1401 AND 5-1402).</w:t>
      </w:r>
    </w:p>
    <w:p>
      <w:pPr>
        <w:spacing w:after="0" w:line="201" w:lineRule="exact"/>
        <w:rPr>
          <w:sz w:val="20"/>
          <w:szCs w:val="20"/>
          <w:color w:val="auto"/>
        </w:rPr>
      </w:pPr>
    </w:p>
    <w:p>
      <w:pPr>
        <w:jc w:val="both"/>
        <w:ind w:left="760" w:firstLine="749"/>
        <w:spacing w:after="0" w:line="242" w:lineRule="auto"/>
        <w:rPr>
          <w:sz w:val="20"/>
          <w:szCs w:val="20"/>
          <w:color w:val="auto"/>
        </w:rPr>
      </w:pPr>
      <w:r>
        <w:rPr>
          <w:rFonts w:ascii="Times New Roman" w:cs="Times New Roman" w:eastAsia="Times New Roman" w:hAnsi="Times New Roman"/>
          <w:sz w:val="20"/>
          <w:szCs w:val="20"/>
          <w:color w:val="auto"/>
        </w:rPr>
        <w:t>7.2 Each of the parties hereto hereby irrevocably and unconditionally submits, for itself and its property to the exclusive jurisdiction of the Supreme Court of the State of New York and of the United States District Court of the Southern District of New York, in each case sitting in New York County, and any appellate court from any thereof (and, to the extent necessary to enforce the Administrative Agent’s or the Lenders’ rights under the Loan Documents, courts where Collateral may be located or deemed to be located and any appellate court thereof), in any action or proceeding arising out of or relating to any Loan Document, or for recognition or enforcement of any judgment relating to any Loan Document,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w:t>
      </w:r>
    </w:p>
    <w:p>
      <w:pPr>
        <w:spacing w:after="0" w:line="233" w:lineRule="exact"/>
        <w:rPr>
          <w:sz w:val="20"/>
          <w:szCs w:val="20"/>
          <w:color w:val="auto"/>
        </w:rPr>
      </w:pPr>
    </w:p>
    <w:p>
      <w:pPr>
        <w:jc w:val="both"/>
        <w:ind w:left="760" w:firstLine="749"/>
        <w:spacing w:after="0" w:line="246" w:lineRule="auto"/>
        <w:rPr>
          <w:sz w:val="20"/>
          <w:szCs w:val="20"/>
          <w:color w:val="auto"/>
        </w:rPr>
      </w:pPr>
      <w:r>
        <w:rPr>
          <w:rFonts w:ascii="Times New Roman" w:cs="Times New Roman" w:eastAsia="Times New Roman" w:hAnsi="Times New Roman"/>
          <w:sz w:val="20"/>
          <w:szCs w:val="20"/>
          <w:color w:val="auto"/>
        </w:rPr>
        <w:t xml:space="preserve">7.3 Each of the parties hereto hereby irrevocably and unconditionally waives, to the fullest extent it may legally and effectively do so, any objection which it may now or hereafter have to the laying of venue of any suit, action or proceeding arising out of or relating to this Amendment or any other Loan Document in any court referred to in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 Each of the parties hereto hereby irrevocably waives, to the fullest extent permitted by law, the defense of an inconvenient forum to the maintenance of such action or proceeding in any such court.</w:t>
      </w:r>
    </w:p>
    <w:p>
      <w:pPr>
        <w:spacing w:after="0" w:line="225" w:lineRule="exact"/>
        <w:rPr>
          <w:sz w:val="20"/>
          <w:szCs w:val="20"/>
          <w:color w:val="auto"/>
        </w:rPr>
      </w:pPr>
    </w:p>
    <w:p>
      <w:pPr>
        <w:jc w:val="both"/>
        <w:ind w:left="760" w:firstLine="749"/>
        <w:spacing w:after="0" w:line="254" w:lineRule="auto"/>
        <w:rPr>
          <w:sz w:val="20"/>
          <w:szCs w:val="20"/>
          <w:color w:val="auto"/>
        </w:rPr>
      </w:pPr>
      <w:r>
        <w:rPr>
          <w:rFonts w:ascii="Times New Roman" w:cs="Times New Roman" w:eastAsia="Times New Roman" w:hAnsi="Times New Roman"/>
          <w:sz w:val="20"/>
          <w:szCs w:val="20"/>
          <w:color w:val="auto"/>
        </w:rPr>
        <w:t>7.4 Each party to this Amendment irrevocably consents to service of process in the manner provided for notices in Section 9.01 of the Credit Agreement. Nothing in this Amendment or any other Loan Document will affect the right of any party to this Amendment to serve process in any other manner permitted by law.</w:t>
      </w:r>
    </w:p>
    <w:p>
      <w:pPr>
        <w:spacing w:after="0" w:line="197" w:lineRule="exact"/>
        <w:rPr>
          <w:sz w:val="20"/>
          <w:szCs w:val="20"/>
          <w:color w:val="auto"/>
        </w:rPr>
      </w:pPr>
    </w:p>
    <w:p>
      <w:pPr>
        <w:jc w:val="both"/>
        <w:ind w:left="760" w:firstLine="749"/>
        <w:spacing w:after="0" w:line="243" w:lineRule="auto"/>
        <w:rPr>
          <w:sz w:val="20"/>
          <w:szCs w:val="20"/>
          <w:color w:val="auto"/>
        </w:rPr>
      </w:pPr>
      <w:r>
        <w:rPr>
          <w:rFonts w:ascii="Times New Roman" w:cs="Times New Roman" w:eastAsia="Times New Roman" w:hAnsi="Times New Roman"/>
          <w:sz w:val="20"/>
          <w:szCs w:val="20"/>
          <w:color w:val="auto"/>
        </w:rPr>
        <w:t xml:space="preserve">7.5 </w:t>
      </w:r>
      <w:r>
        <w:rPr>
          <w:rFonts w:ascii="Times New Roman" w:cs="Times New Roman" w:eastAsia="Times New Roman" w:hAnsi="Times New Roman"/>
          <w:sz w:val="20"/>
          <w:szCs w:val="20"/>
          <w:i w:val="1"/>
          <w:iCs w:val="1"/>
          <w:color w:val="auto"/>
        </w:rPr>
        <w:t>WAIVER OF JURY TRIAL.</w:t>
      </w:r>
      <w:r>
        <w:rPr>
          <w:rFonts w:ascii="Times New Roman" w:cs="Times New Roman" w:eastAsia="Times New Roman" w:hAnsi="Times New Roman"/>
          <w:sz w:val="20"/>
          <w:szCs w:val="20"/>
          <w:color w:val="auto"/>
        </w:rPr>
        <w:t xml:space="preserve"> EACH PARTY HERETO HEREBY WAIVES, TO THE FULLEST EXTENT PERMITTED BY APPLICABLE LAW, ANY RIGHT IT MAY HAVE TO A TRIAL BY JURY IN ANY LEGAL PROCEEDING DIRECTLY OR INDIRECTLY ARISING OUT OF OR RELATING TO THIS AMENDMENT, ANY OTHER LOAN DOCUMENT OR THE TRANSACTIONS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226" w:lineRule="exact"/>
        <w:rPr>
          <w:sz w:val="20"/>
          <w:szCs w:val="20"/>
          <w:color w:val="auto"/>
        </w:rPr>
      </w:pPr>
    </w:p>
    <w:p>
      <w:pPr>
        <w:ind w:right="20" w:firstLine="757"/>
        <w:spacing w:after="0" w:line="273" w:lineRule="auto"/>
        <w:tabs>
          <w:tab w:leader="none" w:pos="1172"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Binding Effect</w:t>
      </w:r>
      <w:r>
        <w:rPr>
          <w:rFonts w:ascii="Times New Roman" w:cs="Times New Roman" w:eastAsia="Times New Roman" w:hAnsi="Times New Roman"/>
          <w:sz w:val="20"/>
          <w:szCs w:val="20"/>
          <w:color w:val="auto"/>
        </w:rPr>
        <w:t>. This Amendment shall be binding upon and inure to the benefit of each of the parties hereto and their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respective successors and permitted assigns.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226" w:lineRule="exact"/>
        <w:rPr>
          <w:sz w:val="20"/>
          <w:szCs w:val="20"/>
          <w:color w:val="auto"/>
        </w:rPr>
      </w:pPr>
    </w:p>
    <w:p>
      <w:pPr>
        <w:jc w:val="both"/>
        <w:ind w:firstLine="757"/>
        <w:spacing w:after="0" w:line="256" w:lineRule="auto"/>
        <w:tabs>
          <w:tab w:leader="none" w:pos="1158"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Further Assurances</w:t>
      </w:r>
      <w:r>
        <w:rPr>
          <w:rFonts w:ascii="Times New Roman" w:cs="Times New Roman" w:eastAsia="Times New Roman" w:hAnsi="Times New Roman"/>
          <w:sz w:val="20"/>
          <w:szCs w:val="20"/>
          <w:color w:val="auto"/>
        </w:rPr>
        <w:t>. Each of the Loan Parties shall execute and deliver such additional documents and take such additional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action as may be reasonably requested by the Administrative Agent or the Lenders to effectuate the provisions and purposes of this Amendment.</w:t>
      </w:r>
    </w:p>
    <w:p>
      <w:pPr>
        <w:spacing w:after="0" w:line="195" w:lineRule="exact"/>
        <w:rPr>
          <w:rFonts w:ascii="Times New Roman" w:cs="Times New Roman" w:eastAsia="Times New Roman" w:hAnsi="Times New Roman"/>
          <w:sz w:val="20"/>
          <w:szCs w:val="20"/>
          <w:color w:val="auto"/>
        </w:rPr>
      </w:pPr>
    </w:p>
    <w:p>
      <w:pPr>
        <w:jc w:val="both"/>
        <w:ind w:firstLine="404"/>
        <w:spacing w:after="0" w:line="253" w:lineRule="auto"/>
        <w:tabs>
          <w:tab w:leader="none" w:pos="805"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Amendment; Final Agreement</w:t>
      </w:r>
      <w:r>
        <w:rPr>
          <w:rFonts w:ascii="Times New Roman" w:cs="Times New Roman" w:eastAsia="Times New Roman" w:hAnsi="Times New Roman"/>
          <w:sz w:val="20"/>
          <w:szCs w:val="20"/>
          <w:color w:val="auto"/>
        </w:rPr>
        <w:t>. This Amendment may not be amended, supplemented, or otherwise modified except by a written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agreement entered into in accordance with Section 9.02 of the Credit Agreement. T</w:t>
      </w:r>
      <w:r>
        <w:rPr>
          <w:rFonts w:ascii="Times New Roman" w:cs="Times New Roman" w:eastAsia="Times New Roman" w:hAnsi="Times New Roman"/>
          <w:sz w:val="13"/>
          <w:szCs w:val="13"/>
          <w:color w:val="auto"/>
        </w:rPr>
        <w:t>his</w:t>
      </w:r>
      <w:r>
        <w:rPr>
          <w:rFonts w:ascii="Times New Roman" w:cs="Times New Roman" w:eastAsia="Times New Roman" w:hAnsi="Times New Roman"/>
          <w:sz w:val="20"/>
          <w:szCs w:val="20"/>
          <w:color w:val="auto"/>
        </w:rPr>
        <w:t xml:space="preserve"> A</w:t>
      </w:r>
      <w:r>
        <w:rPr>
          <w:rFonts w:ascii="Times New Roman" w:cs="Times New Roman" w:eastAsia="Times New Roman" w:hAnsi="Times New Roman"/>
          <w:sz w:val="13"/>
          <w:szCs w:val="13"/>
          <w:color w:val="auto"/>
        </w:rPr>
        <w:t>mendment represents the final agreement between</w:t>
      </w:r>
    </w:p>
    <w:p>
      <w:pPr>
        <w:spacing w:after="0"/>
        <w:rPr>
          <w:sz w:val="20"/>
          <w:szCs w:val="20"/>
          <w:color w:val="auto"/>
        </w:rPr>
      </w:pPr>
      <w:r>
        <w:rPr>
          <w:rFonts w:ascii="Times New Roman" w:cs="Times New Roman" w:eastAsia="Times New Roman" w:hAnsi="Times New Roman"/>
          <w:sz w:val="13"/>
          <w:szCs w:val="13"/>
          <w:color w:val="auto"/>
        </w:rPr>
        <w:t>the parties and may not be contradicted by evidence of prior</w:t>
      </w:r>
      <w:r>
        <w:rPr>
          <w:rFonts w:ascii="Times New Roman" w:cs="Times New Roman" w:eastAsia="Times New Roman" w:hAnsi="Times New Roman"/>
          <w:sz w:val="19"/>
          <w:szCs w:val="19"/>
          <w:color w:val="auto"/>
        </w:rPr>
        <w:t>,</w:t>
      </w:r>
      <w:r>
        <w:rPr>
          <w:rFonts w:ascii="Times New Roman" w:cs="Times New Roman" w:eastAsia="Times New Roman" w:hAnsi="Times New Roman"/>
          <w:sz w:val="13"/>
          <w:szCs w:val="13"/>
          <w:color w:val="auto"/>
        </w:rPr>
        <w:t xml:space="preserve"> contemporaneous or subsequent oral agreements of the parties</w:t>
      </w:r>
      <w:r>
        <w:rPr>
          <w:rFonts w:ascii="Times New Roman" w:cs="Times New Roman" w:eastAsia="Times New Roman" w:hAnsi="Times New Roman"/>
          <w:sz w:val="19"/>
          <w:szCs w:val="19"/>
          <w:color w:val="auto"/>
        </w:rPr>
        <w:t>.</w:t>
      </w:r>
    </w:p>
    <w:p>
      <w:pPr>
        <w:spacing w:after="0" w:line="242" w:lineRule="exact"/>
        <w:rPr>
          <w:sz w:val="20"/>
          <w:szCs w:val="20"/>
          <w:color w:val="auto"/>
        </w:rPr>
      </w:pPr>
    </w:p>
    <w:p>
      <w:pPr>
        <w:jc w:val="both"/>
        <w:ind w:firstLine="404"/>
        <w:spacing w:after="0" w:line="250" w:lineRule="auto"/>
        <w:tabs>
          <w:tab w:leader="none" w:pos="791"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Fees and Expenses. </w:t>
      </w:r>
      <w:r>
        <w:rPr>
          <w:rFonts w:ascii="Times New Roman" w:cs="Times New Roman" w:eastAsia="Times New Roman" w:hAnsi="Times New Roman"/>
          <w:sz w:val="20"/>
          <w:szCs w:val="20"/>
          <w:color w:val="auto"/>
        </w:rPr>
        <w:t>The Borrower shall pay all reasonable and documented fees, costs and expenses incurred by the Administrative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Agent and the Lenders to the extent required pursuant to Section 9.03 of the Credit Agreement in connection with this Amendment and the other instruments and documents being executed and delivered in connection herewith and the transactions contemplated hereby and matters herein.</w:t>
      </w:r>
    </w:p>
    <w:p>
      <w:pPr>
        <w:spacing w:after="0" w:line="216" w:lineRule="exact"/>
        <w:rPr>
          <w:rFonts w:ascii="Times New Roman" w:cs="Times New Roman" w:eastAsia="Times New Roman" w:hAnsi="Times New Roman"/>
          <w:sz w:val="20"/>
          <w:szCs w:val="20"/>
          <w:color w:val="auto"/>
        </w:rPr>
      </w:pPr>
    </w:p>
    <w:p>
      <w:pPr>
        <w:jc w:val="both"/>
        <w:ind w:firstLine="404"/>
        <w:spacing w:after="0" w:line="241" w:lineRule="exact"/>
        <w:tabs>
          <w:tab w:leader="none" w:pos="805"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Counterparts. </w:t>
      </w:r>
      <w:r>
        <w:rPr>
          <w:rFonts w:ascii="Times New Roman" w:cs="Times New Roman" w:eastAsia="Times New Roman" w:hAnsi="Times New Roman"/>
          <w:sz w:val="20"/>
          <w:szCs w:val="20"/>
          <w:color w:val="auto"/>
        </w:rPr>
        <w:t>This Amendment may be executed in counterparts and by different parties on separate counterpart signature pages,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each of which constitutes an original and all of which taken together constitute one and the same instrument. Delivery of a counterpart hereof by facsimile transmission or by e</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mail transmission of an Adobe portable document format file (also known as a </w:t>
      </w:r>
      <w:r>
        <w:rPr>
          <w:rFonts w:ascii="Times New Roman" w:cs="Times New Roman" w:eastAsia="Times New Roman" w:hAnsi="Times New Roman"/>
          <w:sz w:val="20"/>
          <w:szCs w:val="20"/>
          <w:i w:val="1"/>
          <w:iCs w:val="1"/>
          <w:color w:val="auto"/>
        </w:rPr>
        <w:t>“PDF”</w:t>
      </w:r>
      <w:r>
        <w:rPr>
          <w:rFonts w:ascii="Times New Roman" w:cs="Times New Roman" w:eastAsia="Times New Roman" w:hAnsi="Times New Roman"/>
          <w:sz w:val="20"/>
          <w:szCs w:val="20"/>
          <w:color w:val="auto"/>
        </w:rPr>
        <w:t xml:space="preserve"> file) shall be effective as delivery of a manually executed counterpart hereof.</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w:t>
      </w:r>
      <w:r>
        <w:rPr>
          <w:rFonts w:ascii="Times New Roman" w:cs="Times New Roman" w:eastAsia="Times New Roman" w:hAnsi="Times New Roman"/>
          <w:sz w:val="13"/>
          <w:szCs w:val="13"/>
          <w:color w:val="auto"/>
        </w:rPr>
        <w:t>emainder of</w:t>
      </w:r>
      <w:r>
        <w:rPr>
          <w:rFonts w:ascii="Times New Roman" w:cs="Times New Roman" w:eastAsia="Times New Roman" w:hAnsi="Times New Roman"/>
          <w:sz w:val="20"/>
          <w:szCs w:val="20"/>
          <w:color w:val="auto"/>
        </w:rPr>
        <w:t xml:space="preserve"> P</w:t>
      </w:r>
      <w:r>
        <w:rPr>
          <w:rFonts w:ascii="Times New Roman" w:cs="Times New Roman" w:eastAsia="Times New Roman" w:hAnsi="Times New Roman"/>
          <w:sz w:val="13"/>
          <w:szCs w:val="13"/>
          <w:color w:val="auto"/>
        </w:rPr>
        <w:t>age</w:t>
      </w:r>
      <w:r>
        <w:rPr>
          <w:rFonts w:ascii="Times New Roman" w:cs="Times New Roman" w:eastAsia="Times New Roman" w:hAnsi="Times New Roman"/>
          <w:sz w:val="20"/>
          <w:szCs w:val="20"/>
          <w:color w:val="auto"/>
        </w:rPr>
        <w:t xml:space="preserve"> I</w:t>
      </w:r>
      <w:r>
        <w:rPr>
          <w:rFonts w:ascii="Times New Roman" w:cs="Times New Roman" w:eastAsia="Times New Roman" w:hAnsi="Times New Roman"/>
          <w:sz w:val="13"/>
          <w:szCs w:val="13"/>
          <w:color w:val="auto"/>
        </w:rPr>
        <w:t>ntentionally</w:t>
      </w:r>
      <w:r>
        <w:rPr>
          <w:rFonts w:ascii="Times New Roman" w:cs="Times New Roman" w:eastAsia="Times New Roman" w:hAnsi="Times New Roman"/>
          <w:sz w:val="20"/>
          <w:szCs w:val="20"/>
          <w:color w:val="auto"/>
        </w:rPr>
        <w:t xml:space="preserve"> L</w:t>
      </w:r>
      <w:r>
        <w:rPr>
          <w:rFonts w:ascii="Times New Roman" w:cs="Times New Roman" w:eastAsia="Times New Roman" w:hAnsi="Times New Roman"/>
          <w:sz w:val="13"/>
          <w:szCs w:val="13"/>
          <w:color w:val="auto"/>
        </w:rPr>
        <w:t>eft</w:t>
      </w:r>
      <w:r>
        <w:rPr>
          <w:rFonts w:ascii="Times New Roman" w:cs="Times New Roman" w:eastAsia="Times New Roman" w:hAnsi="Times New Roman"/>
          <w:sz w:val="20"/>
          <w:szCs w:val="20"/>
          <w:color w:val="auto"/>
        </w:rPr>
        <w:t xml:space="preserve"> B</w:t>
      </w:r>
      <w:r>
        <w:rPr>
          <w:rFonts w:ascii="Times New Roman" w:cs="Times New Roman" w:eastAsia="Times New Roman" w:hAnsi="Times New Roman"/>
          <w:sz w:val="13"/>
          <w:szCs w:val="13"/>
          <w:color w:val="auto"/>
        </w:rPr>
        <w:t>lank</w:t>
      </w:r>
      <w:r>
        <w:rPr>
          <w:rFonts w:ascii="Times New Roman" w:cs="Times New Roman" w:eastAsia="Times New Roman" w:hAnsi="Times New Roman"/>
          <w:sz w:val="20"/>
          <w:szCs w:val="20"/>
          <w:color w:val="auto"/>
        </w:rPr>
        <w:t>; S</w:t>
      </w:r>
      <w:r>
        <w:rPr>
          <w:rFonts w:ascii="Times New Roman" w:cs="Times New Roman" w:eastAsia="Times New Roman" w:hAnsi="Times New Roman"/>
          <w:sz w:val="13"/>
          <w:szCs w:val="13"/>
          <w:color w:val="auto"/>
        </w:rPr>
        <w:t>ignature</w:t>
      </w:r>
      <w:r>
        <w:rPr>
          <w:rFonts w:ascii="Times New Roman" w:cs="Times New Roman" w:eastAsia="Times New Roman" w:hAnsi="Times New Roman"/>
          <w:sz w:val="20"/>
          <w:szCs w:val="20"/>
          <w:color w:val="auto"/>
        </w:rPr>
        <w:t xml:space="preserve"> P</w:t>
      </w:r>
      <w:r>
        <w:rPr>
          <w:rFonts w:ascii="Times New Roman" w:cs="Times New Roman" w:eastAsia="Times New Roman" w:hAnsi="Times New Roman"/>
          <w:sz w:val="13"/>
          <w:szCs w:val="13"/>
          <w:color w:val="auto"/>
        </w:rPr>
        <w:t>ages to</w:t>
      </w:r>
      <w:r>
        <w:rPr>
          <w:rFonts w:ascii="Times New Roman" w:cs="Times New Roman" w:eastAsia="Times New Roman" w:hAnsi="Times New Roman"/>
          <w:sz w:val="20"/>
          <w:szCs w:val="20"/>
          <w:color w:val="auto"/>
        </w:rPr>
        <w:t xml:space="preserve"> F</w:t>
      </w:r>
      <w:r>
        <w:rPr>
          <w:rFonts w:ascii="Times New Roman" w:cs="Times New Roman" w:eastAsia="Times New Roman" w:hAnsi="Times New Roman"/>
          <w:sz w:val="13"/>
          <w:szCs w:val="13"/>
          <w:color w:val="auto"/>
        </w:rPr>
        <w:t>ollow</w:t>
      </w:r>
      <w:r>
        <w:rPr>
          <w:rFonts w:ascii="Times New Roman" w:cs="Times New Roman" w:eastAsia="Times New Roman" w:hAnsi="Times New Roman"/>
          <w:sz w:val="20"/>
          <w:szCs w:val="20"/>
          <w:color w:val="auto"/>
        </w:rPr>
        <w:t>]</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8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This First Amendment to Amended and Restated Credit Agreement is entered into as of the date and year first above written.</w:t>
      </w:r>
    </w:p>
    <w:p>
      <w:pPr>
        <w:sectPr>
          <w:pgSz w:w="11900" w:h="16838" w:orient="portrait"/>
          <w:cols w:equalWidth="0" w:num="1">
            <w:col w:w="9900"/>
          </w:cols>
          <w:pgMar w:left="1080" w:top="1440" w:right="919" w:bottom="1440" w:gutter="0" w:footer="0" w:header="0"/>
        </w:sectPr>
      </w:pPr>
    </w:p>
    <w:p>
      <w:pPr>
        <w:spacing w:after="0" w:line="250"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i w:val="1"/>
          <w:iCs w:val="1"/>
          <w:color w:val="auto"/>
        </w:rPr>
        <w:t>B</w:t>
      </w:r>
      <w:r>
        <w:rPr>
          <w:rFonts w:ascii="Times New Roman" w:cs="Times New Roman" w:eastAsia="Times New Roman" w:hAnsi="Times New Roman"/>
          <w:sz w:val="13"/>
          <w:szCs w:val="13"/>
          <w:i w:val="1"/>
          <w:iCs w:val="1"/>
          <w:color w:val="auto"/>
        </w:rPr>
        <w:t>orrower</w:t>
      </w:r>
    </w:p>
    <w:p>
      <w:pPr>
        <w:spacing w:after="0" w:line="256"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3"/>
          <w:szCs w:val="13"/>
          <w:b w:val="1"/>
          <w:bCs w:val="1"/>
          <w:color w:val="auto"/>
        </w:rPr>
        <w:t>astman</w:t>
      </w:r>
      <w:r>
        <w:rPr>
          <w:rFonts w:ascii="Times New Roman" w:cs="Times New Roman" w:eastAsia="Times New Roman" w:hAnsi="Times New Roman"/>
          <w:sz w:val="20"/>
          <w:szCs w:val="20"/>
          <w:b w:val="1"/>
          <w:bCs w:val="1"/>
          <w:color w:val="auto"/>
        </w:rPr>
        <w:t xml:space="preserve"> K</w:t>
      </w:r>
      <w:r>
        <w:rPr>
          <w:rFonts w:ascii="Times New Roman" w:cs="Times New Roman" w:eastAsia="Times New Roman" w:hAnsi="Times New Roman"/>
          <w:sz w:val="13"/>
          <w:szCs w:val="13"/>
          <w:b w:val="1"/>
          <w:bCs w:val="1"/>
          <w:color w:val="auto"/>
        </w:rPr>
        <w:t>odak</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3"/>
          <w:szCs w:val="13"/>
          <w:b w:val="1"/>
          <w:bCs w:val="1"/>
          <w:color w:val="auto"/>
        </w:rPr>
        <w:t>ompany</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Matthew C. Ebersold</w:t>
      </w:r>
    </w:p>
    <w:p>
      <w:pPr>
        <w:spacing w:after="0" w:line="2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color w:val="auto"/>
        </w:rPr>
        <w:t>Name: Matthew C. Ebersold</w:t>
      </w:r>
    </w:p>
    <w:p>
      <w:pPr>
        <w:ind w:left="4120"/>
        <w:spacing w:after="0"/>
        <w:rPr>
          <w:sz w:val="20"/>
          <w:szCs w:val="20"/>
          <w:color w:val="auto"/>
        </w:rPr>
      </w:pPr>
      <w:r>
        <w:rPr>
          <w:rFonts w:ascii="Times New Roman" w:cs="Times New Roman" w:eastAsia="Times New Roman" w:hAnsi="Times New Roman"/>
          <w:sz w:val="20"/>
          <w:szCs w:val="20"/>
          <w:color w:val="auto"/>
        </w:rPr>
        <w:t>Title: Treasurer</w:t>
      </w:r>
    </w:p>
    <w:p>
      <w:pPr>
        <w:ind w:left="1180"/>
        <w:spacing w:after="0"/>
        <w:rPr>
          <w:sz w:val="20"/>
          <w:szCs w:val="20"/>
          <w:color w:val="auto"/>
        </w:rPr>
      </w:pPr>
      <w:r>
        <w:rPr>
          <w:rFonts w:ascii="Times New Roman" w:cs="Times New Roman" w:eastAsia="Times New Roman" w:hAnsi="Times New Roman"/>
          <w:sz w:val="20"/>
          <w:szCs w:val="20"/>
          <w:color w:val="auto"/>
        </w:rPr>
        <w:t>[F</w:t>
      </w:r>
      <w:r>
        <w:rPr>
          <w:rFonts w:ascii="Times New Roman" w:cs="Times New Roman" w:eastAsia="Times New Roman" w:hAnsi="Times New Roman"/>
          <w:sz w:val="13"/>
          <w:szCs w:val="13"/>
          <w:color w:val="auto"/>
        </w:rPr>
        <w:t>irst</w:t>
      </w:r>
      <w:r>
        <w:rPr>
          <w:rFonts w:ascii="Times New Roman" w:cs="Times New Roman" w:eastAsia="Times New Roman" w:hAnsi="Times New Roman"/>
          <w:sz w:val="20"/>
          <w:szCs w:val="20"/>
          <w:color w:val="auto"/>
        </w:rPr>
        <w:t xml:space="preserve"> A</w:t>
      </w:r>
      <w:r>
        <w:rPr>
          <w:rFonts w:ascii="Times New Roman" w:cs="Times New Roman" w:eastAsia="Times New Roman" w:hAnsi="Times New Roman"/>
          <w:sz w:val="13"/>
          <w:szCs w:val="13"/>
          <w:color w:val="auto"/>
        </w:rPr>
        <w:t>mendment to</w:t>
      </w:r>
      <w:r>
        <w:rPr>
          <w:rFonts w:ascii="Times New Roman" w:cs="Times New Roman" w:eastAsia="Times New Roman" w:hAnsi="Times New Roman"/>
          <w:sz w:val="20"/>
          <w:szCs w:val="20"/>
          <w:color w:val="auto"/>
        </w:rPr>
        <w:t xml:space="preserve"> A</w:t>
      </w:r>
      <w:r>
        <w:rPr>
          <w:rFonts w:ascii="Times New Roman" w:cs="Times New Roman" w:eastAsia="Times New Roman" w:hAnsi="Times New Roman"/>
          <w:sz w:val="13"/>
          <w:szCs w:val="13"/>
          <w:color w:val="auto"/>
        </w:rPr>
        <w:t>mended and</w:t>
      </w:r>
      <w:r>
        <w:rPr>
          <w:rFonts w:ascii="Times New Roman" w:cs="Times New Roman" w:eastAsia="Times New Roman" w:hAnsi="Times New Roman"/>
          <w:sz w:val="20"/>
          <w:szCs w:val="20"/>
          <w:color w:val="auto"/>
        </w:rPr>
        <w:t xml:space="preserve"> R</w:t>
      </w:r>
      <w:r>
        <w:rPr>
          <w:rFonts w:ascii="Times New Roman" w:cs="Times New Roman" w:eastAsia="Times New Roman" w:hAnsi="Times New Roman"/>
          <w:sz w:val="13"/>
          <w:szCs w:val="13"/>
          <w:color w:val="auto"/>
        </w:rPr>
        <w:t>estated</w:t>
      </w:r>
      <w:r>
        <w:rPr>
          <w:rFonts w:ascii="Times New Roman" w:cs="Times New Roman" w:eastAsia="Times New Roman" w:hAnsi="Times New Roman"/>
          <w:sz w:val="20"/>
          <w:szCs w:val="20"/>
          <w:color w:val="auto"/>
        </w:rPr>
        <w:t xml:space="preserve"> C</w:t>
      </w:r>
      <w:r>
        <w:rPr>
          <w:rFonts w:ascii="Times New Roman" w:cs="Times New Roman" w:eastAsia="Times New Roman" w:hAnsi="Times New Roman"/>
          <w:sz w:val="13"/>
          <w:szCs w:val="13"/>
          <w:color w:val="auto"/>
        </w:rPr>
        <w:t>redit</w:t>
      </w:r>
      <w:r>
        <w:rPr>
          <w:rFonts w:ascii="Times New Roman" w:cs="Times New Roman" w:eastAsia="Times New Roman" w:hAnsi="Times New Roman"/>
          <w:sz w:val="20"/>
          <w:szCs w:val="20"/>
          <w:color w:val="auto"/>
        </w:rPr>
        <w:t xml:space="preserve"> A</w:t>
      </w:r>
      <w:r>
        <w:rPr>
          <w:rFonts w:ascii="Times New Roman" w:cs="Times New Roman" w:eastAsia="Times New Roman" w:hAnsi="Times New Roman"/>
          <w:sz w:val="13"/>
          <w:szCs w:val="13"/>
          <w:color w:val="auto"/>
        </w:rPr>
        <w:t>greement</w:t>
      </w:r>
      <w:r>
        <w:rPr>
          <w:rFonts w:ascii="Times New Roman" w:cs="Times New Roman" w:eastAsia="Times New Roman" w:hAnsi="Times New Roman"/>
          <w:sz w:val="20"/>
          <w:szCs w:val="20"/>
          <w:color w:val="auto"/>
        </w:rPr>
        <w:t xml:space="preserve"> – E</w:t>
      </w:r>
      <w:r>
        <w:rPr>
          <w:rFonts w:ascii="Times New Roman" w:cs="Times New Roman" w:eastAsia="Times New Roman" w:hAnsi="Times New Roman"/>
          <w:sz w:val="13"/>
          <w:szCs w:val="13"/>
          <w:color w:val="auto"/>
        </w:rPr>
        <w:t>astman</w:t>
      </w:r>
      <w:r>
        <w:rPr>
          <w:rFonts w:ascii="Times New Roman" w:cs="Times New Roman" w:eastAsia="Times New Roman" w:hAnsi="Times New Roman"/>
          <w:sz w:val="20"/>
          <w:szCs w:val="20"/>
          <w:color w:val="auto"/>
        </w:rPr>
        <w:t xml:space="preserve"> K</w:t>
      </w:r>
      <w:r>
        <w:rPr>
          <w:rFonts w:ascii="Times New Roman" w:cs="Times New Roman" w:eastAsia="Times New Roman" w:hAnsi="Times New Roman"/>
          <w:sz w:val="13"/>
          <w:szCs w:val="13"/>
          <w:color w:val="auto"/>
        </w:rPr>
        <w:t>odak</w:t>
      </w:r>
      <w:r>
        <w:rPr>
          <w:rFonts w:ascii="Times New Roman" w:cs="Times New Roman" w:eastAsia="Times New Roman" w:hAnsi="Times New Roman"/>
          <w:sz w:val="20"/>
          <w:szCs w:val="20"/>
          <w:color w:val="auto"/>
        </w:rPr>
        <w:t xml:space="preserve"> C</w:t>
      </w:r>
      <w:r>
        <w:rPr>
          <w:rFonts w:ascii="Times New Roman" w:cs="Times New Roman" w:eastAsia="Times New Roman" w:hAnsi="Times New Roman"/>
          <w:sz w:val="13"/>
          <w:szCs w:val="13"/>
          <w:color w:val="auto"/>
        </w:rPr>
        <w:t>ompany</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767715</wp:posOffset>
            </wp:positionV>
            <wp:extent cx="7157720" cy="4254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8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0"/>
          </w:cols>
          <w:pgMar w:left="1080" w:top="1440" w:right="919" w:bottom="1440" w:gutter="0" w:footer="0" w:header="0"/>
          <w:type w:val="continuous"/>
        </w:sectPr>
      </w:pPr>
    </w:p>
    <w:bookmarkStart w:id="137" w:name="page138"/>
    <w:bookmarkEnd w:id="137"/>
    <w:p>
      <w:pPr>
        <w:spacing w:after="0" w:line="293"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0"/>
          <w:szCs w:val="20"/>
          <w:i w:val="1"/>
          <w:iCs w:val="1"/>
          <w:color w:val="auto"/>
        </w:rPr>
        <w:t>O</w:t>
      </w:r>
      <w:r>
        <w:rPr>
          <w:rFonts w:ascii="Times New Roman" w:cs="Times New Roman" w:eastAsia="Times New Roman" w:hAnsi="Times New Roman"/>
          <w:sz w:val="13"/>
          <w:szCs w:val="13"/>
          <w:i w:val="1"/>
          <w:iCs w:val="1"/>
          <w:color w:val="auto"/>
        </w:rPr>
        <w:t>ther</w:t>
      </w:r>
      <w:r>
        <w:rPr>
          <w:rFonts w:ascii="Times New Roman" w:cs="Times New Roman" w:eastAsia="Times New Roman" w:hAnsi="Times New Roman"/>
          <w:sz w:val="20"/>
          <w:szCs w:val="20"/>
          <w:i w:val="1"/>
          <w:iCs w:val="1"/>
          <w:color w:val="auto"/>
        </w:rPr>
        <w:t xml:space="preserve"> L</w:t>
      </w:r>
      <w:r>
        <w:rPr>
          <w:rFonts w:ascii="Times New Roman" w:cs="Times New Roman" w:eastAsia="Times New Roman" w:hAnsi="Times New Roman"/>
          <w:sz w:val="13"/>
          <w:szCs w:val="13"/>
          <w:i w:val="1"/>
          <w:iCs w:val="1"/>
          <w:color w:val="auto"/>
        </w:rPr>
        <w:t>oan</w:t>
      </w:r>
      <w:r>
        <w:rPr>
          <w:rFonts w:ascii="Times New Roman" w:cs="Times New Roman" w:eastAsia="Times New Roman" w:hAnsi="Times New Roman"/>
          <w:sz w:val="20"/>
          <w:szCs w:val="20"/>
          <w:i w:val="1"/>
          <w:iCs w:val="1"/>
          <w:color w:val="auto"/>
        </w:rPr>
        <w:t xml:space="preserve"> P</w:t>
      </w:r>
      <w:r>
        <w:rPr>
          <w:rFonts w:ascii="Times New Roman" w:cs="Times New Roman" w:eastAsia="Times New Roman" w:hAnsi="Times New Roman"/>
          <w:sz w:val="13"/>
          <w:szCs w:val="13"/>
          <w:i w:val="1"/>
          <w:iCs w:val="1"/>
          <w:color w:val="auto"/>
        </w:rPr>
        <w:t>arties</w:t>
      </w:r>
    </w:p>
    <w:p>
      <w:pPr>
        <w:spacing w:after="0" w:line="2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0"/>
          <w:szCs w:val="20"/>
          <w:b w:val="1"/>
          <w:bCs w:val="1"/>
          <w:color w:val="auto"/>
        </w:rPr>
        <w:t>K</w:t>
      </w:r>
      <w:r>
        <w:rPr>
          <w:rFonts w:ascii="Times New Roman" w:cs="Times New Roman" w:eastAsia="Times New Roman" w:hAnsi="Times New Roman"/>
          <w:sz w:val="13"/>
          <w:szCs w:val="13"/>
          <w:b w:val="1"/>
          <w:bCs w:val="1"/>
          <w:color w:val="auto"/>
        </w:rPr>
        <w:t>odak</w:t>
      </w:r>
      <w:r>
        <w:rPr>
          <w:rFonts w:ascii="Times New Roman" w:cs="Times New Roman" w:eastAsia="Times New Roman" w:hAnsi="Times New Roman"/>
          <w:sz w:val="20"/>
          <w:szCs w:val="20"/>
          <w:b w:val="1"/>
          <w:bCs w:val="1"/>
          <w:color w:val="auto"/>
        </w:rPr>
        <w:t xml:space="preserve"> (N</w:t>
      </w:r>
      <w:r>
        <w:rPr>
          <w:rFonts w:ascii="Times New Roman" w:cs="Times New Roman" w:eastAsia="Times New Roman" w:hAnsi="Times New Roman"/>
          <w:sz w:val="13"/>
          <w:szCs w:val="13"/>
          <w:b w:val="1"/>
          <w:bCs w:val="1"/>
          <w:color w:val="auto"/>
        </w:rPr>
        <w:t>ear</w:t>
      </w:r>
      <w:r>
        <w:rPr>
          <w:rFonts w:ascii="Times New Roman" w:cs="Times New Roman" w:eastAsia="Times New Roman" w:hAnsi="Times New Roman"/>
          <w:sz w:val="20"/>
          <w:szCs w:val="20"/>
          <w:b w:val="1"/>
          <w:bCs w:val="1"/>
          <w:color w:val="auto"/>
        </w:rPr>
        <w:t xml:space="preserve"> E</w:t>
      </w:r>
      <w:r>
        <w:rPr>
          <w:rFonts w:ascii="Times New Roman" w:cs="Times New Roman" w:eastAsia="Times New Roman" w:hAnsi="Times New Roman"/>
          <w:sz w:val="13"/>
          <w:szCs w:val="13"/>
          <w:b w:val="1"/>
          <w:bCs w:val="1"/>
          <w:color w:val="auto"/>
        </w:rPr>
        <w:t>ast</w:t>
      </w:r>
      <w:r>
        <w:rPr>
          <w:rFonts w:ascii="Times New Roman" w:cs="Times New Roman" w:eastAsia="Times New Roman" w:hAnsi="Times New Roman"/>
          <w:sz w:val="20"/>
          <w:szCs w:val="20"/>
          <w:b w:val="1"/>
          <w:bCs w:val="1"/>
          <w:color w:val="auto"/>
        </w:rPr>
        <w:t>), I</w:t>
      </w:r>
      <w:r>
        <w:rPr>
          <w:rFonts w:ascii="Times New Roman" w:cs="Times New Roman" w:eastAsia="Times New Roman" w:hAnsi="Times New Roman"/>
          <w:sz w:val="13"/>
          <w:szCs w:val="13"/>
          <w:b w:val="1"/>
          <w:bCs w:val="1"/>
          <w:color w:val="auto"/>
        </w:rPr>
        <w:t>nc</w:t>
      </w:r>
      <w:r>
        <w:rPr>
          <w:rFonts w:ascii="Times New Roman" w:cs="Times New Roman" w:eastAsia="Times New Roman" w:hAnsi="Times New Roman"/>
          <w:sz w:val="20"/>
          <w:szCs w:val="20"/>
          <w:b w:val="1"/>
          <w:bCs w:val="1"/>
          <w:color w:val="auto"/>
        </w:rPr>
        <w:t>.</w:t>
      </w:r>
    </w:p>
    <w:p>
      <w:pPr>
        <w:ind w:left="3760"/>
        <w:spacing w:after="0"/>
        <w:rPr>
          <w:sz w:val="20"/>
          <w:szCs w:val="20"/>
          <w:color w:val="auto"/>
        </w:rPr>
      </w:pPr>
      <w:r>
        <w:rPr>
          <w:rFonts w:ascii="Times New Roman" w:cs="Times New Roman" w:eastAsia="Times New Roman" w:hAnsi="Times New Roman"/>
          <w:sz w:val="20"/>
          <w:szCs w:val="20"/>
          <w:b w:val="1"/>
          <w:bCs w:val="1"/>
          <w:color w:val="auto"/>
        </w:rPr>
        <w:t>K</w:t>
      </w:r>
      <w:r>
        <w:rPr>
          <w:rFonts w:ascii="Times New Roman" w:cs="Times New Roman" w:eastAsia="Times New Roman" w:hAnsi="Times New Roman"/>
          <w:sz w:val="13"/>
          <w:szCs w:val="13"/>
          <w:b w:val="1"/>
          <w:bCs w:val="1"/>
          <w:color w:val="auto"/>
        </w:rPr>
        <w:t>odak</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3"/>
          <w:szCs w:val="13"/>
          <w:b w:val="1"/>
          <w:bCs w:val="1"/>
          <w:color w:val="auto"/>
        </w:rPr>
        <w:t>mericas</w:t>
      </w:r>
      <w:r>
        <w:rPr>
          <w:rFonts w:ascii="Times New Roman" w:cs="Times New Roman" w:eastAsia="Times New Roman" w:hAnsi="Times New Roman"/>
          <w:sz w:val="20"/>
          <w:szCs w:val="20"/>
          <w:b w:val="1"/>
          <w:bCs w:val="1"/>
          <w:color w:val="auto"/>
        </w:rPr>
        <w:t>, L</w:t>
      </w:r>
      <w:r>
        <w:rPr>
          <w:rFonts w:ascii="Times New Roman" w:cs="Times New Roman" w:eastAsia="Times New Roman" w:hAnsi="Times New Roman"/>
          <w:sz w:val="13"/>
          <w:szCs w:val="13"/>
          <w:b w:val="1"/>
          <w:bCs w:val="1"/>
          <w:color w:val="auto"/>
        </w:rPr>
        <w:t>td</w:t>
      </w:r>
      <w:r>
        <w:rPr>
          <w:rFonts w:ascii="Times New Roman" w:cs="Times New Roman" w:eastAsia="Times New Roman" w:hAnsi="Times New Roman"/>
          <w:sz w:val="20"/>
          <w:szCs w:val="20"/>
          <w:b w:val="1"/>
          <w:bCs w:val="1"/>
          <w:color w:val="auto"/>
        </w:rPr>
        <w:t>.</w:t>
      </w:r>
    </w:p>
    <w:p>
      <w:pPr>
        <w:spacing w:after="0" w:line="200" w:lineRule="exact"/>
        <w:rPr>
          <w:sz w:val="20"/>
          <w:szCs w:val="20"/>
          <w:color w:val="auto"/>
        </w:rPr>
      </w:pPr>
    </w:p>
    <w:p>
      <w:pPr>
        <w:spacing w:after="0" w:line="35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Matthew C. Ebersold</w:t>
      </w:r>
    </w:p>
    <w:p>
      <w:pPr>
        <w:spacing w:after="0" w:line="2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0"/>
          <w:szCs w:val="20"/>
          <w:color w:val="auto"/>
        </w:rPr>
        <w:t>Name: Matthew C. Ebersold</w:t>
      </w:r>
    </w:p>
    <w:p>
      <w:pPr>
        <w:ind w:left="3760"/>
        <w:spacing w:after="0"/>
        <w:rPr>
          <w:sz w:val="20"/>
          <w:szCs w:val="20"/>
          <w:color w:val="auto"/>
        </w:rPr>
      </w:pPr>
      <w:r>
        <w:rPr>
          <w:rFonts w:ascii="Times New Roman" w:cs="Times New Roman" w:eastAsia="Times New Roman" w:hAnsi="Times New Roman"/>
          <w:sz w:val="20"/>
          <w:szCs w:val="20"/>
          <w:color w:val="auto"/>
        </w:rPr>
        <w:t>Title: Treasurer</w:t>
      </w:r>
    </w:p>
    <w:p>
      <w:pPr>
        <w:spacing w:after="0" w:line="203" w:lineRule="exact"/>
        <w:rPr>
          <w:sz w:val="20"/>
          <w:szCs w:val="20"/>
          <w:color w:val="auto"/>
        </w:rPr>
      </w:pPr>
    </w:p>
    <w:p>
      <w:pPr>
        <w:jc w:val="right"/>
        <w:ind w:right="779"/>
        <w:spacing w:after="0"/>
        <w:rPr>
          <w:sz w:val="20"/>
          <w:szCs w:val="20"/>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3"/>
          <w:szCs w:val="13"/>
          <w:b w:val="1"/>
          <w:bCs w:val="1"/>
          <w:color w:val="auto"/>
        </w:rPr>
        <w:t>astman</w:t>
      </w:r>
      <w:r>
        <w:rPr>
          <w:rFonts w:ascii="Times New Roman" w:cs="Times New Roman" w:eastAsia="Times New Roman" w:hAnsi="Times New Roman"/>
          <w:sz w:val="20"/>
          <w:szCs w:val="20"/>
          <w:b w:val="1"/>
          <w:bCs w:val="1"/>
          <w:color w:val="auto"/>
        </w:rPr>
        <w:t xml:space="preserve"> K</w:t>
      </w:r>
      <w:r>
        <w:rPr>
          <w:rFonts w:ascii="Times New Roman" w:cs="Times New Roman" w:eastAsia="Times New Roman" w:hAnsi="Times New Roman"/>
          <w:sz w:val="13"/>
          <w:szCs w:val="13"/>
          <w:b w:val="1"/>
          <w:bCs w:val="1"/>
          <w:color w:val="auto"/>
        </w:rPr>
        <w:t>odak</w:t>
      </w:r>
      <w:r>
        <w:rPr>
          <w:rFonts w:ascii="Times New Roman" w:cs="Times New Roman" w:eastAsia="Times New Roman" w:hAnsi="Times New Roman"/>
          <w:sz w:val="20"/>
          <w:szCs w:val="20"/>
          <w:b w:val="1"/>
          <w:bCs w:val="1"/>
          <w:color w:val="auto"/>
        </w:rPr>
        <w:t xml:space="preserve"> I</w:t>
      </w:r>
      <w:r>
        <w:rPr>
          <w:rFonts w:ascii="Times New Roman" w:cs="Times New Roman" w:eastAsia="Times New Roman" w:hAnsi="Times New Roman"/>
          <w:sz w:val="13"/>
          <w:szCs w:val="13"/>
          <w:b w:val="1"/>
          <w:bCs w:val="1"/>
          <w:color w:val="auto"/>
        </w:rPr>
        <w:t>nternational</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3"/>
          <w:szCs w:val="13"/>
          <w:b w:val="1"/>
          <w:bCs w:val="1"/>
          <w:color w:val="auto"/>
        </w:rPr>
        <w:t>apital</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3"/>
          <w:szCs w:val="13"/>
          <w:b w:val="1"/>
          <w:bCs w:val="1"/>
          <w:color w:val="auto"/>
        </w:rPr>
        <w:t>ompany</w:t>
      </w:r>
      <w:r>
        <w:rPr>
          <w:rFonts w:ascii="Times New Roman" w:cs="Times New Roman" w:eastAsia="Times New Roman" w:hAnsi="Times New Roman"/>
          <w:sz w:val="20"/>
          <w:szCs w:val="20"/>
          <w:b w:val="1"/>
          <w:bCs w:val="1"/>
          <w:color w:val="auto"/>
        </w:rPr>
        <w:t>, I</w:t>
      </w:r>
      <w:r>
        <w:rPr>
          <w:rFonts w:ascii="Times New Roman" w:cs="Times New Roman" w:eastAsia="Times New Roman" w:hAnsi="Times New Roman"/>
          <w:sz w:val="13"/>
          <w:szCs w:val="13"/>
          <w:b w:val="1"/>
          <w:bCs w:val="1"/>
          <w:color w:val="auto"/>
        </w:rPr>
        <w:t>nc</w:t>
      </w:r>
      <w:r>
        <w:rPr>
          <w:rFonts w:ascii="Times New Roman" w:cs="Times New Roman" w:eastAsia="Times New Roman" w:hAnsi="Times New Roman"/>
          <w:sz w:val="20"/>
          <w:szCs w:val="20"/>
          <w:b w:val="1"/>
          <w:bCs w:val="1"/>
          <w:color w:val="auto"/>
        </w:rPr>
        <w:t>.</w:t>
      </w:r>
    </w:p>
    <w:p>
      <w:pPr>
        <w:spacing w:after="0" w:line="200" w:lineRule="exact"/>
        <w:rPr>
          <w:sz w:val="20"/>
          <w:szCs w:val="20"/>
          <w:color w:val="auto"/>
        </w:rPr>
      </w:pPr>
    </w:p>
    <w:p>
      <w:pPr>
        <w:spacing w:after="0" w:line="37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Matthew C. Ebersold</w:t>
      </w:r>
    </w:p>
    <w:p>
      <w:pPr>
        <w:spacing w:after="0" w:line="2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0"/>
          <w:szCs w:val="20"/>
          <w:color w:val="auto"/>
        </w:rPr>
        <w:t>Name: Matthew C. Ebersold</w:t>
      </w:r>
    </w:p>
    <w:p>
      <w:pPr>
        <w:ind w:left="3760"/>
        <w:spacing w:after="0"/>
        <w:rPr>
          <w:sz w:val="20"/>
          <w:szCs w:val="20"/>
          <w:color w:val="auto"/>
        </w:rPr>
      </w:pPr>
      <w:r>
        <w:rPr>
          <w:rFonts w:ascii="Times New Roman" w:cs="Times New Roman" w:eastAsia="Times New Roman" w:hAnsi="Times New Roman"/>
          <w:sz w:val="20"/>
          <w:szCs w:val="20"/>
          <w:color w:val="auto"/>
        </w:rPr>
        <w:t>Title: Director, President &amp; Treasurer</w:t>
      </w:r>
    </w:p>
    <w:p>
      <w:pPr>
        <w:spacing w:after="0" w:line="203"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0"/>
          <w:szCs w:val="20"/>
          <w:b w:val="1"/>
          <w:bCs w:val="1"/>
          <w:color w:val="auto"/>
        </w:rPr>
        <w:t>K</w:t>
      </w:r>
      <w:r>
        <w:rPr>
          <w:rFonts w:ascii="Times New Roman" w:cs="Times New Roman" w:eastAsia="Times New Roman" w:hAnsi="Times New Roman"/>
          <w:sz w:val="13"/>
          <w:szCs w:val="13"/>
          <w:b w:val="1"/>
          <w:bCs w:val="1"/>
          <w:color w:val="auto"/>
        </w:rPr>
        <w:t>odak</w:t>
      </w:r>
      <w:r>
        <w:rPr>
          <w:rFonts w:ascii="Times New Roman" w:cs="Times New Roman" w:eastAsia="Times New Roman" w:hAnsi="Times New Roman"/>
          <w:sz w:val="20"/>
          <w:szCs w:val="20"/>
          <w:b w:val="1"/>
          <w:bCs w:val="1"/>
          <w:color w:val="auto"/>
        </w:rPr>
        <w:t xml:space="preserve"> I</w:t>
      </w:r>
      <w:r>
        <w:rPr>
          <w:rFonts w:ascii="Times New Roman" w:cs="Times New Roman" w:eastAsia="Times New Roman" w:hAnsi="Times New Roman"/>
          <w:sz w:val="13"/>
          <w:szCs w:val="13"/>
          <w:b w:val="1"/>
          <w:bCs w:val="1"/>
          <w:color w:val="auto"/>
        </w:rPr>
        <w:t>nternational</w:t>
      </w:r>
      <w:r>
        <w:rPr>
          <w:rFonts w:ascii="Times New Roman" w:cs="Times New Roman" w:eastAsia="Times New Roman" w:hAnsi="Times New Roman"/>
          <w:sz w:val="20"/>
          <w:szCs w:val="20"/>
          <w:b w:val="1"/>
          <w:bCs w:val="1"/>
          <w:color w:val="auto"/>
        </w:rPr>
        <w:t xml:space="preserve"> F</w:t>
      </w:r>
      <w:r>
        <w:rPr>
          <w:rFonts w:ascii="Times New Roman" w:cs="Times New Roman" w:eastAsia="Times New Roman" w:hAnsi="Times New Roman"/>
          <w:sz w:val="13"/>
          <w:szCs w:val="13"/>
          <w:b w:val="1"/>
          <w:bCs w:val="1"/>
          <w:color w:val="auto"/>
        </w:rPr>
        <w:t>inance</w:t>
      </w:r>
      <w:r>
        <w:rPr>
          <w:rFonts w:ascii="Times New Roman" w:cs="Times New Roman" w:eastAsia="Times New Roman" w:hAnsi="Times New Roman"/>
          <w:sz w:val="20"/>
          <w:szCs w:val="20"/>
          <w:b w:val="1"/>
          <w:bCs w:val="1"/>
          <w:color w:val="auto"/>
        </w:rPr>
        <w:t xml:space="preserve"> L</w:t>
      </w:r>
      <w:r>
        <w:rPr>
          <w:rFonts w:ascii="Times New Roman" w:cs="Times New Roman" w:eastAsia="Times New Roman" w:hAnsi="Times New Roman"/>
          <w:sz w:val="13"/>
          <w:szCs w:val="13"/>
          <w:b w:val="1"/>
          <w:bCs w:val="1"/>
          <w:color w:val="auto"/>
        </w:rPr>
        <w:t>imited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Matthew C. Ebersold</w:t>
      </w:r>
    </w:p>
    <w:p>
      <w:pPr>
        <w:spacing w:after="0" w:line="2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0"/>
          <w:szCs w:val="20"/>
          <w:color w:val="auto"/>
        </w:rPr>
        <w:t>Name: Matthew C. Ebersold</w:t>
      </w:r>
    </w:p>
    <w:p>
      <w:pPr>
        <w:ind w:left="3760"/>
        <w:spacing w:after="0"/>
        <w:rPr>
          <w:sz w:val="20"/>
          <w:szCs w:val="20"/>
          <w:color w:val="auto"/>
        </w:rPr>
      </w:pPr>
      <w:r>
        <w:rPr>
          <w:rFonts w:ascii="Times New Roman" w:cs="Times New Roman" w:eastAsia="Times New Roman" w:hAnsi="Times New Roman"/>
          <w:sz w:val="20"/>
          <w:szCs w:val="20"/>
          <w:color w:val="auto"/>
        </w:rPr>
        <w:t>Title: Director</w:t>
      </w:r>
    </w:p>
    <w:p>
      <w:pPr>
        <w:spacing w:after="0" w:line="203"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0"/>
          <w:szCs w:val="20"/>
          <w:b w:val="1"/>
          <w:bCs w:val="1"/>
          <w:color w:val="auto"/>
        </w:rPr>
        <w:t>K</w:t>
      </w:r>
      <w:r>
        <w:rPr>
          <w:rFonts w:ascii="Times New Roman" w:cs="Times New Roman" w:eastAsia="Times New Roman" w:hAnsi="Times New Roman"/>
          <w:sz w:val="13"/>
          <w:szCs w:val="13"/>
          <w:b w:val="1"/>
          <w:bCs w:val="1"/>
          <w:color w:val="auto"/>
        </w:rPr>
        <w:t>odak</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3"/>
          <w:szCs w:val="13"/>
          <w:b w:val="1"/>
          <w:bCs w:val="1"/>
          <w:color w:val="auto"/>
        </w:rPr>
        <w:t>anada</w:t>
      </w:r>
      <w:r>
        <w:rPr>
          <w:rFonts w:ascii="Times New Roman" w:cs="Times New Roman" w:eastAsia="Times New Roman" w:hAnsi="Times New Roman"/>
          <w:sz w:val="20"/>
          <w:szCs w:val="20"/>
          <w:b w:val="1"/>
          <w:bCs w:val="1"/>
          <w:color w:val="auto"/>
        </w:rPr>
        <w:t xml:space="preserve"> ULC</w:t>
      </w:r>
    </w:p>
    <w:p>
      <w:pPr>
        <w:spacing w:after="0" w:line="2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0"/>
          <w:szCs w:val="20"/>
          <w:b w:val="1"/>
          <w:bCs w:val="1"/>
          <w:color w:val="auto"/>
        </w:rPr>
        <w:t>K</w:t>
      </w:r>
      <w:r>
        <w:rPr>
          <w:rFonts w:ascii="Times New Roman" w:cs="Times New Roman" w:eastAsia="Times New Roman" w:hAnsi="Times New Roman"/>
          <w:sz w:val="13"/>
          <w:szCs w:val="13"/>
          <w:b w:val="1"/>
          <w:bCs w:val="1"/>
          <w:color w:val="auto"/>
        </w:rPr>
        <w:t>odak</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hilippines</w:t>
      </w:r>
      <w:r>
        <w:rPr>
          <w:rFonts w:ascii="Times New Roman" w:cs="Times New Roman" w:eastAsia="Times New Roman" w:hAnsi="Times New Roman"/>
          <w:sz w:val="20"/>
          <w:szCs w:val="20"/>
          <w:b w:val="1"/>
          <w:bCs w:val="1"/>
          <w:color w:val="auto"/>
        </w:rPr>
        <w:t>, L</w:t>
      </w:r>
      <w:r>
        <w:rPr>
          <w:rFonts w:ascii="Times New Roman" w:cs="Times New Roman" w:eastAsia="Times New Roman" w:hAnsi="Times New Roman"/>
          <w:sz w:val="13"/>
          <w:szCs w:val="13"/>
          <w:b w:val="1"/>
          <w:bCs w:val="1"/>
          <w:color w:val="auto"/>
        </w:rPr>
        <w:t>td</w:t>
      </w:r>
      <w:r>
        <w:rPr>
          <w:rFonts w:ascii="Times New Roman" w:cs="Times New Roman" w:eastAsia="Times New Roman" w:hAnsi="Times New Roman"/>
          <w:sz w:val="20"/>
          <w:szCs w:val="20"/>
          <w:b w:val="1"/>
          <w:bCs w:val="1"/>
          <w:color w:val="auto"/>
        </w:rPr>
        <w:t>.</w:t>
      </w:r>
    </w:p>
    <w:p>
      <w:pPr>
        <w:ind w:left="3760"/>
        <w:spacing w:after="0"/>
        <w:rPr>
          <w:sz w:val="20"/>
          <w:szCs w:val="20"/>
          <w:color w:val="auto"/>
        </w:rPr>
      </w:pPr>
      <w:r>
        <w:rPr>
          <w:rFonts w:ascii="Times New Roman" w:cs="Times New Roman" w:eastAsia="Times New Roman" w:hAnsi="Times New Roman"/>
          <w:sz w:val="20"/>
          <w:szCs w:val="20"/>
          <w:b w:val="1"/>
          <w:bCs w:val="1"/>
          <w:color w:val="auto"/>
        </w:rPr>
        <w:t>G</w:t>
      </w:r>
      <w:r>
        <w:rPr>
          <w:rFonts w:ascii="Times New Roman" w:cs="Times New Roman" w:eastAsia="Times New Roman" w:hAnsi="Times New Roman"/>
          <w:sz w:val="13"/>
          <w:szCs w:val="13"/>
          <w:b w:val="1"/>
          <w:bCs w:val="1"/>
          <w:color w:val="auto"/>
        </w:rPr>
        <w:t>raphic</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3"/>
          <w:szCs w:val="13"/>
          <w:b w:val="1"/>
          <w:bCs w:val="1"/>
          <w:color w:val="auto"/>
        </w:rPr>
        <w:t>ystems</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3"/>
          <w:szCs w:val="13"/>
          <w:b w:val="1"/>
          <w:bCs w:val="1"/>
          <w:color w:val="auto"/>
        </w:rPr>
        <w:t>ervices</w:t>
      </w:r>
      <w:r>
        <w:rPr>
          <w:rFonts w:ascii="Times New Roman" w:cs="Times New Roman" w:eastAsia="Times New Roman" w:hAnsi="Times New Roman"/>
          <w:sz w:val="20"/>
          <w:szCs w:val="20"/>
          <w:b w:val="1"/>
          <w:bCs w:val="1"/>
          <w:color w:val="auto"/>
        </w:rPr>
        <w:t>, I</w:t>
      </w:r>
      <w:r>
        <w:rPr>
          <w:rFonts w:ascii="Times New Roman" w:cs="Times New Roman" w:eastAsia="Times New Roman" w:hAnsi="Times New Roman"/>
          <w:sz w:val="13"/>
          <w:szCs w:val="13"/>
          <w:b w:val="1"/>
          <w:bCs w:val="1"/>
          <w:color w:val="auto"/>
        </w:rPr>
        <w:t>nc</w:t>
      </w:r>
      <w:r>
        <w:rPr>
          <w:rFonts w:ascii="Times New Roman" w:cs="Times New Roman" w:eastAsia="Times New Roman" w:hAnsi="Times New Roman"/>
          <w:sz w:val="20"/>
          <w:szCs w:val="20"/>
          <w:b w:val="1"/>
          <w:bCs w:val="1"/>
          <w:color w:val="auto"/>
        </w:rPr>
        <w:t>.</w:t>
      </w:r>
    </w:p>
    <w:p>
      <w:pPr>
        <w:spacing w:after="0" w:line="200" w:lineRule="exact"/>
        <w:rPr>
          <w:sz w:val="20"/>
          <w:szCs w:val="20"/>
          <w:color w:val="auto"/>
        </w:rPr>
      </w:pPr>
    </w:p>
    <w:p>
      <w:pPr>
        <w:spacing w:after="0" w:line="35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Matthew C. Ebersold</w:t>
      </w:r>
    </w:p>
    <w:p>
      <w:pPr>
        <w:spacing w:after="0" w:line="2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0"/>
          <w:szCs w:val="20"/>
          <w:color w:val="auto"/>
        </w:rPr>
        <w:t>Name: Matthew C. Ebersold</w:t>
      </w:r>
    </w:p>
    <w:p>
      <w:pPr>
        <w:ind w:left="3760"/>
        <w:spacing w:after="0"/>
        <w:rPr>
          <w:sz w:val="20"/>
          <w:szCs w:val="20"/>
          <w:color w:val="auto"/>
        </w:rPr>
      </w:pPr>
      <w:r>
        <w:rPr>
          <w:rFonts w:ascii="Times New Roman" w:cs="Times New Roman" w:eastAsia="Times New Roman" w:hAnsi="Times New Roman"/>
          <w:sz w:val="20"/>
          <w:szCs w:val="20"/>
          <w:color w:val="auto"/>
        </w:rPr>
        <w:t>Title: Director and Treasurer</w:t>
      </w:r>
    </w:p>
    <w:p>
      <w:pPr>
        <w:spacing w:after="0" w:line="20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0"/>
          <w:szCs w:val="20"/>
          <w:b w:val="1"/>
          <w:bCs w:val="1"/>
          <w:color w:val="auto"/>
        </w:rPr>
        <w:t>K</w:t>
      </w:r>
      <w:r>
        <w:rPr>
          <w:rFonts w:ascii="Times New Roman" w:cs="Times New Roman" w:eastAsia="Times New Roman" w:hAnsi="Times New Roman"/>
          <w:sz w:val="13"/>
          <w:szCs w:val="13"/>
          <w:b w:val="1"/>
          <w:bCs w:val="1"/>
          <w:color w:val="auto"/>
        </w:rPr>
        <w:t>odak</w:t>
      </w:r>
      <w:r>
        <w:rPr>
          <w:rFonts w:ascii="Times New Roman" w:cs="Times New Roman" w:eastAsia="Times New Roman" w:hAnsi="Times New Roman"/>
          <w:sz w:val="20"/>
          <w:szCs w:val="20"/>
          <w:b w:val="1"/>
          <w:bCs w:val="1"/>
          <w:color w:val="auto"/>
        </w:rPr>
        <w:t xml:space="preserve"> L</w:t>
      </w:r>
      <w:r>
        <w:rPr>
          <w:rFonts w:ascii="Times New Roman" w:cs="Times New Roman" w:eastAsia="Times New Roman" w:hAnsi="Times New Roman"/>
          <w:sz w:val="13"/>
          <w:szCs w:val="13"/>
          <w:b w:val="1"/>
          <w:bCs w:val="1"/>
          <w:color w:val="auto"/>
        </w:rPr>
        <w:t>imited</w:t>
      </w:r>
    </w:p>
    <w:p>
      <w:pPr>
        <w:spacing w:after="0" w:line="200" w:lineRule="exact"/>
        <w:rPr>
          <w:sz w:val="20"/>
          <w:szCs w:val="20"/>
          <w:color w:val="auto"/>
        </w:rPr>
      </w:pPr>
    </w:p>
    <w:p>
      <w:pPr>
        <w:spacing w:after="0" w:line="38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Helen Griffiths</w:t>
      </w:r>
    </w:p>
    <w:p>
      <w:pPr>
        <w:spacing w:after="0" w:line="2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0"/>
          <w:szCs w:val="20"/>
          <w:color w:val="auto"/>
        </w:rPr>
        <w:t>Name: Helen Griffiths</w:t>
      </w:r>
    </w:p>
    <w:p>
      <w:pPr>
        <w:ind w:left="3760"/>
        <w:spacing w:after="0"/>
        <w:rPr>
          <w:sz w:val="20"/>
          <w:szCs w:val="20"/>
          <w:color w:val="auto"/>
        </w:rPr>
      </w:pPr>
      <w:r>
        <w:rPr>
          <w:rFonts w:ascii="Times New Roman" w:cs="Times New Roman" w:eastAsia="Times New Roman" w:hAnsi="Times New Roman"/>
          <w:sz w:val="20"/>
          <w:szCs w:val="20"/>
          <w:color w:val="auto"/>
        </w:rPr>
        <w:t>Title: Director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w:t>
      </w:r>
      <w:r>
        <w:rPr>
          <w:rFonts w:ascii="Times New Roman" w:cs="Times New Roman" w:eastAsia="Times New Roman" w:hAnsi="Times New Roman"/>
          <w:sz w:val="13"/>
          <w:szCs w:val="13"/>
          <w:color w:val="auto"/>
        </w:rPr>
        <w:t>irst</w:t>
      </w:r>
      <w:r>
        <w:rPr>
          <w:rFonts w:ascii="Times New Roman" w:cs="Times New Roman" w:eastAsia="Times New Roman" w:hAnsi="Times New Roman"/>
          <w:sz w:val="20"/>
          <w:szCs w:val="20"/>
          <w:color w:val="auto"/>
        </w:rPr>
        <w:t xml:space="preserve"> A</w:t>
      </w:r>
      <w:r>
        <w:rPr>
          <w:rFonts w:ascii="Times New Roman" w:cs="Times New Roman" w:eastAsia="Times New Roman" w:hAnsi="Times New Roman"/>
          <w:sz w:val="13"/>
          <w:szCs w:val="13"/>
          <w:color w:val="auto"/>
        </w:rPr>
        <w:t>mendment to</w:t>
      </w:r>
      <w:r>
        <w:rPr>
          <w:rFonts w:ascii="Times New Roman" w:cs="Times New Roman" w:eastAsia="Times New Roman" w:hAnsi="Times New Roman"/>
          <w:sz w:val="20"/>
          <w:szCs w:val="20"/>
          <w:color w:val="auto"/>
        </w:rPr>
        <w:t xml:space="preserve"> A</w:t>
      </w:r>
      <w:r>
        <w:rPr>
          <w:rFonts w:ascii="Times New Roman" w:cs="Times New Roman" w:eastAsia="Times New Roman" w:hAnsi="Times New Roman"/>
          <w:sz w:val="13"/>
          <w:szCs w:val="13"/>
          <w:color w:val="auto"/>
        </w:rPr>
        <w:t>mended and</w:t>
      </w:r>
      <w:r>
        <w:rPr>
          <w:rFonts w:ascii="Times New Roman" w:cs="Times New Roman" w:eastAsia="Times New Roman" w:hAnsi="Times New Roman"/>
          <w:sz w:val="20"/>
          <w:szCs w:val="20"/>
          <w:color w:val="auto"/>
        </w:rPr>
        <w:t xml:space="preserve"> R</w:t>
      </w:r>
      <w:r>
        <w:rPr>
          <w:rFonts w:ascii="Times New Roman" w:cs="Times New Roman" w:eastAsia="Times New Roman" w:hAnsi="Times New Roman"/>
          <w:sz w:val="13"/>
          <w:szCs w:val="13"/>
          <w:color w:val="auto"/>
        </w:rPr>
        <w:t>estated</w:t>
      </w:r>
      <w:r>
        <w:rPr>
          <w:rFonts w:ascii="Times New Roman" w:cs="Times New Roman" w:eastAsia="Times New Roman" w:hAnsi="Times New Roman"/>
          <w:sz w:val="20"/>
          <w:szCs w:val="20"/>
          <w:color w:val="auto"/>
        </w:rPr>
        <w:t xml:space="preserve"> C</w:t>
      </w:r>
      <w:r>
        <w:rPr>
          <w:rFonts w:ascii="Times New Roman" w:cs="Times New Roman" w:eastAsia="Times New Roman" w:hAnsi="Times New Roman"/>
          <w:sz w:val="13"/>
          <w:szCs w:val="13"/>
          <w:color w:val="auto"/>
        </w:rPr>
        <w:t>redit</w:t>
      </w:r>
      <w:r>
        <w:rPr>
          <w:rFonts w:ascii="Times New Roman" w:cs="Times New Roman" w:eastAsia="Times New Roman" w:hAnsi="Times New Roman"/>
          <w:sz w:val="20"/>
          <w:szCs w:val="20"/>
          <w:color w:val="auto"/>
        </w:rPr>
        <w:t xml:space="preserve"> A</w:t>
      </w:r>
      <w:r>
        <w:rPr>
          <w:rFonts w:ascii="Times New Roman" w:cs="Times New Roman" w:eastAsia="Times New Roman" w:hAnsi="Times New Roman"/>
          <w:sz w:val="13"/>
          <w:szCs w:val="13"/>
          <w:color w:val="auto"/>
        </w:rPr>
        <w:t>greement</w:t>
      </w:r>
      <w:r>
        <w:rPr>
          <w:rFonts w:ascii="Times New Roman" w:cs="Times New Roman" w:eastAsia="Times New Roman" w:hAnsi="Times New Roman"/>
          <w:sz w:val="20"/>
          <w:szCs w:val="20"/>
          <w:color w:val="auto"/>
        </w:rPr>
        <w:t xml:space="preserve"> – E</w:t>
      </w:r>
      <w:r>
        <w:rPr>
          <w:rFonts w:ascii="Times New Roman" w:cs="Times New Roman" w:eastAsia="Times New Roman" w:hAnsi="Times New Roman"/>
          <w:sz w:val="13"/>
          <w:szCs w:val="13"/>
          <w:color w:val="auto"/>
        </w:rPr>
        <w:t>astman</w:t>
      </w:r>
      <w:r>
        <w:rPr>
          <w:rFonts w:ascii="Times New Roman" w:cs="Times New Roman" w:eastAsia="Times New Roman" w:hAnsi="Times New Roman"/>
          <w:sz w:val="20"/>
          <w:szCs w:val="20"/>
          <w:color w:val="auto"/>
        </w:rPr>
        <w:t xml:space="preserve"> K</w:t>
      </w:r>
      <w:r>
        <w:rPr>
          <w:rFonts w:ascii="Times New Roman" w:cs="Times New Roman" w:eastAsia="Times New Roman" w:hAnsi="Times New Roman"/>
          <w:sz w:val="13"/>
          <w:szCs w:val="13"/>
          <w:color w:val="auto"/>
        </w:rPr>
        <w:t>odak</w:t>
      </w:r>
      <w:r>
        <w:rPr>
          <w:rFonts w:ascii="Times New Roman" w:cs="Times New Roman" w:eastAsia="Times New Roman" w:hAnsi="Times New Roman"/>
          <w:sz w:val="20"/>
          <w:szCs w:val="20"/>
          <w:color w:val="auto"/>
        </w:rPr>
        <w:t xml:space="preserve"> C</w:t>
      </w:r>
      <w:r>
        <w:rPr>
          <w:rFonts w:ascii="Times New Roman" w:cs="Times New Roman" w:eastAsia="Times New Roman" w:hAnsi="Times New Roman"/>
          <w:sz w:val="13"/>
          <w:szCs w:val="13"/>
          <w:color w:val="auto"/>
        </w:rPr>
        <w:t>ompany</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781685</wp:posOffset>
            </wp:positionV>
            <wp:extent cx="7157720" cy="4254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8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38" w:name="page139"/>
    <w:bookmarkEnd w:id="138"/>
    <w:p>
      <w:pPr>
        <w:ind w:left="3760"/>
        <w:spacing w:after="0"/>
        <w:rPr>
          <w:sz w:val="20"/>
          <w:szCs w:val="20"/>
          <w:color w:val="auto"/>
        </w:rPr>
      </w:pPr>
      <w:r>
        <w:rPr>
          <w:rFonts w:ascii="Times New Roman" w:cs="Times New Roman" w:eastAsia="Times New Roman" w:hAnsi="Times New Roman"/>
          <w:sz w:val="20"/>
          <w:szCs w:val="20"/>
          <w:color w:val="auto"/>
        </w:rPr>
        <w:t>Accepted and agreed to.</w:t>
      </w:r>
    </w:p>
    <w:p>
      <w:pPr>
        <w:spacing w:after="0" w:line="252"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0"/>
          <w:szCs w:val="20"/>
          <w:b w:val="1"/>
          <w:bCs w:val="1"/>
          <w:color w:val="auto"/>
        </w:rPr>
        <w:t>ALTER DOMUS (US) LLC</w:t>
      </w:r>
      <w:r>
        <w:rPr>
          <w:rFonts w:ascii="Times New Roman" w:cs="Times New Roman" w:eastAsia="Times New Roman" w:hAnsi="Times New Roman"/>
          <w:sz w:val="20"/>
          <w:szCs w:val="20"/>
          <w:color w:val="auto"/>
        </w:rPr>
        <w:t>, as Administrative Agent</w:t>
      </w:r>
    </w:p>
    <w:p>
      <w:pPr>
        <w:spacing w:after="0" w:line="200" w:lineRule="exact"/>
        <w:rPr>
          <w:sz w:val="20"/>
          <w:szCs w:val="20"/>
          <w:color w:val="auto"/>
        </w:rPr>
      </w:pPr>
    </w:p>
    <w:p>
      <w:pPr>
        <w:spacing w:after="0" w:line="303"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Pinju Chiu</w:t>
      </w:r>
    </w:p>
    <w:p>
      <w:pPr>
        <w:spacing w:after="0" w:line="21"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0"/>
          <w:szCs w:val="20"/>
          <w:color w:val="auto"/>
        </w:rPr>
        <w:t>Name: Pinju Chiu</w:t>
      </w:r>
    </w:p>
    <w:p>
      <w:pPr>
        <w:ind w:left="4240"/>
        <w:spacing w:after="0"/>
        <w:rPr>
          <w:sz w:val="20"/>
          <w:szCs w:val="20"/>
          <w:color w:val="auto"/>
        </w:rPr>
      </w:pPr>
      <w:r>
        <w:rPr>
          <w:rFonts w:ascii="Times New Roman" w:cs="Times New Roman" w:eastAsia="Times New Roman" w:hAnsi="Times New Roman"/>
          <w:sz w:val="20"/>
          <w:szCs w:val="20"/>
          <w:color w:val="auto"/>
        </w:rPr>
        <w:t>Title: Associate Counsel</w:t>
      </w:r>
    </w:p>
    <w:p>
      <w:pPr>
        <w:jc w:val="center"/>
        <w:spacing w:after="0"/>
        <w:rPr>
          <w:sz w:val="20"/>
          <w:szCs w:val="20"/>
          <w:color w:val="auto"/>
        </w:rPr>
      </w:pPr>
      <w:r>
        <w:rPr>
          <w:rFonts w:ascii="Times New Roman" w:cs="Times New Roman" w:eastAsia="Times New Roman" w:hAnsi="Times New Roman"/>
          <w:sz w:val="20"/>
          <w:szCs w:val="20"/>
          <w:color w:val="auto"/>
        </w:rPr>
        <w:t>[F</w:t>
      </w:r>
      <w:r>
        <w:rPr>
          <w:rFonts w:ascii="Times New Roman" w:cs="Times New Roman" w:eastAsia="Times New Roman" w:hAnsi="Times New Roman"/>
          <w:sz w:val="13"/>
          <w:szCs w:val="13"/>
          <w:color w:val="auto"/>
        </w:rPr>
        <w:t>irst</w:t>
      </w:r>
      <w:r>
        <w:rPr>
          <w:rFonts w:ascii="Times New Roman" w:cs="Times New Roman" w:eastAsia="Times New Roman" w:hAnsi="Times New Roman"/>
          <w:sz w:val="20"/>
          <w:szCs w:val="20"/>
          <w:color w:val="auto"/>
        </w:rPr>
        <w:t xml:space="preserve"> A</w:t>
      </w:r>
      <w:r>
        <w:rPr>
          <w:rFonts w:ascii="Times New Roman" w:cs="Times New Roman" w:eastAsia="Times New Roman" w:hAnsi="Times New Roman"/>
          <w:sz w:val="13"/>
          <w:szCs w:val="13"/>
          <w:color w:val="auto"/>
        </w:rPr>
        <w:t>mendment to</w:t>
      </w:r>
      <w:r>
        <w:rPr>
          <w:rFonts w:ascii="Times New Roman" w:cs="Times New Roman" w:eastAsia="Times New Roman" w:hAnsi="Times New Roman"/>
          <w:sz w:val="20"/>
          <w:szCs w:val="20"/>
          <w:color w:val="auto"/>
        </w:rPr>
        <w:t xml:space="preserve"> A</w:t>
      </w:r>
      <w:r>
        <w:rPr>
          <w:rFonts w:ascii="Times New Roman" w:cs="Times New Roman" w:eastAsia="Times New Roman" w:hAnsi="Times New Roman"/>
          <w:sz w:val="13"/>
          <w:szCs w:val="13"/>
          <w:color w:val="auto"/>
        </w:rPr>
        <w:t>mended and</w:t>
      </w:r>
      <w:r>
        <w:rPr>
          <w:rFonts w:ascii="Times New Roman" w:cs="Times New Roman" w:eastAsia="Times New Roman" w:hAnsi="Times New Roman"/>
          <w:sz w:val="20"/>
          <w:szCs w:val="20"/>
          <w:color w:val="auto"/>
        </w:rPr>
        <w:t xml:space="preserve"> R</w:t>
      </w:r>
      <w:r>
        <w:rPr>
          <w:rFonts w:ascii="Times New Roman" w:cs="Times New Roman" w:eastAsia="Times New Roman" w:hAnsi="Times New Roman"/>
          <w:sz w:val="13"/>
          <w:szCs w:val="13"/>
          <w:color w:val="auto"/>
        </w:rPr>
        <w:t>estated</w:t>
      </w:r>
      <w:r>
        <w:rPr>
          <w:rFonts w:ascii="Times New Roman" w:cs="Times New Roman" w:eastAsia="Times New Roman" w:hAnsi="Times New Roman"/>
          <w:sz w:val="20"/>
          <w:szCs w:val="20"/>
          <w:color w:val="auto"/>
        </w:rPr>
        <w:t xml:space="preserve"> C</w:t>
      </w:r>
      <w:r>
        <w:rPr>
          <w:rFonts w:ascii="Times New Roman" w:cs="Times New Roman" w:eastAsia="Times New Roman" w:hAnsi="Times New Roman"/>
          <w:sz w:val="13"/>
          <w:szCs w:val="13"/>
          <w:color w:val="auto"/>
        </w:rPr>
        <w:t>redit</w:t>
      </w:r>
      <w:r>
        <w:rPr>
          <w:rFonts w:ascii="Times New Roman" w:cs="Times New Roman" w:eastAsia="Times New Roman" w:hAnsi="Times New Roman"/>
          <w:sz w:val="20"/>
          <w:szCs w:val="20"/>
          <w:color w:val="auto"/>
        </w:rPr>
        <w:t xml:space="preserve"> A</w:t>
      </w:r>
      <w:r>
        <w:rPr>
          <w:rFonts w:ascii="Times New Roman" w:cs="Times New Roman" w:eastAsia="Times New Roman" w:hAnsi="Times New Roman"/>
          <w:sz w:val="13"/>
          <w:szCs w:val="13"/>
          <w:color w:val="auto"/>
        </w:rPr>
        <w:t>greement</w:t>
      </w:r>
      <w:r>
        <w:rPr>
          <w:rFonts w:ascii="Times New Roman" w:cs="Times New Roman" w:eastAsia="Times New Roman" w:hAnsi="Times New Roman"/>
          <w:sz w:val="20"/>
          <w:szCs w:val="20"/>
          <w:color w:val="auto"/>
        </w:rPr>
        <w:t xml:space="preserve"> – E</w:t>
      </w:r>
      <w:r>
        <w:rPr>
          <w:rFonts w:ascii="Times New Roman" w:cs="Times New Roman" w:eastAsia="Times New Roman" w:hAnsi="Times New Roman"/>
          <w:sz w:val="13"/>
          <w:szCs w:val="13"/>
          <w:color w:val="auto"/>
        </w:rPr>
        <w:t>astman</w:t>
      </w:r>
      <w:r>
        <w:rPr>
          <w:rFonts w:ascii="Times New Roman" w:cs="Times New Roman" w:eastAsia="Times New Roman" w:hAnsi="Times New Roman"/>
          <w:sz w:val="20"/>
          <w:szCs w:val="20"/>
          <w:color w:val="auto"/>
        </w:rPr>
        <w:t xml:space="preserve"> K</w:t>
      </w:r>
      <w:r>
        <w:rPr>
          <w:rFonts w:ascii="Times New Roman" w:cs="Times New Roman" w:eastAsia="Times New Roman" w:hAnsi="Times New Roman"/>
          <w:sz w:val="13"/>
          <w:szCs w:val="13"/>
          <w:color w:val="auto"/>
        </w:rPr>
        <w:t>odak</w:t>
      </w:r>
      <w:r>
        <w:rPr>
          <w:rFonts w:ascii="Times New Roman" w:cs="Times New Roman" w:eastAsia="Times New Roman" w:hAnsi="Times New Roman"/>
          <w:sz w:val="20"/>
          <w:szCs w:val="20"/>
          <w:color w:val="auto"/>
        </w:rPr>
        <w:t xml:space="preserve"> C</w:t>
      </w:r>
      <w:r>
        <w:rPr>
          <w:rFonts w:ascii="Times New Roman" w:cs="Times New Roman" w:eastAsia="Times New Roman" w:hAnsi="Times New Roman"/>
          <w:sz w:val="13"/>
          <w:szCs w:val="13"/>
          <w:color w:val="auto"/>
        </w:rPr>
        <w:t>ompany</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767715</wp:posOffset>
            </wp:positionV>
            <wp:extent cx="7157720" cy="4254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8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39" w:name="page140"/>
    <w:bookmarkEnd w:id="139"/>
    <w:p>
      <w:pPr>
        <w:ind w:left="3760"/>
        <w:spacing w:after="0"/>
        <w:rPr>
          <w:sz w:val="20"/>
          <w:szCs w:val="20"/>
          <w:color w:val="auto"/>
        </w:rPr>
      </w:pPr>
      <w:r>
        <w:rPr>
          <w:rFonts w:ascii="Times New Roman" w:cs="Times New Roman" w:eastAsia="Times New Roman" w:hAnsi="Times New Roman"/>
          <w:sz w:val="20"/>
          <w:szCs w:val="20"/>
          <w:color w:val="auto"/>
        </w:rPr>
        <w:t>KENNEDY LEWIS (EU) SVP LP, as a Lender</w:t>
      </w:r>
    </w:p>
    <w:p>
      <w:pPr>
        <w:spacing w:after="0" w:line="22"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By: Kennedy Lewis Management LP, its Investment Advisor</w:t>
      </w:r>
    </w:p>
    <w:p>
      <w:pPr>
        <w:spacing w:after="0" w:line="21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Melissa Griffiths</w:t>
      </w:r>
    </w:p>
    <w:p>
      <w:pPr>
        <w:spacing w:after="0" w:line="2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0"/>
          <w:szCs w:val="20"/>
          <w:color w:val="auto"/>
        </w:rPr>
        <w:t>Name: Melissa Griffiths</w:t>
      </w:r>
    </w:p>
    <w:p>
      <w:pPr>
        <w:ind w:left="4040"/>
        <w:spacing w:after="0"/>
        <w:rPr>
          <w:sz w:val="20"/>
          <w:szCs w:val="20"/>
          <w:color w:val="auto"/>
        </w:rPr>
      </w:pPr>
      <w:r>
        <w:rPr>
          <w:rFonts w:ascii="Times New Roman" w:cs="Times New Roman" w:eastAsia="Times New Roman" w:hAnsi="Times New Roman"/>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0"/>
          <w:szCs w:val="20"/>
          <w:color w:val="auto"/>
        </w:rPr>
        <w:t>KLIM DELTA HQC3 LP, as a Lender</w:t>
      </w:r>
    </w:p>
    <w:p>
      <w:pPr>
        <w:spacing w:after="0" w:line="22"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By: Kennedy Lewis Management LP, its Investment Advisor</w:t>
      </w:r>
    </w:p>
    <w:p>
      <w:pPr>
        <w:spacing w:after="0" w:line="21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Melissa Griffiths</w:t>
      </w:r>
    </w:p>
    <w:p>
      <w:pPr>
        <w:spacing w:after="0" w:line="2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0"/>
          <w:szCs w:val="20"/>
          <w:color w:val="auto"/>
        </w:rPr>
        <w:t>Name: Melissa Griffiths</w:t>
      </w:r>
    </w:p>
    <w:p>
      <w:pPr>
        <w:ind w:left="4040"/>
        <w:spacing w:after="0"/>
        <w:rPr>
          <w:sz w:val="20"/>
          <w:szCs w:val="20"/>
          <w:color w:val="auto"/>
        </w:rPr>
      </w:pPr>
      <w:r>
        <w:rPr>
          <w:rFonts w:ascii="Times New Roman" w:cs="Times New Roman" w:eastAsia="Times New Roman" w:hAnsi="Times New Roman"/>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0"/>
          <w:szCs w:val="20"/>
          <w:color w:val="auto"/>
        </w:rPr>
        <w:t>KENNEDY LEWIS CAPITAL PARTNERS</w:t>
      </w:r>
    </w:p>
    <w:p>
      <w:pPr>
        <w:spacing w:after="0" w:line="2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0"/>
          <w:szCs w:val="20"/>
          <w:color w:val="auto"/>
        </w:rPr>
        <w:t>MASTER FUND II LP, as a Lender</w:t>
      </w:r>
    </w:p>
    <w:p>
      <w:pPr>
        <w:jc w:val="right"/>
        <w:ind w:right="419"/>
        <w:spacing w:after="0"/>
        <w:rPr>
          <w:sz w:val="20"/>
          <w:szCs w:val="20"/>
          <w:color w:val="auto"/>
        </w:rPr>
      </w:pPr>
      <w:r>
        <w:rPr>
          <w:rFonts w:ascii="Times New Roman" w:cs="Times New Roman" w:eastAsia="Times New Roman" w:hAnsi="Times New Roman"/>
          <w:sz w:val="20"/>
          <w:szCs w:val="20"/>
          <w:color w:val="auto"/>
        </w:rPr>
        <w:t>By: Kennedy Lewis Management LP, its Investment Advisor</w:t>
      </w:r>
    </w:p>
    <w:p>
      <w:pPr>
        <w:spacing w:after="0" w:line="20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Melissa Griffiths</w:t>
      </w:r>
    </w:p>
    <w:p>
      <w:pPr>
        <w:spacing w:after="0" w:line="2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0"/>
          <w:szCs w:val="20"/>
          <w:color w:val="auto"/>
        </w:rPr>
        <w:t>Name: Melissa Griffiths</w:t>
      </w:r>
    </w:p>
    <w:p>
      <w:pPr>
        <w:ind w:left="4040"/>
        <w:spacing w:after="0"/>
        <w:rPr>
          <w:sz w:val="20"/>
          <w:szCs w:val="20"/>
          <w:color w:val="auto"/>
        </w:rPr>
      </w:pPr>
      <w:r>
        <w:rPr>
          <w:rFonts w:ascii="Times New Roman" w:cs="Times New Roman" w:eastAsia="Times New Roman" w:hAnsi="Times New Roman"/>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w:t>
      </w:r>
      <w:r>
        <w:rPr>
          <w:rFonts w:ascii="Times New Roman" w:cs="Times New Roman" w:eastAsia="Times New Roman" w:hAnsi="Times New Roman"/>
          <w:sz w:val="13"/>
          <w:szCs w:val="13"/>
          <w:color w:val="auto"/>
        </w:rPr>
        <w:t>irst</w:t>
      </w:r>
      <w:r>
        <w:rPr>
          <w:rFonts w:ascii="Times New Roman" w:cs="Times New Roman" w:eastAsia="Times New Roman" w:hAnsi="Times New Roman"/>
          <w:sz w:val="20"/>
          <w:szCs w:val="20"/>
          <w:color w:val="auto"/>
        </w:rPr>
        <w:t xml:space="preserve"> A</w:t>
      </w:r>
      <w:r>
        <w:rPr>
          <w:rFonts w:ascii="Times New Roman" w:cs="Times New Roman" w:eastAsia="Times New Roman" w:hAnsi="Times New Roman"/>
          <w:sz w:val="13"/>
          <w:szCs w:val="13"/>
          <w:color w:val="auto"/>
        </w:rPr>
        <w:t>mendment to</w:t>
      </w:r>
      <w:r>
        <w:rPr>
          <w:rFonts w:ascii="Times New Roman" w:cs="Times New Roman" w:eastAsia="Times New Roman" w:hAnsi="Times New Roman"/>
          <w:sz w:val="20"/>
          <w:szCs w:val="20"/>
          <w:color w:val="auto"/>
        </w:rPr>
        <w:t xml:space="preserve"> A</w:t>
      </w:r>
      <w:r>
        <w:rPr>
          <w:rFonts w:ascii="Times New Roman" w:cs="Times New Roman" w:eastAsia="Times New Roman" w:hAnsi="Times New Roman"/>
          <w:sz w:val="13"/>
          <w:szCs w:val="13"/>
          <w:color w:val="auto"/>
        </w:rPr>
        <w:t>mended and</w:t>
      </w:r>
      <w:r>
        <w:rPr>
          <w:rFonts w:ascii="Times New Roman" w:cs="Times New Roman" w:eastAsia="Times New Roman" w:hAnsi="Times New Roman"/>
          <w:sz w:val="20"/>
          <w:szCs w:val="20"/>
          <w:color w:val="auto"/>
        </w:rPr>
        <w:t xml:space="preserve"> R</w:t>
      </w:r>
      <w:r>
        <w:rPr>
          <w:rFonts w:ascii="Times New Roman" w:cs="Times New Roman" w:eastAsia="Times New Roman" w:hAnsi="Times New Roman"/>
          <w:sz w:val="13"/>
          <w:szCs w:val="13"/>
          <w:color w:val="auto"/>
        </w:rPr>
        <w:t>estated</w:t>
      </w:r>
      <w:r>
        <w:rPr>
          <w:rFonts w:ascii="Times New Roman" w:cs="Times New Roman" w:eastAsia="Times New Roman" w:hAnsi="Times New Roman"/>
          <w:sz w:val="20"/>
          <w:szCs w:val="20"/>
          <w:color w:val="auto"/>
        </w:rPr>
        <w:t xml:space="preserve"> C</w:t>
      </w:r>
      <w:r>
        <w:rPr>
          <w:rFonts w:ascii="Times New Roman" w:cs="Times New Roman" w:eastAsia="Times New Roman" w:hAnsi="Times New Roman"/>
          <w:sz w:val="13"/>
          <w:szCs w:val="13"/>
          <w:color w:val="auto"/>
        </w:rPr>
        <w:t>redit</w:t>
      </w:r>
      <w:r>
        <w:rPr>
          <w:rFonts w:ascii="Times New Roman" w:cs="Times New Roman" w:eastAsia="Times New Roman" w:hAnsi="Times New Roman"/>
          <w:sz w:val="20"/>
          <w:szCs w:val="20"/>
          <w:color w:val="auto"/>
        </w:rPr>
        <w:t xml:space="preserve"> A</w:t>
      </w:r>
      <w:r>
        <w:rPr>
          <w:rFonts w:ascii="Times New Roman" w:cs="Times New Roman" w:eastAsia="Times New Roman" w:hAnsi="Times New Roman"/>
          <w:sz w:val="13"/>
          <w:szCs w:val="13"/>
          <w:color w:val="auto"/>
        </w:rPr>
        <w:t>greement</w:t>
      </w:r>
      <w:r>
        <w:rPr>
          <w:rFonts w:ascii="Times New Roman" w:cs="Times New Roman" w:eastAsia="Times New Roman" w:hAnsi="Times New Roman"/>
          <w:sz w:val="20"/>
          <w:szCs w:val="20"/>
          <w:color w:val="auto"/>
        </w:rPr>
        <w:t xml:space="preserve"> – E</w:t>
      </w:r>
      <w:r>
        <w:rPr>
          <w:rFonts w:ascii="Times New Roman" w:cs="Times New Roman" w:eastAsia="Times New Roman" w:hAnsi="Times New Roman"/>
          <w:sz w:val="13"/>
          <w:szCs w:val="13"/>
          <w:color w:val="auto"/>
        </w:rPr>
        <w:t>astman</w:t>
      </w:r>
      <w:r>
        <w:rPr>
          <w:rFonts w:ascii="Times New Roman" w:cs="Times New Roman" w:eastAsia="Times New Roman" w:hAnsi="Times New Roman"/>
          <w:sz w:val="20"/>
          <w:szCs w:val="20"/>
          <w:color w:val="auto"/>
        </w:rPr>
        <w:t xml:space="preserve"> K</w:t>
      </w:r>
      <w:r>
        <w:rPr>
          <w:rFonts w:ascii="Times New Roman" w:cs="Times New Roman" w:eastAsia="Times New Roman" w:hAnsi="Times New Roman"/>
          <w:sz w:val="13"/>
          <w:szCs w:val="13"/>
          <w:color w:val="auto"/>
        </w:rPr>
        <w:t>odak</w:t>
      </w:r>
      <w:r>
        <w:rPr>
          <w:rFonts w:ascii="Times New Roman" w:cs="Times New Roman" w:eastAsia="Times New Roman" w:hAnsi="Times New Roman"/>
          <w:sz w:val="20"/>
          <w:szCs w:val="20"/>
          <w:color w:val="auto"/>
        </w:rPr>
        <w:t xml:space="preserve"> C</w:t>
      </w:r>
      <w:r>
        <w:rPr>
          <w:rFonts w:ascii="Times New Roman" w:cs="Times New Roman" w:eastAsia="Times New Roman" w:hAnsi="Times New Roman"/>
          <w:sz w:val="13"/>
          <w:szCs w:val="13"/>
          <w:color w:val="auto"/>
        </w:rPr>
        <w:t>ompany</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781685</wp:posOffset>
            </wp:positionV>
            <wp:extent cx="7157720" cy="4254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8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40" w:name="page141"/>
    <w:bookmarkEnd w:id="140"/>
    <w:p>
      <w:pPr>
        <w:ind w:left="3760"/>
        <w:spacing w:after="0"/>
        <w:rPr>
          <w:sz w:val="20"/>
          <w:szCs w:val="20"/>
          <w:color w:val="auto"/>
        </w:rPr>
      </w:pPr>
      <w:r>
        <w:rPr>
          <w:rFonts w:ascii="Times New Roman" w:cs="Times New Roman" w:eastAsia="Times New Roman" w:hAnsi="Times New Roman"/>
          <w:sz w:val="20"/>
          <w:szCs w:val="20"/>
          <w:color w:val="auto"/>
        </w:rPr>
        <w:t>KENNEDY LEWIS CAPITAL PARTNERS</w:t>
      </w:r>
    </w:p>
    <w:p>
      <w:pPr>
        <w:spacing w:after="0" w:line="2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0"/>
          <w:szCs w:val="20"/>
          <w:color w:val="auto"/>
        </w:rPr>
        <w:t>MASTER FUND III LP, as a Lender</w:t>
      </w:r>
    </w:p>
    <w:p>
      <w:pPr>
        <w:ind w:left="3760"/>
        <w:spacing w:after="0"/>
        <w:rPr>
          <w:sz w:val="20"/>
          <w:szCs w:val="20"/>
          <w:color w:val="auto"/>
        </w:rPr>
      </w:pPr>
      <w:r>
        <w:rPr>
          <w:rFonts w:ascii="Times New Roman" w:cs="Times New Roman" w:eastAsia="Times New Roman" w:hAnsi="Times New Roman"/>
          <w:sz w:val="20"/>
          <w:szCs w:val="20"/>
          <w:color w:val="auto"/>
        </w:rPr>
        <w:t>By: Kennedy Lewis Management LP, its Investment Advisor</w:t>
      </w:r>
    </w:p>
    <w:p>
      <w:pPr>
        <w:spacing w:after="0" w:line="20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Melissa Griffiths</w:t>
      </w:r>
    </w:p>
    <w:p>
      <w:pPr>
        <w:spacing w:after="0" w:line="2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0"/>
          <w:szCs w:val="20"/>
          <w:color w:val="auto"/>
        </w:rPr>
        <w:t>Name: Melissa Griffiths</w:t>
      </w:r>
    </w:p>
    <w:p>
      <w:pPr>
        <w:ind w:left="4040"/>
        <w:spacing w:after="0"/>
        <w:rPr>
          <w:sz w:val="20"/>
          <w:szCs w:val="20"/>
          <w:color w:val="auto"/>
        </w:rPr>
      </w:pPr>
      <w:r>
        <w:rPr>
          <w:rFonts w:ascii="Times New Roman" w:cs="Times New Roman" w:eastAsia="Times New Roman" w:hAnsi="Times New Roman"/>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760" w:firstLine="1"/>
        <w:spacing w:after="0" w:line="295" w:lineRule="auto"/>
        <w:rPr>
          <w:sz w:val="20"/>
          <w:szCs w:val="20"/>
          <w:color w:val="auto"/>
        </w:rPr>
      </w:pPr>
      <w:r>
        <w:rPr>
          <w:rFonts w:ascii="Times New Roman" w:cs="Times New Roman" w:eastAsia="Times New Roman" w:hAnsi="Times New Roman"/>
          <w:sz w:val="19"/>
          <w:szCs w:val="19"/>
          <w:color w:val="auto"/>
        </w:rPr>
        <w:t>KLCP CO-INVESTMENT OPPORTUNITIES III LP, as a Lender By: Kennedy Lewis Management LP, its Investment Advisor</w:t>
      </w:r>
    </w:p>
    <w:p>
      <w:pPr>
        <w:spacing w:after="0" w:line="15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Melissa Griffiths</w:t>
      </w:r>
    </w:p>
    <w:p>
      <w:pPr>
        <w:spacing w:after="0" w:line="2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0"/>
          <w:szCs w:val="20"/>
          <w:color w:val="auto"/>
        </w:rPr>
        <w:t>Name: Melissa Griffiths</w:t>
      </w:r>
    </w:p>
    <w:p>
      <w:pPr>
        <w:ind w:left="4040"/>
        <w:spacing w:after="0"/>
        <w:rPr>
          <w:sz w:val="20"/>
          <w:szCs w:val="20"/>
          <w:color w:val="auto"/>
        </w:rPr>
      </w:pPr>
      <w:r>
        <w:rPr>
          <w:rFonts w:ascii="Times New Roman" w:cs="Times New Roman" w:eastAsia="Times New Roman" w:hAnsi="Times New Roman"/>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0"/>
          <w:szCs w:val="20"/>
          <w:color w:val="auto"/>
        </w:rPr>
        <w:t>KITKA FUND LP, as a Lender</w:t>
      </w:r>
    </w:p>
    <w:p>
      <w:pPr>
        <w:spacing w:after="0" w:line="22"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0"/>
          <w:szCs w:val="20"/>
          <w:color w:val="auto"/>
        </w:rPr>
        <w:t>By: Kennedy Lewis Management LP, its Investment Advisor</w:t>
      </w:r>
    </w:p>
    <w:p>
      <w:pPr>
        <w:spacing w:after="0" w:line="20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Melissa Griffiths</w:t>
      </w:r>
    </w:p>
    <w:p>
      <w:pPr>
        <w:spacing w:after="0" w:line="2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0"/>
          <w:szCs w:val="20"/>
          <w:color w:val="auto"/>
        </w:rPr>
        <w:t>Name: Melissa Griffiths</w:t>
      </w:r>
    </w:p>
    <w:p>
      <w:pPr>
        <w:ind w:left="4040"/>
        <w:spacing w:after="0"/>
        <w:rPr>
          <w:sz w:val="20"/>
          <w:szCs w:val="20"/>
          <w:color w:val="auto"/>
        </w:rPr>
      </w:pPr>
      <w:r>
        <w:rPr>
          <w:rFonts w:ascii="Times New Roman" w:cs="Times New Roman" w:eastAsia="Times New Roman" w:hAnsi="Times New Roman"/>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[F</w:t>
      </w:r>
      <w:r>
        <w:rPr>
          <w:rFonts w:ascii="Times New Roman" w:cs="Times New Roman" w:eastAsia="Times New Roman" w:hAnsi="Times New Roman"/>
          <w:sz w:val="13"/>
          <w:szCs w:val="13"/>
          <w:color w:val="auto"/>
        </w:rPr>
        <w:t>irst</w:t>
      </w:r>
      <w:r>
        <w:rPr>
          <w:rFonts w:ascii="Times New Roman" w:cs="Times New Roman" w:eastAsia="Times New Roman" w:hAnsi="Times New Roman"/>
          <w:sz w:val="20"/>
          <w:szCs w:val="20"/>
          <w:color w:val="auto"/>
        </w:rPr>
        <w:t xml:space="preserve"> A</w:t>
      </w:r>
      <w:r>
        <w:rPr>
          <w:rFonts w:ascii="Times New Roman" w:cs="Times New Roman" w:eastAsia="Times New Roman" w:hAnsi="Times New Roman"/>
          <w:sz w:val="13"/>
          <w:szCs w:val="13"/>
          <w:color w:val="auto"/>
        </w:rPr>
        <w:t>mendment to</w:t>
      </w:r>
      <w:r>
        <w:rPr>
          <w:rFonts w:ascii="Times New Roman" w:cs="Times New Roman" w:eastAsia="Times New Roman" w:hAnsi="Times New Roman"/>
          <w:sz w:val="20"/>
          <w:szCs w:val="20"/>
          <w:color w:val="auto"/>
        </w:rPr>
        <w:t xml:space="preserve"> A</w:t>
      </w:r>
      <w:r>
        <w:rPr>
          <w:rFonts w:ascii="Times New Roman" w:cs="Times New Roman" w:eastAsia="Times New Roman" w:hAnsi="Times New Roman"/>
          <w:sz w:val="13"/>
          <w:szCs w:val="13"/>
          <w:color w:val="auto"/>
        </w:rPr>
        <w:t>mended and</w:t>
      </w:r>
      <w:r>
        <w:rPr>
          <w:rFonts w:ascii="Times New Roman" w:cs="Times New Roman" w:eastAsia="Times New Roman" w:hAnsi="Times New Roman"/>
          <w:sz w:val="20"/>
          <w:szCs w:val="20"/>
          <w:color w:val="auto"/>
        </w:rPr>
        <w:t xml:space="preserve"> R</w:t>
      </w:r>
      <w:r>
        <w:rPr>
          <w:rFonts w:ascii="Times New Roman" w:cs="Times New Roman" w:eastAsia="Times New Roman" w:hAnsi="Times New Roman"/>
          <w:sz w:val="13"/>
          <w:szCs w:val="13"/>
          <w:color w:val="auto"/>
        </w:rPr>
        <w:t>estated</w:t>
      </w:r>
      <w:r>
        <w:rPr>
          <w:rFonts w:ascii="Times New Roman" w:cs="Times New Roman" w:eastAsia="Times New Roman" w:hAnsi="Times New Roman"/>
          <w:sz w:val="20"/>
          <w:szCs w:val="20"/>
          <w:color w:val="auto"/>
        </w:rPr>
        <w:t xml:space="preserve"> C</w:t>
      </w:r>
      <w:r>
        <w:rPr>
          <w:rFonts w:ascii="Times New Roman" w:cs="Times New Roman" w:eastAsia="Times New Roman" w:hAnsi="Times New Roman"/>
          <w:sz w:val="13"/>
          <w:szCs w:val="13"/>
          <w:color w:val="auto"/>
        </w:rPr>
        <w:t>redit</w:t>
      </w:r>
      <w:r>
        <w:rPr>
          <w:rFonts w:ascii="Times New Roman" w:cs="Times New Roman" w:eastAsia="Times New Roman" w:hAnsi="Times New Roman"/>
          <w:sz w:val="20"/>
          <w:szCs w:val="20"/>
          <w:color w:val="auto"/>
        </w:rPr>
        <w:t xml:space="preserve"> A</w:t>
      </w:r>
      <w:r>
        <w:rPr>
          <w:rFonts w:ascii="Times New Roman" w:cs="Times New Roman" w:eastAsia="Times New Roman" w:hAnsi="Times New Roman"/>
          <w:sz w:val="13"/>
          <w:szCs w:val="13"/>
          <w:color w:val="auto"/>
        </w:rPr>
        <w:t>greement</w:t>
      </w:r>
      <w:r>
        <w:rPr>
          <w:rFonts w:ascii="Times New Roman" w:cs="Times New Roman" w:eastAsia="Times New Roman" w:hAnsi="Times New Roman"/>
          <w:sz w:val="20"/>
          <w:szCs w:val="20"/>
          <w:color w:val="auto"/>
        </w:rPr>
        <w:t xml:space="preserve"> – E</w:t>
      </w:r>
      <w:r>
        <w:rPr>
          <w:rFonts w:ascii="Times New Roman" w:cs="Times New Roman" w:eastAsia="Times New Roman" w:hAnsi="Times New Roman"/>
          <w:sz w:val="13"/>
          <w:szCs w:val="13"/>
          <w:color w:val="auto"/>
        </w:rPr>
        <w:t>astman</w:t>
      </w:r>
      <w:r>
        <w:rPr>
          <w:rFonts w:ascii="Times New Roman" w:cs="Times New Roman" w:eastAsia="Times New Roman" w:hAnsi="Times New Roman"/>
          <w:sz w:val="20"/>
          <w:szCs w:val="20"/>
          <w:color w:val="auto"/>
        </w:rPr>
        <w:t xml:space="preserve"> K</w:t>
      </w:r>
      <w:r>
        <w:rPr>
          <w:rFonts w:ascii="Times New Roman" w:cs="Times New Roman" w:eastAsia="Times New Roman" w:hAnsi="Times New Roman"/>
          <w:sz w:val="13"/>
          <w:szCs w:val="13"/>
          <w:color w:val="auto"/>
        </w:rPr>
        <w:t>odak</w:t>
      </w:r>
      <w:r>
        <w:rPr>
          <w:rFonts w:ascii="Times New Roman" w:cs="Times New Roman" w:eastAsia="Times New Roman" w:hAnsi="Times New Roman"/>
          <w:sz w:val="20"/>
          <w:szCs w:val="20"/>
          <w:color w:val="auto"/>
        </w:rPr>
        <w:t xml:space="preserve"> C</w:t>
      </w:r>
      <w:r>
        <w:rPr>
          <w:rFonts w:ascii="Times New Roman" w:cs="Times New Roman" w:eastAsia="Times New Roman" w:hAnsi="Times New Roman"/>
          <w:sz w:val="13"/>
          <w:szCs w:val="13"/>
          <w:color w:val="auto"/>
        </w:rPr>
        <w:t>ompany</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781685</wp:posOffset>
            </wp:positionV>
            <wp:extent cx="7157720" cy="4254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8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40"/>
          </w:cols>
          <w:pgMar w:left="1440" w:top="1413" w:right="1419" w:bottom="1440" w:gutter="0" w:footer="0" w:header="0"/>
        </w:sectPr>
      </w:pPr>
    </w:p>
    <w:bookmarkStart w:id="141" w:name="page142"/>
    <w:bookmarkEnd w:id="141"/>
    <w:p>
      <w:pPr>
        <w:ind w:left="3760"/>
        <w:spacing w:after="0"/>
        <w:rPr>
          <w:sz w:val="20"/>
          <w:szCs w:val="20"/>
          <w:color w:val="auto"/>
        </w:rPr>
      </w:pPr>
      <w:r>
        <w:rPr>
          <w:rFonts w:ascii="Times New Roman" w:cs="Times New Roman" w:eastAsia="Times New Roman" w:hAnsi="Times New Roman"/>
          <w:sz w:val="20"/>
          <w:szCs w:val="20"/>
          <w:color w:val="auto"/>
        </w:rPr>
        <w:t>FP CREDIT PARTNERS II AIV, L.P., as a Lender</w:t>
      </w:r>
    </w:p>
    <w:p>
      <w:pPr>
        <w:spacing w:after="0" w:line="22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0"/>
          <w:szCs w:val="20"/>
          <w:color w:val="auto"/>
        </w:rPr>
        <w:t>By: FP Credit Partners GP II, L.P.</w:t>
      </w:r>
    </w:p>
    <w:p>
      <w:pPr>
        <w:spacing w:after="0" w:line="22"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0"/>
          <w:szCs w:val="20"/>
          <w:color w:val="auto"/>
        </w:rPr>
        <w:t>Its: General Partner</w:t>
      </w:r>
    </w:p>
    <w:p>
      <w:pPr>
        <w:spacing w:after="0" w:line="20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0"/>
          <w:szCs w:val="20"/>
          <w:color w:val="auto"/>
        </w:rPr>
        <w:t>By: FP Credit Partners GP II Management, LLC</w:t>
      </w:r>
    </w:p>
    <w:p>
      <w:pPr>
        <w:spacing w:after="0" w:line="22"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0"/>
          <w:szCs w:val="20"/>
          <w:color w:val="auto"/>
        </w:rPr>
        <w:t>Its: General Partner</w:t>
      </w:r>
    </w:p>
    <w:p>
      <w:pPr>
        <w:spacing w:after="0" w:line="200" w:lineRule="exact"/>
        <w:rPr>
          <w:sz w:val="20"/>
          <w:szCs w:val="20"/>
          <w:color w:val="auto"/>
        </w:rPr>
      </w:pPr>
    </w:p>
    <w:p>
      <w:pPr>
        <w:spacing w:after="0" w:line="23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Scott Eisenberg</w:t>
      </w:r>
    </w:p>
    <w:p>
      <w:pPr>
        <w:spacing w:after="0" w:line="2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0"/>
          <w:szCs w:val="20"/>
          <w:color w:val="auto"/>
        </w:rPr>
        <w:t>Name: Scott Eisenberg</w:t>
      </w:r>
    </w:p>
    <w:p>
      <w:pPr>
        <w:ind w:left="404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FP CREDIT PARTNERS PHOENIX II AIV, L.P., as a Lender</w:t>
      </w:r>
    </w:p>
    <w:p>
      <w:pPr>
        <w:spacing w:after="0" w:line="24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0"/>
          <w:szCs w:val="20"/>
          <w:color w:val="auto"/>
        </w:rPr>
        <w:t>By: FP Credit Partners GP II, L.P.</w:t>
      </w:r>
    </w:p>
    <w:p>
      <w:pPr>
        <w:spacing w:after="0" w:line="22"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0"/>
          <w:szCs w:val="20"/>
          <w:color w:val="auto"/>
        </w:rPr>
        <w:t>Its: General Partner</w:t>
      </w:r>
    </w:p>
    <w:p>
      <w:pPr>
        <w:spacing w:after="0" w:line="20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0"/>
          <w:szCs w:val="20"/>
          <w:color w:val="auto"/>
        </w:rPr>
        <w:t>By: FP Credit Partners GP II Management, LLC</w:t>
      </w:r>
    </w:p>
    <w:p>
      <w:pPr>
        <w:spacing w:after="0" w:line="22"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0"/>
          <w:szCs w:val="20"/>
          <w:color w:val="auto"/>
        </w:rPr>
        <w:t>Its: General Partner</w:t>
      </w:r>
    </w:p>
    <w:p>
      <w:pPr>
        <w:spacing w:after="0" w:line="200" w:lineRule="exact"/>
        <w:rPr>
          <w:sz w:val="20"/>
          <w:szCs w:val="20"/>
          <w:color w:val="auto"/>
        </w:rPr>
      </w:pPr>
    </w:p>
    <w:p>
      <w:pPr>
        <w:spacing w:after="0" w:line="23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Scott Eisenberg</w:t>
      </w:r>
    </w:p>
    <w:p>
      <w:pPr>
        <w:spacing w:after="0" w:line="2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0"/>
          <w:szCs w:val="20"/>
          <w:color w:val="auto"/>
        </w:rPr>
        <w:t>Name: Scott Eisenberg</w:t>
      </w:r>
    </w:p>
    <w:p>
      <w:pPr>
        <w:ind w:left="4040"/>
        <w:spacing w:after="0"/>
        <w:rPr>
          <w:sz w:val="20"/>
          <w:szCs w:val="20"/>
          <w:color w:val="auto"/>
        </w:rPr>
      </w:pPr>
      <w:r>
        <w:rPr>
          <w:rFonts w:ascii="Times New Roman" w:cs="Times New Roman" w:eastAsia="Times New Roman" w:hAnsi="Times New Roman"/>
          <w:sz w:val="20"/>
          <w:szCs w:val="20"/>
          <w:color w:val="auto"/>
        </w:rPr>
        <w:t>Title: Managing Director</w:t>
      </w:r>
    </w:p>
    <w:p>
      <w:pPr>
        <w:jc w:val="center"/>
        <w:spacing w:after="0"/>
        <w:rPr>
          <w:sz w:val="20"/>
          <w:szCs w:val="20"/>
          <w:color w:val="auto"/>
        </w:rPr>
      </w:pPr>
      <w:r>
        <w:rPr>
          <w:rFonts w:ascii="Times New Roman" w:cs="Times New Roman" w:eastAsia="Times New Roman" w:hAnsi="Times New Roman"/>
          <w:sz w:val="20"/>
          <w:szCs w:val="20"/>
          <w:color w:val="auto"/>
        </w:rPr>
        <w:t>[F</w:t>
      </w:r>
      <w:r>
        <w:rPr>
          <w:rFonts w:ascii="Times New Roman" w:cs="Times New Roman" w:eastAsia="Times New Roman" w:hAnsi="Times New Roman"/>
          <w:sz w:val="13"/>
          <w:szCs w:val="13"/>
          <w:color w:val="auto"/>
        </w:rPr>
        <w:t>irst</w:t>
      </w:r>
      <w:r>
        <w:rPr>
          <w:rFonts w:ascii="Times New Roman" w:cs="Times New Roman" w:eastAsia="Times New Roman" w:hAnsi="Times New Roman"/>
          <w:sz w:val="20"/>
          <w:szCs w:val="20"/>
          <w:color w:val="auto"/>
        </w:rPr>
        <w:t xml:space="preserve"> A</w:t>
      </w:r>
      <w:r>
        <w:rPr>
          <w:rFonts w:ascii="Times New Roman" w:cs="Times New Roman" w:eastAsia="Times New Roman" w:hAnsi="Times New Roman"/>
          <w:sz w:val="13"/>
          <w:szCs w:val="13"/>
          <w:color w:val="auto"/>
        </w:rPr>
        <w:t>mendment to</w:t>
      </w:r>
      <w:r>
        <w:rPr>
          <w:rFonts w:ascii="Times New Roman" w:cs="Times New Roman" w:eastAsia="Times New Roman" w:hAnsi="Times New Roman"/>
          <w:sz w:val="20"/>
          <w:szCs w:val="20"/>
          <w:color w:val="auto"/>
        </w:rPr>
        <w:t xml:space="preserve"> A</w:t>
      </w:r>
      <w:r>
        <w:rPr>
          <w:rFonts w:ascii="Times New Roman" w:cs="Times New Roman" w:eastAsia="Times New Roman" w:hAnsi="Times New Roman"/>
          <w:sz w:val="13"/>
          <w:szCs w:val="13"/>
          <w:color w:val="auto"/>
        </w:rPr>
        <w:t>mended and</w:t>
      </w:r>
      <w:r>
        <w:rPr>
          <w:rFonts w:ascii="Times New Roman" w:cs="Times New Roman" w:eastAsia="Times New Roman" w:hAnsi="Times New Roman"/>
          <w:sz w:val="20"/>
          <w:szCs w:val="20"/>
          <w:color w:val="auto"/>
        </w:rPr>
        <w:t xml:space="preserve"> R</w:t>
      </w:r>
      <w:r>
        <w:rPr>
          <w:rFonts w:ascii="Times New Roman" w:cs="Times New Roman" w:eastAsia="Times New Roman" w:hAnsi="Times New Roman"/>
          <w:sz w:val="13"/>
          <w:szCs w:val="13"/>
          <w:color w:val="auto"/>
        </w:rPr>
        <w:t>estated</w:t>
      </w:r>
      <w:r>
        <w:rPr>
          <w:rFonts w:ascii="Times New Roman" w:cs="Times New Roman" w:eastAsia="Times New Roman" w:hAnsi="Times New Roman"/>
          <w:sz w:val="20"/>
          <w:szCs w:val="20"/>
          <w:color w:val="auto"/>
        </w:rPr>
        <w:t xml:space="preserve"> C</w:t>
      </w:r>
      <w:r>
        <w:rPr>
          <w:rFonts w:ascii="Times New Roman" w:cs="Times New Roman" w:eastAsia="Times New Roman" w:hAnsi="Times New Roman"/>
          <w:sz w:val="13"/>
          <w:szCs w:val="13"/>
          <w:color w:val="auto"/>
        </w:rPr>
        <w:t>redit</w:t>
      </w:r>
      <w:r>
        <w:rPr>
          <w:rFonts w:ascii="Times New Roman" w:cs="Times New Roman" w:eastAsia="Times New Roman" w:hAnsi="Times New Roman"/>
          <w:sz w:val="20"/>
          <w:szCs w:val="20"/>
          <w:color w:val="auto"/>
        </w:rPr>
        <w:t xml:space="preserve"> A</w:t>
      </w:r>
      <w:r>
        <w:rPr>
          <w:rFonts w:ascii="Times New Roman" w:cs="Times New Roman" w:eastAsia="Times New Roman" w:hAnsi="Times New Roman"/>
          <w:sz w:val="13"/>
          <w:szCs w:val="13"/>
          <w:color w:val="auto"/>
        </w:rPr>
        <w:t>greement</w:t>
      </w:r>
      <w:r>
        <w:rPr>
          <w:rFonts w:ascii="Times New Roman" w:cs="Times New Roman" w:eastAsia="Times New Roman" w:hAnsi="Times New Roman"/>
          <w:sz w:val="20"/>
          <w:szCs w:val="20"/>
          <w:color w:val="auto"/>
        </w:rPr>
        <w:t xml:space="preserve"> – E</w:t>
      </w:r>
      <w:r>
        <w:rPr>
          <w:rFonts w:ascii="Times New Roman" w:cs="Times New Roman" w:eastAsia="Times New Roman" w:hAnsi="Times New Roman"/>
          <w:sz w:val="13"/>
          <w:szCs w:val="13"/>
          <w:color w:val="auto"/>
        </w:rPr>
        <w:t>astman</w:t>
      </w:r>
      <w:r>
        <w:rPr>
          <w:rFonts w:ascii="Times New Roman" w:cs="Times New Roman" w:eastAsia="Times New Roman" w:hAnsi="Times New Roman"/>
          <w:sz w:val="20"/>
          <w:szCs w:val="20"/>
          <w:color w:val="auto"/>
        </w:rPr>
        <w:t xml:space="preserve"> K</w:t>
      </w:r>
      <w:r>
        <w:rPr>
          <w:rFonts w:ascii="Times New Roman" w:cs="Times New Roman" w:eastAsia="Times New Roman" w:hAnsi="Times New Roman"/>
          <w:sz w:val="13"/>
          <w:szCs w:val="13"/>
          <w:color w:val="auto"/>
        </w:rPr>
        <w:t>odak</w:t>
      </w:r>
      <w:r>
        <w:rPr>
          <w:rFonts w:ascii="Times New Roman" w:cs="Times New Roman" w:eastAsia="Times New Roman" w:hAnsi="Times New Roman"/>
          <w:sz w:val="20"/>
          <w:szCs w:val="20"/>
          <w:color w:val="auto"/>
        </w:rPr>
        <w:t xml:space="preserve"> C</w:t>
      </w:r>
      <w:r>
        <w:rPr>
          <w:rFonts w:ascii="Times New Roman" w:cs="Times New Roman" w:eastAsia="Times New Roman" w:hAnsi="Times New Roman"/>
          <w:sz w:val="13"/>
          <w:szCs w:val="13"/>
          <w:color w:val="auto"/>
        </w:rPr>
        <w:t>ompany</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767715</wp:posOffset>
            </wp:positionV>
            <wp:extent cx="7157720" cy="4254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8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22"/>
          <w:szCs w:val="22"/>
          <w:b w:val="1"/>
          <w:bCs w:val="1"/>
          <w:color w:val="auto"/>
        </w:rPr>
        <w:t>Exhibit 10.37</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AGREEMENT OF PURCHASE AND SALE</w:t>
      </w:r>
    </w:p>
    <w:p>
      <w:pPr>
        <w:spacing w:after="0" w:line="21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This Agreement of Purchase and Sale, dated as of November 20, 2024 (this “</w:t>
      </w:r>
      <w:r>
        <w:rPr>
          <w:rFonts w:ascii="Times New Roman" w:cs="Times New Roman" w:eastAsia="Times New Roman" w:hAnsi="Times New Roman"/>
          <w:sz w:val="22"/>
          <w:szCs w:val="22"/>
          <w:u w:val="single" w:color="auto"/>
          <w:color w:val="auto"/>
        </w:rPr>
        <w:t>Purchase Agreement</w:t>
      </w:r>
      <w:r>
        <w:rPr>
          <w:rFonts w:ascii="Times New Roman" w:cs="Times New Roman" w:eastAsia="Times New Roman" w:hAnsi="Times New Roman"/>
          <w:sz w:val="22"/>
          <w:szCs w:val="22"/>
          <w:color w:val="auto"/>
        </w:rPr>
        <w:t>” or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xml:space="preserve">”), is by and between MASTERCARD FOUNDATION, a “charitable foundation” within the meaning of the </w:t>
      </w:r>
      <w:r>
        <w:rPr>
          <w:rFonts w:ascii="Times New Roman" w:cs="Times New Roman" w:eastAsia="Times New Roman" w:hAnsi="Times New Roman"/>
          <w:sz w:val="22"/>
          <w:szCs w:val="22"/>
          <w:i w:val="1"/>
          <w:iCs w:val="1"/>
          <w:color w:val="auto"/>
        </w:rPr>
        <w:t>Income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Tax Act </w:t>
      </w:r>
      <w:r>
        <w:rPr>
          <w:rFonts w:ascii="Times New Roman" w:cs="Times New Roman" w:eastAsia="Times New Roman" w:hAnsi="Times New Roman"/>
          <w:sz w:val="22"/>
          <w:szCs w:val="22"/>
          <w:color w:val="auto"/>
        </w:rPr>
        <w:t>(Canada) (“</w:t>
      </w:r>
      <w:r>
        <w:rPr>
          <w:rFonts w:ascii="Times New Roman" w:cs="Times New Roman" w:eastAsia="Times New Roman" w:hAnsi="Times New Roman"/>
          <w:sz w:val="22"/>
          <w:szCs w:val="22"/>
          <w:u w:val="single" w:color="auto"/>
          <w:color w:val="auto"/>
        </w:rPr>
        <w:t>Buyer</w:t>
      </w:r>
      <w:r>
        <w:rPr>
          <w:rFonts w:ascii="Times New Roman" w:cs="Times New Roman" w:eastAsia="Times New Roman" w:hAnsi="Times New Roman"/>
          <w:sz w:val="22"/>
          <w:szCs w:val="22"/>
          <w:color w:val="auto"/>
        </w:rPr>
        <w:t>”), on the one hand, and Trust Under the Kodak Retirement Income Plan (f/k/a Kodak Retirement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Income Plan Trust) (“</w:t>
      </w:r>
      <w:r>
        <w:rPr>
          <w:rFonts w:ascii="Times New Roman" w:cs="Times New Roman" w:eastAsia="Times New Roman" w:hAnsi="Times New Roman"/>
          <w:sz w:val="22"/>
          <w:szCs w:val="22"/>
          <w:u w:val="single" w:color="auto"/>
          <w:color w:val="auto"/>
        </w:rPr>
        <w:t>Seller</w:t>
      </w:r>
      <w:r>
        <w:rPr>
          <w:rFonts w:ascii="Times New Roman" w:cs="Times New Roman" w:eastAsia="Times New Roman" w:hAnsi="Times New Roman"/>
          <w:sz w:val="22"/>
          <w:szCs w:val="22"/>
          <w:color w:val="auto"/>
        </w:rPr>
        <w:t>”), on the other hand.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WITNESSETH:</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WHEREAS, Seller owns the Portfolio Property (as hereinafter defined); and</w:t>
      </w:r>
    </w:p>
    <w:p>
      <w:pPr>
        <w:spacing w:after="0" w:line="206"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WHEREAS, Buyer desires to purchase from Seller, and Seller desires to sell to Buyer, the Portfolio Property, upon the terms and subject to the conditions set forth in this Purchase Agreement.</w:t>
      </w:r>
    </w:p>
    <w:p>
      <w:pPr>
        <w:spacing w:after="0" w:line="158"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NOW THEREFORE, in consideration of the mutual agreements, covenants, representations, warranties and indemnities contained in this Purchase Agreement, Buyer and Seller agree as follows:</w:t>
      </w:r>
    </w:p>
    <w:p>
      <w:pPr>
        <w:spacing w:after="0" w:line="154" w:lineRule="exact"/>
        <w:rPr>
          <w:sz w:val="20"/>
          <w:szCs w:val="20"/>
          <w:color w:val="auto"/>
        </w:rPr>
      </w:pPr>
    </w:p>
    <w:p>
      <w:pPr>
        <w:ind w:left="520" w:hanging="512"/>
        <w:spacing w:after="0"/>
        <w:tabs>
          <w:tab w:leader="none" w:pos="520" w:val="left"/>
        </w:tabs>
        <w:numPr>
          <w:ilvl w:val="0"/>
          <w:numId w:val="7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w:t>
      </w:r>
    </w:p>
    <w:p>
      <w:pPr>
        <w:spacing w:after="0" w:line="21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For purposes of this Purchase Agreement, the following terms not otherwise defined herein shall have the meanings set forth below:</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(a) “</w:t>
      </w:r>
      <w:r>
        <w:rPr>
          <w:rFonts w:ascii="Times New Roman" w:cs="Times New Roman" w:eastAsia="Times New Roman" w:hAnsi="Times New Roman"/>
          <w:sz w:val="22"/>
          <w:szCs w:val="22"/>
          <w:u w:val="single" w:color="auto"/>
          <w:color w:val="auto"/>
        </w:rPr>
        <w:t>Act</w:t>
      </w:r>
      <w:r>
        <w:rPr>
          <w:rFonts w:ascii="Times New Roman" w:cs="Times New Roman" w:eastAsia="Times New Roman" w:hAnsi="Times New Roman"/>
          <w:sz w:val="22"/>
          <w:szCs w:val="22"/>
          <w:color w:val="auto"/>
        </w:rPr>
        <w:t>” shall mean the U.S. Securities Act of 1933, as amended.</w:t>
      </w:r>
    </w:p>
    <w:p>
      <w:pPr>
        <w:spacing w:after="0" w:line="20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22"/>
          <w:szCs w:val="22"/>
          <w:u w:val="single" w:color="auto"/>
          <w:color w:val="auto"/>
        </w:rPr>
        <w:t>Additional Buyer’s Documents</w:t>
      </w:r>
      <w:r>
        <w:rPr>
          <w:rFonts w:ascii="Times New Roman" w:cs="Times New Roman" w:eastAsia="Times New Roman" w:hAnsi="Times New Roman"/>
          <w:sz w:val="22"/>
          <w:szCs w:val="22"/>
          <w:color w:val="auto"/>
        </w:rPr>
        <w:t>” shall mean all agreements, certificates, instruments and other documents to be executed and delivered by Buyer to the Seller, a Manager, a Fund (or any administrator thereof) or any affiliate of the foregoing pursuant to this Purchase Agreement, including, but not limited to, any assignment and assumption agreement or transfer agreement contemplated by this Purchase Agreement.</w:t>
      </w:r>
    </w:p>
    <w:p>
      <w:pPr>
        <w:spacing w:after="0" w:line="180" w:lineRule="exact"/>
        <w:rPr>
          <w:sz w:val="20"/>
          <w:szCs w:val="20"/>
          <w:color w:val="auto"/>
        </w:rPr>
      </w:pPr>
    </w:p>
    <w:p>
      <w:pPr>
        <w:jc w:val="both"/>
        <w:ind w:firstLine="757"/>
        <w:spacing w:after="0" w:line="239" w:lineRule="auto"/>
        <w:tabs>
          <w:tab w:leader="none" w:pos="1018"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Additional Seller’s Documents</w:t>
      </w:r>
      <w:r>
        <w:rPr>
          <w:rFonts w:ascii="Times New Roman" w:cs="Times New Roman" w:eastAsia="Times New Roman" w:hAnsi="Times New Roman"/>
          <w:sz w:val="22"/>
          <w:szCs w:val="22"/>
          <w:color w:val="auto"/>
        </w:rPr>
        <w:t>” shall mean all agreements, certificates, instruments and other documents to be executed and delivered by the Seller to the Buyer, a Manager, a Fund (or any administrator thereof) or any affiliate of the foregoing pursuant to this Purchase Agreement, including, but not limited to, any assignment and assumption agreement or transfer agreement contemplated by this Purchase Agreement.</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(d)“</w:t>
      </w:r>
      <w:r>
        <w:rPr>
          <w:rFonts w:ascii="Times New Roman" w:cs="Times New Roman" w:eastAsia="Times New Roman" w:hAnsi="Times New Roman"/>
          <w:sz w:val="22"/>
          <w:szCs w:val="22"/>
          <w:u w:val="single" w:color="auto"/>
          <w:color w:val="auto"/>
        </w:rPr>
        <w:t>Advisory Committee</w:t>
      </w:r>
      <w:r>
        <w:rPr>
          <w:rFonts w:ascii="Times New Roman" w:cs="Times New Roman" w:eastAsia="Times New Roman" w:hAnsi="Times New Roman"/>
          <w:sz w:val="22"/>
          <w:szCs w:val="22"/>
          <w:color w:val="auto"/>
        </w:rPr>
        <w:t>” shall mean, with respect to any Fund, any advisory committee, advisory board or similar body, in each case, comprised of limited partners, shareholders, unitholders, or members of such Fund and established pursuant to the terms of the Portfolio Property Agreements associated with such Fund.</w:t>
      </w:r>
    </w:p>
    <w:p>
      <w:pPr>
        <w:spacing w:after="0" w:line="173" w:lineRule="exact"/>
        <w:rPr>
          <w:sz w:val="20"/>
          <w:szCs w:val="20"/>
          <w:color w:val="auto"/>
        </w:rPr>
      </w:pPr>
    </w:p>
    <w:p>
      <w:pPr>
        <w:jc w:val="both"/>
        <w:ind w:firstLine="757"/>
        <w:spacing w:after="0" w:line="244" w:lineRule="auto"/>
        <w:tabs>
          <w:tab w:leader="none" w:pos="1018"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Advisory Committee Material</w:t>
      </w:r>
      <w:r>
        <w:rPr>
          <w:rFonts w:ascii="Times New Roman" w:cs="Times New Roman" w:eastAsia="Times New Roman" w:hAnsi="Times New Roman"/>
          <w:sz w:val="22"/>
          <w:szCs w:val="22"/>
          <w:color w:val="auto"/>
        </w:rPr>
        <w:t>” shall mean, with respect to any Fund, any notice, agenda, consent solicitation, voting record, minutes, resolutions, material or other document that is provided to members of such Fund’s Advisory Committee and/or to the Fund’s investors that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821055</wp:posOffset>
            </wp:positionV>
            <wp:extent cx="7157720" cy="4254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8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43" w:name="page144"/>
    <w:bookmarkEnd w:id="143"/>
    <w:p>
      <w:pPr>
        <w:jc w:val="both"/>
        <w:spacing w:after="0" w:line="239" w:lineRule="auto"/>
        <w:rPr>
          <w:sz w:val="20"/>
          <w:szCs w:val="20"/>
          <w:color w:val="auto"/>
        </w:rPr>
      </w:pPr>
      <w:r>
        <w:rPr>
          <w:rFonts w:ascii="Times New Roman" w:cs="Times New Roman" w:eastAsia="Times New Roman" w:hAnsi="Times New Roman"/>
          <w:sz w:val="22"/>
          <w:szCs w:val="22"/>
          <w:color w:val="auto"/>
        </w:rPr>
        <w:t>designated any such member of the Advisory Committee in their capacities as such that are not provided to such Fund’s investors generally (including, for the avoidance of doubt, any such notice, agenda, consent solicitation, voting record, minutes, resolutions, material or other document provided to Seller pursuant to a side letter or other agreement granting Seller a right to receive copies thereof).</w:t>
      </w:r>
    </w:p>
    <w:p>
      <w:pPr>
        <w:spacing w:after="0" w:line="180" w:lineRule="exact"/>
        <w:rPr>
          <w:sz w:val="20"/>
          <w:szCs w:val="20"/>
          <w:color w:val="auto"/>
        </w:rPr>
      </w:pPr>
    </w:p>
    <w:p>
      <w:pPr>
        <w:jc w:val="both"/>
        <w:ind w:firstLine="757"/>
        <w:spacing w:after="0" w:line="239" w:lineRule="auto"/>
        <w:tabs>
          <w:tab w:leader="none" w:pos="1018"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AIV</w:t>
      </w:r>
      <w:r>
        <w:rPr>
          <w:rFonts w:ascii="Times New Roman" w:cs="Times New Roman" w:eastAsia="Times New Roman" w:hAnsi="Times New Roman"/>
          <w:sz w:val="22"/>
          <w:szCs w:val="22"/>
          <w:color w:val="auto"/>
        </w:rPr>
        <w:t>” shall mean, with respect to a Fund, an alternative investment vehicle, parallel vehicle or similar partnership or other investment entity (including, without limitation, a corporation or entity treated as a corporation) in which Seller has an interest, established pursuant to a Portfolio Property Agreement to make one or more investments, in parallel with, or in lieu of such investment being made by, such Fund.</w:t>
      </w:r>
    </w:p>
    <w:p>
      <w:pPr>
        <w:spacing w:after="0" w:line="18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(g)“</w:t>
      </w:r>
      <w:r>
        <w:rPr>
          <w:rFonts w:ascii="Times New Roman" w:cs="Times New Roman" w:eastAsia="Times New Roman" w:hAnsi="Times New Roman"/>
          <w:sz w:val="22"/>
          <w:szCs w:val="22"/>
          <w:u w:val="single" w:color="auto"/>
          <w:color w:val="auto"/>
        </w:rPr>
        <w:t>Approvals</w:t>
      </w:r>
      <w:r>
        <w:rPr>
          <w:rFonts w:ascii="Times New Roman" w:cs="Times New Roman" w:eastAsia="Times New Roman" w:hAnsi="Times New Roman"/>
          <w:sz w:val="22"/>
          <w:szCs w:val="22"/>
          <w:color w:val="auto"/>
        </w:rPr>
        <w:t>” shall mean all notices, legal opinions, consents, approvals, amendments, waivers and modifications required pursuant to the terms of any of the Portfolio Property Agreements or pursuant to such other documents with respect to any Interest to which the Seller is a party or bound (and not waived by the Manager of the applicable Fund) in order to permit the transactions contemplated by this Purchase Agreement and shall include, without limitation, with respect to the transfer of each Interest by the Seller to Buyer, the waiver of (or expiration without any exercise) all prohibitions on transfer, the waiver (or expiration without any exercise) of all rights of first refusal, rights of co-sale, rights of first offer or similar rights, and the delivery of all required consents (if any) by the Manager of the applicable Fund to the transfer of such Interest to Buyer and the admission of Buyer as a limited partner, shareholder, unitholder, member, or the equivalent of such Fund.</w:t>
      </w:r>
    </w:p>
    <w:p>
      <w:pPr>
        <w:spacing w:after="0" w:line="178"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(h)“</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shall mean any day that is not a Saturday, a Sunday or other day on which banks are required by law to be closed in New York, New York.</w:t>
      </w:r>
    </w:p>
    <w:p>
      <w:pPr>
        <w:spacing w:after="0" w:line="158" w:lineRule="exact"/>
        <w:rPr>
          <w:sz w:val="20"/>
          <w:szCs w:val="20"/>
          <w:color w:val="auto"/>
        </w:rPr>
      </w:pPr>
    </w:p>
    <w:p>
      <w:pPr>
        <w:ind w:left="1020" w:hanging="263"/>
        <w:spacing w:after="0"/>
        <w:tabs>
          <w:tab w:leader="none" w:pos="102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Buyer</w:t>
      </w:r>
      <w:r>
        <w:rPr>
          <w:rFonts w:ascii="Times New Roman" w:cs="Times New Roman" w:eastAsia="Times New Roman" w:hAnsi="Times New Roman"/>
          <w:sz w:val="22"/>
          <w:szCs w:val="22"/>
          <w:color w:val="auto"/>
        </w:rPr>
        <w:t>” shall have the meaning set forth in the preamble.</w:t>
      </w:r>
    </w:p>
    <w:p>
      <w:pPr>
        <w:spacing w:after="0" w:line="206"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Buyer’s Knowledge</w:t>
      </w:r>
      <w:r>
        <w:rPr>
          <w:rFonts w:ascii="Times New Roman" w:cs="Times New Roman" w:eastAsia="Times New Roman" w:hAnsi="Times New Roman"/>
          <w:sz w:val="22"/>
          <w:szCs w:val="22"/>
          <w:color w:val="auto"/>
        </w:rPr>
        <w:t>” shall mean the actual knowledge of [* * *].</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(k)“</w:t>
      </w:r>
      <w:r>
        <w:rPr>
          <w:rFonts w:ascii="Times New Roman" w:cs="Times New Roman" w:eastAsia="Times New Roman" w:hAnsi="Times New Roman"/>
          <w:sz w:val="22"/>
          <w:szCs w:val="22"/>
          <w:u w:val="single" w:color="auto"/>
          <w:color w:val="auto"/>
        </w:rPr>
        <w:t>Buyer Excess Joint Liability</w:t>
      </w:r>
      <w:r>
        <w:rPr>
          <w:rFonts w:ascii="Times New Roman" w:cs="Times New Roman" w:eastAsia="Times New Roman" w:hAnsi="Times New Roman"/>
          <w:sz w:val="22"/>
          <w:szCs w:val="22"/>
          <w:color w:val="auto"/>
        </w:rPr>
        <w:t>” shall have the meaning set forth in Section 7(c)(iii).</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(l) “</w:t>
      </w:r>
      <w:r>
        <w:rPr>
          <w:rFonts w:ascii="Times New Roman" w:cs="Times New Roman" w:eastAsia="Times New Roman" w:hAnsi="Times New Roman"/>
          <w:sz w:val="22"/>
          <w:szCs w:val="22"/>
          <w:u w:val="single" w:color="auto"/>
          <w:color w:val="auto"/>
        </w:rPr>
        <w:t>Campbell Lutyens</w:t>
      </w:r>
      <w:r>
        <w:rPr>
          <w:rFonts w:ascii="Times New Roman" w:cs="Times New Roman" w:eastAsia="Times New Roman" w:hAnsi="Times New Roman"/>
          <w:sz w:val="22"/>
          <w:szCs w:val="22"/>
          <w:color w:val="auto"/>
        </w:rPr>
        <w:t>” shall mean Campbell Lutyens &amp; Co. Ltd.</w:t>
      </w:r>
    </w:p>
    <w:p>
      <w:pPr>
        <w:spacing w:after="0" w:line="20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(m)“</w:t>
      </w:r>
      <w:r>
        <w:rPr>
          <w:rFonts w:ascii="Times New Roman" w:cs="Times New Roman" w:eastAsia="Times New Roman" w:hAnsi="Times New Roman"/>
          <w:sz w:val="22"/>
          <w:szCs w:val="22"/>
          <w:u w:val="single" w:color="auto"/>
          <w:color w:val="auto"/>
        </w:rPr>
        <w:t>Capital Account Balance</w:t>
      </w:r>
      <w:r>
        <w:rPr>
          <w:rFonts w:ascii="Times New Roman" w:cs="Times New Roman" w:eastAsia="Times New Roman" w:hAnsi="Times New Roman"/>
          <w:sz w:val="22"/>
          <w:szCs w:val="22"/>
          <w:color w:val="auto"/>
        </w:rPr>
        <w:t xml:space="preserve">” shall mean, with respect to the Seller and each Fund, the Seller’s capital account balance in such Fund with respect to the applicable Interest (or, if such Fund is not required under applicable law to maintain capital accounts and does not maintain capital accounts, the net asset value of the applicable Interest held by Seller in such Fund) as determined by the applicable Manager of such Fund and reported on the financial statements of such Fund, as of the Cut Off Date, as set forth in </w:t>
      </w:r>
      <w:r>
        <w:rPr>
          <w:rFonts w:ascii="Times New Roman" w:cs="Times New Roman" w:eastAsia="Times New Roman" w:hAnsi="Times New Roman"/>
          <w:sz w:val="22"/>
          <w:szCs w:val="22"/>
          <w:u w:val="single" w:color="auto"/>
          <w:color w:val="auto"/>
        </w:rPr>
        <w:t>Schedule I</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(n)“</w:t>
      </w:r>
      <w:r>
        <w:rPr>
          <w:rFonts w:ascii="Times New Roman" w:cs="Times New Roman" w:eastAsia="Times New Roman" w:hAnsi="Times New Roman"/>
          <w:sz w:val="22"/>
          <w:szCs w:val="22"/>
          <w:u w:val="single" w:color="auto"/>
          <w:color w:val="auto"/>
        </w:rPr>
        <w:t>Capital Commitment</w:t>
      </w:r>
      <w:r>
        <w:rPr>
          <w:rFonts w:ascii="Times New Roman" w:cs="Times New Roman" w:eastAsia="Times New Roman" w:hAnsi="Times New Roman"/>
          <w:sz w:val="22"/>
          <w:szCs w:val="22"/>
          <w:color w:val="auto"/>
        </w:rPr>
        <w:t>” shall mean with respect to the Seller and each Fund, the aggregate amount that the Seller has committed to contribute or pay to such Fund with respect to the applicable Interest (including any Remaining Capital Commitment and/or Capital Contribution with respect to such Interest, but excluding any obligation to return prior distributions to such Fund or other similar obligations). For the avoidance of doubt, in the event that any Fund requires the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821055</wp:posOffset>
            </wp:positionV>
            <wp:extent cx="7157720" cy="4254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8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4" w:name="page145"/>
    <w:bookmarkEnd w:id="144"/>
    <w:p>
      <w:pPr>
        <w:jc w:val="both"/>
        <w:spacing w:after="0" w:line="239" w:lineRule="auto"/>
        <w:rPr>
          <w:sz w:val="20"/>
          <w:szCs w:val="20"/>
          <w:color w:val="auto"/>
        </w:rPr>
      </w:pPr>
      <w:r>
        <w:rPr>
          <w:rFonts w:ascii="Times New Roman" w:cs="Times New Roman" w:eastAsia="Times New Roman" w:hAnsi="Times New Roman"/>
          <w:sz w:val="22"/>
          <w:szCs w:val="22"/>
          <w:color w:val="auto"/>
        </w:rPr>
        <w:t>entirety of any subscription amount in respect of an Interest to be contributed on the date of such subscription (rather than drawn down over time), the term “Capital Commitment” with respect to such Interest shall be interpreted accordingly (i.e., such Capital Commitment shall reflect the entirety of such subscription amount, excluding any obligation to return prior distributions to such Fund or other similar obligations).</w:t>
      </w:r>
    </w:p>
    <w:p>
      <w:pPr>
        <w:spacing w:after="0" w:line="180"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(o)“</w:t>
      </w:r>
      <w:r>
        <w:rPr>
          <w:rFonts w:ascii="Times New Roman" w:cs="Times New Roman" w:eastAsia="Times New Roman" w:hAnsi="Times New Roman"/>
          <w:sz w:val="22"/>
          <w:szCs w:val="22"/>
          <w:u w:val="single" w:color="auto"/>
          <w:color w:val="auto"/>
        </w:rPr>
        <w:t>Capital Contribution</w:t>
      </w:r>
      <w:r>
        <w:rPr>
          <w:rFonts w:ascii="Times New Roman" w:cs="Times New Roman" w:eastAsia="Times New Roman" w:hAnsi="Times New Roman"/>
          <w:sz w:val="22"/>
          <w:szCs w:val="22"/>
          <w:color w:val="auto"/>
        </w:rPr>
        <w:t xml:space="preserve">” shall mean with respect to the Seller, any Fund, and any corresponding Interest in such Fund, the amount of the Seller’s Remaining Capital Commitment to such Fund that has been paid (or deemed paid to such Fund under the corresponding Portfolio Property Agreements) by or on behalf of the Seller with respect to such Interest after the Cut Off Date and on or prior to the applicable Closing Date, all as set forth in </w:t>
      </w:r>
      <w:r>
        <w:rPr>
          <w:rFonts w:ascii="Times New Roman" w:cs="Times New Roman" w:eastAsia="Times New Roman" w:hAnsi="Times New Roman"/>
          <w:sz w:val="22"/>
          <w:szCs w:val="22"/>
          <w:u w:val="single" w:color="auto"/>
          <w:color w:val="auto"/>
        </w:rPr>
        <w:t>Schedule II</w:t>
      </w:r>
      <w:r>
        <w:rPr>
          <w:rFonts w:ascii="Times New Roman" w:cs="Times New Roman" w:eastAsia="Times New Roman" w:hAnsi="Times New Roman"/>
          <w:sz w:val="22"/>
          <w:szCs w:val="22"/>
          <w:color w:val="auto"/>
        </w:rPr>
        <w:t xml:space="preserve"> (as the same may be amended by the Seller in the applicable Pre-Closing Notice to reflect each Capital Contribution made or deemed made under the corresponding Portfolio Property Agreements or expected to be made or deemed made under the corresponding Portfolio Property Agreements (provided that, for greater certainty, this definition of “Capital Contribution” shall only be inclusive of those Capital Contributions actually paid or deemed paid by or on behalf of the Seller under the corresponding Portfolio Property Agreements on or prior to the applicable Closing Date) between the date of this Purchase Agreement and such Closing Date), but excluding any capital contributions in respect of Excluded Obligations. If a Capital Contribution is paid by the Seller to a Fund in a currency other than U.S. Dollars, such Capital Contribution for purposes of this Purchase Agreement shall be the U.S. Dollar amount obtained by converting the non-U.S. Dollar currency at the Exchange Rate as of the date of payment (or in respect of any such Capital Contribution scheduled subsequent to the delivery of the applicable Pre-Closing Notice but prior to the applicable Closing, the date of the relevant notice received from the applicable Manager and/or Fund).</w:t>
      </w:r>
    </w:p>
    <w:p>
      <w:pPr>
        <w:spacing w:after="0" w:line="180"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(p)“</w:t>
      </w:r>
      <w:r>
        <w:rPr>
          <w:rFonts w:ascii="Times New Roman" w:cs="Times New Roman" w:eastAsia="Times New Roman" w:hAnsi="Times New Roman"/>
          <w:sz w:val="22"/>
          <w:szCs w:val="22"/>
          <w:u w:val="single" w:color="auto"/>
          <w:color w:val="auto"/>
        </w:rPr>
        <w:t>Clawback Obligation</w:t>
      </w:r>
      <w:r>
        <w:rPr>
          <w:rFonts w:ascii="Times New Roman" w:cs="Times New Roman" w:eastAsia="Times New Roman" w:hAnsi="Times New Roman"/>
          <w:sz w:val="22"/>
          <w:szCs w:val="22"/>
          <w:color w:val="auto"/>
        </w:rPr>
        <w:t>” shall mean an obligation or liability relating to any Interest transferred to Buyer under any Portfolio Property Agreement arising on or prior to the twenty-four (24) month anniversary of the applicable Closing by operation of any “limited partner clawback,” “all partner clawback,” or other similar obligation, or as required by applicable law, to disgorge, in whole or in part, or otherwise pay, contribute or return, for purposes other than re-investment or paying operating expenses or management fees as may be permitted by such Portfolio Property Agreement (which operating expenses or management fees were due or accrued in respect of any period on or after the Cut Off Date), the amount of any Distribution (whether such contribution, return or repayment obligation shall be effected by repayment, drawdown, deduction from any capital account, or set-off against any subsequent Distribution, or otherwise) made (or deemed under the applicable Portfolio Property Agreement to have been made) to Seller with respect to such Interest in accordance with the applicable Portfolio Property Agreement from the applicable Fund on or prior to the Cut Off Date.</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(q)“</w:t>
      </w:r>
      <w:r>
        <w:rPr>
          <w:rFonts w:ascii="Times New Roman" w:cs="Times New Roman" w:eastAsia="Times New Roman" w:hAnsi="Times New Roman"/>
          <w:sz w:val="22"/>
          <w:szCs w:val="22"/>
          <w:u w:val="single" w:color="auto"/>
          <w:color w:val="auto"/>
        </w:rPr>
        <w:t>Closing</w:t>
      </w:r>
      <w:r>
        <w:rPr>
          <w:rFonts w:ascii="Times New Roman" w:cs="Times New Roman" w:eastAsia="Times New Roman" w:hAnsi="Times New Roman"/>
          <w:sz w:val="22"/>
          <w:szCs w:val="22"/>
          <w:color w:val="auto"/>
        </w:rPr>
        <w:t>” shall have the meaning set forth in Section 3.</w:t>
      </w:r>
    </w:p>
    <w:p>
      <w:pPr>
        <w:spacing w:after="0" w:line="206" w:lineRule="exact"/>
        <w:rPr>
          <w:sz w:val="20"/>
          <w:szCs w:val="20"/>
          <w:color w:val="auto"/>
        </w:rPr>
      </w:pPr>
    </w:p>
    <w:p>
      <w:pPr>
        <w:ind w:left="1020" w:hanging="263"/>
        <w:spacing w:after="0"/>
        <w:tabs>
          <w:tab w:leader="none" w:pos="102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Date</w:t>
      </w:r>
      <w:r>
        <w:rPr>
          <w:rFonts w:ascii="Times New Roman" w:cs="Times New Roman" w:eastAsia="Times New Roman" w:hAnsi="Times New Roman"/>
          <w:sz w:val="22"/>
          <w:szCs w:val="22"/>
          <w:color w:val="auto"/>
        </w:rPr>
        <w:t>” shall have the meaning set forth in Section 3.</w:t>
      </w:r>
    </w:p>
    <w:p>
      <w:pPr>
        <w:spacing w:after="0" w:line="206" w:lineRule="exact"/>
        <w:rPr>
          <w:rFonts w:ascii="Times New Roman" w:cs="Times New Roman" w:eastAsia="Times New Roman" w:hAnsi="Times New Roman"/>
          <w:sz w:val="22"/>
          <w:szCs w:val="22"/>
          <w:color w:val="auto"/>
        </w:rPr>
      </w:pPr>
    </w:p>
    <w:p>
      <w:pPr>
        <w:ind w:left="5580" w:right="3880" w:hanging="4823"/>
        <w:spacing w:after="0" w:line="463" w:lineRule="auto"/>
        <w:tabs>
          <w:tab w:leader="none" w:pos="1036"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shall mean the U.S. Internal Revenue Code of 1986, as amended.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653415</wp:posOffset>
            </wp:positionV>
            <wp:extent cx="7157720" cy="4254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8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5" w:name="page146"/>
    <w:bookmarkEnd w:id="145"/>
    <w:p>
      <w:pPr>
        <w:ind w:firstLine="757"/>
        <w:spacing w:after="0" w:line="258" w:lineRule="auto"/>
        <w:tabs>
          <w:tab w:leader="none" w:pos="1018"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Cut Off Date</w:t>
      </w:r>
      <w:r>
        <w:rPr>
          <w:rFonts w:ascii="Times New Roman" w:cs="Times New Roman" w:eastAsia="Times New Roman" w:hAnsi="Times New Roman"/>
          <w:sz w:val="22"/>
          <w:szCs w:val="22"/>
          <w:color w:val="auto"/>
        </w:rPr>
        <w:t>” shall mean, with respect to each Interest, the date set forth opposite the name of the relevant Fund relating to such Interest on Schedule I under the heading “Cut Off Date”.</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(u)“</w:t>
      </w:r>
      <w:r>
        <w:rPr>
          <w:rFonts w:ascii="Times New Roman" w:cs="Times New Roman" w:eastAsia="Times New Roman" w:hAnsi="Times New Roman"/>
          <w:sz w:val="22"/>
          <w:szCs w:val="22"/>
          <w:u w:val="single" w:color="auto"/>
          <w:color w:val="auto"/>
        </w:rPr>
        <w:t>Damages</w:t>
      </w:r>
      <w:r>
        <w:rPr>
          <w:rFonts w:ascii="Times New Roman" w:cs="Times New Roman" w:eastAsia="Times New Roman" w:hAnsi="Times New Roman"/>
          <w:sz w:val="22"/>
          <w:szCs w:val="22"/>
          <w:color w:val="auto"/>
        </w:rPr>
        <w:t>” shall have the meaning set forth in Section 12(a).</w:t>
      </w:r>
    </w:p>
    <w:p>
      <w:pPr>
        <w:spacing w:after="0" w:line="206" w:lineRule="exact"/>
        <w:rPr>
          <w:sz w:val="20"/>
          <w:szCs w:val="20"/>
          <w:color w:val="auto"/>
        </w:rPr>
      </w:pPr>
    </w:p>
    <w:p>
      <w:pPr>
        <w:jc w:val="both"/>
        <w:ind w:firstLine="749"/>
        <w:spacing w:after="0" w:line="232" w:lineRule="auto"/>
        <w:rPr>
          <w:sz w:val="20"/>
          <w:szCs w:val="20"/>
          <w:color w:val="auto"/>
        </w:rPr>
      </w:pPr>
      <w:r>
        <w:rPr>
          <w:rFonts w:ascii="Times New Roman" w:cs="Times New Roman" w:eastAsia="Times New Roman" w:hAnsi="Times New Roman"/>
          <w:sz w:val="22"/>
          <w:szCs w:val="22"/>
          <w:color w:val="auto"/>
        </w:rPr>
        <w:t>(v)“</w:t>
      </w:r>
      <w:r>
        <w:rPr>
          <w:rFonts w:ascii="Times New Roman" w:cs="Times New Roman" w:eastAsia="Times New Roman" w:hAnsi="Times New Roman"/>
          <w:sz w:val="22"/>
          <w:szCs w:val="22"/>
          <w:u w:val="single" w:color="auto"/>
          <w:color w:val="auto"/>
        </w:rPr>
        <w:t>Distributions</w:t>
      </w:r>
      <w:r>
        <w:rPr>
          <w:rFonts w:ascii="Times New Roman" w:cs="Times New Roman" w:eastAsia="Times New Roman" w:hAnsi="Times New Roman"/>
          <w:sz w:val="22"/>
          <w:szCs w:val="22"/>
          <w:color w:val="auto"/>
        </w:rPr>
        <w:t xml:space="preserve">” shall mean, without duplication, with respect to any Interest (i) all proceeds paid or made or deemed paid or made to Seller from the sale, assignment, transfer, conversion, exchange, disposition, redemption, exercise, repayment, waiver, release, compromise, settlement or satisfaction of such Interest after the Cut Off Date and on or prior to the Closing Date applicable to the transfer of such Interest (other than, for the avoidance of doubt, any payments made, deemed made, or to be made by Buyer hereunder in respect of an Interest Purchase Price pursuant to Section 4), and (ii) all distributions, dividends, interest and payments of cash, Securities or other property paid or made or deemed paid or made to Seller from the applicable Fund with respect to or in connection with such Interest after the Cut Off Date and on or prior to the Closing Date applicable to the transfer of such Interest, all as set forth in </w:t>
      </w:r>
      <w:r>
        <w:rPr>
          <w:rFonts w:ascii="Times New Roman" w:cs="Times New Roman" w:eastAsia="Times New Roman" w:hAnsi="Times New Roman"/>
          <w:sz w:val="22"/>
          <w:szCs w:val="22"/>
          <w:u w:val="single" w:color="auto"/>
          <w:color w:val="auto"/>
        </w:rPr>
        <w:t>Schedule II</w:t>
      </w:r>
      <w:r>
        <w:rPr>
          <w:rFonts w:ascii="Times New Roman" w:cs="Times New Roman" w:eastAsia="Times New Roman" w:hAnsi="Times New Roman"/>
          <w:sz w:val="22"/>
          <w:szCs w:val="22"/>
          <w:color w:val="auto"/>
        </w:rPr>
        <w:t xml:space="preserve"> (as the same may be amended by the Seller in the applicable Pre-Closing Notice to reflect each Distribution paid or made or deemed paid or made or expected to be made (provided that, for greater certainty, this definition of “Distributions” shall only be inclusive of those Distributions actually paid or made or deemed paid or made to Seller under the corresponding Portfolio Property Agreements on or prior to the applicable Closing Date), between the date of this Purchase Agreement and such Closing Date). For purposes of this definition, (A) the value of all “in-kind” payments, dividends or other non-cash Distributions shall be the value assigned thereto as of the time of any such Distribution by the applicable Manager in accordance with the applicable Portfolio Property Agreement, (B) amounts that otherwise would have been distributed to the Seller but for withholding or deduction of any Taxes attributable to the Seller or an Interest (including taxes of any AIVs or “blocker corporations” that are treated as distributed under the relevant Portfolio Property Agreement) shall be treated as distributed to the Seller, and (C) if a Distribution is received by the Seller from a Fund in a currency other than U.S. Dollars, the amount of such Distribution for purposes of this Purchase Agreement shall be the U.S. Dollar amount obtained by converting the non-U.S. Dollar currency into U.S. Dollars at the Exchange Rate as of the date of distribution (or in respect of any such Distribution scheduled subsequent to the delivery of the applicable Pre-Closing Notice but prior to the applicable Closing, the date of the relevant notice received from the applicable Manager and/or Fund). Notwithstanding anything in this Purchase Agreement to the contrary amounts received by Seller with respect to or in connection with the Interests that are in the nature of refunds or reimbursements attributable to taxes borne by Seller shall not be included within the term “Distributions,” and Seller shall have no obligation to Buyer with respect to any such amounts.</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w:t>
      </w: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shall mean the U.S. Employee Retirement Income Security Act of 1974, as amended.</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(x)“</w:t>
      </w:r>
      <w:r>
        <w:rPr>
          <w:rFonts w:ascii="Times New Roman" w:cs="Times New Roman" w:eastAsia="Times New Roman" w:hAnsi="Times New Roman"/>
          <w:sz w:val="22"/>
          <w:szCs w:val="22"/>
          <w:u w:val="single" w:color="auto"/>
          <w:color w:val="auto"/>
        </w:rPr>
        <w:t>Estimated Interest Purchase Price</w:t>
      </w:r>
      <w:r>
        <w:rPr>
          <w:rFonts w:ascii="Times New Roman" w:cs="Times New Roman" w:eastAsia="Times New Roman" w:hAnsi="Times New Roman"/>
          <w:sz w:val="22"/>
          <w:szCs w:val="22"/>
          <w:color w:val="auto"/>
        </w:rPr>
        <w:t>” shall have the meaning set forth in Section 4(d).</w:t>
      </w:r>
    </w:p>
    <w:p>
      <w:pPr>
        <w:spacing w:after="0" w:line="20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821055</wp:posOffset>
            </wp:positionV>
            <wp:extent cx="7157720" cy="4254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8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6" w:name="page147"/>
    <w:bookmarkEnd w:id="146"/>
    <w:p>
      <w:pPr>
        <w:ind w:firstLine="749"/>
        <w:spacing w:after="0" w:line="258" w:lineRule="auto"/>
        <w:rPr>
          <w:sz w:val="20"/>
          <w:szCs w:val="20"/>
          <w:color w:val="auto"/>
        </w:rPr>
      </w:pPr>
      <w:r>
        <w:rPr>
          <w:rFonts w:ascii="Times New Roman" w:cs="Times New Roman" w:eastAsia="Times New Roman" w:hAnsi="Times New Roman"/>
          <w:sz w:val="22"/>
          <w:szCs w:val="22"/>
          <w:color w:val="auto"/>
        </w:rPr>
        <w:t>(y)“</w:t>
      </w:r>
      <w:r>
        <w:rPr>
          <w:rFonts w:ascii="Times New Roman" w:cs="Times New Roman" w:eastAsia="Times New Roman" w:hAnsi="Times New Roman"/>
          <w:sz w:val="22"/>
          <w:szCs w:val="22"/>
          <w:u w:val="single" w:color="auto"/>
          <w:color w:val="auto"/>
        </w:rPr>
        <w:t>Exchange Rate</w:t>
      </w:r>
      <w:r>
        <w:rPr>
          <w:rFonts w:ascii="Times New Roman" w:cs="Times New Roman" w:eastAsia="Times New Roman" w:hAnsi="Times New Roman"/>
          <w:sz w:val="22"/>
          <w:szCs w:val="22"/>
          <w:color w:val="auto"/>
        </w:rPr>
        <w:t>” shall mean the rate of exchange between the applicable foreign currency and U.S. Dollars as reported by Bloomberg L.P. as of the close of business in New York City, New York on the applicable date.</w:t>
      </w:r>
    </w:p>
    <w:p>
      <w:pPr>
        <w:spacing w:after="0" w:line="158" w:lineRule="exact"/>
        <w:rPr>
          <w:sz w:val="20"/>
          <w:szCs w:val="20"/>
          <w:color w:val="auto"/>
        </w:rPr>
      </w:pPr>
    </w:p>
    <w:p>
      <w:pPr>
        <w:jc w:val="both"/>
        <w:ind w:firstLine="757"/>
        <w:spacing w:after="0" w:line="233" w:lineRule="auto"/>
        <w:tabs>
          <w:tab w:leader="none" w:pos="1018"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Interests</w:t>
      </w:r>
      <w:r>
        <w:rPr>
          <w:rFonts w:ascii="Times New Roman" w:cs="Times New Roman" w:eastAsia="Times New Roman" w:hAnsi="Times New Roman"/>
          <w:sz w:val="22"/>
          <w:szCs w:val="22"/>
          <w:color w:val="auto"/>
        </w:rPr>
        <w:t>” shall mean any Interest (or portion thereof): (i) with respect to which the Seller is unable to obtain the necessary Approvals prior to the applicable Closing Date for the sale, assignment and transfer to Buyer of such Interest as contemplated by this Purchase Agreement; (ii) that the Seller and Buyer have mutually agreed to exclude from the transactions contemplated by this Purchase Agreement; or (iii) which has been purchased by a third party other than the Buyer pursuant to a right of first refusal, right of co-sale, or right of first offer (or similar right) pursuant to any Portfolio Property Agreement or in accordance with any Portfolio Contractual Right. Furthermore, to the extent that either (x) the applicable Manager confirms in writing that any Interest being sold by Seller to Buyer hereunder represents an ownership percentage equal to or greater than 20% of the limited partner interests, shares, membership units, or other equity interests issued by any Fund, or (y) Buyer does not receive information, documentation or representations from Manager, Seller or any agent thereof in respect of any Fund satisfactory to Buyer acting in good faith to determine that any Interest being sold by Seller to Buyer hereunder represents an ownership percentage less than 20% of the limited partner interests, shares, membership units, or other equity interests issued by such Fund, the portion of such Interest that equals or exceeds such ownership percentage shall constitute an “Excluded Interest” for all purposes of this Purchase Agreement.</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(aa)“</w:t>
      </w:r>
      <w:r>
        <w:rPr>
          <w:rFonts w:ascii="Times New Roman" w:cs="Times New Roman" w:eastAsia="Times New Roman" w:hAnsi="Times New Roman"/>
          <w:sz w:val="22"/>
          <w:szCs w:val="22"/>
          <w:u w:val="single" w:color="auto"/>
          <w:color w:val="auto"/>
        </w:rPr>
        <w:t>Excluded Obligations</w:t>
      </w:r>
      <w:r>
        <w:rPr>
          <w:rFonts w:ascii="Times New Roman" w:cs="Times New Roman" w:eastAsia="Times New Roman" w:hAnsi="Times New Roman"/>
          <w:sz w:val="22"/>
          <w:szCs w:val="22"/>
          <w:color w:val="auto"/>
        </w:rPr>
        <w:t>” shall have the meaning set forth in Section 3(e).</w:t>
      </w:r>
    </w:p>
    <w:p>
      <w:pPr>
        <w:spacing w:after="0" w:line="20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(bb)“</w:t>
      </w:r>
      <w:r>
        <w:rPr>
          <w:rFonts w:ascii="Times New Roman" w:cs="Times New Roman" w:eastAsia="Times New Roman" w:hAnsi="Times New Roman"/>
          <w:sz w:val="22"/>
          <w:szCs w:val="22"/>
          <w:u w:val="single" w:color="auto"/>
          <w:color w:val="auto"/>
        </w:rPr>
        <w:t>Final Closing</w:t>
      </w:r>
      <w:r>
        <w:rPr>
          <w:rFonts w:ascii="Times New Roman" w:cs="Times New Roman" w:eastAsia="Times New Roman" w:hAnsi="Times New Roman"/>
          <w:sz w:val="22"/>
          <w:szCs w:val="22"/>
          <w:color w:val="auto"/>
        </w:rPr>
        <w:t>” shall refer to the Closing at which the last Portfolio Property to be transferred under this Purchase Agreement has been transferred.</w:t>
      </w:r>
    </w:p>
    <w:p>
      <w:pPr>
        <w:spacing w:after="0" w:line="15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(cc)“</w:t>
      </w:r>
      <w:r>
        <w:rPr>
          <w:rFonts w:ascii="Times New Roman" w:cs="Times New Roman" w:eastAsia="Times New Roman" w:hAnsi="Times New Roman"/>
          <w:sz w:val="22"/>
          <w:szCs w:val="22"/>
          <w:u w:val="single" w:color="auto"/>
          <w:color w:val="auto"/>
        </w:rPr>
        <w:t>Final Closing Date</w:t>
      </w:r>
      <w:r>
        <w:rPr>
          <w:rFonts w:ascii="Times New Roman" w:cs="Times New Roman" w:eastAsia="Times New Roman" w:hAnsi="Times New Roman"/>
          <w:sz w:val="22"/>
          <w:szCs w:val="22"/>
          <w:color w:val="auto"/>
        </w:rPr>
        <w:t>” shall refer to the date on which the last Portfolio Property to be transferred under this Purchase Agreement is transferred, but which shall be no later than the Final Closing Deadline.</w:t>
      </w:r>
    </w:p>
    <w:p>
      <w:pPr>
        <w:spacing w:after="0" w:line="158"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(dd)“</w:t>
      </w:r>
      <w:r>
        <w:rPr>
          <w:rFonts w:ascii="Times New Roman" w:cs="Times New Roman" w:eastAsia="Times New Roman" w:hAnsi="Times New Roman"/>
          <w:sz w:val="22"/>
          <w:szCs w:val="22"/>
          <w:u w:val="single" w:color="auto"/>
          <w:color w:val="auto"/>
        </w:rPr>
        <w:t>Final Closing Deadline</w:t>
      </w:r>
      <w:r>
        <w:rPr>
          <w:rFonts w:ascii="Times New Roman" w:cs="Times New Roman" w:eastAsia="Times New Roman" w:hAnsi="Times New Roman"/>
          <w:sz w:val="22"/>
          <w:szCs w:val="22"/>
          <w:color w:val="auto"/>
        </w:rPr>
        <w:t>” shall mean April 10, 2025, except as may otherwise be extended upon the mutual agreement of Buyer and Seller; provided that if any Manager does not grant its consent to the transfer of any Interest from Seller to Buyer on or before the Final Closing Deadline due to concern regarding qualification for the lack of actual trading safe harbor from Publicly Traded Partnership treatment under Treas. Reg. Section 1.7704-1(j), the Final Closing Deadline for such Interest shall automatically be extended to January 9, 2026.</w:t>
      </w:r>
    </w:p>
    <w:p>
      <w:pPr>
        <w:spacing w:after="0" w:line="177"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(ee)“</w:t>
      </w:r>
      <w:r>
        <w:rPr>
          <w:rFonts w:ascii="Times New Roman" w:cs="Times New Roman" w:eastAsia="Times New Roman" w:hAnsi="Times New Roman"/>
          <w:sz w:val="22"/>
          <w:szCs w:val="22"/>
          <w:u w:val="single" w:color="auto"/>
          <w:color w:val="auto"/>
        </w:rPr>
        <w:t>Funds</w:t>
      </w:r>
      <w:r>
        <w:rPr>
          <w:rFonts w:ascii="Times New Roman" w:cs="Times New Roman" w:eastAsia="Times New Roman" w:hAnsi="Times New Roman"/>
          <w:sz w:val="22"/>
          <w:szCs w:val="22"/>
          <w:color w:val="auto"/>
        </w:rPr>
        <w:t xml:space="preserve">” shall mean the issuers of the Interests as set forth on </w:t>
      </w:r>
      <w:r>
        <w:rPr>
          <w:rFonts w:ascii="Times New Roman" w:cs="Times New Roman" w:eastAsia="Times New Roman" w:hAnsi="Times New Roman"/>
          <w:sz w:val="22"/>
          <w:szCs w:val="22"/>
          <w:u w:val="single" w:color="auto"/>
          <w:color w:val="auto"/>
        </w:rPr>
        <w:t>Schedule I</w:t>
      </w:r>
      <w:r>
        <w:rPr>
          <w:rFonts w:ascii="Times New Roman" w:cs="Times New Roman" w:eastAsia="Times New Roman" w:hAnsi="Times New Roman"/>
          <w:sz w:val="22"/>
          <w:szCs w:val="22"/>
          <w:color w:val="auto"/>
        </w:rPr>
        <w:t>. For the avoidance of doubt, a Fund shall include (i) each issuer through which Seller has an interest or otherwise participated in connection with a Liquidity Opportunity with respect to such Fund that closed at any time following the date hereof and prior to the relevant Closing relating to the applicable Interest or portion thereof and (ii) each AIV (associated with such Fund) in which Seller participates in respect of the applicable Interest or portion thereof.</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821055</wp:posOffset>
            </wp:positionV>
            <wp:extent cx="7157720" cy="4254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8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7" w:name="page148"/>
    <w:bookmarkEnd w:id="147"/>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(ff)“</w:t>
      </w:r>
      <w:r>
        <w:rPr>
          <w:rFonts w:ascii="Times New Roman" w:cs="Times New Roman" w:eastAsia="Times New Roman" w:hAnsi="Times New Roman"/>
          <w:sz w:val="22"/>
          <w:szCs w:val="22"/>
          <w:u w:val="single" w:color="auto"/>
          <w:color w:val="auto"/>
        </w:rPr>
        <w:t>Hedge Fund</w:t>
      </w:r>
      <w:r>
        <w:rPr>
          <w:rFonts w:ascii="Times New Roman" w:cs="Times New Roman" w:eastAsia="Times New Roman" w:hAnsi="Times New Roman"/>
          <w:sz w:val="22"/>
          <w:szCs w:val="22"/>
          <w:color w:val="auto"/>
        </w:rPr>
        <w:t xml:space="preserve">” shall mean any Fund that is an open-ended fund, hedge fund, or other similar fund that generally provides redemption, liquidity, or withdrawal rights to investors in the ordinary course, as set forth on </w:t>
      </w:r>
      <w:r>
        <w:rPr>
          <w:rFonts w:ascii="Times New Roman" w:cs="Times New Roman" w:eastAsia="Times New Roman" w:hAnsi="Times New Roman"/>
          <w:sz w:val="22"/>
          <w:szCs w:val="22"/>
          <w:u w:val="single" w:color="auto"/>
          <w:color w:val="auto"/>
        </w:rPr>
        <w:t>Schedule I</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(gg)“</w:t>
      </w:r>
      <w:r>
        <w:rPr>
          <w:rFonts w:ascii="Times New Roman" w:cs="Times New Roman" w:eastAsia="Times New Roman" w:hAnsi="Times New Roman"/>
          <w:sz w:val="22"/>
          <w:szCs w:val="22"/>
          <w:u w:val="single" w:color="auto"/>
          <w:color w:val="auto"/>
        </w:rPr>
        <w:t>Indemnitee</w:t>
      </w:r>
      <w:r>
        <w:rPr>
          <w:rFonts w:ascii="Times New Roman" w:cs="Times New Roman" w:eastAsia="Times New Roman" w:hAnsi="Times New Roman"/>
          <w:sz w:val="22"/>
          <w:szCs w:val="22"/>
          <w:color w:val="auto"/>
        </w:rPr>
        <w:t>” shall have the meaning set forth in Section 12(d)(i).</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(hh)“</w:t>
      </w:r>
      <w:r>
        <w:rPr>
          <w:rFonts w:ascii="Times New Roman" w:cs="Times New Roman" w:eastAsia="Times New Roman" w:hAnsi="Times New Roman"/>
          <w:sz w:val="22"/>
          <w:szCs w:val="22"/>
          <w:u w:val="single" w:color="auto"/>
          <w:color w:val="auto"/>
        </w:rPr>
        <w:t>Indemnitor</w:t>
      </w:r>
      <w:r>
        <w:rPr>
          <w:rFonts w:ascii="Times New Roman" w:cs="Times New Roman" w:eastAsia="Times New Roman" w:hAnsi="Times New Roman"/>
          <w:sz w:val="22"/>
          <w:szCs w:val="22"/>
          <w:color w:val="auto"/>
        </w:rPr>
        <w:t>” shall have the meaning set forth in Section 12(d)(i).</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(ii)“</w:t>
      </w:r>
      <w:r>
        <w:rPr>
          <w:rFonts w:ascii="Times New Roman" w:cs="Times New Roman" w:eastAsia="Times New Roman" w:hAnsi="Times New Roman"/>
          <w:sz w:val="22"/>
          <w:szCs w:val="22"/>
          <w:u w:val="single" w:color="auto"/>
          <w:color w:val="auto"/>
        </w:rPr>
        <w:t>Interest Purchase Price</w:t>
      </w:r>
      <w:r>
        <w:rPr>
          <w:rFonts w:ascii="Times New Roman" w:cs="Times New Roman" w:eastAsia="Times New Roman" w:hAnsi="Times New Roman"/>
          <w:sz w:val="22"/>
          <w:szCs w:val="22"/>
          <w:color w:val="auto"/>
        </w:rPr>
        <w:t>” shall have the meaning set forth in Section 4(a).</w:t>
      </w:r>
    </w:p>
    <w:p>
      <w:pPr>
        <w:spacing w:after="0" w:line="206"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(jj)“</w:t>
      </w:r>
      <w:r>
        <w:rPr>
          <w:rFonts w:ascii="Times New Roman" w:cs="Times New Roman" w:eastAsia="Times New Roman" w:hAnsi="Times New Roman"/>
          <w:sz w:val="22"/>
          <w:szCs w:val="22"/>
          <w:u w:val="single" w:color="auto"/>
          <w:color w:val="auto"/>
        </w:rPr>
        <w:t>Interests</w:t>
      </w:r>
      <w:r>
        <w:rPr>
          <w:rFonts w:ascii="Times New Roman" w:cs="Times New Roman" w:eastAsia="Times New Roman" w:hAnsi="Times New Roman"/>
          <w:sz w:val="22"/>
          <w:szCs w:val="22"/>
          <w:color w:val="auto"/>
        </w:rPr>
        <w:t xml:space="preserve">” shall mean the applicable portions of the limited partner interests, shares, membership units, or other equity interests in the Funds owned by the Seller that are set forth on </w:t>
      </w:r>
      <w:r>
        <w:rPr>
          <w:rFonts w:ascii="Times New Roman" w:cs="Times New Roman" w:eastAsia="Times New Roman" w:hAnsi="Times New Roman"/>
          <w:sz w:val="22"/>
          <w:szCs w:val="22"/>
          <w:u w:val="single" w:color="auto"/>
          <w:color w:val="auto"/>
        </w:rPr>
        <w:t>Schedule I</w:t>
      </w:r>
      <w:r>
        <w:rPr>
          <w:rFonts w:ascii="Times New Roman" w:cs="Times New Roman" w:eastAsia="Times New Roman" w:hAnsi="Times New Roman"/>
          <w:sz w:val="22"/>
          <w:szCs w:val="22"/>
          <w:color w:val="auto"/>
        </w:rPr>
        <w:t xml:space="preserve">, as well as any corresponding interests owned by Seller in any associated AIV or any other issuer pursuant to a Liquidity Opportunity. For the avoidance of doubt, any shares, membership units, limited partner interests, or other equity interests held by Seller in any Fund, to the extent corresponding to the portion of any capital commitment of the Seller to such Fund that is in excess of the amount of the Capital Commitment described on </w:t>
      </w:r>
      <w:r>
        <w:rPr>
          <w:rFonts w:ascii="Times New Roman" w:cs="Times New Roman" w:eastAsia="Times New Roman" w:hAnsi="Times New Roman"/>
          <w:sz w:val="22"/>
          <w:szCs w:val="22"/>
          <w:u w:val="single" w:color="auto"/>
          <w:color w:val="auto"/>
        </w:rPr>
        <w:t>Schedule I</w:t>
      </w:r>
      <w:r>
        <w:rPr>
          <w:rFonts w:ascii="Times New Roman" w:cs="Times New Roman" w:eastAsia="Times New Roman" w:hAnsi="Times New Roman"/>
          <w:sz w:val="22"/>
          <w:szCs w:val="22"/>
          <w:color w:val="auto"/>
        </w:rPr>
        <w:t xml:space="preserve"> with respect to such Fund, shall not constitute an “Interest” hereunder.</w:t>
      </w:r>
    </w:p>
    <w:p>
      <w:pPr>
        <w:spacing w:after="0" w:line="181" w:lineRule="exact"/>
        <w:rPr>
          <w:sz w:val="20"/>
          <w:szCs w:val="20"/>
          <w:color w:val="auto"/>
        </w:rPr>
      </w:pPr>
    </w:p>
    <w:p>
      <w:pPr>
        <w:jc w:val="both"/>
        <w:ind w:right="20" w:firstLine="749"/>
        <w:spacing w:after="0" w:line="244" w:lineRule="auto"/>
        <w:rPr>
          <w:sz w:val="20"/>
          <w:szCs w:val="20"/>
          <w:color w:val="auto"/>
        </w:rPr>
      </w:pPr>
      <w:r>
        <w:rPr>
          <w:rFonts w:ascii="Times New Roman" w:cs="Times New Roman" w:eastAsia="Times New Roman" w:hAnsi="Times New Roman"/>
          <w:sz w:val="22"/>
          <w:szCs w:val="22"/>
          <w:color w:val="auto"/>
        </w:rPr>
        <w:t>(kk)“</w:t>
      </w:r>
      <w:r>
        <w:rPr>
          <w:rFonts w:ascii="Times New Roman" w:cs="Times New Roman" w:eastAsia="Times New Roman" w:hAnsi="Times New Roman"/>
          <w:sz w:val="22"/>
          <w:szCs w:val="22"/>
          <w:u w:val="single" w:color="auto"/>
          <w:color w:val="auto"/>
        </w:rPr>
        <w:t>Investment Lien</w:t>
      </w:r>
      <w:r>
        <w:rPr>
          <w:rFonts w:ascii="Times New Roman" w:cs="Times New Roman" w:eastAsia="Times New Roman" w:hAnsi="Times New Roman"/>
          <w:sz w:val="22"/>
          <w:szCs w:val="22"/>
          <w:color w:val="auto"/>
        </w:rPr>
        <w:t>” shall mean any Lien pertaining to the sale, assignment, disposition or transfer of the Interests (including any consents or approvals of transfers, rights of first refusal, rights of co-sale, rights of first offer, and similar rights) arising under any Portfolio Property Agreement.</w:t>
      </w:r>
    </w:p>
    <w:p>
      <w:pPr>
        <w:spacing w:after="0" w:line="17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(ll)“</w:t>
      </w:r>
      <w:r>
        <w:rPr>
          <w:rFonts w:ascii="Times New Roman" w:cs="Times New Roman" w:eastAsia="Times New Roman" w:hAnsi="Times New Roman"/>
          <w:sz w:val="22"/>
          <w:szCs w:val="22"/>
          <w:u w:val="single" w:color="auto"/>
          <w:color w:val="auto"/>
        </w:rPr>
        <w:t>Lien</w:t>
      </w:r>
      <w:r>
        <w:rPr>
          <w:rFonts w:ascii="Times New Roman" w:cs="Times New Roman" w:eastAsia="Times New Roman" w:hAnsi="Times New Roman"/>
          <w:sz w:val="22"/>
          <w:szCs w:val="22"/>
          <w:color w:val="auto"/>
        </w:rPr>
        <w:t>” shall mean any lien, pledge, claim, security interest, encumbrance, charge, restriction or limitation of any kind, whether arising by agreement, operation of law or otherwise.</w:t>
      </w:r>
    </w:p>
    <w:p>
      <w:pPr>
        <w:spacing w:after="0" w:line="158"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(mm)“</w:t>
      </w:r>
      <w:r>
        <w:rPr>
          <w:rFonts w:ascii="Times New Roman" w:cs="Times New Roman" w:eastAsia="Times New Roman" w:hAnsi="Times New Roman"/>
          <w:sz w:val="22"/>
          <w:szCs w:val="22"/>
          <w:u w:val="single" w:color="auto"/>
          <w:color w:val="auto"/>
        </w:rPr>
        <w:t>Liquidity Opportunity</w:t>
      </w:r>
      <w:r>
        <w:rPr>
          <w:rFonts w:ascii="Times New Roman" w:cs="Times New Roman" w:eastAsia="Times New Roman" w:hAnsi="Times New Roman"/>
          <w:sz w:val="22"/>
          <w:szCs w:val="22"/>
          <w:color w:val="auto"/>
        </w:rPr>
        <w:t>” shall mean, with respect to any Fund, a transaction initiated or facilitated by the applicable Manager whereby investors in such Fund are offered liquidity with respect to their investments in such Fund, or certain specified investments of the Fund, whether by tender offer, the offer to participate in a continuation vehicle or other similar transaction, with or without the option to convert their interest into an interest in a new vehicle managed by the same Manager or an affiliate thereof.</w:t>
      </w:r>
    </w:p>
    <w:p>
      <w:pPr>
        <w:spacing w:after="0" w:line="17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(nn)“</w:t>
      </w:r>
      <w:r>
        <w:rPr>
          <w:rFonts w:ascii="Times New Roman" w:cs="Times New Roman" w:eastAsia="Times New Roman" w:hAnsi="Times New Roman"/>
          <w:sz w:val="22"/>
          <w:szCs w:val="22"/>
          <w:u w:val="single" w:color="auto"/>
          <w:color w:val="auto"/>
        </w:rPr>
        <w:t>Manager</w:t>
      </w:r>
      <w:r>
        <w:rPr>
          <w:rFonts w:ascii="Times New Roman" w:cs="Times New Roman" w:eastAsia="Times New Roman" w:hAnsi="Times New Roman"/>
          <w:sz w:val="22"/>
          <w:szCs w:val="22"/>
          <w:color w:val="auto"/>
        </w:rPr>
        <w:t>” shall mean with respect to each Fund, the general partner(s), managing member(s), manager(s), director(s), controlling person, or other sponsor(s) which controls such Fund and any corresponding AIV.</w:t>
      </w:r>
    </w:p>
    <w:p>
      <w:pPr>
        <w:spacing w:after="0" w:line="158" w:lineRule="exact"/>
        <w:rPr>
          <w:sz w:val="20"/>
          <w:szCs w:val="20"/>
          <w:color w:val="auto"/>
        </w:rPr>
      </w:pPr>
    </w:p>
    <w:p>
      <w:pPr>
        <w:jc w:val="both"/>
        <w:ind w:firstLine="757"/>
        <w:spacing w:after="0" w:line="239" w:lineRule="auto"/>
        <w:tabs>
          <w:tab w:leader="none" w:pos="1176"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Manager Indemnification Provision</w:t>
      </w:r>
      <w:r>
        <w:rPr>
          <w:rFonts w:ascii="Times New Roman" w:cs="Times New Roman" w:eastAsia="Times New Roman" w:hAnsi="Times New Roman"/>
          <w:sz w:val="22"/>
          <w:szCs w:val="22"/>
          <w:color w:val="auto"/>
        </w:rPr>
        <w:t>” shall mean, with respect to any Interest and the related Fund, any provision under any assignment and assumption or transfer agreement with respect to the transfer of such Interest to Buyer that requires Buyer and/or Seller to indemnify such Fund, its Manager, any management agent of such Fund, or any officer, director, shareholder, partner, member or other similar related person of such Manager and/or management agent of such Fund.</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(pp)“</w:t>
      </w:r>
      <w:r>
        <w:rPr>
          <w:rFonts w:ascii="Times New Roman" w:cs="Times New Roman" w:eastAsia="Times New Roman" w:hAnsi="Times New Roman"/>
          <w:sz w:val="22"/>
          <w:szCs w:val="22"/>
          <w:u w:val="single" w:color="auto"/>
          <w:color w:val="auto"/>
        </w:rPr>
        <w:t>Maximum Amount</w:t>
      </w:r>
      <w:r>
        <w:rPr>
          <w:rFonts w:ascii="Times New Roman" w:cs="Times New Roman" w:eastAsia="Times New Roman" w:hAnsi="Times New Roman"/>
          <w:sz w:val="22"/>
          <w:szCs w:val="22"/>
          <w:color w:val="auto"/>
        </w:rPr>
        <w:t>” shall have the meaning set forth in Section 12(c)(i) hereto.</w:t>
      </w:r>
    </w:p>
    <w:p>
      <w:pPr>
        <w:spacing w:after="0" w:line="20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821055</wp:posOffset>
            </wp:positionV>
            <wp:extent cx="7157720" cy="4254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8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8" w:name="page149"/>
    <w:bookmarkEnd w:id="148"/>
    <w:p>
      <w:pPr>
        <w:ind w:left="760"/>
        <w:spacing w:after="0"/>
        <w:rPr>
          <w:sz w:val="20"/>
          <w:szCs w:val="20"/>
          <w:color w:val="auto"/>
        </w:rPr>
      </w:pPr>
      <w:r>
        <w:rPr>
          <w:rFonts w:ascii="Times New Roman" w:cs="Times New Roman" w:eastAsia="Times New Roman" w:hAnsi="Times New Roman"/>
          <w:sz w:val="21"/>
          <w:szCs w:val="21"/>
          <w:color w:val="auto"/>
        </w:rPr>
        <w:t>(qq)“</w:t>
      </w:r>
      <w:r>
        <w:rPr>
          <w:rFonts w:ascii="Times New Roman" w:cs="Times New Roman" w:eastAsia="Times New Roman" w:hAnsi="Times New Roman"/>
          <w:sz w:val="21"/>
          <w:szCs w:val="21"/>
          <w:u w:val="single" w:color="auto"/>
          <w:color w:val="auto"/>
        </w:rPr>
        <w:t>MFAM</w:t>
      </w:r>
      <w:r>
        <w:rPr>
          <w:rFonts w:ascii="Times New Roman" w:cs="Times New Roman" w:eastAsia="Times New Roman" w:hAnsi="Times New Roman"/>
          <w:sz w:val="21"/>
          <w:szCs w:val="21"/>
          <w:color w:val="auto"/>
        </w:rPr>
        <w:t>” shall mean Mastercard Foundation Asset Management Corporation, the investment manager of the Buyer.</w:t>
      </w:r>
    </w:p>
    <w:p>
      <w:pPr>
        <w:spacing w:after="0" w:line="2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(rr)“</w:t>
      </w:r>
      <w:r>
        <w:rPr>
          <w:rFonts w:ascii="Times New Roman" w:cs="Times New Roman" w:eastAsia="Times New Roman" w:hAnsi="Times New Roman"/>
          <w:sz w:val="22"/>
          <w:szCs w:val="22"/>
          <w:u w:val="single" w:color="auto"/>
          <w:color w:val="auto"/>
        </w:rPr>
        <w:t>NEPC</w:t>
      </w:r>
      <w:r>
        <w:rPr>
          <w:rFonts w:ascii="Times New Roman" w:cs="Times New Roman" w:eastAsia="Times New Roman" w:hAnsi="Times New Roman"/>
          <w:sz w:val="22"/>
          <w:szCs w:val="22"/>
          <w:color w:val="auto"/>
        </w:rPr>
        <w:t>” shall mean NEPC, LLC (which is currently an investment adviser to the Seller).</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(ss)“</w:t>
      </w:r>
      <w:r>
        <w:rPr>
          <w:rFonts w:ascii="Times New Roman" w:cs="Times New Roman" w:eastAsia="Times New Roman" w:hAnsi="Times New Roman"/>
          <w:sz w:val="22"/>
          <w:szCs w:val="22"/>
          <w:u w:val="single" w:color="auto"/>
          <w:color w:val="auto"/>
        </w:rPr>
        <w:t>OFAC</w:t>
      </w:r>
      <w:r>
        <w:rPr>
          <w:rFonts w:ascii="Times New Roman" w:cs="Times New Roman" w:eastAsia="Times New Roman" w:hAnsi="Times New Roman"/>
          <w:sz w:val="22"/>
          <w:szCs w:val="22"/>
          <w:color w:val="auto"/>
        </w:rPr>
        <w:t>” shall mean the United States Department of the Treasury Office of Foreign Assets Control.</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(tt)“</w:t>
      </w:r>
      <w:r>
        <w:rPr>
          <w:rFonts w:ascii="Times New Roman" w:cs="Times New Roman" w:eastAsia="Times New Roman" w:hAnsi="Times New Roman"/>
          <w:sz w:val="22"/>
          <w:szCs w:val="22"/>
          <w:u w:val="single" w:color="auto"/>
          <w:color w:val="auto"/>
        </w:rPr>
        <w:t>Permitted Liens</w:t>
      </w:r>
      <w:r>
        <w:rPr>
          <w:rFonts w:ascii="Times New Roman" w:cs="Times New Roman" w:eastAsia="Times New Roman" w:hAnsi="Times New Roman"/>
          <w:sz w:val="22"/>
          <w:szCs w:val="22"/>
          <w:color w:val="auto"/>
        </w:rPr>
        <w:t>” shall mean Investment Liens, restrictions under applicable non-U.S. and U.S. federal and state securities laws, rules and regulations, and any Liens created by Buyer or any of its affiliates, members, shareholders, or partners (in connection with a financing or otherwise).</w:t>
      </w:r>
    </w:p>
    <w:p>
      <w:pPr>
        <w:spacing w:after="0" w:line="173"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(uu)“</w:t>
      </w:r>
      <w:r>
        <w:rPr>
          <w:rFonts w:ascii="Times New Roman" w:cs="Times New Roman" w:eastAsia="Times New Roman" w:hAnsi="Times New Roman"/>
          <w:sz w:val="22"/>
          <w:szCs w:val="22"/>
          <w:u w:val="single" w:color="auto"/>
          <w:color w:val="auto"/>
        </w:rPr>
        <w:t>Portfolio Contractual Right</w:t>
      </w:r>
      <w:r>
        <w:rPr>
          <w:rFonts w:ascii="Times New Roman" w:cs="Times New Roman" w:eastAsia="Times New Roman" w:hAnsi="Times New Roman"/>
          <w:sz w:val="22"/>
          <w:szCs w:val="22"/>
          <w:color w:val="auto"/>
        </w:rPr>
        <w:t>” shall mean with respect to the Seller, any contractual right of the Seller under any of the Portfolio Property Agreements (or otherwise) relating to an Interest, to the extent the Seller has such rights and to the extent such rights are transferable, including, without limitation: (i) rights to be represented on committees of the Funds; (ii) rights of first refusal on issuances of additional limited partner interests, membership units, or shares of the Funds; (iii) rights of first refusal, first offer and co-sale among investors of the Funds; and (iv) rights to receive financial and other information from the Funds.</w:t>
      </w:r>
    </w:p>
    <w:p>
      <w:pPr>
        <w:spacing w:after="0" w:line="181"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(vv)“</w:t>
      </w:r>
      <w:r>
        <w:rPr>
          <w:rFonts w:ascii="Times New Roman" w:cs="Times New Roman" w:eastAsia="Times New Roman" w:hAnsi="Times New Roman"/>
          <w:sz w:val="22"/>
          <w:szCs w:val="22"/>
          <w:u w:val="single" w:color="auto"/>
          <w:color w:val="auto"/>
        </w:rPr>
        <w:t>Portfolio Property</w:t>
      </w:r>
      <w:r>
        <w:rPr>
          <w:rFonts w:ascii="Times New Roman" w:cs="Times New Roman" w:eastAsia="Times New Roman" w:hAnsi="Times New Roman"/>
          <w:sz w:val="22"/>
          <w:szCs w:val="22"/>
          <w:color w:val="auto"/>
        </w:rPr>
        <w:t>” shall mean all of the Interests and all Portfolio Property Agreements, including all of the Portfolio Contractual Rights, relating to the Interests.</w:t>
      </w:r>
    </w:p>
    <w:p>
      <w:pPr>
        <w:spacing w:after="0" w:line="158"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(ww)“</w:t>
      </w:r>
      <w:r>
        <w:rPr>
          <w:rFonts w:ascii="Times New Roman" w:cs="Times New Roman" w:eastAsia="Times New Roman" w:hAnsi="Times New Roman"/>
          <w:sz w:val="22"/>
          <w:szCs w:val="22"/>
          <w:u w:val="single" w:color="auto"/>
          <w:color w:val="auto"/>
        </w:rPr>
        <w:t>Portfolio Property Agreement</w:t>
      </w:r>
      <w:r>
        <w:rPr>
          <w:rFonts w:ascii="Times New Roman" w:cs="Times New Roman" w:eastAsia="Times New Roman" w:hAnsi="Times New Roman"/>
          <w:sz w:val="22"/>
          <w:szCs w:val="22"/>
          <w:color w:val="auto"/>
        </w:rPr>
        <w:t xml:space="preserve">” shall mean any agreement, instrument and document to which the Seller is a party that governs or regulates the terms of the Seller’s ownership of an Interest, including subscription agreements, partnership agreements (in the case of limited partnerships or similar structures), operating agreements and limited liability company agreements (in the case of limited liability companies or similar structures), and memorandums or articles of incorporation, bylaws, and shareholders agreements (in the case of corporations or similar structures), in each case, as amended, modified or supplemented and in effect, but </w:t>
      </w:r>
      <w:r>
        <w:rPr>
          <w:rFonts w:ascii="Times New Roman" w:cs="Times New Roman" w:eastAsia="Times New Roman" w:hAnsi="Times New Roman"/>
          <w:sz w:val="22"/>
          <w:szCs w:val="22"/>
          <w:u w:val="single" w:color="auto"/>
          <w:color w:val="auto"/>
        </w:rPr>
        <w:t>excluding</w:t>
      </w:r>
      <w:r>
        <w:rPr>
          <w:rFonts w:ascii="Times New Roman" w:cs="Times New Roman" w:eastAsia="Times New Roman" w:hAnsi="Times New Roman"/>
          <w:sz w:val="22"/>
          <w:szCs w:val="22"/>
          <w:color w:val="auto"/>
        </w:rPr>
        <w:t xml:space="preserve"> (i) any agreement between the Seller and its consultants, agents and employees, (ii) any side letter, letter agreement or similar agreement entered into or given by or on behalf of the Fund or any Manager pertaining to the Portfolio Property and to which the Seller is a party, and (iii) any Advisory Committee Material (for the avoidance of doubt, the documents in clauses (i)-(iii) of this definition shall be provided to Buyer and the rights and obligations thereunder shall not be assigned to Buyer hereunder).</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(xx)“</w:t>
      </w:r>
      <w:r>
        <w:rPr>
          <w:rFonts w:ascii="Times New Roman" w:cs="Times New Roman" w:eastAsia="Times New Roman" w:hAnsi="Times New Roman"/>
          <w:sz w:val="22"/>
          <w:szCs w:val="22"/>
          <w:u w:val="single" w:color="auto"/>
          <w:color w:val="auto"/>
        </w:rPr>
        <w:t>Pre-Closing Notice</w:t>
      </w:r>
      <w:r>
        <w:rPr>
          <w:rFonts w:ascii="Times New Roman" w:cs="Times New Roman" w:eastAsia="Times New Roman" w:hAnsi="Times New Roman"/>
          <w:sz w:val="22"/>
          <w:szCs w:val="22"/>
          <w:color w:val="auto"/>
        </w:rPr>
        <w:t>” shall have the meaning set forth in Section 3(b) hereto.</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(yy)“</w:t>
      </w:r>
      <w:r>
        <w:rPr>
          <w:rFonts w:ascii="Times New Roman" w:cs="Times New Roman" w:eastAsia="Times New Roman" w:hAnsi="Times New Roman"/>
          <w:sz w:val="22"/>
          <w:szCs w:val="22"/>
          <w:u w:val="single" w:color="auto"/>
          <w:color w:val="auto"/>
        </w:rPr>
        <w:t>Purchase Agreement</w:t>
      </w:r>
      <w:r>
        <w:rPr>
          <w:rFonts w:ascii="Times New Roman" w:cs="Times New Roman" w:eastAsia="Times New Roman" w:hAnsi="Times New Roman"/>
          <w:sz w:val="22"/>
          <w:szCs w:val="22"/>
          <w:color w:val="auto"/>
        </w:rPr>
        <w:t>” shall have the meaning set forth in the preamble.</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(zz)“</w:t>
      </w:r>
      <w:r>
        <w:rPr>
          <w:rFonts w:ascii="Times New Roman" w:cs="Times New Roman" w:eastAsia="Times New Roman" w:hAnsi="Times New Roman"/>
          <w:sz w:val="22"/>
          <w:szCs w:val="22"/>
          <w:u w:val="single" w:color="auto"/>
          <w:color w:val="auto"/>
        </w:rPr>
        <w:t>Remaining Capital Commitment</w:t>
      </w:r>
      <w:r>
        <w:rPr>
          <w:rFonts w:ascii="Times New Roman" w:cs="Times New Roman" w:eastAsia="Times New Roman" w:hAnsi="Times New Roman"/>
          <w:sz w:val="22"/>
          <w:szCs w:val="22"/>
          <w:color w:val="auto"/>
        </w:rPr>
        <w:t xml:space="preserve">” shall mean with respect to the Seller and each Fund, the amount of the Seller’s Capital Commitment to such Fund with respect to the applicable Interest that remains available for drawdown as of the Cut Off Date, as shown on </w:t>
      </w:r>
      <w:r>
        <w:rPr>
          <w:rFonts w:ascii="Times New Roman" w:cs="Times New Roman" w:eastAsia="Times New Roman" w:hAnsi="Times New Roman"/>
          <w:sz w:val="22"/>
          <w:szCs w:val="22"/>
          <w:u w:val="single" w:color="auto"/>
          <w:color w:val="auto"/>
        </w:rPr>
        <w:t>Schedule I</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821055</wp:posOffset>
            </wp:positionV>
            <wp:extent cx="7157720" cy="4254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8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9" w:name="page150"/>
    <w:bookmarkEnd w:id="149"/>
    <w:p>
      <w:pPr>
        <w:ind w:left="760"/>
        <w:spacing w:after="0"/>
        <w:rPr>
          <w:sz w:val="20"/>
          <w:szCs w:val="20"/>
          <w:color w:val="auto"/>
        </w:rPr>
      </w:pPr>
      <w:r>
        <w:rPr>
          <w:rFonts w:ascii="Times New Roman" w:cs="Times New Roman" w:eastAsia="Times New Roman" w:hAnsi="Times New Roman"/>
          <w:sz w:val="22"/>
          <w:szCs w:val="22"/>
          <w:color w:val="auto"/>
        </w:rPr>
        <w:t>(aaa)“</w:t>
      </w:r>
      <w:r>
        <w:rPr>
          <w:rFonts w:ascii="Times New Roman" w:cs="Times New Roman" w:eastAsia="Times New Roman" w:hAnsi="Times New Roman"/>
          <w:sz w:val="22"/>
          <w:szCs w:val="22"/>
          <w:u w:val="single" w:color="auto"/>
          <w:color w:val="auto"/>
        </w:rPr>
        <w:t>Representatives</w:t>
      </w:r>
      <w:r>
        <w:rPr>
          <w:rFonts w:ascii="Times New Roman" w:cs="Times New Roman" w:eastAsia="Times New Roman" w:hAnsi="Times New Roman"/>
          <w:sz w:val="22"/>
          <w:szCs w:val="22"/>
          <w:color w:val="auto"/>
        </w:rPr>
        <w:t>” shall have the meaning set forth in Section 5(h).</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(bbb)“</w:t>
      </w:r>
      <w:r>
        <w:rPr>
          <w:rFonts w:ascii="Times New Roman" w:cs="Times New Roman" w:eastAsia="Times New Roman" w:hAnsi="Times New Roman"/>
          <w:sz w:val="22"/>
          <w:szCs w:val="22"/>
          <w:u w:val="single" w:color="auto"/>
          <w:color w:val="auto"/>
        </w:rPr>
        <w:t>Revised Interest Purchase Price</w:t>
      </w:r>
      <w:r>
        <w:rPr>
          <w:rFonts w:ascii="Times New Roman" w:cs="Times New Roman" w:eastAsia="Times New Roman" w:hAnsi="Times New Roman"/>
          <w:sz w:val="22"/>
          <w:szCs w:val="22"/>
          <w:color w:val="auto"/>
        </w:rPr>
        <w:t>” shall have the meaning set forth in Section 4(d).</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(ccc)“</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Schedules</w:t>
      </w:r>
      <w:r>
        <w:rPr>
          <w:rFonts w:ascii="Times New Roman" w:cs="Times New Roman" w:eastAsia="Times New Roman" w:hAnsi="Times New Roman"/>
          <w:sz w:val="22"/>
          <w:szCs w:val="22"/>
          <w:color w:val="auto"/>
        </w:rPr>
        <w:t>” shall have the meaning set forth in Section 17(p).</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(ddd)“</w:t>
      </w:r>
      <w:r>
        <w:rPr>
          <w:rFonts w:ascii="Times New Roman" w:cs="Times New Roman" w:eastAsia="Times New Roman" w:hAnsi="Times New Roman"/>
          <w:sz w:val="22"/>
          <w:szCs w:val="22"/>
          <w:u w:val="single" w:color="auto"/>
          <w:color w:val="auto"/>
        </w:rPr>
        <w:t>Securities</w:t>
      </w:r>
      <w:r>
        <w:rPr>
          <w:rFonts w:ascii="Times New Roman" w:cs="Times New Roman" w:eastAsia="Times New Roman" w:hAnsi="Times New Roman"/>
          <w:sz w:val="22"/>
          <w:szCs w:val="22"/>
          <w:color w:val="auto"/>
        </w:rPr>
        <w:t>” shall have the meaning ascribed to that term in the Act.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(eee)“</w:t>
      </w:r>
      <w:r>
        <w:rPr>
          <w:rFonts w:ascii="Times New Roman" w:cs="Times New Roman" w:eastAsia="Times New Roman" w:hAnsi="Times New Roman"/>
          <w:sz w:val="22"/>
          <w:szCs w:val="22"/>
          <w:u w:val="single" w:color="auto"/>
          <w:color w:val="auto"/>
        </w:rPr>
        <w:t>Seller</w:t>
      </w:r>
      <w:r>
        <w:rPr>
          <w:rFonts w:ascii="Times New Roman" w:cs="Times New Roman" w:eastAsia="Times New Roman" w:hAnsi="Times New Roman"/>
          <w:sz w:val="22"/>
          <w:szCs w:val="22"/>
          <w:color w:val="auto"/>
        </w:rPr>
        <w:t>” shall have the meaning set forth in the preamble.</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(fff)“</w:t>
      </w:r>
      <w:r>
        <w:rPr>
          <w:rFonts w:ascii="Times New Roman" w:cs="Times New Roman" w:eastAsia="Times New Roman" w:hAnsi="Times New Roman"/>
          <w:sz w:val="22"/>
          <w:szCs w:val="22"/>
          <w:u w:val="single" w:color="auto"/>
          <w:color w:val="auto"/>
        </w:rPr>
        <w:t>Seller Excess Joint Liability</w:t>
      </w:r>
      <w:r>
        <w:rPr>
          <w:rFonts w:ascii="Times New Roman" w:cs="Times New Roman" w:eastAsia="Times New Roman" w:hAnsi="Times New Roman"/>
          <w:sz w:val="22"/>
          <w:szCs w:val="22"/>
          <w:color w:val="auto"/>
        </w:rPr>
        <w:t>” shall have the meaning set forth in Section 7(c)(iv).</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(ggg)“</w:t>
      </w:r>
      <w:r>
        <w:rPr>
          <w:rFonts w:ascii="Times New Roman" w:cs="Times New Roman" w:eastAsia="Times New Roman" w:hAnsi="Times New Roman"/>
          <w:sz w:val="22"/>
          <w:szCs w:val="22"/>
          <w:u w:val="single" w:color="auto"/>
          <w:color w:val="auto"/>
        </w:rPr>
        <w:t>Seller’s Knowledge</w:t>
      </w:r>
      <w:r>
        <w:rPr>
          <w:rFonts w:ascii="Times New Roman" w:cs="Times New Roman" w:eastAsia="Times New Roman" w:hAnsi="Times New Roman"/>
          <w:sz w:val="22"/>
          <w:szCs w:val="22"/>
          <w:color w:val="auto"/>
        </w:rPr>
        <w:t>” shall mean the actual knowledge of [* * *].</w:t>
      </w:r>
    </w:p>
    <w:p>
      <w:pPr>
        <w:spacing w:after="0" w:line="20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(hhh)“</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shall mean all income, sales (including bulk sales), use, transfer (including real property transfers or gains), value added, withholding, filing, recording, ad valorem, privilege, documentary, gains, gross receipts, registration, conveyance, excise, license, stamp, duties or similar taxes or other governmental charges, together with any interest, additions or penalties with respect thereto.</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(iii)“</w:t>
      </w:r>
      <w:r>
        <w:rPr>
          <w:rFonts w:ascii="Times New Roman" w:cs="Times New Roman" w:eastAsia="Times New Roman" w:hAnsi="Times New Roman"/>
          <w:sz w:val="22"/>
          <w:szCs w:val="22"/>
          <w:u w:val="single" w:color="auto"/>
          <w:color w:val="auto"/>
        </w:rPr>
        <w:t>Third Party Claim</w:t>
      </w:r>
      <w:r>
        <w:rPr>
          <w:rFonts w:ascii="Times New Roman" w:cs="Times New Roman" w:eastAsia="Times New Roman" w:hAnsi="Times New Roman"/>
          <w:sz w:val="22"/>
          <w:szCs w:val="22"/>
          <w:color w:val="auto"/>
        </w:rPr>
        <w:t>” shall have the meaning set forth in Section 12(d)(i).</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(jjj)“</w:t>
      </w:r>
      <w:r>
        <w:rPr>
          <w:rFonts w:ascii="Times New Roman" w:cs="Times New Roman" w:eastAsia="Times New Roman" w:hAnsi="Times New Roman"/>
          <w:sz w:val="22"/>
          <w:szCs w:val="22"/>
          <w:u w:val="single" w:color="auto"/>
          <w:color w:val="auto"/>
        </w:rPr>
        <w:t>Threshold</w:t>
      </w:r>
      <w:r>
        <w:rPr>
          <w:rFonts w:ascii="Times New Roman" w:cs="Times New Roman" w:eastAsia="Times New Roman" w:hAnsi="Times New Roman"/>
          <w:sz w:val="22"/>
          <w:szCs w:val="22"/>
          <w:color w:val="auto"/>
        </w:rPr>
        <w:t>” shall have the meaning set forth in Section 12(c)(i) hereto.</w:t>
      </w:r>
    </w:p>
    <w:p>
      <w:pPr>
        <w:spacing w:after="0" w:line="20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(kkk)“</w:t>
      </w:r>
      <w:r>
        <w:rPr>
          <w:rFonts w:ascii="Times New Roman" w:cs="Times New Roman" w:eastAsia="Times New Roman" w:hAnsi="Times New Roman"/>
          <w:sz w:val="22"/>
          <w:szCs w:val="22"/>
          <w:u w:val="single" w:color="auto"/>
          <w:color w:val="auto"/>
        </w:rPr>
        <w:t>Transfer Taxes</w:t>
      </w:r>
      <w:r>
        <w:rPr>
          <w:rFonts w:ascii="Times New Roman" w:cs="Times New Roman" w:eastAsia="Times New Roman" w:hAnsi="Times New Roman"/>
          <w:sz w:val="22"/>
          <w:szCs w:val="22"/>
          <w:color w:val="auto"/>
        </w:rPr>
        <w:t>” shall mean all sales (including bulk sales), use, transfer (including real property transfers), value added, filing, recording, ad valorem, privilege, documentary, gains, gross receipts, registration, conveyance, excise, license, stamp, duties or similar Taxes or fees (other than any fees and expenses of a Manager or a Fund which shall be governed by Section 17(a)), together with any interest, additions or penalties with respect thereto, but for clarity shall not include any income, capital gains or similar taxes.</w:t>
      </w:r>
    </w:p>
    <w:p>
      <w:pPr>
        <w:spacing w:after="0" w:line="17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(lll)“</w:t>
      </w:r>
      <w:r>
        <w:rPr>
          <w:rFonts w:ascii="Times New Roman" w:cs="Times New Roman" w:eastAsia="Times New Roman" w:hAnsi="Times New Roman"/>
          <w:sz w:val="22"/>
          <w:szCs w:val="22"/>
          <w:u w:val="single" w:color="auto"/>
          <w:color w:val="auto"/>
        </w:rPr>
        <w:t>Treasury Regulations</w:t>
      </w:r>
      <w:r>
        <w:rPr>
          <w:rFonts w:ascii="Times New Roman" w:cs="Times New Roman" w:eastAsia="Times New Roman" w:hAnsi="Times New Roman"/>
          <w:sz w:val="22"/>
          <w:szCs w:val="22"/>
          <w:color w:val="auto"/>
        </w:rPr>
        <w:t>” shall mean the regulations, including temporary regulations, promulgated by the Department of Treasury under the Code, as such regulations are in effect from time to time.</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(mmm)“</w:t>
      </w:r>
      <w:r>
        <w:rPr>
          <w:rFonts w:ascii="Times New Roman" w:cs="Times New Roman" w:eastAsia="Times New Roman" w:hAnsi="Times New Roman"/>
          <w:sz w:val="22"/>
          <w:szCs w:val="22"/>
          <w:u w:val="single" w:color="auto"/>
          <w:color w:val="auto"/>
        </w:rPr>
        <w:t>Withholding Tax Refund</w:t>
      </w:r>
      <w:r>
        <w:rPr>
          <w:rFonts w:ascii="Times New Roman" w:cs="Times New Roman" w:eastAsia="Times New Roman" w:hAnsi="Times New Roman"/>
          <w:sz w:val="22"/>
          <w:szCs w:val="22"/>
          <w:color w:val="auto"/>
        </w:rPr>
        <w:t>” shall have the meaning set forth in Section 16(b).</w:t>
      </w:r>
    </w:p>
    <w:p>
      <w:pPr>
        <w:spacing w:after="0" w:line="202" w:lineRule="exact"/>
        <w:rPr>
          <w:sz w:val="20"/>
          <w:szCs w:val="20"/>
          <w:color w:val="auto"/>
        </w:rPr>
      </w:pPr>
    </w:p>
    <w:p>
      <w:pPr>
        <w:ind w:left="520" w:hanging="512"/>
        <w:spacing w:after="0"/>
        <w:tabs>
          <w:tab w:leader="none" w:pos="520" w:val="left"/>
        </w:tabs>
        <w:numPr>
          <w:ilvl w:val="0"/>
          <w:numId w:val="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Sale and Purchase of Interests.</w:t>
      </w:r>
    </w:p>
    <w:p>
      <w:pPr>
        <w:spacing w:after="0" w:line="210" w:lineRule="exact"/>
        <w:rPr>
          <w:rFonts w:ascii="Times New Roman" w:cs="Times New Roman" w:eastAsia="Times New Roman" w:hAnsi="Times New Roman"/>
          <w:sz w:val="22"/>
          <w:szCs w:val="22"/>
          <w:b w:val="1"/>
          <w:bCs w:val="1"/>
          <w:color w:val="auto"/>
        </w:rPr>
      </w:pPr>
    </w:p>
    <w:p>
      <w:pPr>
        <w:jc w:val="both"/>
        <w:ind w:firstLine="757"/>
        <w:spacing w:after="0" w:line="235" w:lineRule="auto"/>
        <w:tabs>
          <w:tab w:leader="none" w:pos="1018"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terms and conditions of this Purchase Agreement, and in reliance on the representations, warranties and agreements set forth in this Purchase Agreement, at the Closing with respect to each Interest, (a) the Seller shall sell, assign, transfer and deliver to Buyer free and clear of Liens except Permitted Liens, and Buyer shall purchase and acquire from the Seller, (i) all of the Seller’s right, title and interest in each such Interest and (ii) all of Seller’s other rights, claims and causes of actions under the relevant Portfolio Property Agreements, and (b) Buyer shall assume and perform from and after such Closing all liabilities, duties and obligations of the Seller with respect to such Interest under the Portfolio Property Agreements with respect to such Interest,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821055</wp:posOffset>
            </wp:positionV>
            <wp:extent cx="7157720" cy="4254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8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0" w:name="page151"/>
    <w:bookmarkEnd w:id="150"/>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except for Excluded Obligations. Each Interest to be sold, assigned and transferred by the Seller and purchased by Buyer is set forth on </w:t>
      </w:r>
      <w:r>
        <w:rPr>
          <w:rFonts w:ascii="Times New Roman" w:cs="Times New Roman" w:eastAsia="Times New Roman" w:hAnsi="Times New Roman"/>
          <w:sz w:val="22"/>
          <w:szCs w:val="22"/>
          <w:u w:val="single" w:color="auto"/>
          <w:color w:val="auto"/>
        </w:rPr>
        <w:t>Schedule I</w:t>
      </w:r>
      <w:r>
        <w:rPr>
          <w:rFonts w:ascii="Times New Roman" w:cs="Times New Roman" w:eastAsia="Times New Roman" w:hAnsi="Times New Roman"/>
          <w:sz w:val="22"/>
          <w:szCs w:val="22"/>
          <w:color w:val="auto"/>
        </w:rPr>
        <w:t xml:space="preserve"> hereto. At any time following the date hereof, upon an Interest (or portion thereof) becoming an Excluded Interest, such Interest (or applicable portion thereof constituting an Excluded Interest) shall be deemed removed from </w:t>
      </w:r>
      <w:r>
        <w:rPr>
          <w:rFonts w:ascii="Times New Roman" w:cs="Times New Roman" w:eastAsia="Times New Roman" w:hAnsi="Times New Roman"/>
          <w:sz w:val="22"/>
          <w:szCs w:val="22"/>
          <w:u w:val="single" w:color="auto"/>
          <w:color w:val="auto"/>
        </w:rPr>
        <w:t>Schedule I</w:t>
      </w:r>
      <w:r>
        <w:rPr>
          <w:rFonts w:ascii="Times New Roman" w:cs="Times New Roman" w:eastAsia="Times New Roman" w:hAnsi="Times New Roman"/>
          <w:sz w:val="22"/>
          <w:szCs w:val="22"/>
          <w:color w:val="auto"/>
        </w:rPr>
        <w:t xml:space="preserve"> hereto and shall no longer be subject to the sale and purchase contemplated hereby. Notwithstanding this Section 2, but subject to Section 7(b)(i), if at any time following the date hereof and prior to the Closing, an Interest or a portion thereof is converted into securities issued by another investment vehicle in connection with any Liquidity Opportunity, such securities shall be deemed to comprise part of such Interest and included on </w:t>
      </w:r>
      <w:r>
        <w:rPr>
          <w:rFonts w:ascii="Times New Roman" w:cs="Times New Roman" w:eastAsia="Times New Roman" w:hAnsi="Times New Roman"/>
          <w:sz w:val="22"/>
          <w:szCs w:val="22"/>
          <w:u w:val="single" w:color="auto"/>
          <w:color w:val="auto"/>
        </w:rPr>
        <w:t>Schedule I</w:t>
      </w:r>
      <w:r>
        <w:rPr>
          <w:rFonts w:ascii="Times New Roman" w:cs="Times New Roman" w:eastAsia="Times New Roman" w:hAnsi="Times New Roman"/>
          <w:sz w:val="22"/>
          <w:szCs w:val="22"/>
          <w:color w:val="auto"/>
        </w:rPr>
        <w:t xml:space="preserve"> hereto.</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(b)[* * *]</w:t>
      </w:r>
    </w:p>
    <w:p>
      <w:pPr>
        <w:spacing w:after="0" w:line="202" w:lineRule="exact"/>
        <w:rPr>
          <w:sz w:val="20"/>
          <w:szCs w:val="20"/>
          <w:color w:val="auto"/>
        </w:rPr>
      </w:pPr>
    </w:p>
    <w:p>
      <w:pPr>
        <w:ind w:left="520" w:hanging="512"/>
        <w:spacing w:after="0"/>
        <w:tabs>
          <w:tab w:leader="none" w:pos="520" w:val="left"/>
        </w:tabs>
        <w:numPr>
          <w:ilvl w:val="0"/>
          <w:numId w:val="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Closing.</w:t>
      </w:r>
    </w:p>
    <w:p>
      <w:pPr>
        <w:spacing w:after="0" w:line="210" w:lineRule="exact"/>
        <w:rPr>
          <w:rFonts w:ascii="Times New Roman" w:cs="Times New Roman" w:eastAsia="Times New Roman" w:hAnsi="Times New Roman"/>
          <w:sz w:val="22"/>
          <w:szCs w:val="22"/>
          <w:b w:val="1"/>
          <w:bCs w:val="1"/>
          <w:color w:val="auto"/>
        </w:rPr>
      </w:pPr>
    </w:p>
    <w:p>
      <w:pPr>
        <w:jc w:val="both"/>
        <w:ind w:firstLine="757"/>
        <w:spacing w:after="0" w:line="233" w:lineRule="auto"/>
        <w:tabs>
          <w:tab w:leader="none" w:pos="1018"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closing of the purchase and sale of each Interest as contemplated by this Purchase Agreement (in each case, a “</w:t>
      </w:r>
      <w:r>
        <w:rPr>
          <w:rFonts w:ascii="Times New Roman" w:cs="Times New Roman" w:eastAsia="Times New Roman" w:hAnsi="Times New Roman"/>
          <w:sz w:val="22"/>
          <w:szCs w:val="22"/>
          <w:u w:val="single" w:color="auto"/>
          <w:color w:val="auto"/>
        </w:rPr>
        <w:t>Closing</w:t>
      </w:r>
      <w:r>
        <w:rPr>
          <w:rFonts w:ascii="Times New Roman" w:cs="Times New Roman" w:eastAsia="Times New Roman" w:hAnsi="Times New Roman"/>
          <w:sz w:val="22"/>
          <w:szCs w:val="22"/>
          <w:color w:val="auto"/>
        </w:rPr>
        <w:t>”) shall take place via electronic delivery of executed documents, either (i) on such date as set forth in a Pre-Closing Notice delivered by Seller to Buyer, or (ii) on such date as Buyer and Seller may mutually agree, in each case after all the conditions set forth in Section 8 and Section 9 are satisfied or waived with respect to an Interest being transferred on such date (other than any such conditions which by their nature are to be satisfied at Closing but subject to their satisfaction or waiver at Closing) (in each case, a “</w:t>
      </w:r>
      <w:r>
        <w:rPr>
          <w:rFonts w:ascii="Times New Roman" w:cs="Times New Roman" w:eastAsia="Times New Roman" w:hAnsi="Times New Roman"/>
          <w:sz w:val="22"/>
          <w:szCs w:val="22"/>
          <w:u w:val="single" w:color="auto"/>
          <w:color w:val="auto"/>
        </w:rPr>
        <w:t>Closing Date</w:t>
      </w:r>
      <w:r>
        <w:rPr>
          <w:rFonts w:ascii="Times New Roman" w:cs="Times New Roman" w:eastAsia="Times New Roman" w:hAnsi="Times New Roman"/>
          <w:sz w:val="22"/>
          <w:szCs w:val="22"/>
          <w:color w:val="auto"/>
        </w:rPr>
        <w:t>”). If any condition in Section 8 or Section 9 is not satisfied in any respect or is not duly waived at such Closing, the party whose obligations are subject to such condition may extend the Closing Date but not past the Final Closing Deadline (during which extension the other party shall use all reasonable efforts to cause all such conditions to be satisfied in all respects). If all conditions are determined to be satisfied or are duly waived at a Closing (whether or not delayed), such Closing shall be consummated. Buyer and Seller agree that the purchase and sale of Portfolio Property contemplated by this Purchase Agreement may take place at more than one Closing on or prior to the Final Closing Deadline.</w:t>
      </w:r>
    </w:p>
    <w:p>
      <w:pPr>
        <w:spacing w:after="0" w:line="187"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 xml:space="preserve">(b)At least three (3) Business Days prior to each Closing, the Seller shall deliver to the Buyer a notice (which may be by electronic mail), substantially in the form of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hereto (a “</w:t>
      </w:r>
      <w:r>
        <w:rPr>
          <w:rFonts w:ascii="Times New Roman" w:cs="Times New Roman" w:eastAsia="Times New Roman" w:hAnsi="Times New Roman"/>
          <w:sz w:val="22"/>
          <w:szCs w:val="22"/>
          <w:u w:val="single" w:color="auto"/>
          <w:color w:val="auto"/>
        </w:rPr>
        <w:t>Pre-Closing Notice</w:t>
      </w:r>
      <w:r>
        <w:rPr>
          <w:rFonts w:ascii="Times New Roman" w:cs="Times New Roman" w:eastAsia="Times New Roman" w:hAnsi="Times New Roman"/>
          <w:sz w:val="22"/>
          <w:szCs w:val="22"/>
          <w:color w:val="auto"/>
        </w:rPr>
        <w:t>”) (i) specifying the related Closing Date, (ii) setting forth the calculation of the Interest Purchase Price of each Interest to be transferred on such Closing Date, including the aggregate amount of all Capital Contributions and Distributions included in such determination as set forth in Section 4 (subject to adjustment pursuant to Section 4(a)), and (iii) including wire instructions for the account(s) designated by the Seller to which such Interest Purchase Price shall be paid. Notwithstanding the foregoing, following the delivery to the Buyer of a Pre-Closing Notice with respect to any Closing, the Seller and the Buyer may, subject to the terms of this Purchase Agreement, mutually postpone the applicable Closing Date, and the Seller may update the Pre-Closing Notice in respect of any Capital Contributions and/or Distributions included in the calculation of the applicable Interest Purchase Price(s) by delivering to the Buyer prior to such Closing an additional Pre-Closing Notice that relates to the Portfolio Property to be transferred.</w:t>
      </w:r>
    </w:p>
    <w:p>
      <w:pPr>
        <w:spacing w:after="0" w:line="179" w:lineRule="exact"/>
        <w:rPr>
          <w:sz w:val="20"/>
          <w:szCs w:val="20"/>
          <w:color w:val="auto"/>
        </w:rPr>
      </w:pPr>
    </w:p>
    <w:p>
      <w:pPr>
        <w:ind w:firstLine="757"/>
        <w:spacing w:after="0" w:line="258" w:lineRule="auto"/>
        <w:tabs>
          <w:tab w:leader="none" w:pos="1018"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each Closing, Buyer shall deliver to the Seller (i) the Interest Purchase Price attributable to the Interests being transferred by the Seller in connection with such Closing,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821055</wp:posOffset>
            </wp:positionV>
            <wp:extent cx="7157720" cy="4254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8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1" w:name="page152"/>
    <w:bookmarkEnd w:id="151"/>
    <w:p>
      <w:pPr>
        <w:jc w:val="both"/>
        <w:spacing w:after="0" w:line="247" w:lineRule="auto"/>
        <w:rPr>
          <w:sz w:val="20"/>
          <w:szCs w:val="20"/>
          <w:color w:val="auto"/>
        </w:rPr>
      </w:pPr>
      <w:r>
        <w:rPr>
          <w:rFonts w:ascii="Times New Roman" w:cs="Times New Roman" w:eastAsia="Times New Roman" w:hAnsi="Times New Roman"/>
          <w:sz w:val="21"/>
          <w:szCs w:val="21"/>
          <w:color w:val="auto"/>
        </w:rPr>
        <w:t>determined and adjusted in accordance with Section 4 and net of any withholding taxes permitted to be deducted and withheld in accordance with Section 4(e), (ii) the certificates and other documents referred to in Section 8 to be delivered by Buyer as a condition to the consummation of the transactions contemplated under this Purchase Agreement, (iii) all executed assignment and assumption or transfer agreements with respect to the Interests being transferred to Buyer in connection with such Closing, and</w:t>
      </w:r>
    </w:p>
    <w:p>
      <w:pPr>
        <w:spacing w:after="0" w:line="2" w:lineRule="exact"/>
        <w:rPr>
          <w:sz w:val="20"/>
          <w:szCs w:val="20"/>
          <w:color w:val="auto"/>
        </w:rPr>
      </w:pPr>
    </w:p>
    <w:p>
      <w:pPr>
        <w:ind w:firstLine="8"/>
        <w:spacing w:after="0" w:line="237" w:lineRule="auto"/>
        <w:tabs>
          <w:tab w:leader="none" w:pos="372"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not theretofore delivered, all other instruments and documents required by the relevant Fund to be delivered by Buyer as a condition to the consummation of the transactions contemplated under this Purchase Agreement.</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(d)At each Closing, except as otherwise provided in Section 14, the Seller shall deliver or cause to be delivered to Buyer</w:t>
      </w:r>
    </w:p>
    <w:p>
      <w:pPr>
        <w:spacing w:after="0" w:line="26" w:lineRule="exact"/>
        <w:rPr>
          <w:sz w:val="20"/>
          <w:szCs w:val="20"/>
          <w:color w:val="auto"/>
        </w:rPr>
      </w:pPr>
    </w:p>
    <w:p>
      <w:pPr>
        <w:jc w:val="both"/>
        <w:ind w:firstLine="8"/>
        <w:spacing w:after="0" w:line="233" w:lineRule="auto"/>
        <w:tabs>
          <w:tab w:leader="none" w:pos="30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assignment and assumption or transfer agreements executed by Seller pursuant to which the Seller shall convey the Interests it is transferring to Buyer in connection with such Closing, (ii) the certificates and other documents referred to in Section 9 to be delivered by the Seller as a condition to the consummation of the transactions contemplated under this Purchase Agreement, and (iii) if not theretofore delivered, all other instruments and documents required by the relevant Fund to be delivered by Seller as a condition to the consummation of the transactions contemplated under this Purchase Agreement.</w:t>
      </w:r>
    </w:p>
    <w:p>
      <w:pPr>
        <w:spacing w:after="0" w:line="179" w:lineRule="exact"/>
        <w:rPr>
          <w:rFonts w:ascii="Times New Roman" w:cs="Times New Roman" w:eastAsia="Times New Roman" w:hAnsi="Times New Roman"/>
          <w:sz w:val="22"/>
          <w:szCs w:val="22"/>
          <w:color w:val="auto"/>
        </w:rPr>
      </w:pPr>
    </w:p>
    <w:p>
      <w:pPr>
        <w:jc w:val="both"/>
        <w:ind w:firstLine="757"/>
        <w:spacing w:after="0" w:line="232" w:lineRule="auto"/>
        <w:tabs>
          <w:tab w:leader="none" w:pos="1018"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each Closing with respect to an Interest, pursuant to the terms and conditions of this Purchase Agreement, and pursuant to the assignment and assumption or transfer agreement relating to such Interest being transferred in connection with such Closing, Buyer shall assume all of the obligations and liabilities, without limitation, of the Seller with respect to such Interest from and after such Closing under the applicable Portfolio Property Agreements with respect to such Interest, including, without limitation, the obligation to fund the unpaid portion of the Capital Commitment related to such Interest. Notwithstanding the foregoing, Buyer shall not assume, directly or indirectly, and shall not in any way be or become responsible for, and the Seller shall remain responsible for obligations or liabilities relating to each Interest (i) arising from the breach by the Seller of representations, warranties, or covenants made by the Seller under the relevant Portfolio Property Agreements with respect to such Interest, (ii) which arise, accrue or relate to the period prior to the Closing Date with respect to such Interest and result from acts or omissions of Seller (excluding any Remaining Capital Commitment or any action or omission taken or not taken with the consent of the Buyer), (iii) arising by operation of any Clawback Obligation with respect to such Interest, (iv) attributable to any Tax liabilities of Seller (1) relating to its ownership of such Interest up to and including the Closing Date with respect to such Interest or for which Seller has been or is after the Closing Date with respect to such Interest assessed as liable to pay by a governmental agency for any period up to and including the Closing Date (including any liabilities for withholding taxes with respect to distributions or allocations to Seller, any audit adjustments with respect to such Interest attributable to the period on or before the Closing Date, and any amounts paid by or imposed on an AIV or “blocker corporation” in respect of taxes attributable to the period on or before the Closing Date) or (2) relating to the sale by Seller of such Interest (including the portion of Transfer Taxes for such Interest borne by Seller pursuant to Section 10(c) and any withholding liability of Buyer to the U.S. Internal Revenue Service in connection with Sections 1445 and 1446(f) of the Code if any appropriate withholding was not made by Buyer at the applicable Closing although such withholding would be legally required) other than any Transfer Taxes assumed by Buyer pursuant to this Purchase Agreement), (v) relating to any Excluded Interest, (vi) with respect to the Interest pursuant to agreements entered</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821055</wp:posOffset>
            </wp:positionV>
            <wp:extent cx="7157720" cy="4254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8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2" w:name="page153"/>
    <w:bookmarkEnd w:id="152"/>
    <w:p>
      <w:pPr>
        <w:jc w:val="both"/>
        <w:spacing w:after="0" w:line="238" w:lineRule="auto"/>
        <w:rPr>
          <w:sz w:val="20"/>
          <w:szCs w:val="20"/>
          <w:color w:val="auto"/>
        </w:rPr>
      </w:pPr>
      <w:r>
        <w:rPr>
          <w:rFonts w:ascii="Times New Roman" w:cs="Times New Roman" w:eastAsia="Times New Roman" w:hAnsi="Times New Roman"/>
          <w:sz w:val="22"/>
          <w:szCs w:val="22"/>
          <w:color w:val="auto"/>
        </w:rPr>
        <w:t>into by Seller other than the Portfolio Property Agreements, and/or (vii) to pay (or make capital contributions for) or otherwise be responsible for any management fees, carried interest or equivalent payments that were due and payable under the relevant Portfolio Property Agreement governing the relevant Interest on or before the Cut Off Date, but payment of which was deferred or waived to a point in time after the Cut Off Date to the extent such deferred or waived amounts were not reflected as reductions in the Capital Account Balance of the relevant Fund as of the Cut Off Date (collectively, “</w:t>
      </w:r>
      <w:r>
        <w:rPr>
          <w:rFonts w:ascii="Times New Roman" w:cs="Times New Roman" w:eastAsia="Times New Roman" w:hAnsi="Times New Roman"/>
          <w:sz w:val="22"/>
          <w:szCs w:val="22"/>
          <w:u w:val="single" w:color="auto"/>
          <w:color w:val="auto"/>
        </w:rPr>
        <w:t>Excluded Obligations</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firstLine="757"/>
        <w:spacing w:after="0" w:line="235" w:lineRule="auto"/>
        <w:tabs>
          <w:tab w:leader="none" w:pos="1018"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Buyer acknowledges that certain Portfolio Contractual Rights and certain rights granted to the Seller by a Fund under a Portfolio Property Agreement or a side letter (or similar arrangement) may be specific to the Seller and may not be transferrable and that the grant of such rights to Buyer in connection with the Buyer’s purchase of an Interest pursuant to Purchase Agreement shall be subject to the consent of the Fund or its Manager, which consent may be granted or withheld in the Fund’s or Manager’s discretion. Buyer further acknowledges and agrees that failure to obtain such consent shall not (i) affect the Buyer’s obligations hereunder, (ii) entitle Buyer to any remedies under this Purchase Agreement or otherwise, or (iii) classify the relevant Interest as an Excluded Interest.</w:t>
      </w:r>
    </w:p>
    <w:p>
      <w:pPr>
        <w:spacing w:after="0" w:line="179" w:lineRule="exact"/>
        <w:rPr>
          <w:rFonts w:ascii="Times New Roman" w:cs="Times New Roman" w:eastAsia="Times New Roman" w:hAnsi="Times New Roman"/>
          <w:sz w:val="22"/>
          <w:szCs w:val="22"/>
          <w:color w:val="auto"/>
        </w:rPr>
      </w:pPr>
    </w:p>
    <w:p>
      <w:pPr>
        <w:ind w:left="520" w:hanging="512"/>
        <w:spacing w:after="0"/>
        <w:tabs>
          <w:tab w:leader="none" w:pos="520" w:val="left"/>
        </w:tabs>
        <w:numPr>
          <w:ilvl w:val="0"/>
          <w:numId w:val="8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Purchase Price.</w:t>
      </w:r>
    </w:p>
    <w:p>
      <w:pPr>
        <w:spacing w:after="0" w:line="210" w:lineRule="exact"/>
        <w:rPr>
          <w:rFonts w:ascii="Times New Roman" w:cs="Times New Roman" w:eastAsia="Times New Roman" w:hAnsi="Times New Roman"/>
          <w:sz w:val="22"/>
          <w:szCs w:val="22"/>
          <w:b w:val="1"/>
          <w:bCs w:val="1"/>
          <w:color w:val="auto"/>
        </w:rPr>
      </w:pPr>
    </w:p>
    <w:p>
      <w:pPr>
        <w:jc w:val="both"/>
        <w:ind w:firstLine="757"/>
        <w:spacing w:after="0" w:line="233" w:lineRule="auto"/>
        <w:tabs>
          <w:tab w:leader="none" w:pos="1018"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purchase price for each Interest (the “</w:t>
      </w:r>
      <w:r>
        <w:rPr>
          <w:rFonts w:ascii="Times New Roman" w:cs="Times New Roman" w:eastAsia="Times New Roman" w:hAnsi="Times New Roman"/>
          <w:sz w:val="22"/>
          <w:szCs w:val="22"/>
          <w:u w:val="single" w:color="auto"/>
          <w:color w:val="auto"/>
        </w:rPr>
        <w:t>Interest Purchase Price</w:t>
      </w:r>
      <w:r>
        <w:rPr>
          <w:rFonts w:ascii="Times New Roman" w:cs="Times New Roman" w:eastAsia="Times New Roman" w:hAnsi="Times New Roman"/>
          <w:sz w:val="22"/>
          <w:szCs w:val="22"/>
          <w:color w:val="auto"/>
        </w:rPr>
        <w:t xml:space="preserve">”) shall be equal to the amount in U.S. Dollars set forth opposite the name of the relevant Fund relating to such Interest on </w:t>
      </w:r>
      <w:r>
        <w:rPr>
          <w:rFonts w:ascii="Times New Roman" w:cs="Times New Roman" w:eastAsia="Times New Roman" w:hAnsi="Times New Roman"/>
          <w:sz w:val="22"/>
          <w:szCs w:val="22"/>
          <w:u w:val="single" w:color="auto"/>
          <w:color w:val="auto"/>
        </w:rPr>
        <w:t>Schedule I</w:t>
      </w:r>
      <w:r>
        <w:rPr>
          <w:rFonts w:ascii="Times New Roman" w:cs="Times New Roman" w:eastAsia="Times New Roman" w:hAnsi="Times New Roman"/>
          <w:sz w:val="22"/>
          <w:szCs w:val="22"/>
          <w:color w:val="auto"/>
        </w:rPr>
        <w:t xml:space="preserve"> under the heading “Purchase Price Allocation,” as increased or decreased in accordance with this Section 4(a). The Interest Purchase Price for an Interest transferred to Buyer by the Seller shall be adjusted as follows: (i) the Interest Purchase Price for such Interest shall be increased by an aggregate amount equal to the sum of all Capital Contributions to the relevant Fund with respect to such Interest, and (ii) the Interest Purchase Price for such Interest shall be reduced by an aggregate amount equal to the sum of all Distributions by the relevant Fund with respect to such Interest. No amount shall be payable in respect of any portion of any Interest that becomes an Excluded Interest (which means that the Interest Purchase Price for an Interest shall be proportionately reduced to reflect the portion of such Interest that becomes an Excluded Interest). In the event that the amount set forth under the column “Purchase Price Allocation (in Fund Currency)” on </w:t>
      </w:r>
      <w:r>
        <w:rPr>
          <w:rFonts w:ascii="Times New Roman" w:cs="Times New Roman" w:eastAsia="Times New Roman" w:hAnsi="Times New Roman"/>
          <w:sz w:val="22"/>
          <w:szCs w:val="22"/>
          <w:u w:val="single" w:color="auto"/>
          <w:color w:val="auto"/>
        </w:rPr>
        <w:t>Schedule I</w:t>
      </w:r>
      <w:r>
        <w:rPr>
          <w:rFonts w:ascii="Times New Roman" w:cs="Times New Roman" w:eastAsia="Times New Roman" w:hAnsi="Times New Roman"/>
          <w:sz w:val="22"/>
          <w:szCs w:val="22"/>
          <w:color w:val="auto"/>
        </w:rPr>
        <w:t xml:space="preserve"> with respect to any Interest is not denominated in U.S. Dollars, such amount will be converted into U.S. Dollars at the Exchange Rate on the applicable Cut Off Date with respect thereto as set forth under the column “Purchase Price Allocation (in U.S. Dollars)” on </w:t>
      </w:r>
      <w:r>
        <w:rPr>
          <w:rFonts w:ascii="Times New Roman" w:cs="Times New Roman" w:eastAsia="Times New Roman" w:hAnsi="Times New Roman"/>
          <w:sz w:val="22"/>
          <w:szCs w:val="22"/>
          <w:u w:val="single" w:color="auto"/>
          <w:color w:val="auto"/>
        </w:rPr>
        <w:t>Schedule I</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1"/>
          <w:szCs w:val="21"/>
          <w:color w:val="auto"/>
        </w:rPr>
        <w:t xml:space="preserve">(b)On each Closing Date, Buyer shall pay the Seller the applicable Interest Purchase Price related to each Interest being sold by Seller to Buyer on such Closing Date in U.S. Dollars, as set forth in the Pre-Closing Notice. Such payments shall be made in U.S. Dollars by wire transfer of immediately available funds (and gross of any of Buyer’s wiring, banking or similar expenses) to the Seller’s account designated on </w:t>
      </w:r>
      <w:r>
        <w:rPr>
          <w:rFonts w:ascii="Times New Roman" w:cs="Times New Roman" w:eastAsia="Times New Roman" w:hAnsi="Times New Roman"/>
          <w:sz w:val="21"/>
          <w:szCs w:val="21"/>
          <w:u w:val="single" w:color="auto"/>
          <w:color w:val="auto"/>
        </w:rPr>
        <w:t>Schedule III</w:t>
      </w:r>
      <w:r>
        <w:rPr>
          <w:rFonts w:ascii="Times New Roman" w:cs="Times New Roman" w:eastAsia="Times New Roman" w:hAnsi="Times New Roman"/>
          <w:sz w:val="21"/>
          <w:szCs w:val="21"/>
          <w:color w:val="auto"/>
        </w:rPr>
        <w:t xml:space="preserve"> (or to the Seller’s account designated in the Pre-Closing Notice, if different).</w:t>
      </w:r>
    </w:p>
    <w:p>
      <w:pPr>
        <w:spacing w:after="0" w:line="162" w:lineRule="exact"/>
        <w:rPr>
          <w:sz w:val="20"/>
          <w:szCs w:val="20"/>
          <w:color w:val="auto"/>
        </w:rPr>
      </w:pPr>
    </w:p>
    <w:p>
      <w:pPr>
        <w:ind w:firstLine="757"/>
        <w:spacing w:after="0" w:line="258" w:lineRule="auto"/>
        <w:tabs>
          <w:tab w:leader="none" w:pos="1018"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amounts payable at any Closing by Buyer in respect of the Interest to be purchased by, and transferred and assigned by the Seller to, the Buyer at such Closing shall be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821055</wp:posOffset>
            </wp:positionV>
            <wp:extent cx="7157720" cy="4254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8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3" w:name="page154"/>
    <w:bookmarkEnd w:id="153"/>
    <w:p>
      <w:pPr>
        <w:jc w:val="both"/>
        <w:spacing w:after="0" w:line="244" w:lineRule="auto"/>
        <w:rPr>
          <w:sz w:val="20"/>
          <w:szCs w:val="20"/>
          <w:color w:val="auto"/>
        </w:rPr>
      </w:pPr>
      <w:r>
        <w:rPr>
          <w:rFonts w:ascii="Times New Roman" w:cs="Times New Roman" w:eastAsia="Times New Roman" w:hAnsi="Times New Roman"/>
          <w:sz w:val="22"/>
          <w:szCs w:val="22"/>
          <w:color w:val="auto"/>
        </w:rPr>
        <w:t>calculated by the Seller in accordance with the principles expressed in Section 4(a) on the basis of the information available to the Seller at the time of calculation, and the amount of any adjustment thereto which is payable after such Closing shall be calculated in accordance with the principles of Section 4(d).</w:t>
      </w:r>
    </w:p>
    <w:p>
      <w:pPr>
        <w:spacing w:after="0" w:line="173"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(d)In the event that, within forty five (45) days after any Closing with respect to any Interest, Seller or Buyer becomes aware that the Interest Purchase Price paid by Buyer with respect to such Interest transferred to Buyer as of such Closing (the “</w:t>
      </w:r>
      <w:r>
        <w:rPr>
          <w:rFonts w:ascii="Times New Roman" w:cs="Times New Roman" w:eastAsia="Times New Roman" w:hAnsi="Times New Roman"/>
          <w:sz w:val="22"/>
          <w:szCs w:val="22"/>
          <w:u w:val="single" w:color="auto"/>
          <w:color w:val="auto"/>
        </w:rPr>
        <w:t>Estimated Interest Purchase Price</w:t>
      </w:r>
      <w:r>
        <w:rPr>
          <w:rFonts w:ascii="Times New Roman" w:cs="Times New Roman" w:eastAsia="Times New Roman" w:hAnsi="Times New Roman"/>
          <w:sz w:val="22"/>
          <w:szCs w:val="22"/>
          <w:color w:val="auto"/>
        </w:rPr>
        <w:t>”) is less than or more than the Interest Purchase Price with respect to such Interest that should have been paid had Buyer and the Seller been aware of all Capital Contributions with respect to such Interest paid and Distributions with respect to such Interest received after the Cut Off Date and on or prior to such Closing (the “</w:t>
      </w:r>
      <w:r>
        <w:rPr>
          <w:rFonts w:ascii="Times New Roman" w:cs="Times New Roman" w:eastAsia="Times New Roman" w:hAnsi="Times New Roman"/>
          <w:sz w:val="22"/>
          <w:szCs w:val="22"/>
          <w:u w:val="single" w:color="auto"/>
          <w:color w:val="auto"/>
        </w:rPr>
        <w:t>Revised Interest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Purchase Price</w:t>
      </w:r>
      <w:r>
        <w:rPr>
          <w:rFonts w:ascii="Times New Roman" w:cs="Times New Roman" w:eastAsia="Times New Roman" w:hAnsi="Times New Roman"/>
          <w:sz w:val="22"/>
          <w:szCs w:val="22"/>
          <w:color w:val="auto"/>
        </w:rPr>
        <w:t>”), then Seller shall notify Buyer or Buyer shall notify Seller, as applicable, in writing thereof, in which case:</w:t>
      </w:r>
    </w:p>
    <w:p>
      <w:pPr>
        <w:spacing w:after="0" w:line="181" w:lineRule="exact"/>
        <w:rPr>
          <w:sz w:val="20"/>
          <w:szCs w:val="20"/>
          <w:color w:val="auto"/>
        </w:rPr>
      </w:pPr>
    </w:p>
    <w:p>
      <w:pPr>
        <w:jc w:val="both"/>
        <w:ind w:firstLine="1505"/>
        <w:spacing w:after="0" w:line="255" w:lineRule="auto"/>
        <w:tabs>
          <w:tab w:leader="none" w:pos="2036" w:val="left"/>
        </w:tabs>
        <w:numPr>
          <w:ilvl w:val="1"/>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the Revised Interest Purchase Price with respect to such Interest is more than the Estimated Interest Purchase Price with respect to such Interest, the Buyer shall within twenty (20) days after such notice pay to the Seller an amount equal to the underpayment by wire transfer of immediately available funds in U.S. Dollars to the bank account designated by the Seller on </w:t>
      </w:r>
      <w:r>
        <w:rPr>
          <w:rFonts w:ascii="Times New Roman" w:cs="Times New Roman" w:eastAsia="Times New Roman" w:hAnsi="Times New Roman"/>
          <w:sz w:val="21"/>
          <w:szCs w:val="21"/>
          <w:u w:val="single" w:color="auto"/>
          <w:color w:val="auto"/>
        </w:rPr>
        <w:t>Schedule III</w:t>
      </w:r>
      <w:r>
        <w:rPr>
          <w:rFonts w:ascii="Times New Roman" w:cs="Times New Roman" w:eastAsia="Times New Roman" w:hAnsi="Times New Roman"/>
          <w:sz w:val="21"/>
          <w:szCs w:val="21"/>
          <w:color w:val="auto"/>
        </w:rPr>
        <w:t xml:space="preserve"> (or to the Seller’s account designated in the applicable Pre-Closing Notice, if different); and</w:t>
      </w:r>
    </w:p>
    <w:p>
      <w:pPr>
        <w:spacing w:after="0" w:line="161" w:lineRule="exact"/>
        <w:rPr>
          <w:rFonts w:ascii="Times New Roman" w:cs="Times New Roman" w:eastAsia="Times New Roman" w:hAnsi="Times New Roman"/>
          <w:sz w:val="21"/>
          <w:szCs w:val="21"/>
          <w:color w:val="auto"/>
        </w:rPr>
      </w:pPr>
    </w:p>
    <w:p>
      <w:pPr>
        <w:jc w:val="both"/>
        <w:ind w:firstLine="1505"/>
        <w:spacing w:after="0" w:line="239" w:lineRule="auto"/>
        <w:tabs>
          <w:tab w:leader="none" w:pos="2036"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Revised Interest Purchase Price with respect to such Interest is less than the Estimated Interest Purchase Price with respect to such Interest, the Seller shall within twenty (20) days after such notice pay to the Buyer an amount equal to the overpayment by wire transfer of immediately available funds in U.S. Dollars to the bank account designated by Buyer to the Seller.</w:t>
      </w:r>
    </w:p>
    <w:p>
      <w:pPr>
        <w:spacing w:after="0" w:line="180" w:lineRule="exact"/>
        <w:rPr>
          <w:rFonts w:ascii="Times New Roman" w:cs="Times New Roman" w:eastAsia="Times New Roman" w:hAnsi="Times New Roman"/>
          <w:sz w:val="22"/>
          <w:szCs w:val="22"/>
          <w:color w:val="auto"/>
        </w:rPr>
      </w:pPr>
    </w:p>
    <w:p>
      <w:pPr>
        <w:jc w:val="both"/>
        <w:ind w:firstLine="757"/>
        <w:spacing w:after="0" w:line="233" w:lineRule="auto"/>
        <w:tabs>
          <w:tab w:leader="none" w:pos="1018"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in this Purchase Agreement to the contrary, Buyer shall be not deduct and withhold any amounts from any payment pursuant to this Purchase Agreement except to the extent Buyer is required to deduct and withhold such amounts under applicable law. Any amounts deducted or withheld in accordance with this Purchase Agreement and paid over to the appropriate governmental authority shall be considered for all purposes of this Purchase Agreement as having been paid to the applicable person in respect of which such deduction or withholding was made. Buyer shall use commercially reasonable efforts to cooperate with Seller to minimize or reduce any withholding or deduction of Taxes or other governmental charges (to the extent such withholding or deduction is required by law) and shall use commercially reasonable efforts to provide Seller with written notice of such required withholding or deduction as promptly as commercially practicable after becoming aware of such requirement, in each case other than any withholding that is resulting from the failure to provide a certificate referred to in Section 9(h). Notwithstanding anything to the contrary in this Purchase Agreement, Buyer shall not withhold on any amounts payable to Seller with respect to an Interest pursuant to Sections 1445 or 1446(f) of the Code to the extent that Seller provides to Buyer a duly executed and properly completed U.S. Internal Revenue Service Form W-9 pursuant to Section 9(h).</w:t>
      </w:r>
    </w:p>
    <w:p>
      <w:pPr>
        <w:spacing w:after="0" w:line="182" w:lineRule="exact"/>
        <w:rPr>
          <w:rFonts w:ascii="Times New Roman" w:cs="Times New Roman" w:eastAsia="Times New Roman" w:hAnsi="Times New Roman"/>
          <w:sz w:val="22"/>
          <w:szCs w:val="22"/>
          <w:color w:val="auto"/>
        </w:rPr>
      </w:pPr>
    </w:p>
    <w:p>
      <w:pPr>
        <w:ind w:firstLine="757"/>
        <w:spacing w:after="0" w:line="258" w:lineRule="auto"/>
        <w:tabs>
          <w:tab w:leader="none" w:pos="1018"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Seller and Buyer agree to file all tax returns in a manner consistent with the allocation of the Interest Purchase Prices set forth in </w:t>
      </w:r>
      <w:r>
        <w:rPr>
          <w:rFonts w:ascii="Times New Roman" w:cs="Times New Roman" w:eastAsia="Times New Roman" w:hAnsi="Times New Roman"/>
          <w:sz w:val="22"/>
          <w:szCs w:val="22"/>
          <w:u w:val="single" w:color="auto"/>
          <w:color w:val="auto"/>
        </w:rPr>
        <w:t>Schedule I</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821055</wp:posOffset>
            </wp:positionV>
            <wp:extent cx="7157720" cy="4254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8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4" w:name="page155"/>
    <w:bookmarkEnd w:id="154"/>
    <w:p>
      <w:pPr>
        <w:ind w:left="520" w:hanging="512"/>
        <w:spacing w:after="0"/>
        <w:tabs>
          <w:tab w:leader="none" w:pos="520" w:val="left"/>
        </w:tabs>
        <w:numPr>
          <w:ilvl w:val="0"/>
          <w:numId w:val="9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Representations and Warranties of the Seller.</w:t>
      </w:r>
    </w:p>
    <w:p>
      <w:pPr>
        <w:spacing w:after="0" w:line="210"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The Seller hereby represents and warrants to Buyer, as of the date of this Purchase Agreement and as of each Closing Date, as follows:</w:t>
      </w:r>
    </w:p>
    <w:p>
      <w:pPr>
        <w:spacing w:after="0" w:line="158" w:lineRule="exact"/>
        <w:rPr>
          <w:sz w:val="20"/>
          <w:szCs w:val="20"/>
          <w:color w:val="auto"/>
        </w:rPr>
      </w:pPr>
    </w:p>
    <w:p>
      <w:pPr>
        <w:jc w:val="both"/>
        <w:ind w:firstLine="757"/>
        <w:spacing w:after="0" w:line="233" w:lineRule="auto"/>
        <w:tabs>
          <w:tab w:leader="none" w:pos="1018"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Authorization</w:t>
      </w:r>
      <w:r>
        <w:rPr>
          <w:rFonts w:ascii="Times New Roman" w:cs="Times New Roman" w:eastAsia="Times New Roman" w:hAnsi="Times New Roman"/>
          <w:sz w:val="22"/>
          <w:szCs w:val="22"/>
          <w:color w:val="auto"/>
        </w:rPr>
        <w:t>. The Seller is an entity duly organized and validly existing in good standing under the laws of its jurisdiction of formation. The Seller has the requisite power and authority to enter into, execute and deliver this Purchase Agreement and each of the Additional Seller’s Documents to which it is a party and, upon receipt of the applicable Approvals, to perform all of the obligations to be performed by it hereunder and thereunder. The execution and delivery by the Seller of this Purchase Agreement and each of the Additional Seller’s Documents to which it is a party and the consummation of the transactions contemplated hereby and thereby have been duly and validly authorized by all necessary action on the part of the Seller. This Purchase Agreement has been, and each of the Additional Seller’s Documents to which it is a party will have been at the applicable Closing, duly executed and delivered by it, and this Purchase Agreement constitutes, and each of the Additional Seller’s Documents to which it is a party will constitute at the applicable Closing, the valid and binding obligation of the Seller, enforceable against it in accordance with their respective terms, subject to applicable bankruptcy, insolvency, reorganization and moratorium laws and other laws of general application affecting enforcement of creditors’ rights generally.</w:t>
      </w:r>
    </w:p>
    <w:p>
      <w:pPr>
        <w:spacing w:after="0" w:line="187" w:lineRule="exact"/>
        <w:rPr>
          <w:rFonts w:ascii="Times New Roman" w:cs="Times New Roman" w:eastAsia="Times New Roman" w:hAnsi="Times New Roman"/>
          <w:sz w:val="22"/>
          <w:szCs w:val="22"/>
          <w:color w:val="auto"/>
        </w:rPr>
      </w:pPr>
    </w:p>
    <w:p>
      <w:pPr>
        <w:jc w:val="both"/>
        <w:ind w:firstLine="757"/>
        <w:spacing w:after="0" w:line="236" w:lineRule="auto"/>
        <w:tabs>
          <w:tab w:leader="none" w:pos="1018"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Title to Interest</w:t>
      </w:r>
      <w:r>
        <w:rPr>
          <w:rFonts w:ascii="Times New Roman" w:cs="Times New Roman" w:eastAsia="Times New Roman" w:hAnsi="Times New Roman"/>
          <w:sz w:val="22"/>
          <w:szCs w:val="22"/>
          <w:color w:val="auto"/>
        </w:rPr>
        <w:t>. The Seller is the legal and beneficial owner of all right, title and interest in and to the Portfolio Property to be transferred by Seller to Buyer at the Closing, free and clear of all Liens other than Permitted Liens. Seller was the original purchaser of each Interest from the applicable Fund and has been the legal and beneficial owner of each Interest since the date on which it purchased such Interest from the applicable Fund. Except as otherwise required in Section 14, upon delivery of an Interest to Buyer and payment to the Seller of the Interest Purchase Price (as adjusted in accordance with Section 4) for such Interest, Buyer will acquire such Interest free and clear of all Liens other than Permitted Liens.</w:t>
      </w:r>
    </w:p>
    <w:p>
      <w:pPr>
        <w:spacing w:after="0" w:line="181" w:lineRule="exact"/>
        <w:rPr>
          <w:rFonts w:ascii="Times New Roman" w:cs="Times New Roman" w:eastAsia="Times New Roman" w:hAnsi="Times New Roman"/>
          <w:sz w:val="22"/>
          <w:szCs w:val="22"/>
          <w:color w:val="auto"/>
        </w:rPr>
      </w:pPr>
    </w:p>
    <w:p>
      <w:pPr>
        <w:jc w:val="both"/>
        <w:ind w:firstLine="757"/>
        <w:spacing w:after="0" w:line="233" w:lineRule="auto"/>
        <w:tabs>
          <w:tab w:leader="none" w:pos="1018"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Conflicts</w:t>
      </w:r>
      <w:r>
        <w:rPr>
          <w:rFonts w:ascii="Times New Roman" w:cs="Times New Roman" w:eastAsia="Times New Roman" w:hAnsi="Times New Roman"/>
          <w:sz w:val="22"/>
          <w:szCs w:val="22"/>
          <w:color w:val="auto"/>
        </w:rPr>
        <w:t>. Neither the execution and delivery of this Purchase Agreement or the Additional Seller’s Documents to which it is a party nor the performance or consummation of the transactions contemplated hereby or thereby by the Seller will conflict with, result in the breach of, or constitute a default under or accelerate the performance required by the terms of: (i) any law, rule or regulation of any government or governmental or regulatory agency applicable to the Seller; (ii) any judgment, order, writ, decree, permit or license of any court or governmental or regulatory agency to which the Seller is subject; (iii) subject to obtaining the Approvals, any Portfolio Property Agreement or other contract, agreement, commitment or instrument to which Seller is a party or by which it or any of its assets is bound; or (iv) Seller’s constituent documents or other governing instruments (or constitute an event which, with the passage of time or action by a third party, would result in any of the foregoing). Except for the Approvals, execution and delivery of this Purchase Agreement and the Additional Seller’s Documents by the Seller and the performance and consummation of the transactions contemplated hereby or thereby do not require any registration, filing, qualification, consent or approval under any such law, rule, regulation, judgment, order, writ, decree, permit or license to which the Seller is subject.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821055</wp:posOffset>
            </wp:positionV>
            <wp:extent cx="7157720" cy="4254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8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55" w:name="page156"/>
    <w:bookmarkEnd w:id="155"/>
    <w:p>
      <w:pPr>
        <w:ind w:left="1020" w:hanging="263"/>
        <w:spacing w:after="0"/>
        <w:tabs>
          <w:tab w:leader="none" w:pos="102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Agreements and Commitments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505"/>
        <w:spacing w:after="0" w:line="234" w:lineRule="auto"/>
        <w:tabs>
          <w:tab w:leader="none" w:pos="2036"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Seller’s Knowledge, the Seller has furnished to Buyer copies of all Portfolio Property Agreements relating to the Interests that are in the Seller’s actual possession. Other than this Purchase Agreement, the Additional Seller’s Documents to which it is a party, the subscription agreements, partnership agreements (in the case of limited partnerships or similar structures), operating agreements and limited liability company agreements (in the case of limited liability companies or similar structures), and memorandums or articles of incorporation, bylaws, and shareholders agreements (in the case of corporations or similar structures), in each case, as amended, modified or supplemented and in effect, any side letter, letter agreement or similar agreement pertaining to the Portfolio Property to which the Seller is a party, and any documents referenced in any of the foregoing, the Seller, to Seller’s Knowledge, is not a party to any other contract, agreement or commitment with respect to the Interests that adversely affects the Interests.</w:t>
      </w:r>
    </w:p>
    <w:p>
      <w:pPr>
        <w:spacing w:after="0" w:line="183" w:lineRule="exact"/>
        <w:rPr>
          <w:rFonts w:ascii="Times New Roman" w:cs="Times New Roman" w:eastAsia="Times New Roman" w:hAnsi="Times New Roman"/>
          <w:sz w:val="22"/>
          <w:szCs w:val="22"/>
          <w:color w:val="auto"/>
        </w:rPr>
      </w:pPr>
    </w:p>
    <w:p>
      <w:pPr>
        <w:jc w:val="both"/>
        <w:ind w:firstLine="1505"/>
        <w:spacing w:after="0" w:line="236" w:lineRule="auto"/>
        <w:tabs>
          <w:tab w:leader="none" w:pos="2036"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has timely contributed to the capital of the Funds with respect to the Interests all amounts which it was required to contribute pursuant to capital calls or any other notices issued in accordance with the terms of the applicable Portfolio Property Agreements and the Seller has paid all management fees due and payable by it pursuant to capital calls or any other notices issued in accordance with the terms of the relevant Portfolio Property Agreements. Except for the Capital Commitments Seller has not made any voluntary capital contributions to any of the Funds in which it owns an Interest nor have any been made on behalf of it.</w:t>
      </w:r>
    </w:p>
    <w:p>
      <w:pPr>
        <w:spacing w:after="0" w:line="181" w:lineRule="exact"/>
        <w:rPr>
          <w:rFonts w:ascii="Times New Roman" w:cs="Times New Roman" w:eastAsia="Times New Roman" w:hAnsi="Times New Roman"/>
          <w:sz w:val="22"/>
          <w:szCs w:val="22"/>
          <w:color w:val="auto"/>
        </w:rPr>
      </w:pPr>
    </w:p>
    <w:p>
      <w:pPr>
        <w:jc w:val="both"/>
        <w:ind w:firstLine="1505"/>
        <w:spacing w:after="0" w:line="235" w:lineRule="auto"/>
        <w:tabs>
          <w:tab w:leader="none" w:pos="2036"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(A) has not received written notice from any Fund (or its Manager) since the Cut Off Date that the Seller is actually required to return any Distributions or portions of Distributions previously received by it from such Fund pursuant to a Clawback Obligation, (B) is not in default under or in breach of any Portfolio Property Agreement related to such Fund, nor to Seller’s Knowledge is there any reasonable basis for any valid claim of such a default or breach, and (C) has participated in each investment made by the Funds and has not opted out or been excluded, voluntarily or, to the Seller’s Knowledge, involuntarily, from any investment of any Fund pursuant to the terms of any Portfolio Property Agreement or otherwise.</w:t>
      </w:r>
    </w:p>
    <w:p>
      <w:pPr>
        <w:spacing w:after="0" w:line="183"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has not made any loan to, or guaranteed any indebtedness of, any Fund.</w:t>
      </w:r>
    </w:p>
    <w:p>
      <w:pPr>
        <w:spacing w:after="0" w:line="206"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set forth in the Portfolio Property Agreements, Seller has not granted any person any option, call, warrant, commitment or right of any character whatsoever to acquire an interest in any Fund that would reduce Seller’s percentage ownership in such Fund.</w:t>
      </w:r>
    </w:p>
    <w:p>
      <w:pPr>
        <w:spacing w:after="0" w:line="173" w:lineRule="exact"/>
        <w:rPr>
          <w:rFonts w:ascii="Times New Roman" w:cs="Times New Roman" w:eastAsia="Times New Roman" w:hAnsi="Times New Roman"/>
          <w:sz w:val="22"/>
          <w:szCs w:val="22"/>
          <w:color w:val="auto"/>
        </w:rPr>
      </w:pPr>
    </w:p>
    <w:p>
      <w:pPr>
        <w:jc w:val="both"/>
        <w:ind w:firstLine="757"/>
        <w:spacing w:after="0" w:line="236" w:lineRule="auto"/>
        <w:tabs>
          <w:tab w:leader="none" w:pos="1018"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Litigation</w:t>
      </w:r>
      <w:r>
        <w:rPr>
          <w:rFonts w:ascii="Times New Roman" w:cs="Times New Roman" w:eastAsia="Times New Roman" w:hAnsi="Times New Roman"/>
          <w:sz w:val="22"/>
          <w:szCs w:val="22"/>
          <w:color w:val="auto"/>
        </w:rPr>
        <w:t>. There is no action, suit, claim, proceeding, arbitration or governmental inquiry or investigation pending or, to the Seller’s Knowledge, threatened against Seller, at law or in equity, before or by any governmental or regulatory department, commission, board, bureau, agency or instrumentality, domestic or foreign, which, if adversely determined, would question the validity of, or prevent the consummation of, the transactions contemplated by this Purchase Agreement or materially and adversely affect such transactions or the Interests. There is no action or suit by the Seller pending or threatened against any Fund, any Manager or other person or entity relating to the Interests.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821055</wp:posOffset>
            </wp:positionV>
            <wp:extent cx="7157720" cy="4254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8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6" w:name="page157"/>
    <w:bookmarkEnd w:id="156"/>
    <w:p>
      <w:pPr>
        <w:jc w:val="both"/>
        <w:ind w:firstLine="757"/>
        <w:spacing w:after="0" w:line="239" w:lineRule="auto"/>
        <w:tabs>
          <w:tab w:leader="none" w:pos="1018"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Brokers</w:t>
      </w:r>
      <w:r>
        <w:rPr>
          <w:rFonts w:ascii="Times New Roman" w:cs="Times New Roman" w:eastAsia="Times New Roman" w:hAnsi="Times New Roman"/>
          <w:sz w:val="22"/>
          <w:szCs w:val="22"/>
          <w:color w:val="auto"/>
        </w:rPr>
        <w:t>. Except with respect to Campbell Lutyens, the fees and expenses of which shall be paid by the Seller, the Seller has not, directly or indirectly, dealt with anyone acting in the capacity of a finder or broker, nor has the Seller incurred any obligations for any finder’s or broker’s fee or commission, in connection with the transactions contemplated by this Purchase Agreement.</w:t>
      </w:r>
    </w:p>
    <w:p>
      <w:pPr>
        <w:spacing w:after="0" w:line="180" w:lineRule="exact"/>
        <w:rPr>
          <w:rFonts w:ascii="Times New Roman" w:cs="Times New Roman" w:eastAsia="Times New Roman" w:hAnsi="Times New Roman"/>
          <w:sz w:val="22"/>
          <w:szCs w:val="22"/>
          <w:color w:val="auto"/>
        </w:rPr>
      </w:pPr>
    </w:p>
    <w:p>
      <w:pPr>
        <w:jc w:val="both"/>
        <w:ind w:firstLine="757"/>
        <w:spacing w:after="0" w:line="241" w:lineRule="auto"/>
        <w:tabs>
          <w:tab w:leader="none" w:pos="1018"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Lists of Distributions, Commitments, etc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Schedule I</w:t>
      </w:r>
      <w:r>
        <w:rPr>
          <w:rFonts w:ascii="Times New Roman" w:cs="Times New Roman" w:eastAsia="Times New Roman" w:hAnsi="Times New Roman"/>
          <w:sz w:val="22"/>
          <w:szCs w:val="22"/>
          <w:color w:val="auto"/>
        </w:rPr>
        <w:t xml:space="preserve"> contains true and accurate lists of (i) based upon information provided by the applicable Managers, the amount of the Capital Account Balance of Seller in each Fund as of the Cut Off Date;</w:t>
      </w:r>
    </w:p>
    <w:p>
      <w:pPr>
        <w:spacing w:after="0" w:line="1" w:lineRule="exact"/>
        <w:rPr>
          <w:rFonts w:ascii="Times New Roman" w:cs="Times New Roman" w:eastAsia="Times New Roman" w:hAnsi="Times New Roman"/>
          <w:sz w:val="22"/>
          <w:szCs w:val="22"/>
          <w:color w:val="auto"/>
        </w:rPr>
      </w:pPr>
    </w:p>
    <w:p>
      <w:pPr>
        <w:jc w:val="both"/>
        <w:ind w:firstLine="8"/>
        <w:spacing w:after="0" w:line="232" w:lineRule="auto"/>
        <w:tabs>
          <w:tab w:leader="none" w:pos="32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amount of the Capital Commitment of Seller to the Funds (excluding, for the avoidance of doubt, any separate obligations under the Portfolio Property Agreements, if any, to pay any fees or expenses to the Funds or the Managers); and (iii) based upon information provided by the applicable Managers, the Remaining Capital Commitment of Seller to each Fund (excluding, for the avoidance of doubt, any separate obligations under the Portfolio Property Agreements, if any, to pay any fees or expenses to the Funds or the Managers). </w:t>
      </w:r>
      <w:r>
        <w:rPr>
          <w:rFonts w:ascii="Times New Roman" w:cs="Times New Roman" w:eastAsia="Times New Roman" w:hAnsi="Times New Roman"/>
          <w:sz w:val="22"/>
          <w:szCs w:val="22"/>
          <w:u w:val="single" w:color="auto"/>
          <w:color w:val="auto"/>
        </w:rPr>
        <w:t>Schedule II</w:t>
      </w:r>
      <w:r>
        <w:rPr>
          <w:rFonts w:ascii="Times New Roman" w:cs="Times New Roman" w:eastAsia="Times New Roman" w:hAnsi="Times New Roman"/>
          <w:sz w:val="22"/>
          <w:szCs w:val="22"/>
          <w:color w:val="auto"/>
        </w:rPr>
        <w:t xml:space="preserve"> (as may be amended, including without limitation, pursuant to any Pre-Closing Notice) contains true and accurate lists of the date and value of all Distributions with respect to the Interests and the date and amount of all Capital Contributions with respect to the Interest.</w:t>
      </w:r>
    </w:p>
    <w:p>
      <w:pPr>
        <w:spacing w:after="0" w:line="181" w:lineRule="exact"/>
        <w:rPr>
          <w:rFonts w:ascii="Times New Roman" w:cs="Times New Roman" w:eastAsia="Times New Roman" w:hAnsi="Times New Roman"/>
          <w:sz w:val="22"/>
          <w:szCs w:val="22"/>
          <w:color w:val="auto"/>
        </w:rPr>
      </w:pPr>
    </w:p>
    <w:p>
      <w:pPr>
        <w:jc w:val="both"/>
        <w:ind w:firstLine="757"/>
        <w:spacing w:after="0" w:line="232" w:lineRule="auto"/>
        <w:tabs>
          <w:tab w:leader="none" w:pos="1018" w:val="left"/>
        </w:tabs>
        <w:numPr>
          <w:ilvl w:val="1"/>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Anti-Money Laundering Matters</w:t>
      </w:r>
      <w:r>
        <w:rPr>
          <w:rFonts w:ascii="Times New Roman" w:cs="Times New Roman" w:eastAsia="Times New Roman" w:hAnsi="Times New Roman"/>
          <w:sz w:val="22"/>
          <w:szCs w:val="22"/>
          <w:color w:val="auto"/>
        </w:rPr>
        <w:t>. (i) No part of the funds used by the Seller to satisfy its Capital Commitment obligations with respect to the Interests has been, or shall be, directly or indirectly derived from, or related to, any activity that may contravene United States federal or state or non-United States laws or regulations, or the laws or regulations of any other applicable jurisdiction, including, but not limited to, anti-money laundering laws and regulations; (ii) the funds used to satisfy its Capital Commitment obligations with respect to the Interests are not derived from, invested for the benefit of, or related in any way to, the governments of, or persons within, any country (A) under a U.S. embargo enforced by OFAC regulations, (B) that has been designated as a “non-cooperative country or territory” by the Financial Action Task Force on Money Laundering, or (C) that has been designated by the U.S. Secretary of the Treasury as a “primary money laundering concern; (iii) no capital commitment, contribution or payment to the Funds by the Seller shall cause the Buyer or the Funds or the Managers to be in violation of any applicable anti-money laundering laws or regulations including, without limitation, the Uniting and Strengthening America by Providing Appropriate Tools Required to Intercept and Obstruct Terrorism (USA PATRIOT) Act of 2001 and OFAC; (iv) none of the Seller, its investment manager or, to the best knowledge of the Seller, any of its or its investment manager’s respective principals, officers, directors or agents (collectively, “</w:t>
      </w:r>
      <w:r>
        <w:rPr>
          <w:rFonts w:ascii="Times New Roman" w:cs="Times New Roman" w:eastAsia="Times New Roman" w:hAnsi="Times New Roman"/>
          <w:sz w:val="22"/>
          <w:szCs w:val="22"/>
          <w:u w:val="single" w:color="auto"/>
          <w:color w:val="auto"/>
        </w:rPr>
        <w:t>Representatives</w:t>
      </w:r>
      <w:r>
        <w:rPr>
          <w:rFonts w:ascii="Times New Roman" w:cs="Times New Roman" w:eastAsia="Times New Roman" w:hAnsi="Times New Roman"/>
          <w:sz w:val="22"/>
          <w:szCs w:val="22"/>
          <w:color w:val="auto"/>
        </w:rPr>
        <w:t>”) appears on the Specially Designated Nationals and Blocked Persons List of OFAC, or is otherwise (A) a party with which the Buyer or any Fund is prohibited from dealing under the laws of the United States or any other jurisdiction, (B) a party that has been convicted of or charged with any felony relating to money laundering, or (C) under investigation by any governmental authority for money laundering; and (v) the Seller does not know or have any reason to suspect that the proceeds from the Seller’s investment in the Interests will be used to finance any illegal activities.</w:t>
      </w:r>
    </w:p>
    <w:p>
      <w:pPr>
        <w:spacing w:after="0" w:line="188" w:lineRule="exact"/>
        <w:rPr>
          <w:rFonts w:ascii="Times New Roman" w:cs="Times New Roman" w:eastAsia="Times New Roman" w:hAnsi="Times New Roman"/>
          <w:sz w:val="22"/>
          <w:szCs w:val="22"/>
          <w:color w:val="auto"/>
        </w:rPr>
      </w:pPr>
    </w:p>
    <w:p>
      <w:pPr>
        <w:jc w:val="both"/>
        <w:ind w:firstLine="757"/>
        <w:spacing w:after="0" w:line="244" w:lineRule="auto"/>
        <w:tabs>
          <w:tab w:leader="none" w:pos="1018" w:val="left"/>
        </w:tabs>
        <w:numPr>
          <w:ilvl w:val="1"/>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Conduct</w:t>
      </w:r>
      <w:r>
        <w:rPr>
          <w:rFonts w:ascii="Times New Roman" w:cs="Times New Roman" w:eastAsia="Times New Roman" w:hAnsi="Times New Roman"/>
          <w:sz w:val="22"/>
          <w:szCs w:val="22"/>
          <w:color w:val="auto"/>
        </w:rPr>
        <w:t>. Since the Cut Off Date, except as disclosed to Buyer in the applicable online data room organized by Campbell Lutyens with respect to the transactions contemplated hereunder on or prior to November 14, 2024, the Seller has not: (1) disposed,</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821055</wp:posOffset>
            </wp:positionV>
            <wp:extent cx="7157720" cy="4254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8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7" w:name="page158"/>
    <w:bookmarkEnd w:id="157"/>
    <w:p>
      <w:pPr>
        <w:jc w:val="both"/>
        <w:spacing w:after="0" w:line="233" w:lineRule="auto"/>
        <w:rPr>
          <w:sz w:val="20"/>
          <w:szCs w:val="20"/>
          <w:color w:val="auto"/>
        </w:rPr>
      </w:pPr>
      <w:r>
        <w:rPr>
          <w:rFonts w:ascii="Times New Roman" w:cs="Times New Roman" w:eastAsia="Times New Roman" w:hAnsi="Times New Roman"/>
          <w:sz w:val="22"/>
          <w:szCs w:val="22"/>
          <w:color w:val="auto"/>
        </w:rPr>
        <w:t>liquidated, mortgaged, sold, assigned or transferred any Portfolio Property being sold by Seller to Buyer hereunder or entered into any Liquidity Opportunity in respect of any Portfolio Property other than in compliance with Section 7(b)(i); (2) converted, exchanged or redeemed any of the Interests being transferred by the Seller pursuant to this Purchase Agreement; (3) forgiven, released, compromised or demanded payment of any indebtedness owed to it by the applicable Fund in which Seller owns an Interest other than upon full payment thereof; (4) canceled or terminated any Portfolio Property Agreement or entered into any new Portfolio Property Agreement; (5) waived, amended, cancelled, terminated, exercised or failed to exercise any of the material Portfolio Contractual Rights applicable to Seller; (6) failed to perform fully its obligations under any of the Portfolio Property Agreements with respect to any Interest being sold by Seller to Buyer hereunder; (7) in connection with any Remaining Capital Commitment associated with an Interest to be transferred hereunder, made any voluntary capital contributions to any Fund with respect to any Interest being sold by Seller to Buyer hereunder; (8) created or permitted to exist any Lien on any Interest other than the Permitted Liens; (9) taken any action or, upon written notice from the applicable Fund, failed to take any action the effect of which would be to incur a material penalty under any of the Portfolio Property Agreements with respect to any Interest being sold by Seller to Buyer hereunder; or (10) agreed to do any of the foregoing. Notwithstanding anything to the contrary in the foregoing, Buyer understands and agrees that this Section 5(i) shall not apply solely with respect to any Excluded Interests.</w:t>
      </w:r>
    </w:p>
    <w:p>
      <w:pPr>
        <w:spacing w:after="0" w:line="177" w:lineRule="exact"/>
        <w:rPr>
          <w:sz w:val="20"/>
          <w:szCs w:val="20"/>
          <w:color w:val="auto"/>
        </w:rPr>
      </w:pPr>
    </w:p>
    <w:p>
      <w:pPr>
        <w:jc w:val="both"/>
        <w:ind w:firstLine="757"/>
        <w:spacing w:after="0" w:line="235" w:lineRule="auto"/>
        <w:tabs>
          <w:tab w:leader="none" w:pos="1018"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Method of Transfer</w:t>
      </w:r>
      <w:r>
        <w:rPr>
          <w:rFonts w:ascii="Times New Roman" w:cs="Times New Roman" w:eastAsia="Times New Roman" w:hAnsi="Times New Roman"/>
          <w:sz w:val="22"/>
          <w:szCs w:val="22"/>
          <w:color w:val="auto"/>
        </w:rPr>
        <w:t>. To the Seller’s Knowledge, the transfer of the Interests has not been effected on or through a United States national, regional or local securities exchange, a foreign securities exchange or an interdealer quotation system that regularly disseminates firm buy or sell quotations by identified brokers or dealers (including, without limitation, the Nasdaq National Market or Small-Cap Market); and the transfer of the Interests will not be made by, through or on behalf of a person, such as a broker or a dealer, making a market in interests in any partnership, or a person who makes available to the public bid or offer quotes with respect to interests in any partnership. Neither the Seller nor anyone acting on the Seller’s behalf has offered to sell any of the Interests by means of any general solicitation or general advertising.</w:t>
      </w:r>
    </w:p>
    <w:p>
      <w:pPr>
        <w:spacing w:after="0" w:line="183" w:lineRule="exact"/>
        <w:rPr>
          <w:rFonts w:ascii="Times New Roman" w:cs="Times New Roman" w:eastAsia="Times New Roman" w:hAnsi="Times New Roman"/>
          <w:sz w:val="22"/>
          <w:szCs w:val="22"/>
          <w:color w:val="auto"/>
        </w:rPr>
      </w:pPr>
    </w:p>
    <w:p>
      <w:pPr>
        <w:jc w:val="both"/>
        <w:ind w:firstLine="757"/>
        <w:spacing w:after="0" w:line="233" w:lineRule="auto"/>
        <w:tabs>
          <w:tab w:leader="none" w:pos="1018"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Acknowledgments</w:t>
      </w:r>
      <w:r>
        <w:rPr>
          <w:rFonts w:ascii="Times New Roman" w:cs="Times New Roman" w:eastAsia="Times New Roman" w:hAnsi="Times New Roman"/>
          <w:sz w:val="22"/>
          <w:szCs w:val="22"/>
          <w:color w:val="auto"/>
        </w:rPr>
        <w:t>. Seller acknowledges that, other than the representations and warranties set forth in Section 6 of this Purchase Agreement, Buyer, MFAM, their affiliates and their respective officers, directors, partners, members, representatives or employees make no representation or warranty with respect to, and shall have no responsibility with respect to, the solvency, financial condition or business operations or financial statements of the Funds or any portfolio companies thereof and Buyer shall have no obligations to Seller other than those expressly stated in this Purchase Agreement. Seller is a sophisticated and experienced institutional investor and has evaluated the merits and risks of selling the Interests on the terms set forth in this Purchase Agreement on its own and without reliance upon the Buyer or MFAM or any information provided by or investigation conducted by the Buyer, MFAM or any of their representatives (other than with respect to the Buyer’s representations, warranties and covenants set forth in this Purchase Agreement). Seller has sufficient knowledge and experience in financial and business matters and in making investments of this type that it is capable of properly evaluating the merits and risks of such sale, is aware of and has considered the financial risks and financial hazards of selling the Interests on the terms set forth in this Purchase Agreement and is able to bear the economic risks of selling the Interests. Seller acknowledges that neither Buyer nor MFAM has given Seller any</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821055</wp:posOffset>
            </wp:positionV>
            <wp:extent cx="7157720" cy="4254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8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8" w:name="page159"/>
    <w:bookmarkEnd w:id="158"/>
    <w:p>
      <w:pPr>
        <w:jc w:val="both"/>
        <w:spacing w:after="0" w:line="235" w:lineRule="auto"/>
        <w:rPr>
          <w:sz w:val="20"/>
          <w:szCs w:val="20"/>
          <w:color w:val="auto"/>
        </w:rPr>
      </w:pPr>
      <w:r>
        <w:rPr>
          <w:rFonts w:ascii="Times New Roman" w:cs="Times New Roman" w:eastAsia="Times New Roman" w:hAnsi="Times New Roman"/>
          <w:sz w:val="22"/>
          <w:szCs w:val="22"/>
          <w:color w:val="auto"/>
        </w:rPr>
        <w:t>investment advice and that the Interest Purchase Prices may be more or less than the fair market value of the related Interests. Seller has had access to such information regarding the business and finances of each Fund and such other matters with respect to each Interest as a reasonable person would consider in evaluating the transactions contemplated hereby, including, in particular, all information necessary to determine the fair market value of the Interests. Based on such information as the Seller has deemed appropriate and without reliance upon Buyer or MFAM, Seller has conducted and relied upon its own investigation and made its own analysis in making its decision to sell the Interests. Seller acknowledges that it has conducted its own investigation of each Fund and has not relied on the Buyer or MFAM in connection therewith except with respect to the Buyer’s representations, warranties and covenants set forth in this Purchase Agreement.</w:t>
      </w:r>
    </w:p>
    <w:p>
      <w:pPr>
        <w:spacing w:after="0" w:line="178" w:lineRule="exact"/>
        <w:rPr>
          <w:sz w:val="20"/>
          <w:szCs w:val="20"/>
          <w:color w:val="auto"/>
        </w:rPr>
      </w:pPr>
    </w:p>
    <w:p>
      <w:pPr>
        <w:ind w:firstLine="757"/>
        <w:spacing w:after="0" w:line="258" w:lineRule="auto"/>
        <w:tabs>
          <w:tab w:leader="none" w:pos="1018"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To the Seller’s Knowledge, the Seller’s sale of Interests pursuant to this Purchase Agreement will not be a non-exempt “prohibited transaction” under Section 406 of ERISA or Section 4975 of the Code.</w:t>
      </w:r>
    </w:p>
    <w:p>
      <w:pPr>
        <w:spacing w:after="0" w:line="158"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(m)</w:t>
      </w:r>
      <w:r>
        <w:rPr>
          <w:rFonts w:ascii="Times New Roman" w:cs="Times New Roman" w:eastAsia="Times New Roman" w:hAnsi="Times New Roman"/>
          <w:sz w:val="22"/>
          <w:szCs w:val="22"/>
          <w:u w:val="single" w:color="auto"/>
          <w:color w:val="auto"/>
        </w:rPr>
        <w:t>Imperfect Information</w:t>
      </w:r>
      <w:r>
        <w:rPr>
          <w:rFonts w:ascii="Times New Roman" w:cs="Times New Roman" w:eastAsia="Times New Roman" w:hAnsi="Times New Roman"/>
          <w:sz w:val="22"/>
          <w:szCs w:val="22"/>
          <w:color w:val="auto"/>
        </w:rPr>
        <w:t>. Seller acknowledges that the Buyer may be in possession of material, nonpublic information relating to the Interests and, in that event, except as is required under the terms of this Purchase Agreement, will not disclose such information to Seller, and Seller hereby irrevocably waives any and all rights it may have to receive such information. Seller further acknowledges that it is prepared to sell each Interest to the Buyer on the foregoing basis and thereby waives any right to rescind or invalidate the sale of any Interest to the Buyer or to seek any damages or other remuneration from the Buyer based on the possession of any material, non-public information by the Buyer or the lack of possession of any such material, non-public information by Seller.</w:t>
      </w:r>
    </w:p>
    <w:p>
      <w:pPr>
        <w:spacing w:after="0" w:line="183" w:lineRule="exact"/>
        <w:rPr>
          <w:sz w:val="20"/>
          <w:szCs w:val="20"/>
          <w:color w:val="auto"/>
        </w:rPr>
      </w:pPr>
    </w:p>
    <w:p>
      <w:pPr>
        <w:jc w:val="both"/>
        <w:ind w:firstLine="757"/>
        <w:spacing w:after="0" w:line="244" w:lineRule="auto"/>
        <w:tabs>
          <w:tab w:leader="none" w:pos="1018"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Solvency</w:t>
      </w:r>
      <w:r>
        <w:rPr>
          <w:rFonts w:ascii="Times New Roman" w:cs="Times New Roman" w:eastAsia="Times New Roman" w:hAnsi="Times New Roman"/>
          <w:sz w:val="22"/>
          <w:szCs w:val="22"/>
          <w:color w:val="auto"/>
        </w:rPr>
        <w:t>. The Seller is solvent and will be solvent immediately after giving effect to the transactions to be consummated at each Closing. The transfer of the Interest is not being made by the Seller with the intent to hinder, delay or defraud either present or future creditors of the Seller.</w:t>
      </w:r>
    </w:p>
    <w:p>
      <w:pPr>
        <w:spacing w:after="0" w:line="169" w:lineRule="exact"/>
        <w:rPr>
          <w:rFonts w:ascii="Times New Roman" w:cs="Times New Roman" w:eastAsia="Times New Roman" w:hAnsi="Times New Roman"/>
          <w:sz w:val="22"/>
          <w:szCs w:val="22"/>
          <w:color w:val="auto"/>
        </w:rPr>
      </w:pPr>
    </w:p>
    <w:p>
      <w:pPr>
        <w:ind w:left="520" w:hanging="512"/>
        <w:spacing w:after="0"/>
        <w:tabs>
          <w:tab w:leader="none" w:pos="520" w:val="left"/>
        </w:tabs>
        <w:numPr>
          <w:ilvl w:val="0"/>
          <w:numId w:val="9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Representations and Warranties of the Buyer.</w:t>
      </w:r>
    </w:p>
    <w:p>
      <w:pPr>
        <w:spacing w:after="0" w:line="210"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22"/>
          <w:szCs w:val="22"/>
          <w:color w:val="auto"/>
        </w:rPr>
        <w:t>Buyer hereby represents and warrants to Seller, as of the date of this Purchase Agreement and as of each Closing Date, as follows:</w:t>
      </w:r>
    </w:p>
    <w:p>
      <w:pPr>
        <w:spacing w:after="0" w:line="158" w:lineRule="exact"/>
        <w:rPr>
          <w:sz w:val="20"/>
          <w:szCs w:val="20"/>
          <w:color w:val="auto"/>
        </w:rPr>
      </w:pPr>
    </w:p>
    <w:p>
      <w:pPr>
        <w:jc w:val="both"/>
        <w:ind w:firstLine="757"/>
        <w:spacing w:after="0" w:line="234" w:lineRule="auto"/>
        <w:tabs>
          <w:tab w:leader="none" w:pos="1018"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Authorization</w:t>
      </w:r>
      <w:r>
        <w:rPr>
          <w:rFonts w:ascii="Times New Roman" w:cs="Times New Roman" w:eastAsia="Times New Roman" w:hAnsi="Times New Roman"/>
          <w:sz w:val="22"/>
          <w:szCs w:val="22"/>
          <w:color w:val="auto"/>
        </w:rPr>
        <w:t>. Buyer is an entity duly organized and validly existing in good standing under the laws of its jurisdiction of organization. Buyer has the requisite power and authority to enter into, execute and deliver this Purchase Agreement and each of the Additional Buyer’s Documents to which it is a party and, upon receipt of the applicable Approvals, to perform all of the obligations to be performed by it hereunder and thereunder. The execution and delivery by the Buyer of this Purchase Agreement and each of the Additional Buyer’s Documents to which it is a party and the consummation of the transactions contemplated hereby and thereby have been duly and validly authorized by all necessary action on the part of the Buyer. This Purchase Agreement has been, and each of the Additional Buyer’s Documents to which it is a party will have been at the applicable Closing, duly executed and delivered by Buyer, and this Purchase Agreement constitutes, and each of the Additional Buyer’s Documents to which it is a party will</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821055</wp:posOffset>
            </wp:positionV>
            <wp:extent cx="7157720" cy="4254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8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9" w:name="page160"/>
    <w:bookmarkEnd w:id="159"/>
    <w:p>
      <w:pPr>
        <w:jc w:val="both"/>
        <w:spacing w:after="0" w:line="244" w:lineRule="auto"/>
        <w:rPr>
          <w:sz w:val="20"/>
          <w:szCs w:val="20"/>
          <w:color w:val="auto"/>
        </w:rPr>
      </w:pPr>
      <w:r>
        <w:rPr>
          <w:rFonts w:ascii="Times New Roman" w:cs="Times New Roman" w:eastAsia="Times New Roman" w:hAnsi="Times New Roman"/>
          <w:sz w:val="22"/>
          <w:szCs w:val="22"/>
          <w:color w:val="auto"/>
        </w:rPr>
        <w:t>constitute at the applicable Closing, the valid and binding obligation of the Buyer, enforceable against it in accordance with their respective terms, subject to applicable bankruptcy, insolvency, reorganization and moratorium laws and other laws of general application affecting enforcement of creditors’ rights generally.</w:t>
      </w:r>
    </w:p>
    <w:p>
      <w:pPr>
        <w:spacing w:after="0" w:line="173" w:lineRule="exact"/>
        <w:rPr>
          <w:sz w:val="20"/>
          <w:szCs w:val="20"/>
          <w:color w:val="auto"/>
        </w:rPr>
      </w:pPr>
    </w:p>
    <w:p>
      <w:pPr>
        <w:jc w:val="both"/>
        <w:ind w:firstLine="757"/>
        <w:spacing w:after="0" w:line="233" w:lineRule="auto"/>
        <w:tabs>
          <w:tab w:leader="none" w:pos="1018"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Conflicts</w:t>
      </w:r>
      <w:r>
        <w:rPr>
          <w:rFonts w:ascii="Times New Roman" w:cs="Times New Roman" w:eastAsia="Times New Roman" w:hAnsi="Times New Roman"/>
          <w:sz w:val="22"/>
          <w:szCs w:val="22"/>
          <w:color w:val="auto"/>
        </w:rPr>
        <w:t>. Neither the execution and delivery of this Purchase Agreement or the Additional Buyer’s Documents to which it is a party nor the performance or consummation of the transactions contemplated hereby or thereby by Buyer will conflict with, result in the breach of, or constitute a default under or accelerate the performance required by the terms of: (i) any law, rule or regulation of any government or governmental or regulatory agency applicable to the Buyer; (ii) any judgment, order, writ, decree, permit or license of any court or governmental or regulatory agency to which Buyer is subject; (iii) any contract, agreement, commitment or instrument to which Buyer is a party or by which it or any of its assets is bound; or (iv) Buyer’s constituent documents or other governing instruments (or constitute an event which, with the passage of time or action by a third party, would result in any of the foregoing). Except for the Approvals, the execution and delivery of this Purchase Agreement and the Additional Buyer’s Documents by Buyer and the performance and consummation of the transactions contemplated hereby or thereby do not require any registration, filing, qualification, consent or approval under any such law, rule, regulation, judgment, order, writ, decree, permit or license to which Buyer is subject.</w:t>
      </w:r>
    </w:p>
    <w:p>
      <w:pPr>
        <w:spacing w:after="0" w:line="187" w:lineRule="exact"/>
        <w:rPr>
          <w:rFonts w:ascii="Times New Roman" w:cs="Times New Roman" w:eastAsia="Times New Roman" w:hAnsi="Times New Roman"/>
          <w:sz w:val="22"/>
          <w:szCs w:val="22"/>
          <w:color w:val="auto"/>
        </w:rPr>
      </w:pPr>
    </w:p>
    <w:p>
      <w:pPr>
        <w:jc w:val="both"/>
        <w:ind w:firstLine="757"/>
        <w:spacing w:after="0" w:line="243" w:lineRule="auto"/>
        <w:tabs>
          <w:tab w:leader="none" w:pos="1018"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Acknowledgments</w:t>
      </w:r>
      <w:r>
        <w:rPr>
          <w:rFonts w:ascii="Times New Roman" w:cs="Times New Roman" w:eastAsia="Times New Roman" w:hAnsi="Times New Roman"/>
          <w:sz w:val="21"/>
          <w:szCs w:val="21"/>
          <w:color w:val="auto"/>
        </w:rPr>
        <w:t>. Buyer acknowledges that, other than the representations and warranties set forth in Section 5 of this Purchase Agreement, Seller, its affiliates and their respective officers, directors, partners, members, representatives or employees make no representation or warranty with respect to, and the Seller shall have no responsibility with respect to, the solvency, financial condition or business operations or financial statements of the Funds or any portfolio companies thereof and Seller shall have no obligations to Buyer other than those expressly stated in this Purchase Agreement. Buyer is acquiring the Interests for Buyer’s own account, for investment and not with a view to the distribution or resale thereof, except in compliance with the Act and applicable state securities laws. Buyer is a sophisticated and experienced institutional investor and has evaluated the merits and risks of purchasing the Interests on the terms set forth in this Purchase Agreement on its own and without reliance upon the Seller or NEPC or any information provided by or investigation conducted by the Seller or NEPC or any of their representatives (other than with respect to the Seller’s representations, warranties and covenants set forth in this Purchase Agreement). Buyer has sufficient knowledge and experience in financial and business matters and in making investments of this type that it is capable of properly evaluating the merits and risks of such purchase, is aware of and has considered the financial risks and financial hazards of purchasing the Interests on the terms set forth in this Purchase Agreement, and is able to bear the economic risks of purchasing the Interests, including the possibility of complete loss with respect thereto. Buyer has determined based on its own independent review and such professional advice as it deems appropriate that its purchase of Interests on the terms set forth in this Purchase Agreement is a suitable investment for the Buyer. Buyer acknowledges that neither Seller, nor NEPC, has given Buyer any investment advice and that the Interest Purchase Prices may be more or less than the fair market value of the related Interests. Buyer has had access to such information regarding the business and finances of each Fund and such other matters with respect to each Interest as a reasonable person would consider in evaluating the transactions contemplated hereby, including, in particular, all information Buyer</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821055</wp:posOffset>
            </wp:positionV>
            <wp:extent cx="7157720" cy="4254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8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0" w:name="page161"/>
    <w:bookmarkEnd w:id="160"/>
    <w:p>
      <w:pPr>
        <w:jc w:val="both"/>
        <w:spacing w:after="0" w:line="233" w:lineRule="auto"/>
        <w:rPr>
          <w:sz w:val="20"/>
          <w:szCs w:val="20"/>
          <w:color w:val="auto"/>
        </w:rPr>
      </w:pPr>
      <w:r>
        <w:rPr>
          <w:rFonts w:ascii="Times New Roman" w:cs="Times New Roman" w:eastAsia="Times New Roman" w:hAnsi="Times New Roman"/>
          <w:sz w:val="22"/>
          <w:szCs w:val="22"/>
          <w:color w:val="auto"/>
        </w:rPr>
        <w:t>deems necessary to determine the fair market value of the Interests. Based on such information as the Buyer has deemed appropriate and without reliance upon Seller or NEPC, Buyer has conducted and relied upon its own investigation and made its own analysis in making its decision to purchase the Interests. Neither Buyer nor any of its affiliates holds any interests in any Fund. Buyer is an “accredited investor,” as that term is defined in Rule 501(a) of Regulation D under the Act and a “qualified purchaser” as that term is defined in Section 2(a)(51) of the U.S. Investment Company Act of 1940, as amended. Buyer acknowledges that it has conducted its own investigation of each Fund and has not relied on the Seller, NEPC, or Campbell Lutyens in connection therewith except with respect to the Seller’s representations, warranties and covenants set forth in this Purchase Agreement. Buyer acknowledges and agrees that Campbell Lutyens is acting solely as financial advisor to the Seller in connection with the transactions contemplated under this Purchase Agreement and is not acting in any other capacity and is not and shall not be construed as a fiduciary for the Buyer, or any other person or entity in connection with the transactions contemplated under this Purchase Agreement, and that neither Campbell Lutyens nor NEPC has made and will not make any representation or warranty, whether express or implied, of any kind or character and has not provided any advice or recommendation to the Buyer in connection with the transactions contemplated under this Purchase Agreement.</w:t>
      </w:r>
    </w:p>
    <w:p>
      <w:pPr>
        <w:spacing w:after="0" w:line="182" w:lineRule="exact"/>
        <w:rPr>
          <w:sz w:val="20"/>
          <w:szCs w:val="20"/>
          <w:color w:val="auto"/>
        </w:rPr>
      </w:pPr>
    </w:p>
    <w:p>
      <w:pPr>
        <w:jc w:val="both"/>
        <w:ind w:firstLine="757"/>
        <w:spacing w:after="0" w:line="235" w:lineRule="auto"/>
        <w:tabs>
          <w:tab w:leader="none" w:pos="1018"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Litigation</w:t>
      </w:r>
      <w:r>
        <w:rPr>
          <w:rFonts w:ascii="Times New Roman" w:cs="Times New Roman" w:eastAsia="Times New Roman" w:hAnsi="Times New Roman"/>
          <w:sz w:val="22"/>
          <w:szCs w:val="22"/>
          <w:color w:val="auto"/>
        </w:rPr>
        <w:t>. There is no action, suit, claim, proceeding, arbitration, governmental inquiry or investigation pending or, to Buyer’s Knowledge, threatened against Buyer, at law or in equity, before or by any governmental or regulatory department, commission, board, bureau, agency or instrumentality, domestic or foreign, which, if adversely determined, would question the validity of, or prevent the consummation of, the transactions contemplated by this Purchase Agreement or materially and adversely affect such transactions or the Interests being transferred by Seller pursuant to this Purchase Agreement. There is no action or suit by Buyer pending or threatened against any Fund, any Manager or other person or entity relating to the Interests or the Funds.</w:t>
      </w:r>
    </w:p>
    <w:p>
      <w:pPr>
        <w:spacing w:after="0" w:line="183" w:lineRule="exact"/>
        <w:rPr>
          <w:rFonts w:ascii="Times New Roman" w:cs="Times New Roman" w:eastAsia="Times New Roman" w:hAnsi="Times New Roman"/>
          <w:sz w:val="22"/>
          <w:szCs w:val="22"/>
          <w:color w:val="auto"/>
        </w:rPr>
      </w:pPr>
    </w:p>
    <w:p>
      <w:pPr>
        <w:jc w:val="both"/>
        <w:ind w:firstLine="757"/>
        <w:spacing w:after="0" w:line="261" w:lineRule="auto"/>
        <w:tabs>
          <w:tab w:leader="none" w:pos="1018"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Brokers</w:t>
      </w:r>
      <w:r>
        <w:rPr>
          <w:rFonts w:ascii="Times New Roman" w:cs="Times New Roman" w:eastAsia="Times New Roman" w:hAnsi="Times New Roman"/>
          <w:sz w:val="21"/>
          <w:szCs w:val="21"/>
          <w:color w:val="auto"/>
        </w:rPr>
        <w:t>. Except with respect to Campbell Lutyens, the fees and expenses of which shall be paid by the Seller, Buyer has not, directly or indirectly, dealt with anyone acting in the capacity of a finder or broker and has not incurred any obligations for any finder’s or broker’s fee or commission in connection with the transactions contemplated by this Purchase Agreement.</w:t>
      </w:r>
    </w:p>
    <w:p>
      <w:pPr>
        <w:spacing w:after="0" w:line="157" w:lineRule="exact"/>
        <w:rPr>
          <w:rFonts w:ascii="Times New Roman" w:cs="Times New Roman" w:eastAsia="Times New Roman" w:hAnsi="Times New Roman"/>
          <w:sz w:val="21"/>
          <w:szCs w:val="21"/>
          <w:color w:val="auto"/>
        </w:rPr>
      </w:pPr>
    </w:p>
    <w:p>
      <w:pPr>
        <w:jc w:val="both"/>
        <w:ind w:firstLine="757"/>
        <w:spacing w:after="0" w:line="239" w:lineRule="auto"/>
        <w:tabs>
          <w:tab w:leader="none" w:pos="1018"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Availability of Funds</w:t>
      </w:r>
      <w:r>
        <w:rPr>
          <w:rFonts w:ascii="Times New Roman" w:cs="Times New Roman" w:eastAsia="Times New Roman" w:hAnsi="Times New Roman"/>
          <w:sz w:val="22"/>
          <w:szCs w:val="22"/>
          <w:color w:val="auto"/>
        </w:rPr>
        <w:t>. Buyer has cash available or, through binding arrangements with one or more third parties, has existing borrowing facilities or firm equity commitments which, together with its available cash, are sufficient to enable it to consummate the transactions contemplated by this Purchase Agreement. Buyer is solvent and will not be rendered insolvent as a direct result of the transactions contemplated hereby.</w:t>
      </w:r>
    </w:p>
    <w:p>
      <w:pPr>
        <w:spacing w:after="0" w:line="180" w:lineRule="exact"/>
        <w:rPr>
          <w:rFonts w:ascii="Times New Roman" w:cs="Times New Roman" w:eastAsia="Times New Roman" w:hAnsi="Times New Roman"/>
          <w:sz w:val="22"/>
          <w:szCs w:val="22"/>
          <w:color w:val="auto"/>
        </w:rPr>
      </w:pPr>
    </w:p>
    <w:p>
      <w:pPr>
        <w:jc w:val="both"/>
        <w:ind w:firstLine="757"/>
        <w:spacing w:after="0" w:line="236" w:lineRule="auto"/>
        <w:tabs>
          <w:tab w:leader="none" w:pos="1018"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Anti-Money Laundering Matters</w:t>
      </w:r>
      <w:r>
        <w:rPr>
          <w:rFonts w:ascii="Times New Roman" w:cs="Times New Roman" w:eastAsia="Times New Roman" w:hAnsi="Times New Roman"/>
          <w:sz w:val="22"/>
          <w:szCs w:val="22"/>
          <w:color w:val="auto"/>
        </w:rPr>
        <w:t>. (i) No part of the funds used by the Buyer to acquire the Interests or to satisfy its capital commitment obligations with respect thereto has been, or shall be, directly or indirectly derived from, or related to, any activity that may contravene United States federal or state or non-United States laws or regulations, or the laws or regulations of any other applicable jurisdiction, including, but not limited to, anti-money laundering laws and regulations; (ii) the monies used to fund the purchase of the Interests is not derived from, invested for the benefit of, or related in any way to, the governments of, or persons within, any country (A)</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821055</wp:posOffset>
            </wp:positionV>
            <wp:extent cx="7157720" cy="4254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8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1" w:name="page162"/>
    <w:bookmarkEnd w:id="161"/>
    <w:p>
      <w:pPr>
        <w:jc w:val="both"/>
        <w:spacing w:after="0" w:line="244" w:lineRule="auto"/>
        <w:rPr>
          <w:sz w:val="20"/>
          <w:szCs w:val="20"/>
          <w:color w:val="auto"/>
        </w:rPr>
      </w:pPr>
      <w:r>
        <w:rPr>
          <w:rFonts w:ascii="Times New Roman" w:cs="Times New Roman" w:eastAsia="Times New Roman" w:hAnsi="Times New Roman"/>
          <w:sz w:val="21"/>
          <w:szCs w:val="21"/>
          <w:color w:val="auto"/>
        </w:rPr>
        <w:t>under a U.S. embargo enforced by the OFAC regulations, (B) that has been designated as a “non-cooperative country or territory” by the Financial Action Task Force on Money Laundering, or (C) that has been designated by the U.S. Secretary of the Treasury as a “primary money laundering concern; (iii) no capital commitment, contribution or payment to the Seller or to the Funds by the Buyer shall cause the Seller or the Funds or the Managers to be in violation of any applicable anti-money laundering laws or regulations including, without limitation, the Uniting and Strengthening America by Providing Appropriate Tools Required to Intercept and Obstruct Terrorism (USA PATRIOT) Act of 2001 and OFAC; (iv) none of the Buyer, its investment manager or, to the best knowledge of the Buyer, any of its or its investment manager’s Representatives appears on the Specially Designated Nationals and Blocked Persons List of OFAC, or is otherwise (A) a party with which the Seller or any Fund is prohibited from dealing under the laws of the United States or any other jurisdiction, (B) a party that has been convicted of or charged with any felony relating to money laundering, or (C) under investigation by any governmental authority for money laundering; and (v) the Buyer does not know or have any reason to suspect that (A) the monies used to fund the Buyer’s purchase of the Interests has been or will be derived from or related to any illegal activities, including but not limited to, money laundering activities, and (B) the proceeds from the Buyer’s investment in the Interests will be used to finance any illegal activities.</w:t>
      </w:r>
    </w:p>
    <w:p>
      <w:pPr>
        <w:spacing w:after="0" w:line="183" w:lineRule="exact"/>
        <w:rPr>
          <w:sz w:val="20"/>
          <w:szCs w:val="20"/>
          <w:color w:val="auto"/>
        </w:rPr>
      </w:pPr>
    </w:p>
    <w:p>
      <w:pPr>
        <w:jc w:val="both"/>
        <w:ind w:firstLine="757"/>
        <w:spacing w:after="0" w:line="235" w:lineRule="auto"/>
        <w:tabs>
          <w:tab w:leader="none" w:pos="1018"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Method of Transfer</w:t>
      </w:r>
      <w:r>
        <w:rPr>
          <w:rFonts w:ascii="Times New Roman" w:cs="Times New Roman" w:eastAsia="Times New Roman" w:hAnsi="Times New Roman"/>
          <w:sz w:val="22"/>
          <w:szCs w:val="22"/>
          <w:color w:val="auto"/>
        </w:rPr>
        <w:t>. To Buyer’s Knowledge, the transfer of the Interests has not been effected on or through a United States national, regional or local securities exchange, a foreign securities exchange or an interdealer quotation system that regularly disseminates firm buy or sell quotations by identified brokers or dealers (including, without limitation, the Nasdaq National Market or Small-Cap Market); and the transfer of the Interests will not be made by, through or on behalf of a person, such as a broker or a dealer, making a market in interests in any partnership, or a person who makes available to the public bid or offer quotes with respect to interests in any partnership. Buyer has not received any offer to purchase or purchased the Interests from the Seller by any form of general solicitation or general advertising.</w:t>
      </w:r>
    </w:p>
    <w:p>
      <w:pPr>
        <w:spacing w:after="0" w:line="183" w:lineRule="exact"/>
        <w:rPr>
          <w:rFonts w:ascii="Times New Roman" w:cs="Times New Roman" w:eastAsia="Times New Roman" w:hAnsi="Times New Roman"/>
          <w:sz w:val="22"/>
          <w:szCs w:val="22"/>
          <w:color w:val="auto"/>
        </w:rPr>
      </w:pPr>
    </w:p>
    <w:p>
      <w:pPr>
        <w:jc w:val="both"/>
        <w:ind w:firstLine="757"/>
        <w:spacing w:after="0" w:line="236" w:lineRule="auto"/>
        <w:tabs>
          <w:tab w:leader="none" w:pos="1018"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The Buyer is not, and is not acting on behalf of, an employee benefit plan subject to Title I of ERISA or Section 4975 of the Code, a “benefit plan investor” as defined in 29 C.F.R. 2510.3-101(f)(2), as modified by Section 3(42) of ERISA, or a governmental plan or other plan that is subject to any applicable law that is substantially similar to the fiduciary responsibility or prohibited transaction provisions of ERISA or Section 4975 of the Code. To the Buyer’s Knowledge, the Buyer’s purchase of Interests pursuant to this Purchase Agreement will not be a non-exempt “prohibited transaction” under Section 406 of ERISA or Section 4975 of the Code</w:t>
      </w:r>
    </w:p>
    <w:p>
      <w:pPr>
        <w:spacing w:after="0" w:line="181" w:lineRule="exact"/>
        <w:rPr>
          <w:rFonts w:ascii="Times New Roman" w:cs="Times New Roman" w:eastAsia="Times New Roman" w:hAnsi="Times New Roman"/>
          <w:sz w:val="22"/>
          <w:szCs w:val="22"/>
          <w:color w:val="auto"/>
        </w:rPr>
      </w:pPr>
    </w:p>
    <w:p>
      <w:pPr>
        <w:jc w:val="both"/>
        <w:ind w:firstLine="757"/>
        <w:spacing w:after="0" w:line="235" w:lineRule="auto"/>
        <w:tabs>
          <w:tab w:leader="none" w:pos="1018"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Imperfect Information</w:t>
      </w:r>
      <w:r>
        <w:rPr>
          <w:rFonts w:ascii="Times New Roman" w:cs="Times New Roman" w:eastAsia="Times New Roman" w:hAnsi="Times New Roman"/>
          <w:sz w:val="22"/>
          <w:szCs w:val="22"/>
          <w:color w:val="auto"/>
        </w:rPr>
        <w:t>. Buyer acknowledges that the Seller may be in possession of material, nonpublic information relating to the Interests and, in that event, except as is required under the terms of this Purchase Agreement, will not disclose such information to Buyer, and Buyer hereby irrevocably waives any and all rights it may have to receive such information. Buyer further acknowledges that it is prepared to purchase each Interest from the Seller on the foregoing basis and thereby waives any right to rescind or invalidate the purchase of any Interest from the Seller or to seek any damages or other remuneration from the Seller based on the possession of any material, non-public information by the Seller or the lack of possession of any such material, non-public information by Buyer.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821055</wp:posOffset>
            </wp:positionV>
            <wp:extent cx="7157720" cy="4254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8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2" w:name="page163"/>
    <w:bookmarkEnd w:id="162"/>
    <w:p>
      <w:pPr>
        <w:ind w:left="520" w:hanging="512"/>
        <w:spacing w:after="0"/>
        <w:tabs>
          <w:tab w:leader="none" w:pos="520" w:val="left"/>
        </w:tabs>
        <w:numPr>
          <w:ilvl w:val="0"/>
          <w:numId w:val="10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Covenants.</w:t>
      </w:r>
    </w:p>
    <w:p>
      <w:pPr>
        <w:spacing w:after="0" w:line="210" w:lineRule="exact"/>
        <w:rPr>
          <w:rFonts w:ascii="Times New Roman" w:cs="Times New Roman" w:eastAsia="Times New Roman" w:hAnsi="Times New Roman"/>
          <w:sz w:val="22"/>
          <w:szCs w:val="22"/>
          <w:b w:val="1"/>
          <w:bCs w:val="1"/>
          <w:color w:val="auto"/>
        </w:rPr>
      </w:pPr>
    </w:p>
    <w:p>
      <w:pPr>
        <w:jc w:val="both"/>
        <w:ind w:firstLine="757"/>
        <w:spacing w:after="0" w:line="244" w:lineRule="auto"/>
        <w:tabs>
          <w:tab w:leader="none" w:pos="1018" w:val="left"/>
        </w:tabs>
        <w:numPr>
          <w:ilvl w:val="1"/>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Cooperation</w:t>
      </w:r>
      <w:r>
        <w:rPr>
          <w:rFonts w:ascii="Times New Roman" w:cs="Times New Roman" w:eastAsia="Times New Roman" w:hAnsi="Times New Roman"/>
          <w:sz w:val="21"/>
          <w:szCs w:val="21"/>
          <w:color w:val="auto"/>
        </w:rPr>
        <w:t>. Buyer, on the one hand, and Seller, on the other hand, shall use reasonable commercial efforts to cooperate fully with each other in furnishing any information (other than Advisory Committee Material) or performing any action reasonably requested by the other party, which information or action is necessary to the timely and successful consummation of the transactions contemplated by this Purchase Agreement. Without limiting the generality of the foregoing, (i) the Seller shall use reasonable commercial efforts to cooperate with Buyer to have the Funds provide Buyer with the opportunity to verify the Capital Account Balances and Remaining Capital Commitments of the Seller on the books of such Funds, (ii) the parties will use reasonable commercial efforts to work cooperatively together toward obtaining the Approvals, and Buyer shall not object to any request by Seller for a release from the Manager and the Funds of all liability and obligations owed by the Seller thereto (if any) (provided that receipt of such release shall not be a condition to closing on such Interest and the foregoing shall not restrict Buyer from objecting to the formulation of any such release in the event the applicable Manager’s responses to such release are adverse to Buyer) and (iii) upon request of the Buyer, the Seller shall use commercially reasonable efforts to cooperate with the Buyer to request the transfer of any rights under the Portfolio Property Agreements which are unique to the Seller and require consent of the applicable Manager or Fund for grant to the Buyer (provided, however, failure to transfer such unique rights shall not excuse the Buyer’s obligations hereunder or reduce the Interest Purchase Price) in respect of any Interest.</w:t>
      </w:r>
    </w:p>
    <w:p>
      <w:pPr>
        <w:spacing w:after="0" w:line="180" w:lineRule="exact"/>
        <w:rPr>
          <w:rFonts w:ascii="Times New Roman" w:cs="Times New Roman" w:eastAsia="Times New Roman" w:hAnsi="Times New Roman"/>
          <w:sz w:val="21"/>
          <w:szCs w:val="21"/>
          <w:color w:val="auto"/>
        </w:rPr>
      </w:pPr>
    </w:p>
    <w:p>
      <w:pPr>
        <w:jc w:val="both"/>
        <w:ind w:firstLine="757"/>
        <w:spacing w:after="0" w:line="244" w:lineRule="auto"/>
        <w:tabs>
          <w:tab w:leader="none" w:pos="1018"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Matters Pending Closing</w:t>
      </w:r>
      <w:r>
        <w:rPr>
          <w:rFonts w:ascii="Times New Roman" w:cs="Times New Roman" w:eastAsia="Times New Roman" w:hAnsi="Times New Roman"/>
          <w:sz w:val="22"/>
          <w:szCs w:val="22"/>
          <w:color w:val="auto"/>
        </w:rPr>
        <w:t>. With respect to each Interest, the Seller agrees that from the date of this Purchase Agreement until the earlier of (i) the termination of this Purchase Agreement with respect to such Interest, (ii) the Final Closing Deadline, or (iii) Closing Date with respect to such Interest:</w:t>
      </w:r>
    </w:p>
    <w:p>
      <w:pPr>
        <w:spacing w:after="0" w:line="169" w:lineRule="exact"/>
        <w:rPr>
          <w:rFonts w:ascii="Times New Roman" w:cs="Times New Roman" w:eastAsia="Times New Roman" w:hAnsi="Times New Roman"/>
          <w:sz w:val="22"/>
          <w:szCs w:val="22"/>
          <w:color w:val="auto"/>
        </w:rPr>
      </w:pPr>
    </w:p>
    <w:p>
      <w:pPr>
        <w:jc w:val="both"/>
        <w:ind w:firstLine="1505"/>
        <w:spacing w:after="0" w:line="233" w:lineRule="auto"/>
        <w:tabs>
          <w:tab w:leader="none" w:pos="2036" w:val="left"/>
        </w:tabs>
        <w:numPr>
          <w:ilvl w:val="2"/>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Certain Conduct Pending Closing</w:t>
      </w:r>
      <w:r>
        <w:rPr>
          <w:rFonts w:ascii="Times New Roman" w:cs="Times New Roman" w:eastAsia="Times New Roman" w:hAnsi="Times New Roman"/>
          <w:sz w:val="22"/>
          <w:szCs w:val="22"/>
          <w:color w:val="auto"/>
        </w:rPr>
        <w:t>. The Seller shall promptly (x) notify or (y) cause NEPC or Campbell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Lutyens to notify Buyer of (1) any Distributions received by the Seller after the date of this Purchase Agreement and prior to the applicable Closing relating to such Interest and (2) any notice received by the Seller after the date of this Purchase Agreement advising it of any rights to take an action with respect to any such Interest (other than any Advisory Committee Material). Except as consented to by Buyer in writing or pursuant to this Purchase Agreement, the Seller shall not: (A) other than pursuant to the exercise of a right of first refusal, right of co-sale, or right of first offer (or similar right) pursuant to any of the applicable Portfolio Property Agreements, convert, exchange, redeem, dispose, liquidate, sell, assign, or transfer, deliver or solicit any bids for, or enter into any discussions with a prospective purchaser of, such Interest; (B) forgive, release, compromise or demand payment of any indebtedness owed to it by the applicable Fund other than upon full payment thereof; (C) consent to amend, cancel or terminate any of the Portfolio Property Agreements or Portfolio Contractual Rights, it being agreed that any amendments, cancellations, or terminations of the Portfolio Property Agreements or Portfolio Contractual Rights which are made without the consent of Seller but in accordance with the terms of the Portfolio Property Agreements shall not be a violation of this covenant; (D) affirmatively take any action, or fail to take any action, which would result in a reduction of the Seller’s percentage of ownership in any Fund (other than in connection with a right of first refusal, right of co-sale, or similar right pursuant to any of the Portfolio Property Agreements or the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821055</wp:posOffset>
            </wp:positionV>
            <wp:extent cx="7157720" cy="4254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8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63" w:name="page164"/>
    <w:bookmarkEnd w:id="163"/>
    <w:p>
      <w:pPr>
        <w:jc w:val="both"/>
        <w:spacing w:after="0" w:line="231" w:lineRule="auto"/>
        <w:rPr>
          <w:sz w:val="20"/>
          <w:szCs w:val="20"/>
          <w:color w:val="auto"/>
        </w:rPr>
      </w:pPr>
      <w:r>
        <w:rPr>
          <w:rFonts w:ascii="Times New Roman" w:cs="Times New Roman" w:eastAsia="Times New Roman" w:hAnsi="Times New Roman"/>
          <w:sz w:val="22"/>
          <w:szCs w:val="22"/>
          <w:color w:val="auto"/>
        </w:rPr>
        <w:t>Portfolio Contractual Rights); (E) create or permit to exist any Lien on such Interest other than the Permitted Liens (including those pertaining to Buyer or any of its affiliates); (F) fail in any manner to perform fully its material obligations under any of the Portfolio Property Agreements or the Portfolio Contractual Rights; (G) in connection with any Remaining Capital Commitment associated with such Interest to be transferred hereunder, make any voluntary capital contributions for which the applicable Manager has not issued a capital call or fail to make any required capital contributions to the applicable Fund; (H) take any action or fail to take any action the effect of which would be to incur a material penalty or other material adverse consequence under any of the Portfolio Property Agreements in respect of such Interest, including the conversion of such Interest to a fixed obligation; (I) affirmatively elect after the date hereof to participate in any underlying investment of the applicable Fund through an AIV or an entity treated as a corporation for U.S. federal tax purposes (for the avoidance of doubt, any election made prior to the date hereof, but that applies after the date hereof, shall not be a breach of this covenant); or (J) agree to do any of the foregoing. Buyer understands and agrees that in the event that Buyer delays its consent or response to any of the foregoing, the Seller may nevertheless be deemed under the Portfolio Property Agreements by the applicable Manager to have given consent pursuant to a “negative” or “passive” consent process, which shall not be a breach of this Purchase Agreement so long as no corresponding affirmative consent is provided by the Seller in such circumstance and Buyer was provided by Seller with at least five (5) Business Days’ written notice of any requirement to provide any consent or response to any of the foregoing. The Seller shall provide notice in writing to the Buyer within five (5) Business Days of receipt of notice of any Liquidity Opportunity (including notice of any applicable election deadline) and, to the extent that, pursuant to any such Liquidity Opportunity, the Seller has the right to make one or more elections (e.g., sell, roll, status quo, or a combination of the foregoing), Buyer shall have five (5) Business Days (or such shorter time as may be appropriate in the circumstance which is mutually agreed by the parties acting in good faith) after receipt by Seller of such notice to request in writing to Seller that Seller make one or more (or no) elections, and, except to the extent otherwise set forth in this Section 7(b)(i), Seller shall take such course of action requested by Buyer. In the event that Buyer does not provide any request within such five (5) Business Day period and after one additional follow up notification from Seller to Buyer (by email being sufficient, and which for the avoidance of doubt can occur on the fifth Business Day), then the Seller shall, subject to the following sentence, elect to “sell” the applicable portion of the applicable Interest in full for cash in connection with such Liquidity Opportunity. Notwithstanding anything to the contrary in this Purchase Agreement, in connection with any Liquidity Opportunity, the Seller shall have no obligation to take any course of action requested by Buyer that would (x) be reasonably likely to result in any material adverse legal, tax, fiduciary, economic or other regulatory consequence to Seller or any affiliate of Seller, (y) result in Seller increasing its commitment or otherwise injecting new capital into the relevant Fund or making an incremental unfunded commitment to any new vehicle, or (z) in the case of a “roll” election into a new investment vehicle, impose a material adverse economic, legal, regulatory, operational or timing burden on Seller and, in any event, Seller shall not be required to make a “roll” election unless the applicable Manager, prior to the date of the election deadline relating to any such Liquidity Opportunity, consents in writing to the transfer to Buyer of the new interest and, if applicable, the associated remaining Interests, effective prior to the Final Closing Deadline, in the case of each of the foregoing clauses (x), (y) and (z), as determined by Seller in the Seller’s sole discretion, and, in any such case described in the foregoing clauses (x), (y) or (z), Seller shall be permitted to make any election acting reasonably and in good faith following consultation with</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821055</wp:posOffset>
            </wp:positionV>
            <wp:extent cx="7157720" cy="4254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8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4" w:name="page165"/>
    <w:bookmarkEnd w:id="164"/>
    <w:p>
      <w:pPr>
        <w:jc w:val="both"/>
        <w:spacing w:after="0" w:line="235" w:lineRule="auto"/>
        <w:rPr>
          <w:sz w:val="20"/>
          <w:szCs w:val="20"/>
          <w:color w:val="auto"/>
        </w:rPr>
      </w:pPr>
      <w:r>
        <w:rPr>
          <w:rFonts w:ascii="Times New Roman" w:cs="Times New Roman" w:eastAsia="Times New Roman" w:hAnsi="Times New Roman"/>
          <w:sz w:val="22"/>
          <w:szCs w:val="22"/>
          <w:color w:val="auto"/>
        </w:rPr>
        <w:t>Buyer as to its preferred course of action. Subject to compliance with this Section 7(b)(i), in the event the Seller elects to “roll over” all or any portion of its Interest to another entity, partnership, account, or vehicle (which may be effectuated by a conversion or redemption of all or any portion of its Interest in the applicable Fund and a subscription for a new interest in such other entity, partnership, account, or vehicle) such new interest shall become an “Interest” for all purposes hereunder and, in connection therewith, amend the Schedules hereto accordingly. Any distributions made or deemed made to Seller after the Cut Off Date and on or prior to the applicable Closing Date in connection with any election to sell all or any portion of an Interest pursuant to a Liquidity Opportunity will be treated as a Distribution and the applicable Interest Purchase Price will be adjusted accordingly pursuant to Section 4.</w:t>
      </w:r>
    </w:p>
    <w:p>
      <w:pPr>
        <w:spacing w:after="0" w:line="174" w:lineRule="exact"/>
        <w:rPr>
          <w:sz w:val="20"/>
          <w:szCs w:val="20"/>
          <w:color w:val="auto"/>
        </w:rPr>
      </w:pPr>
    </w:p>
    <w:p>
      <w:pPr>
        <w:jc w:val="both"/>
        <w:ind w:firstLine="1505"/>
        <w:spacing w:after="0" w:line="235" w:lineRule="auto"/>
        <w:tabs>
          <w:tab w:leader="none" w:pos="2036"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Notices; Quarterly Reports</w:t>
      </w:r>
      <w:r>
        <w:rPr>
          <w:rFonts w:ascii="Times New Roman" w:cs="Times New Roman" w:eastAsia="Times New Roman" w:hAnsi="Times New Roman"/>
          <w:sz w:val="22"/>
          <w:szCs w:val="22"/>
          <w:color w:val="auto"/>
        </w:rPr>
        <w:t>. The Seller shall, or shall cause NEPC or Campbell Lutyens to, give prompt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notice to the Buyer of the receipt by the Seller after the date of this Purchase Agreement of (A) any notice or other communication relating to a default or event which, with notice or lapse of time or both, would become a default under any of the Portfolio Property Agreements or the Portfolio Contractual Rights, (B) any quarterly or annual reports or other financial statements) from or on behalf of a Fund or a Manager, (C) any notice or other communication relating to any contemplated or pending claim, action, suit, proceeding or investigation by any governmental department, commission, board, agency, instrumentality or authority involving or relating to a Fund or an Interest, and (D) any notice of a matter that would cause any of the representations made by the Seller in this Purchase Agreement to not be true in any material respect. To the extent not prohibited by law, the Seller shall promptly furnish Buyer with a copy thereof (including any related materials).</w:t>
      </w:r>
    </w:p>
    <w:p>
      <w:pPr>
        <w:spacing w:after="0" w:line="177" w:lineRule="exact"/>
        <w:rPr>
          <w:rFonts w:ascii="Times New Roman" w:cs="Times New Roman" w:eastAsia="Times New Roman" w:hAnsi="Times New Roman"/>
          <w:sz w:val="22"/>
          <w:szCs w:val="22"/>
          <w:color w:val="auto"/>
        </w:rPr>
      </w:pPr>
    </w:p>
    <w:p>
      <w:pPr>
        <w:jc w:val="both"/>
        <w:ind w:firstLine="757"/>
        <w:spacing w:after="0" w:line="238" w:lineRule="auto"/>
        <w:tabs>
          <w:tab w:leader="none" w:pos="1018"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 Agreement Indemnities.</w:t>
      </w:r>
      <w:r>
        <w:rPr>
          <w:rFonts w:ascii="Times New Roman" w:cs="Times New Roman" w:eastAsia="Times New Roman" w:hAnsi="Times New Roman"/>
          <w:sz w:val="22"/>
          <w:szCs w:val="22"/>
          <w:color w:val="auto"/>
        </w:rPr>
        <w:t xml:space="preserve"> Seller and Buyer agree to jointly request that the Buyer and the Seller not be jointly and severally liable in respect of any Manager Indemnification Provision, and shall use commercially reasonable efforts to cause any Manager Indemnification Provision to contain terms substantially similar to clauses (i) and (ii) below. In any event, Seller and Buyer agree that the terms set forth in clauses (i) and (ii) below shall apply as between Seller and Buyer with respect to any Manager Indemnification Provision:</w:t>
      </w:r>
    </w:p>
    <w:p>
      <w:pPr>
        <w:spacing w:after="0" w:line="176"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1"/>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hereto shall be liable for amounts owed under such Manager Indemnification Provision that result from such party’s own acts or omissions, including any inaccuracy in or breach of any representation or warranty of such party contained in the applicable assignment and assumption or transfer agreement or any failure by such party to perform any covenant, agreement or obligation of such party contained in such assignment and assumption or transfer agreement.</w:t>
      </w:r>
    </w:p>
    <w:p>
      <w:pPr>
        <w:spacing w:after="0" w:line="180" w:lineRule="exact"/>
        <w:rPr>
          <w:sz w:val="20"/>
          <w:szCs w:val="20"/>
          <w:color w:val="auto"/>
        </w:rPr>
      </w:pPr>
    </w:p>
    <w:p>
      <w:pPr>
        <w:ind w:firstLine="1505"/>
        <w:spacing w:after="0" w:line="282" w:lineRule="auto"/>
        <w:tabs>
          <w:tab w:leader="none" w:pos="2036" w:val="left"/>
        </w:tabs>
        <w:numPr>
          <w:ilvl w:val="0"/>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Section 17(a) of this Purchase Agreement, Buyer and Seller shall each be liable for 50% of any amounts owed under such Manager Indemnification Provision that do not result from the acts or omissions of the other party;</w:t>
      </w:r>
    </w:p>
    <w:p>
      <w:pPr>
        <w:spacing w:after="0" w:line="134" w:lineRule="exact"/>
        <w:rPr>
          <w:rFonts w:ascii="Times New Roman" w:cs="Times New Roman" w:eastAsia="Times New Roman" w:hAnsi="Times New Roman"/>
          <w:sz w:val="21"/>
          <w:szCs w:val="21"/>
          <w:color w:val="auto"/>
        </w:rPr>
      </w:pPr>
    </w:p>
    <w:p>
      <w:pPr>
        <w:jc w:val="both"/>
        <w:ind w:firstLine="1505"/>
        <w:spacing w:after="0" w:line="244" w:lineRule="auto"/>
        <w:tabs>
          <w:tab w:leader="none" w:pos="2036"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hereof, “</w:t>
      </w:r>
      <w:r>
        <w:rPr>
          <w:rFonts w:ascii="Times New Roman" w:cs="Times New Roman" w:eastAsia="Times New Roman" w:hAnsi="Times New Roman"/>
          <w:sz w:val="22"/>
          <w:szCs w:val="22"/>
          <w:u w:val="single" w:color="auto"/>
          <w:color w:val="auto"/>
        </w:rPr>
        <w:t>Buyer Excess Joint Liability</w:t>
      </w:r>
      <w:r>
        <w:rPr>
          <w:rFonts w:ascii="Times New Roman" w:cs="Times New Roman" w:eastAsia="Times New Roman" w:hAnsi="Times New Roman"/>
          <w:sz w:val="22"/>
          <w:szCs w:val="22"/>
          <w:color w:val="auto"/>
        </w:rPr>
        <w:t>” means, with respect to the Buyer, (A) any Damages suffered by the Buyer pursuant to a Manager Indemnification Provision related to a breach of any representations, warranties or covenants made by the Seller, if and only to the extent that the Buyer is also not in breach of a corresponding representation,</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821055</wp:posOffset>
            </wp:positionV>
            <wp:extent cx="7157720" cy="4254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8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5" w:name="page166"/>
    <w:bookmarkEnd w:id="165"/>
    <w:p>
      <w:pPr>
        <w:jc w:val="both"/>
        <w:spacing w:after="0" w:line="238" w:lineRule="auto"/>
        <w:rPr>
          <w:sz w:val="20"/>
          <w:szCs w:val="20"/>
          <w:color w:val="auto"/>
        </w:rPr>
      </w:pPr>
      <w:r>
        <w:rPr>
          <w:rFonts w:ascii="Times New Roman" w:cs="Times New Roman" w:eastAsia="Times New Roman" w:hAnsi="Times New Roman"/>
          <w:sz w:val="22"/>
          <w:szCs w:val="22"/>
          <w:color w:val="auto"/>
        </w:rPr>
        <w:t>warranty or covenant made by the Buyer to the applicable Manager and/or applicable Fund in the applicable assignment and assumption agreement or other agreement, and (B) any Damages suffered by the Buyer pursuant to a joint or joint and several Manager Indemnification Provision if and only to the extent that the Buyer pays more than 50% of such Manager Indemnification Provision and such Damage is not covered by clause (A) of this definition and such Damage is not related to a breach of any representations, warranties or covenants made by the Buyer; and</w:t>
      </w:r>
    </w:p>
    <w:p>
      <w:pPr>
        <w:spacing w:after="0" w:line="177" w:lineRule="exact"/>
        <w:rPr>
          <w:sz w:val="20"/>
          <w:szCs w:val="20"/>
          <w:color w:val="auto"/>
        </w:rPr>
      </w:pPr>
    </w:p>
    <w:p>
      <w:pPr>
        <w:jc w:val="both"/>
        <w:ind w:firstLine="1505"/>
        <w:spacing w:after="0" w:line="235" w:lineRule="auto"/>
        <w:tabs>
          <w:tab w:leader="none" w:pos="2036" w:val="left"/>
        </w:tabs>
        <w:numPr>
          <w:ilvl w:val="1"/>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purposes hereof, “</w:t>
      </w:r>
      <w:r>
        <w:rPr>
          <w:rFonts w:ascii="Times New Roman" w:cs="Times New Roman" w:eastAsia="Times New Roman" w:hAnsi="Times New Roman"/>
          <w:sz w:val="22"/>
          <w:szCs w:val="22"/>
          <w:u w:val="single" w:color="auto"/>
          <w:color w:val="auto"/>
        </w:rPr>
        <w:t>Seller Excess Joint Liability</w:t>
      </w:r>
      <w:r>
        <w:rPr>
          <w:rFonts w:ascii="Times New Roman" w:cs="Times New Roman" w:eastAsia="Times New Roman" w:hAnsi="Times New Roman"/>
          <w:sz w:val="22"/>
          <w:szCs w:val="22"/>
          <w:color w:val="auto"/>
        </w:rPr>
        <w:t>” means, with respect to the Seller, (A) any Damages suffered by the Seller pursuant to a Manager Indemnification Provision related to a breach of any representations, warranties or covenants made by the Buyer, if and only to the extent that the Seller is also not in breach of a corresponding representation, warranty or covenant made by the Seller to the applicable Manager and/or applicable Fund in the applicable assignment and assumption agreement or other agreement, and (B) any Damages suffered by the Seller pursuant to a joint or joint and several Manager Indemnification Provision if and only to the extent that the Seller pays more than 50% of such Manager Indemnification Provision and such Damage is not covered by clause (A) of this definition and such Damage is not related to a breach of any representations, warranties or covenants made by the Seller.</w:t>
      </w:r>
    </w:p>
    <w:p>
      <w:pPr>
        <w:spacing w:after="0" w:line="178" w:lineRule="exact"/>
        <w:rPr>
          <w:rFonts w:ascii="Times New Roman" w:cs="Times New Roman" w:eastAsia="Times New Roman" w:hAnsi="Times New Roman"/>
          <w:sz w:val="22"/>
          <w:szCs w:val="22"/>
          <w:color w:val="auto"/>
        </w:rPr>
      </w:pPr>
    </w:p>
    <w:p>
      <w:pPr>
        <w:jc w:val="both"/>
        <w:ind w:firstLine="757"/>
        <w:spacing w:after="0" w:line="239" w:lineRule="auto"/>
        <w:tabs>
          <w:tab w:leader="none" w:pos="1018"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AIVs</w:t>
      </w:r>
      <w:r>
        <w:rPr>
          <w:rFonts w:ascii="Times New Roman" w:cs="Times New Roman" w:eastAsia="Times New Roman" w:hAnsi="Times New Roman"/>
          <w:sz w:val="22"/>
          <w:szCs w:val="22"/>
          <w:color w:val="auto"/>
        </w:rPr>
        <w:t>. If prior to a Closing, Seller is treated as owning an AIV with respect to an Interest transferred at such Closing, that AIV shall be treated as the applicable Fund and the interest owned by Seller in such AIV shall be treated part of and transferred with the corresponding Interest. Any partnership or other operating agreements of such AIV shall be deemed to be within the definition of Portfolio Property Agreement.</w:t>
      </w:r>
    </w:p>
    <w:p>
      <w:pPr>
        <w:spacing w:after="0" w:line="180" w:lineRule="exact"/>
        <w:rPr>
          <w:rFonts w:ascii="Times New Roman" w:cs="Times New Roman" w:eastAsia="Times New Roman" w:hAnsi="Times New Roman"/>
          <w:sz w:val="22"/>
          <w:szCs w:val="22"/>
          <w:color w:val="auto"/>
        </w:rPr>
      </w:pPr>
    </w:p>
    <w:p>
      <w:pPr>
        <w:jc w:val="both"/>
        <w:ind w:firstLine="757"/>
        <w:spacing w:after="0" w:line="238" w:lineRule="auto"/>
        <w:tabs>
          <w:tab w:leader="none" w:pos="1018"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Assistance</w:t>
      </w:r>
      <w:r>
        <w:rPr>
          <w:rFonts w:ascii="Times New Roman" w:cs="Times New Roman" w:eastAsia="Times New Roman" w:hAnsi="Times New Roman"/>
          <w:sz w:val="22"/>
          <w:szCs w:val="22"/>
          <w:color w:val="auto"/>
        </w:rPr>
        <w:t>. From and after each Closing, each of Buyer and Seller shall use commercially reasonable efforts to provide or assist the other party in obtaining information required for such other party to make required tax filings, applications or elections to obtain any available refund, reduction or exemption of any withholding or other taxes imposed by any taxing authority in any jurisdiction with respect to such income or distributions from a Fund for as long as such other party is required to make such filings, elections or applications.</w:t>
      </w:r>
    </w:p>
    <w:p>
      <w:pPr>
        <w:spacing w:after="0" w:line="176"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Disclaimer of Non-Contractual Representations and Warranties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505"/>
        <w:spacing w:after="0" w:line="246" w:lineRule="auto"/>
        <w:tabs>
          <w:tab w:leader="none" w:pos="2036" w:val="left"/>
        </w:tabs>
        <w:numPr>
          <w:ilvl w:val="1"/>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parties hereby acknowledge and agree that Seller’s representations and warranties expressly set forth in Section 5 of this Purchase Agreement constitute the sole and exclusive representations and warranties of Seller to the Buyer in connection with the transactions contemplated under this Purchase Agreement, and the Buyer understands, acknowledges, and agrees that except for such representations and warranties, Seller is not making any other representations and warranties of any kind or nature, whether express or implied (including, but not limited to, (w) [* * *]; (x) [* * *]; (y) any interest held by or on behalf of Seller in the Fund that is not such Interest being transferred to Buyer hereunder; or (z) relating to the future or historical financial condition, financial statements, business operations and results thereof, assets or liabilities, or prospects of Seller, any Interests, any Fund, any portfolio company of any Fund, or any Manager), and any such other representations and warranties are specifically disclaimed by Seller. Notwithstanding anything herein to the contrary, the Buyer understands and acknowledges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821055</wp:posOffset>
            </wp:positionV>
            <wp:extent cx="7157720" cy="4254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8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22"/>
          <w:szCs w:val="22"/>
          <w:color w:val="auto"/>
        </w:rPr>
        <w:t>that Seller makes no representations or warranties with respect to any of the Seller’s pension plan participants.</w:t>
      </w:r>
    </w:p>
    <w:p>
      <w:pPr>
        <w:spacing w:after="0" w:line="206" w:lineRule="exact"/>
        <w:rPr>
          <w:sz w:val="20"/>
          <w:szCs w:val="20"/>
          <w:color w:val="auto"/>
        </w:rPr>
      </w:pPr>
    </w:p>
    <w:p>
      <w:pPr>
        <w:jc w:val="both"/>
        <w:ind w:firstLine="1505"/>
        <w:spacing w:after="0" w:line="238" w:lineRule="auto"/>
        <w:tabs>
          <w:tab w:leader="none" w:pos="2036" w:val="left"/>
        </w:tabs>
        <w:numPr>
          <w:ilvl w:val="2"/>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hereby acknowledge and agree that Buyer’s representations and warranties expressly set forth in Section 6 of this Purchase Agreement and in any of the Additional Buyer’s Documents constitute the sole and exclusive representations and warranties of Buyer to the Seller in connection with the transactions contemplated under this Purchase Agreement, and the Seller understands, acknowledges, and agrees that all other representations and warranties of any kind or nature, whether express or implied, are specifically disclaimed by Buyer.</w:t>
      </w:r>
    </w:p>
    <w:p>
      <w:pPr>
        <w:spacing w:after="0" w:line="176" w:lineRule="exact"/>
        <w:rPr>
          <w:rFonts w:ascii="Times New Roman" w:cs="Times New Roman" w:eastAsia="Times New Roman" w:hAnsi="Times New Roman"/>
          <w:sz w:val="22"/>
          <w:szCs w:val="22"/>
          <w:color w:val="auto"/>
        </w:rPr>
      </w:pPr>
    </w:p>
    <w:p>
      <w:pPr>
        <w:jc w:val="both"/>
        <w:ind w:firstLine="757"/>
        <w:spacing w:after="0" w:line="239" w:lineRule="auto"/>
        <w:tabs>
          <w:tab w:leader="none" w:pos="1018"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Rescinding of Authorization</w:t>
      </w:r>
      <w:r>
        <w:rPr>
          <w:rFonts w:ascii="Times New Roman" w:cs="Times New Roman" w:eastAsia="Times New Roman" w:hAnsi="Times New Roman"/>
          <w:sz w:val="22"/>
          <w:szCs w:val="22"/>
          <w:color w:val="auto"/>
        </w:rPr>
        <w:t>. Neither the Seller nor the Buyer shall rescind any authorizing action taken in connection with the transactions contemplated by this Purchase Agreement, nor shall Seller or Buyer take any other action in breach of this Purchase Agreement and the Additional Seller’s Documents or Additional Buyer’s Documents, respectively, to which it is a party.</w:t>
      </w:r>
    </w:p>
    <w:p>
      <w:pPr>
        <w:spacing w:after="0" w:line="180" w:lineRule="exact"/>
        <w:rPr>
          <w:rFonts w:ascii="Times New Roman" w:cs="Times New Roman" w:eastAsia="Times New Roman" w:hAnsi="Times New Roman"/>
          <w:sz w:val="22"/>
          <w:szCs w:val="22"/>
          <w:color w:val="auto"/>
        </w:rPr>
      </w:pPr>
    </w:p>
    <w:p>
      <w:pPr>
        <w:jc w:val="both"/>
        <w:ind w:firstLine="757"/>
        <w:spacing w:after="0" w:line="233" w:lineRule="auto"/>
        <w:tabs>
          <w:tab w:leader="none" w:pos="1018"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Access to and Retention of Records</w:t>
      </w:r>
      <w:r>
        <w:rPr>
          <w:rFonts w:ascii="Times New Roman" w:cs="Times New Roman" w:eastAsia="Times New Roman" w:hAnsi="Times New Roman"/>
          <w:sz w:val="22"/>
          <w:szCs w:val="22"/>
          <w:color w:val="auto"/>
        </w:rPr>
        <w:t>. The Buyer and the Seller agree that all books and records retained by each party which relate to the Interests transferred to Buyer by the Seller hereunder shall be open for inspection by representatives of the other party at any time during regular business hours for a period of four (4) years (or such longer period as is required by applicable law) from the date of preparation or compilation of such books, records, documents or materials and that the other party may during such period at its expense make such copies or excerpts therefrom as it may reasonably request in order to comply with legal, audit or tax obligations applicable to such party. For a period of seven (7) years following the applicable Closing Date with respect to any Interest transferred to Buyer by the Seller hereunder, no party shall destroy or give up possession of any original or final copy of any of the books and records relating to such Interest that is in such party’s actual possession or control and that may be reasonably required in the preparation of tax, regulatory and other governmental compliance matters with respect to either party, without first offering the other party the opportunity to obtain such original or final copy or a copy thereof.</w:t>
      </w:r>
    </w:p>
    <w:p>
      <w:pPr>
        <w:spacing w:after="0" w:line="183" w:lineRule="exact"/>
        <w:rPr>
          <w:rFonts w:ascii="Times New Roman" w:cs="Times New Roman" w:eastAsia="Times New Roman" w:hAnsi="Times New Roman"/>
          <w:sz w:val="22"/>
          <w:szCs w:val="22"/>
          <w:color w:val="auto"/>
        </w:rPr>
      </w:pPr>
    </w:p>
    <w:p>
      <w:pPr>
        <w:ind w:left="520" w:hanging="512"/>
        <w:spacing w:after="0"/>
        <w:tabs>
          <w:tab w:leader="none" w:pos="520" w:val="left"/>
        </w:tabs>
        <w:numPr>
          <w:ilvl w:val="0"/>
          <w:numId w:val="1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Conditions to Obligations of Seller.</w:t>
      </w:r>
    </w:p>
    <w:p>
      <w:pPr>
        <w:spacing w:after="0" w:line="21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The obligations of the Seller to consummate the transactions contemplated by this Purchase Agreement at any Closing are, at the option of the Seller, subject to satisfaction (or waiver) of each of the following conditions with respect to each Interest to be transferred by the Seller at such Closing, and Buyer shall use all reasonable efforts to cause each such condition to be timely satisfied:</w:t>
      </w:r>
    </w:p>
    <w:p>
      <w:pPr>
        <w:spacing w:after="0" w:line="180" w:lineRule="exact"/>
        <w:rPr>
          <w:sz w:val="20"/>
          <w:szCs w:val="20"/>
          <w:color w:val="auto"/>
        </w:rPr>
      </w:pPr>
    </w:p>
    <w:p>
      <w:pPr>
        <w:jc w:val="both"/>
        <w:ind w:firstLine="757"/>
        <w:spacing w:after="0" w:line="236" w:lineRule="auto"/>
        <w:tabs>
          <w:tab w:leader="none" w:pos="1018"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Warranties</w:t>
      </w:r>
      <w:r>
        <w:rPr>
          <w:rFonts w:ascii="Times New Roman" w:cs="Times New Roman" w:eastAsia="Times New Roman" w:hAnsi="Times New Roman"/>
          <w:sz w:val="22"/>
          <w:szCs w:val="22"/>
          <w:color w:val="auto"/>
        </w:rPr>
        <w:t>. The representations and warranties of Buyer contained in this Purchase Agreement and in the Additional Buyer’s Documents to which the Buyer is a party with respect to the Interest(s) being transferred by the Seller to Buyer at such Closing shall be true and accurate in all material respects (disregarding any “materiality”, “material adverse effect” or words of similar import), in each case as of the date when made and at and as of the applicable Closing Date as though such representations and warranties were made at and as of the applicable Closing Date, except in each case to the extent that they expressly refer to an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821055</wp:posOffset>
            </wp:positionV>
            <wp:extent cx="7157720" cy="4254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8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22"/>
          <w:szCs w:val="22"/>
          <w:color w:val="auto"/>
        </w:rPr>
        <w:t>earlier or specific time, in which case they were true and correct in all material respects as of such time.</w:t>
      </w:r>
    </w:p>
    <w:p>
      <w:pPr>
        <w:spacing w:after="0" w:line="206" w:lineRule="exact"/>
        <w:rPr>
          <w:sz w:val="20"/>
          <w:szCs w:val="20"/>
          <w:color w:val="auto"/>
        </w:rPr>
      </w:pPr>
    </w:p>
    <w:p>
      <w:pPr>
        <w:jc w:val="both"/>
        <w:ind w:firstLine="757"/>
        <w:spacing w:after="0" w:line="244" w:lineRule="auto"/>
        <w:tabs>
          <w:tab w:leader="none" w:pos="1018"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Performance</w:t>
      </w:r>
      <w:r>
        <w:rPr>
          <w:rFonts w:ascii="Times New Roman" w:cs="Times New Roman" w:eastAsia="Times New Roman" w:hAnsi="Times New Roman"/>
          <w:sz w:val="22"/>
          <w:szCs w:val="22"/>
          <w:color w:val="auto"/>
        </w:rPr>
        <w:t>. Buyer shall have performed in all material respects all agreements and obligations and complied with all conditions required by this Purchase Agreement and any Additional Buyer’s Documents to which it is a party to be performed or complied with by Buyer at or prior to the applicable Closing.</w:t>
      </w:r>
    </w:p>
    <w:p>
      <w:pPr>
        <w:spacing w:after="0" w:line="173" w:lineRule="exact"/>
        <w:rPr>
          <w:rFonts w:ascii="Times New Roman" w:cs="Times New Roman" w:eastAsia="Times New Roman" w:hAnsi="Times New Roman"/>
          <w:sz w:val="22"/>
          <w:szCs w:val="22"/>
          <w:color w:val="auto"/>
        </w:rPr>
      </w:pPr>
    </w:p>
    <w:p>
      <w:pPr>
        <w:jc w:val="both"/>
        <w:ind w:firstLine="757"/>
        <w:spacing w:after="0" w:line="238" w:lineRule="auto"/>
        <w:tabs>
          <w:tab w:leader="none" w:pos="1018"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Legal Proceedings</w:t>
      </w:r>
      <w:r>
        <w:rPr>
          <w:rFonts w:ascii="Times New Roman" w:cs="Times New Roman" w:eastAsia="Times New Roman" w:hAnsi="Times New Roman"/>
          <w:sz w:val="22"/>
          <w:szCs w:val="22"/>
          <w:color w:val="auto"/>
        </w:rPr>
        <w:t>. No statute, law, rule, regulation, judgment or order of any nature issued by a court of competent jurisdiction or governmental authority restraining, prohibiting or directly affecting the consummation of the transactions contemplated by this Purchase Agreement shall be in effect, and no claim, suit, action, investigation, inquiry or other proceeding by any government body or other person shall be pending which questions the validity or legality of the transactions contemplated by this Purchase Agreement.</w:t>
      </w:r>
    </w:p>
    <w:p>
      <w:pPr>
        <w:spacing w:after="0" w:line="176" w:lineRule="exact"/>
        <w:rPr>
          <w:rFonts w:ascii="Times New Roman" w:cs="Times New Roman" w:eastAsia="Times New Roman" w:hAnsi="Times New Roman"/>
          <w:sz w:val="22"/>
          <w:szCs w:val="22"/>
          <w:color w:val="auto"/>
        </w:rPr>
      </w:pPr>
    </w:p>
    <w:p>
      <w:pPr>
        <w:jc w:val="both"/>
        <w:ind w:firstLine="757"/>
        <w:spacing w:after="0" w:line="244" w:lineRule="auto"/>
        <w:tabs>
          <w:tab w:leader="none" w:pos="1018"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Certificate</w:t>
      </w:r>
      <w:r>
        <w:rPr>
          <w:rFonts w:ascii="Times New Roman" w:cs="Times New Roman" w:eastAsia="Times New Roman" w:hAnsi="Times New Roman"/>
          <w:sz w:val="22"/>
          <w:szCs w:val="22"/>
          <w:color w:val="auto"/>
        </w:rPr>
        <w:t>. Buyer shall have furnished the Seller with a certificate (substantially in the form of Exhibit A hereto) dated as of the applicable Closing Date and signed by an authorized signatory of Buyer to the effect that Buyer has performed and complied with the conditions set forth in Sections 8(a) and 8(b) above.</w:t>
      </w:r>
    </w:p>
    <w:p>
      <w:pPr>
        <w:spacing w:after="0" w:line="173" w:lineRule="exact"/>
        <w:rPr>
          <w:rFonts w:ascii="Times New Roman" w:cs="Times New Roman" w:eastAsia="Times New Roman" w:hAnsi="Times New Roman"/>
          <w:sz w:val="22"/>
          <w:szCs w:val="22"/>
          <w:color w:val="auto"/>
        </w:rPr>
      </w:pPr>
    </w:p>
    <w:p>
      <w:pPr>
        <w:jc w:val="both"/>
        <w:ind w:firstLine="757"/>
        <w:spacing w:after="0" w:line="251" w:lineRule="auto"/>
        <w:tabs>
          <w:tab w:leader="none" w:pos="1018" w:val="left"/>
        </w:tabs>
        <w:numPr>
          <w:ilvl w:val="0"/>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Approvals</w:t>
      </w:r>
      <w:r>
        <w:rPr>
          <w:rFonts w:ascii="Times New Roman" w:cs="Times New Roman" w:eastAsia="Times New Roman" w:hAnsi="Times New Roman"/>
          <w:sz w:val="21"/>
          <w:szCs w:val="21"/>
          <w:color w:val="auto"/>
        </w:rPr>
        <w:t>. All Approvals required to permit the transfer and assignment to Buyer of the applicable Portfolio Property to be transferred to Buyer at such Closing shall have been obtained in a form and substance reasonably acceptable to Seller and any other consents and approvals required to be obtained by Buyer from any court, governmental agency, creditor or any other person for the execution, delivery and performance of this Purchase Agreement and the Additional Buyer’s Documents to which it is a party on the part of Buyer with respect to each Interest to be transferred to Buyer at such Closing shall have been obtained.</w:t>
      </w:r>
    </w:p>
    <w:p>
      <w:pPr>
        <w:spacing w:after="0" w:line="168" w:lineRule="exact"/>
        <w:rPr>
          <w:rFonts w:ascii="Times New Roman" w:cs="Times New Roman" w:eastAsia="Times New Roman" w:hAnsi="Times New Roman"/>
          <w:sz w:val="21"/>
          <w:szCs w:val="21"/>
          <w:color w:val="auto"/>
        </w:rPr>
      </w:pPr>
    </w:p>
    <w:p>
      <w:pPr>
        <w:jc w:val="both"/>
        <w:ind w:firstLine="757"/>
        <w:spacing w:after="0" w:line="244" w:lineRule="auto"/>
        <w:tabs>
          <w:tab w:leader="none" w:pos="1018"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Delivery of Purchase Price</w:t>
      </w:r>
      <w:r>
        <w:rPr>
          <w:rFonts w:ascii="Times New Roman" w:cs="Times New Roman" w:eastAsia="Times New Roman" w:hAnsi="Times New Roman"/>
          <w:sz w:val="22"/>
          <w:szCs w:val="22"/>
          <w:color w:val="auto"/>
        </w:rPr>
        <w:t>. Buyer shall have delivered the Interest Purchase Price with respect to each Interest to be transferred to Buyer at such Closing to Seller as adjusted pursuant to, and in the manner described in, Sections 4 and 10 gross of any of Buyer’s wiring, banking or similar expenses.</w:t>
      </w:r>
    </w:p>
    <w:p>
      <w:pPr>
        <w:spacing w:after="0" w:line="173" w:lineRule="exact"/>
        <w:rPr>
          <w:rFonts w:ascii="Times New Roman" w:cs="Times New Roman" w:eastAsia="Times New Roman" w:hAnsi="Times New Roman"/>
          <w:sz w:val="22"/>
          <w:szCs w:val="22"/>
          <w:color w:val="auto"/>
        </w:rPr>
      </w:pPr>
    </w:p>
    <w:p>
      <w:pPr>
        <w:jc w:val="both"/>
        <w:ind w:firstLine="757"/>
        <w:spacing w:after="0" w:line="239" w:lineRule="auto"/>
        <w:tabs>
          <w:tab w:leader="none" w:pos="1018"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Delivery of Assignment and Assumption or Transfer Agreements</w:t>
      </w:r>
      <w:r>
        <w:rPr>
          <w:rFonts w:ascii="Times New Roman" w:cs="Times New Roman" w:eastAsia="Times New Roman" w:hAnsi="Times New Roman"/>
          <w:sz w:val="22"/>
          <w:szCs w:val="22"/>
          <w:color w:val="auto"/>
        </w:rPr>
        <w:t>. The assignment and assumption or transfer agreement with respect to each Interest, in a form and substance reasonably acceptable to the Seller, to be transferred to Buyer at such Closing shall have been executed by Buyer and by the related Fund or its Manager (to the extent required under the relevant Portfolio Property Agreements) and delivered to the Seller.</w:t>
      </w:r>
    </w:p>
    <w:p>
      <w:pPr>
        <w:spacing w:after="0" w:line="180" w:lineRule="exact"/>
        <w:rPr>
          <w:rFonts w:ascii="Times New Roman" w:cs="Times New Roman" w:eastAsia="Times New Roman" w:hAnsi="Times New Roman"/>
          <w:sz w:val="22"/>
          <w:szCs w:val="22"/>
          <w:color w:val="auto"/>
        </w:rPr>
      </w:pPr>
    </w:p>
    <w:p>
      <w:pPr>
        <w:jc w:val="both"/>
        <w:ind w:firstLine="757"/>
        <w:spacing w:after="0" w:line="238" w:lineRule="auto"/>
        <w:tabs>
          <w:tab w:leader="none" w:pos="1018"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Minimum Closing Threshold</w:t>
      </w:r>
      <w:r>
        <w:rPr>
          <w:rFonts w:ascii="Times New Roman" w:cs="Times New Roman" w:eastAsia="Times New Roman" w:hAnsi="Times New Roman"/>
          <w:sz w:val="22"/>
          <w:szCs w:val="22"/>
          <w:color w:val="auto"/>
        </w:rPr>
        <w:t>. Prior to the first Closing, the Approvals with respect to Interests comprising not less than 55% of the aggregate Capital Account Balances of the total Interests (determined in respect of any non-U.S. Dollar denominated Fund in U.S. Dollars at the Exchange Rate as of the Cut Off Date) being purchased by the Buyer shall have been executed by the Seller, the Buyer and the applicable Manager(s) and delivered to each of such parties and no less than 55% of such Interests will be transferred to Buyer on the first Closing Date.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821055</wp:posOffset>
            </wp:positionV>
            <wp:extent cx="7157720" cy="4254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8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8" w:name="page169"/>
    <w:bookmarkEnd w:id="168"/>
    <w:p>
      <w:pPr>
        <w:ind w:left="520" w:hanging="512"/>
        <w:spacing w:after="0"/>
        <w:tabs>
          <w:tab w:leader="none" w:pos="520" w:val="left"/>
        </w:tabs>
        <w:numPr>
          <w:ilvl w:val="0"/>
          <w:numId w:val="1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Conditions to Obligations of Buyer.</w:t>
      </w:r>
    </w:p>
    <w:p>
      <w:pPr>
        <w:spacing w:after="0" w:line="21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The obligations of Buyer to consummate the transactions contemplated by this Purchase Agreement at any Closing are, at the option of Buyer, subject to satisfaction (or waiver) of each of the following conditions with respect to each Interest to be transferred by the Seller at such Closing, and the Seller shall use all reasonable efforts to cause each such condition to be timely satisfied:</w:t>
      </w:r>
    </w:p>
    <w:p>
      <w:pPr>
        <w:spacing w:after="0" w:line="180" w:lineRule="exact"/>
        <w:rPr>
          <w:sz w:val="20"/>
          <w:szCs w:val="20"/>
          <w:color w:val="auto"/>
        </w:rPr>
      </w:pPr>
    </w:p>
    <w:p>
      <w:pPr>
        <w:jc w:val="both"/>
        <w:ind w:firstLine="757"/>
        <w:spacing w:after="0" w:line="247" w:lineRule="auto"/>
        <w:tabs>
          <w:tab w:leader="none" w:pos="1018" w:val="left"/>
        </w:tabs>
        <w:numPr>
          <w:ilvl w:val="0"/>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Representations and Warranties</w:t>
      </w:r>
      <w:r>
        <w:rPr>
          <w:rFonts w:ascii="Times New Roman" w:cs="Times New Roman" w:eastAsia="Times New Roman" w:hAnsi="Times New Roman"/>
          <w:sz w:val="21"/>
          <w:szCs w:val="21"/>
          <w:color w:val="auto"/>
        </w:rPr>
        <w:t xml:space="preserve">. The representations and warranties of the Seller contained in this Purchase Agreement and in the Additional Seller’s Documents to which the Seller is a party with respect to the Interest(s) being transferred by the Seller to Buyer at such Closing shall be true and accurate in all material respects (disregarding any “materiality”, “material adverse effect” or words of similar import), in each case as of the date when made and at and as of the applicable Closing Date (as modified in terms of the amount and timing of any Distributions and Capital Contributions by the latest delivered Pre-Closing Notice and/or amended </w:t>
      </w:r>
      <w:r>
        <w:rPr>
          <w:rFonts w:ascii="Times New Roman" w:cs="Times New Roman" w:eastAsia="Times New Roman" w:hAnsi="Times New Roman"/>
          <w:sz w:val="21"/>
          <w:szCs w:val="21"/>
          <w:u w:val="single" w:color="auto"/>
          <w:color w:val="auto"/>
        </w:rPr>
        <w:t>Schedule II</w:t>
      </w:r>
      <w:r>
        <w:rPr>
          <w:rFonts w:ascii="Times New Roman" w:cs="Times New Roman" w:eastAsia="Times New Roman" w:hAnsi="Times New Roman"/>
          <w:sz w:val="21"/>
          <w:szCs w:val="21"/>
          <w:color w:val="auto"/>
        </w:rPr>
        <w:t xml:space="preserve"> in each case in accordance with the terms of this Purchase Agreement) as though such representations and warranties were made at and as of the applicable Closing Date, except in each case to the extent that they expressly refer to an earlier or specific time, in which case they were true and correct in all material respects as of such time.</w:t>
      </w:r>
    </w:p>
    <w:p>
      <w:pPr>
        <w:spacing w:after="0" w:line="171" w:lineRule="exact"/>
        <w:rPr>
          <w:rFonts w:ascii="Times New Roman" w:cs="Times New Roman" w:eastAsia="Times New Roman" w:hAnsi="Times New Roman"/>
          <w:sz w:val="21"/>
          <w:szCs w:val="21"/>
          <w:color w:val="auto"/>
        </w:rPr>
      </w:pPr>
    </w:p>
    <w:p>
      <w:pPr>
        <w:jc w:val="both"/>
        <w:ind w:firstLine="757"/>
        <w:spacing w:after="0" w:line="244" w:lineRule="auto"/>
        <w:tabs>
          <w:tab w:leader="none" w:pos="1018"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Performance</w:t>
      </w:r>
      <w:r>
        <w:rPr>
          <w:rFonts w:ascii="Times New Roman" w:cs="Times New Roman" w:eastAsia="Times New Roman" w:hAnsi="Times New Roman"/>
          <w:sz w:val="22"/>
          <w:szCs w:val="22"/>
          <w:color w:val="auto"/>
        </w:rPr>
        <w:t>. The Seller shall have performed in all material respects all agreements and obligations and complied with all conditions required by this Purchase Agreement and any Additional Seller’s Documents to which it is a party to be performed or complied with by the Seller at or prior to the applicable Closing.</w:t>
      </w:r>
    </w:p>
    <w:p>
      <w:pPr>
        <w:spacing w:after="0" w:line="173" w:lineRule="exact"/>
        <w:rPr>
          <w:rFonts w:ascii="Times New Roman" w:cs="Times New Roman" w:eastAsia="Times New Roman" w:hAnsi="Times New Roman"/>
          <w:sz w:val="22"/>
          <w:szCs w:val="22"/>
          <w:color w:val="auto"/>
        </w:rPr>
      </w:pPr>
    </w:p>
    <w:p>
      <w:pPr>
        <w:jc w:val="both"/>
        <w:ind w:firstLine="757"/>
        <w:spacing w:after="0" w:line="238" w:lineRule="auto"/>
        <w:tabs>
          <w:tab w:leader="none" w:pos="1018"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Legal Proceedings</w:t>
      </w:r>
      <w:r>
        <w:rPr>
          <w:rFonts w:ascii="Times New Roman" w:cs="Times New Roman" w:eastAsia="Times New Roman" w:hAnsi="Times New Roman"/>
          <w:sz w:val="22"/>
          <w:szCs w:val="22"/>
          <w:color w:val="auto"/>
        </w:rPr>
        <w:t>. No statute, law, rule, regulation, judgment or order of any nature issued by a court of competent jurisdiction or governmental authority restraining, prohibiting or directly affecting the consummation of the transactions contemplated by this Purchase Agreement shall be in effect, and no claim, suit, action, investigation, inquiry or other proceeding by any governmental body or other person shall be pending which questions the validity or legality of the transactions contemplated by this Purchase Agreement.</w:t>
      </w:r>
    </w:p>
    <w:p>
      <w:pPr>
        <w:spacing w:after="0" w:line="176"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Certificates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1"/>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shall have furnished Buyer with a certificate (substantially in the form of Exhibit B hereto) dated as of the applicable Closing Date and signed by an authorized signatory of the Seller to the effect that the Seller has performed and complied with the conditions set forth in Sections 9(a) and 9(b) above.</w:t>
      </w:r>
    </w:p>
    <w:p>
      <w:pPr>
        <w:spacing w:after="0" w:line="173"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1"/>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shall have furnished the Buyer with a Pre-Closing Notice pursuant to Section 3(b) hereof.</w:t>
      </w:r>
    </w:p>
    <w:p>
      <w:pPr>
        <w:spacing w:after="0" w:line="206" w:lineRule="exact"/>
        <w:rPr>
          <w:rFonts w:ascii="Times New Roman" w:cs="Times New Roman" w:eastAsia="Times New Roman" w:hAnsi="Times New Roman"/>
          <w:sz w:val="22"/>
          <w:szCs w:val="22"/>
          <w:color w:val="auto"/>
        </w:rPr>
      </w:pPr>
    </w:p>
    <w:p>
      <w:pPr>
        <w:jc w:val="both"/>
        <w:ind w:firstLine="757"/>
        <w:spacing w:after="0" w:line="239" w:lineRule="auto"/>
        <w:tabs>
          <w:tab w:leader="none" w:pos="1018"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Approvals</w:t>
      </w:r>
      <w:r>
        <w:rPr>
          <w:rFonts w:ascii="Times New Roman" w:cs="Times New Roman" w:eastAsia="Times New Roman" w:hAnsi="Times New Roman"/>
          <w:sz w:val="22"/>
          <w:szCs w:val="22"/>
          <w:color w:val="auto"/>
        </w:rPr>
        <w:t>. All Approvals required to permit the transfer and assignment to Buyer of the applicable Portfolio Property to be transferred to Buyer at such Closing shall have been obtained in a form and substance reasonably acceptable to Buyer and any other consents and approvals required to be obtained by the Seller from any court, governmental agency, creditor or any other person for the execution, delivery and performance of this Purchase Agreement and the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821055</wp:posOffset>
            </wp:positionV>
            <wp:extent cx="7157720" cy="4254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8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69" w:name="page170"/>
    <w:bookmarkEnd w:id="169"/>
    <w:p>
      <w:pPr>
        <w:spacing w:after="0" w:line="258" w:lineRule="auto"/>
        <w:rPr>
          <w:sz w:val="20"/>
          <w:szCs w:val="20"/>
          <w:color w:val="auto"/>
        </w:rPr>
      </w:pPr>
      <w:r>
        <w:rPr>
          <w:rFonts w:ascii="Times New Roman" w:cs="Times New Roman" w:eastAsia="Times New Roman" w:hAnsi="Times New Roman"/>
          <w:sz w:val="22"/>
          <w:szCs w:val="22"/>
          <w:color w:val="auto"/>
        </w:rPr>
        <w:t>Additional Seller’s Documents to which it is a party on the part of Seller with respect to each Interest to be transferred to Buyer at such Closing shall have been obtained.</w:t>
      </w:r>
    </w:p>
    <w:p>
      <w:pPr>
        <w:spacing w:after="0" w:line="158" w:lineRule="exact"/>
        <w:rPr>
          <w:sz w:val="20"/>
          <w:szCs w:val="20"/>
          <w:color w:val="auto"/>
        </w:rPr>
      </w:pPr>
    </w:p>
    <w:p>
      <w:pPr>
        <w:jc w:val="both"/>
        <w:ind w:firstLine="757"/>
        <w:spacing w:after="0" w:line="239" w:lineRule="auto"/>
        <w:tabs>
          <w:tab w:leader="none" w:pos="1018" w:val="left"/>
        </w:tabs>
        <w:numPr>
          <w:ilvl w:val="1"/>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Delivery of Assignment and Assumption or Transfer Agreements</w:t>
      </w:r>
      <w:r>
        <w:rPr>
          <w:rFonts w:ascii="Times New Roman" w:cs="Times New Roman" w:eastAsia="Times New Roman" w:hAnsi="Times New Roman"/>
          <w:sz w:val="22"/>
          <w:szCs w:val="22"/>
          <w:color w:val="auto"/>
        </w:rPr>
        <w:t>. The assignment and assumption or transfer agreement with respect to each Interest, in a form and substance reasonably acceptable to Buyer, to be transferred to Buyer at such Closing shall have been executed by the Seller and by the related Fund or its Manager (to the extent required under the relevant Portfolio Property Agreements) and delivered to Buyer.</w:t>
      </w:r>
    </w:p>
    <w:p>
      <w:pPr>
        <w:spacing w:after="0" w:line="180" w:lineRule="exact"/>
        <w:rPr>
          <w:rFonts w:ascii="Times New Roman" w:cs="Times New Roman" w:eastAsia="Times New Roman" w:hAnsi="Times New Roman"/>
          <w:sz w:val="22"/>
          <w:szCs w:val="22"/>
          <w:color w:val="auto"/>
        </w:rPr>
      </w:pPr>
    </w:p>
    <w:p>
      <w:pPr>
        <w:jc w:val="both"/>
        <w:ind w:firstLine="757"/>
        <w:spacing w:after="0" w:line="238" w:lineRule="auto"/>
        <w:tabs>
          <w:tab w:leader="none" w:pos="1018" w:val="left"/>
        </w:tabs>
        <w:numPr>
          <w:ilvl w:val="1"/>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Minimum Closing Threshold</w:t>
      </w:r>
      <w:r>
        <w:rPr>
          <w:rFonts w:ascii="Times New Roman" w:cs="Times New Roman" w:eastAsia="Times New Roman" w:hAnsi="Times New Roman"/>
          <w:sz w:val="22"/>
          <w:szCs w:val="22"/>
          <w:color w:val="auto"/>
        </w:rPr>
        <w:t>. Prior to the first Closing, the Approvals with respect to Interests comprising not less than 55% of the aggregate Capital Account Balances of the total Interests (determined in respect of any non-U.S. Dollar denominated Fund in U.S. Dollars at the Exchange Rate as of the Cut Off Date) being purchased by the Buyer shall have been executed by the Seller, the Buyer and the applicable Manager(s) and delivered to each of such parties and no less than 55% of such Interests will be transferred to Buyer on the first Closing Date.</w:t>
      </w:r>
    </w:p>
    <w:p>
      <w:pPr>
        <w:spacing w:after="0" w:line="176" w:lineRule="exact"/>
        <w:rPr>
          <w:rFonts w:ascii="Times New Roman" w:cs="Times New Roman" w:eastAsia="Times New Roman" w:hAnsi="Times New Roman"/>
          <w:sz w:val="22"/>
          <w:szCs w:val="22"/>
          <w:color w:val="auto"/>
        </w:rPr>
      </w:pPr>
    </w:p>
    <w:p>
      <w:pPr>
        <w:jc w:val="both"/>
        <w:ind w:firstLine="757"/>
        <w:spacing w:after="0" w:line="261" w:lineRule="auto"/>
        <w:tabs>
          <w:tab w:leader="none" w:pos="1018" w:val="left"/>
        </w:tabs>
        <w:numPr>
          <w:ilvl w:val="1"/>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Form W-9</w:t>
      </w:r>
      <w:r>
        <w:rPr>
          <w:rFonts w:ascii="Times New Roman" w:cs="Times New Roman" w:eastAsia="Times New Roman" w:hAnsi="Times New Roman"/>
          <w:sz w:val="21"/>
          <w:szCs w:val="21"/>
          <w:color w:val="auto"/>
        </w:rPr>
        <w:t>. The Seller shall have furnished Buyer with a duly executed and properly completed U.S. Internal Revenue Service Form W-9 of the Seller or, if applicable, its regarded owner, on or prior to the applicable Closing Date; provided, that the Buyer shall be permitted to proceed with the applicable Closing and withhold applicable Taxes if it does not receive such form.</w:t>
      </w:r>
    </w:p>
    <w:p>
      <w:pPr>
        <w:spacing w:after="0" w:line="153" w:lineRule="exact"/>
        <w:rPr>
          <w:rFonts w:ascii="Times New Roman" w:cs="Times New Roman" w:eastAsia="Times New Roman" w:hAnsi="Times New Roman"/>
          <w:sz w:val="21"/>
          <w:szCs w:val="21"/>
          <w:color w:val="auto"/>
        </w:rPr>
      </w:pPr>
    </w:p>
    <w:p>
      <w:pPr>
        <w:ind w:left="520" w:hanging="512"/>
        <w:spacing w:after="0"/>
        <w:tabs>
          <w:tab w:leader="none" w:pos="520" w:val="left"/>
        </w:tabs>
        <w:numPr>
          <w:ilvl w:val="0"/>
          <w:numId w:val="1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Tax Matters.</w:t>
      </w:r>
    </w:p>
    <w:p>
      <w:pPr>
        <w:spacing w:after="0" w:line="210" w:lineRule="exact"/>
        <w:rPr>
          <w:rFonts w:ascii="Times New Roman" w:cs="Times New Roman" w:eastAsia="Times New Roman" w:hAnsi="Times New Roman"/>
          <w:sz w:val="22"/>
          <w:szCs w:val="22"/>
          <w:b w:val="1"/>
          <w:bCs w:val="1"/>
          <w:color w:val="auto"/>
        </w:rPr>
      </w:pPr>
    </w:p>
    <w:p>
      <w:pPr>
        <w:jc w:val="both"/>
        <w:ind w:firstLine="757"/>
        <w:spacing w:after="0" w:line="235" w:lineRule="auto"/>
        <w:tabs>
          <w:tab w:leader="none" w:pos="1018" w:val="left"/>
        </w:tabs>
        <w:numPr>
          <w:ilvl w:val="1"/>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Allocations</w:t>
      </w:r>
      <w:r>
        <w:rPr>
          <w:rFonts w:ascii="Times New Roman" w:cs="Times New Roman" w:eastAsia="Times New Roman" w:hAnsi="Times New Roman"/>
          <w:sz w:val="22"/>
          <w:szCs w:val="22"/>
          <w:color w:val="auto"/>
        </w:rPr>
        <w:t xml:space="preserve">. The Seller shall use commercially reasonable efforts to cooperate with the Buyer in obtaining the agreement of the Manager of each of the Funds (to the extent treated as partnerships for U.S. federal income tax purposes) to allocate under Section 706 of the Code (and the Treasury Regulations promulgated thereunder), income, gains, losses, deductions or credits attributable to the applicable Interests for the tax year of the Funds in which the applicable Closing Date occurs between the Buyer and the Seller based on a closing of the applicable Fund’s books as of the applicable Closing Date or as otherwise mutually agreed upon by the Buyer and the Seller;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such manner is permitted by the Code (and the Treasury Regulations promulgated thereunder) and the terms of the relevant Portfolio Property Agreement.</w:t>
      </w:r>
    </w:p>
    <w:p>
      <w:pPr>
        <w:spacing w:after="0" w:line="183" w:lineRule="exact"/>
        <w:rPr>
          <w:rFonts w:ascii="Times New Roman" w:cs="Times New Roman" w:eastAsia="Times New Roman" w:hAnsi="Times New Roman"/>
          <w:sz w:val="22"/>
          <w:szCs w:val="22"/>
          <w:color w:val="auto"/>
        </w:rPr>
      </w:pPr>
    </w:p>
    <w:p>
      <w:pPr>
        <w:jc w:val="both"/>
        <w:ind w:firstLine="757"/>
        <w:spacing w:after="0" w:line="238" w:lineRule="auto"/>
        <w:tabs>
          <w:tab w:leader="none" w:pos="1018" w:val="left"/>
        </w:tabs>
        <w:numPr>
          <w:ilvl w:val="1"/>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Electing Investment Partnership</w:t>
      </w:r>
      <w:r>
        <w:rPr>
          <w:rFonts w:ascii="Times New Roman" w:cs="Times New Roman" w:eastAsia="Times New Roman" w:hAnsi="Times New Roman"/>
          <w:sz w:val="22"/>
          <w:szCs w:val="22"/>
          <w:color w:val="auto"/>
        </w:rPr>
        <w:t>. In the event a Fund is an “electing investment partnership” under Section 743(e)(5) of the Code, the Seller agrees to furnish to the Buyer, upon the Buyer’s reasonable written request, all information in its possession with respect to such Fund reasonably necessary to enable the Buyer to compute the amount of its losses (if any) disallowed under Section 743(e) of the Code. Such information shall be furnished in compliance with the requirements of IRS Notice 2005-32 or superseding guidance issued by the U.S. Internal Revenue Service.</w:t>
      </w:r>
    </w:p>
    <w:p>
      <w:pPr>
        <w:spacing w:after="0" w:line="176" w:lineRule="exact"/>
        <w:rPr>
          <w:rFonts w:ascii="Times New Roman" w:cs="Times New Roman" w:eastAsia="Times New Roman" w:hAnsi="Times New Roman"/>
          <w:sz w:val="22"/>
          <w:szCs w:val="22"/>
          <w:color w:val="auto"/>
        </w:rPr>
      </w:pPr>
    </w:p>
    <w:p>
      <w:pPr>
        <w:jc w:val="both"/>
        <w:ind w:firstLine="757"/>
        <w:spacing w:after="0" w:line="238" w:lineRule="auto"/>
        <w:tabs>
          <w:tab w:leader="none" w:pos="1018" w:val="left"/>
        </w:tabs>
        <w:numPr>
          <w:ilvl w:val="1"/>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 Taxes</w:t>
      </w:r>
      <w:r>
        <w:rPr>
          <w:rFonts w:ascii="Times New Roman" w:cs="Times New Roman" w:eastAsia="Times New Roman" w:hAnsi="Times New Roman"/>
          <w:sz w:val="22"/>
          <w:szCs w:val="22"/>
          <w:color w:val="auto"/>
        </w:rPr>
        <w:t>. All Transfer Taxes incurred in connection with the consummation of the transactions contemplated by this Purchase Agreement shall be borne equally by Buyer on the one hand and Seller on the other hand. Any tax returns and other documentation that must be filed with respect to Transfer Taxes shall be prepared by the party primarily or customarily responsible under applicable local law for filing such tax returns, and such party shall use its reasonable efforts to provide such tax returns to the other party for review at least ten (10) Business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821055</wp:posOffset>
            </wp:positionV>
            <wp:extent cx="7157720" cy="4254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8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0" w:name="page171"/>
    <w:bookmarkEnd w:id="170"/>
    <w:p>
      <w:pPr>
        <w:jc w:val="both"/>
        <w:spacing w:after="0" w:line="234" w:lineRule="auto"/>
        <w:rPr>
          <w:sz w:val="20"/>
          <w:szCs w:val="20"/>
          <w:color w:val="auto"/>
        </w:rPr>
      </w:pPr>
      <w:r>
        <w:rPr>
          <w:rFonts w:ascii="Times New Roman" w:cs="Times New Roman" w:eastAsia="Times New Roman" w:hAnsi="Times New Roman"/>
          <w:sz w:val="22"/>
          <w:szCs w:val="22"/>
          <w:color w:val="auto"/>
        </w:rPr>
        <w:t>Days prior to the date such tax returns are due to be filed. The Buyer and the Seller shall cooperate in the timely completion and filing of all such tax returns. Each party shall timely pay when due all Transfer Taxes for which such party is responsible pursuant to the first sentence of this Section 10(c) and to reimburse the other party to the extent that such other party makes a payment of a Transfer Tax (or portion thereof) for which such party should have paid pursuant to the first sentence of this Section 10(c). Any Transfer Taxes resulting from any subsequent increase in the applicable Interest Purchase Price shall be borne in accordance with the provisions of this Section 10(c). Any accounting, tax preparation or other administrative expenses incurred (or to be incurred) by the Fund and charged to Buyer or the Seller related to the transfer of the Interests shall be borne equally by Buyer on the one hand and Seller on the other, except for any such expenses as a result of a request by Buyer for tax basis adjustments under Section 743 of the Code or related provisions which shall be borne solely by Buyer.</w:t>
      </w:r>
    </w:p>
    <w:p>
      <w:pPr>
        <w:spacing w:after="0" w:line="179" w:lineRule="exact"/>
        <w:rPr>
          <w:sz w:val="20"/>
          <w:szCs w:val="20"/>
          <w:color w:val="auto"/>
        </w:rPr>
      </w:pPr>
    </w:p>
    <w:p>
      <w:pPr>
        <w:ind w:left="520" w:hanging="512"/>
        <w:spacing w:after="0"/>
        <w:tabs>
          <w:tab w:leader="none" w:pos="520" w:val="left"/>
        </w:tabs>
        <w:numPr>
          <w:ilvl w:val="0"/>
          <w:numId w:val="1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Survival.</w:t>
      </w:r>
    </w:p>
    <w:p>
      <w:pPr>
        <w:spacing w:after="0" w:line="210" w:lineRule="exact"/>
        <w:rPr>
          <w:sz w:val="20"/>
          <w:szCs w:val="20"/>
          <w:color w:val="auto"/>
        </w:rPr>
      </w:pPr>
    </w:p>
    <w:p>
      <w:pPr>
        <w:jc w:val="both"/>
        <w:ind w:firstLine="749"/>
        <w:spacing w:after="0" w:line="232" w:lineRule="auto"/>
        <w:rPr>
          <w:sz w:val="20"/>
          <w:szCs w:val="20"/>
          <w:color w:val="auto"/>
        </w:rPr>
      </w:pPr>
      <w:r>
        <w:rPr>
          <w:rFonts w:ascii="Times New Roman" w:cs="Times New Roman" w:eastAsia="Times New Roman" w:hAnsi="Times New Roman"/>
          <w:sz w:val="22"/>
          <w:szCs w:val="22"/>
          <w:color w:val="auto"/>
        </w:rPr>
        <w:t>Each and every representation and warranty in this Purchase Agreement, the Schedules to it, the Additional Seller’s Documents and the Additional Buyer’s Documents, and all rights of Buyer and Seller to bring any claims in respect of any breach of any such representation or warranty contained in this Purchase Agreement, the Schedules to it, the Additional Seller’s Documents and the Additional Buyer’s Documents, shall survive the applicable Closing and shall be fully effective and enforceable for a period of eighteen (18) months from the applicable Closing Date, except that (a) the representations and warranties contained in Section 5(a) (Authorization), Section 5(b) (Title), Section 5(c) (No Conflicts), Section 5(f) (Brokers), Section 6(a) (Authorization), Section 6(b) (No Conflicts), and Section 6(e) (Brokers) shall survive until the expiration of the applicable statute of limitations, and (b) the representations and warranties contained in Section 6(f) (Availability of Funds) shall survive until the date that the Interest Purchase Price in respect of each Interest to be transferred to Buyer pursuant to this Purchase Agreement has been paid to the Seller in full. To the extent that notice of an indemnity claim under Section 12 for a breach of a representation, warranty, covenant, or agreement is properly given in writing prior to the expiration time of such representation, warranty, covenant or agreement specified herein (if any), the parties’ indemnification rights with respect to such representation or warranty shall survive the time at which they would otherwise expire pursuant to this Section 11 solely with respect to the matter (and only to the extent reasonably within the scope of the matter) in such notice until such claim is finally resolved in accordance with the terms of this Purchase Agreement. Any investigation or other examination that may be made at any time by or on behalf of a party to which representations and warranties are made shall not limit, diminish or in any way affect the specific representations and warranties in this Purchase Agreement, and the parties may rely on the specific representations and warranties in this Purchase Agreement, irrespective of any information obtained by them by any investigation, examination or otherwise.</w:t>
      </w:r>
    </w:p>
    <w:p>
      <w:pPr>
        <w:spacing w:after="0" w:line="183" w:lineRule="exact"/>
        <w:rPr>
          <w:sz w:val="20"/>
          <w:szCs w:val="20"/>
          <w:color w:val="auto"/>
        </w:rPr>
      </w:pPr>
    </w:p>
    <w:p>
      <w:pPr>
        <w:ind w:left="520" w:hanging="512"/>
        <w:spacing w:after="0"/>
        <w:tabs>
          <w:tab w:leader="none" w:pos="520" w:val="left"/>
        </w:tabs>
        <w:numPr>
          <w:ilvl w:val="0"/>
          <w:numId w:val="1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Indemnification.</w:t>
      </w:r>
    </w:p>
    <w:p>
      <w:pPr>
        <w:spacing w:after="0" w:line="210" w:lineRule="exact"/>
        <w:rPr>
          <w:rFonts w:ascii="Times New Roman" w:cs="Times New Roman" w:eastAsia="Times New Roman" w:hAnsi="Times New Roman"/>
          <w:sz w:val="22"/>
          <w:szCs w:val="22"/>
          <w:b w:val="1"/>
          <w:bCs w:val="1"/>
          <w:color w:val="auto"/>
        </w:rPr>
      </w:pPr>
    </w:p>
    <w:p>
      <w:pPr>
        <w:jc w:val="both"/>
        <w:ind w:firstLine="757"/>
        <w:spacing w:after="0" w:line="261" w:lineRule="auto"/>
        <w:tabs>
          <w:tab w:leader="none" w:pos="1018" w:val="left"/>
        </w:tabs>
        <w:numPr>
          <w:ilvl w:val="1"/>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Indemnification by Seller</w:t>
      </w:r>
      <w:r>
        <w:rPr>
          <w:rFonts w:ascii="Times New Roman" w:cs="Times New Roman" w:eastAsia="Times New Roman" w:hAnsi="Times New Roman"/>
          <w:sz w:val="21"/>
          <w:szCs w:val="21"/>
          <w:color w:val="auto"/>
        </w:rPr>
        <w:t>. Subject to Section 11, the Seller hereby agrees to defend, indemnify and hold harmless the Buyer and its affiliates and their respective officers, directors, partners, managers, members, employees, agents, successors and permitted assigns from and against, without duplication, any and all out of pocket losses, damages, claims, suits, proceedings,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821055</wp:posOffset>
            </wp:positionV>
            <wp:extent cx="7157720" cy="4254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8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1" w:name="page172"/>
    <w:bookmarkEnd w:id="171"/>
    <w:p>
      <w:pPr>
        <w:jc w:val="both"/>
        <w:spacing w:after="0" w:line="246" w:lineRule="auto"/>
        <w:rPr>
          <w:sz w:val="20"/>
          <w:szCs w:val="20"/>
          <w:color w:val="auto"/>
        </w:rPr>
      </w:pPr>
      <w:r>
        <w:rPr>
          <w:rFonts w:ascii="Times New Roman" w:cs="Times New Roman" w:eastAsia="Times New Roman" w:hAnsi="Times New Roman"/>
          <w:sz w:val="21"/>
          <w:szCs w:val="21"/>
          <w:color w:val="auto"/>
        </w:rPr>
        <w:t>liabilities, fees, costs and expenses (including settlement costs, interest, penalties, reasonable attorneys’ fees and any reasonable legal or other expenses for investigation or defense of any actions or threatened actions), including any of the foregoing in connection with a Third Party Claim (collectively, “</w:t>
      </w:r>
      <w:r>
        <w:rPr>
          <w:rFonts w:ascii="Times New Roman" w:cs="Times New Roman" w:eastAsia="Times New Roman" w:hAnsi="Times New Roman"/>
          <w:sz w:val="21"/>
          <w:szCs w:val="21"/>
          <w:u w:val="single" w:color="auto"/>
          <w:color w:val="auto"/>
        </w:rPr>
        <w:t>Damages</w:t>
      </w:r>
      <w:r>
        <w:rPr>
          <w:rFonts w:ascii="Times New Roman" w:cs="Times New Roman" w:eastAsia="Times New Roman" w:hAnsi="Times New Roman"/>
          <w:sz w:val="21"/>
          <w:szCs w:val="21"/>
          <w:color w:val="auto"/>
        </w:rPr>
        <w:t>”), which are incurred or asserted as a result of (i) any failure by the Seller to perform any of its covenants, agreements or obligations as set forth in this Purchase Agreement or the Additional Seller’s Documents to which it is a party (unless waived in writing by the Buyer at or prior to the applicable Closing); (ii) any inaccuracy in or breach of any of the representations or warranties of the Seller contained in this Purchase Agreement or the Additional Seller’s Documents to which it is a party; (iii) any claim by any person, including Campbell Lutyens or NEPC, with whom or which the Seller has, directly or indirectly, dealt for any finder’s or broker’s fee or commission in connection with the transactions contemplated by this Purchase Agreement; (iv) any Excluded Obligation; and (v) any Buyer Excess Joint Liability.</w:t>
      </w:r>
    </w:p>
    <w:p>
      <w:pPr>
        <w:spacing w:after="0" w:line="175" w:lineRule="exact"/>
        <w:rPr>
          <w:sz w:val="20"/>
          <w:szCs w:val="20"/>
          <w:color w:val="auto"/>
        </w:rPr>
      </w:pPr>
    </w:p>
    <w:p>
      <w:pPr>
        <w:jc w:val="both"/>
        <w:ind w:firstLine="757"/>
        <w:spacing w:after="0" w:line="245" w:lineRule="auto"/>
        <w:tabs>
          <w:tab w:leader="none" w:pos="1018" w:val="left"/>
        </w:tabs>
        <w:numPr>
          <w:ilvl w:val="0"/>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Indemnification by Buyer</w:t>
      </w:r>
      <w:r>
        <w:rPr>
          <w:rFonts w:ascii="Times New Roman" w:cs="Times New Roman" w:eastAsia="Times New Roman" w:hAnsi="Times New Roman"/>
          <w:sz w:val="21"/>
          <w:szCs w:val="21"/>
          <w:color w:val="auto"/>
        </w:rPr>
        <w:t>. Subject to Section 11, the Buyer hereby agrees to defend, indemnify and hold harmless the Seller and its affiliates and their respective officers, directors, partners, managers, members, employees, agents, successors and permitted assigns from and against any and all Damages which are incurred or asserted as a result of (i) any failure by the Buyer to perform any of its covenants, agreements or obligations as set forth in this Purchase Agreement or the Additional Buyer’s Documents to which it is a party; (ii) any inaccuracy in or breach of any of the representations or warranties of the Buyer contained in this Purchase Agreement or the Additional Buyer’s Documents to which it is a party; (iii) any Taxes, fees or other governmental charges (other than any Transfer Taxes for which it is not responsible pursuant to Section 10(c)) attributable to the ownership or purchase by the Buyer of an Interest on or after the Closing (except for any Excluded Obligations); (iv) any claim by any person (including MFAM, but other than Campbell Lutyens or NEPC) with whom or which the Buyer has, directly or indirectly, dealt for any finder’s or broker’s fee or commission in connection with the transactions contemplated by this Purchase Agreement; (v) any and all liabilities, duties and obligations assumed by Buyer pursuant to Section 3(e) of this Purchase Agreement (other than Excluded Obligations); and (vi) any Seller Excess Joint Liability.</w:t>
      </w:r>
    </w:p>
    <w:p>
      <w:pPr>
        <w:spacing w:after="0" w:line="173" w:lineRule="exact"/>
        <w:rPr>
          <w:rFonts w:ascii="Times New Roman" w:cs="Times New Roman" w:eastAsia="Times New Roman" w:hAnsi="Times New Roman"/>
          <w:sz w:val="21"/>
          <w:szCs w:val="21"/>
          <w:color w:val="auto"/>
        </w:rPr>
      </w:pPr>
    </w:p>
    <w:p>
      <w:pPr>
        <w:ind w:left="1020" w:hanging="263"/>
        <w:spacing w:after="0"/>
        <w:tabs>
          <w:tab w:leader="none" w:pos="1020"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Limitations on Indemnification</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505"/>
        <w:spacing w:after="0" w:line="246" w:lineRule="auto"/>
        <w:tabs>
          <w:tab w:leader="none" w:pos="2036" w:val="left"/>
        </w:tabs>
        <w:numPr>
          <w:ilvl w:val="1"/>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Seller</w:t>
      </w:r>
      <w:r>
        <w:rPr>
          <w:rFonts w:ascii="Times New Roman" w:cs="Times New Roman" w:eastAsia="Times New Roman" w:hAnsi="Times New Roman"/>
          <w:sz w:val="21"/>
          <w:szCs w:val="21"/>
          <w:color w:val="auto"/>
        </w:rPr>
        <w:t>. Notwithstanding anything in Section 12(a) to the contrary, (A) Seller shall not be obligated to provide indemnification for Damages in respect of claims made by Buyer for indemnification under Section 12(a)(ii) above unless the total of all Damages in respect of claims made by Buyer for indemnification under Section 12(a)(ii) shall exceed 1% of the aggregate Interest Purchase Prices (the “</w:t>
      </w:r>
      <w:r>
        <w:rPr>
          <w:rFonts w:ascii="Times New Roman" w:cs="Times New Roman" w:eastAsia="Times New Roman" w:hAnsi="Times New Roman"/>
          <w:sz w:val="21"/>
          <w:szCs w:val="21"/>
          <w:u w:val="single" w:color="auto"/>
          <w:color w:val="auto"/>
        </w:rPr>
        <w:t>Threshold</w:t>
      </w:r>
      <w:r>
        <w:rPr>
          <w:rFonts w:ascii="Times New Roman" w:cs="Times New Roman" w:eastAsia="Times New Roman" w:hAnsi="Times New Roman"/>
          <w:sz w:val="21"/>
          <w:szCs w:val="21"/>
          <w:color w:val="auto"/>
        </w:rPr>
        <w:t>”) in the aggregate, whereupon the total amount of such Damages from the first U.S. Dollar and without regard to the Threshold shall be recoverable by Buyer in accordance with the terms hereof, and (B) the maximum amount payable by Seller to Buyer for indemnification for Damages under Section 12(a)(ii) shall not exceed the aggregate Interest Purchase Prices paid to Seller (the “</w:t>
      </w:r>
      <w:r>
        <w:rPr>
          <w:rFonts w:ascii="Times New Roman" w:cs="Times New Roman" w:eastAsia="Times New Roman" w:hAnsi="Times New Roman"/>
          <w:sz w:val="21"/>
          <w:szCs w:val="21"/>
          <w:u w:val="single" w:color="auto"/>
          <w:color w:val="auto"/>
        </w:rPr>
        <w:t>Maximum Amount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Buyer shall not be subject to any limitation pursuant to this Section 12(c)(i) or otherwise, and shall be entitled to U.S. Dollar- for-U.S. Dollar recovery from the Seller, for Damages arising out of or in connection with (w) fraud, intentional misrepresentation or a deliberate or willful breach by Seller of any of its representations and warranties under this Purchase Agreement, (x) the breach by Seller</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821055</wp:posOffset>
            </wp:positionV>
            <wp:extent cx="7157720" cy="4254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8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2" w:name="page173"/>
    <w:bookmarkEnd w:id="172"/>
    <w:p>
      <w:pPr>
        <w:spacing w:after="0" w:line="258" w:lineRule="auto"/>
        <w:rPr>
          <w:sz w:val="20"/>
          <w:szCs w:val="20"/>
          <w:color w:val="auto"/>
        </w:rPr>
      </w:pPr>
      <w:r>
        <w:rPr>
          <w:rFonts w:ascii="Times New Roman" w:cs="Times New Roman" w:eastAsia="Times New Roman" w:hAnsi="Times New Roman"/>
          <w:sz w:val="22"/>
          <w:szCs w:val="22"/>
          <w:color w:val="auto"/>
        </w:rPr>
        <w:t>of any of the representations or warranties contained in Section 5(a), Section 5(b) or Section 5(f), or (y) any Excluded Obligations or (z) any Buyer Excess Joint Liability.</w:t>
      </w:r>
    </w:p>
    <w:p>
      <w:pPr>
        <w:spacing w:after="0" w:line="158" w:lineRule="exact"/>
        <w:rPr>
          <w:sz w:val="20"/>
          <w:szCs w:val="20"/>
          <w:color w:val="auto"/>
        </w:rPr>
      </w:pPr>
    </w:p>
    <w:p>
      <w:pPr>
        <w:jc w:val="both"/>
        <w:ind w:firstLine="1505"/>
        <w:spacing w:after="0" w:line="233" w:lineRule="auto"/>
        <w:tabs>
          <w:tab w:leader="none" w:pos="2036" w:val="left"/>
        </w:tabs>
        <w:numPr>
          <w:ilvl w:val="1"/>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Buyer</w:t>
      </w:r>
      <w:r>
        <w:rPr>
          <w:rFonts w:ascii="Times New Roman" w:cs="Times New Roman" w:eastAsia="Times New Roman" w:hAnsi="Times New Roman"/>
          <w:sz w:val="22"/>
          <w:szCs w:val="22"/>
          <w:color w:val="auto"/>
        </w:rPr>
        <w:t xml:space="preserve">. Notwithstanding anything in Section 12(b) to the contrary, (A) Buyer shall not be obligated to provide indemnification for Damages in respect of claims made by Seller for indemnification under Section 12(b)(ii) above unless the total of all Damages in respect of claims made by Seller for indemnification under Section 12(b)(ii) shall exceed the Threshold in the aggregate, whereupon the total amount of such Damages from the first U.S. Dollar and without regard to the Threshold shall be recoverable by Seller in accordance with the terms hereof, and (B) the maximum amount payable by Buyer to Seller for indemnification for Damages under Section 12(b)(ii) shall not exceed the Maximum Amount;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Seller shall not be subject to any limitation pursuant to this Section 12(c)(ii) or otherwise, and shall be entitled to U.S. Dollar-for-U.S. Dollar recovery from the Buyer, for Damages arising out of or in connection with (w) fraud, intentional misrepresentation or a deliberate or willful breach by Buyer of any of its representations and warranties under this Purchase Agreement, (x) the breach by Buyer of any of the representations or warranties contained in Section 6(a), Section 6(e), or Section 6(f), (y) any obligation or liability assumed by Buyer under Section 3(e) or (z) any Seller Excess Joint Liability.</w:t>
      </w:r>
    </w:p>
    <w:p>
      <w:pPr>
        <w:spacing w:after="0" w:line="187"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Procedure for Claims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505"/>
        <w:spacing w:after="0" w:line="234" w:lineRule="auto"/>
        <w:tabs>
          <w:tab w:leader="none" w:pos="2036" w:val="left"/>
        </w:tabs>
        <w:numPr>
          <w:ilvl w:val="1"/>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person entitled to assert a claim for indemnification under this Purchase Agreement shall receive written notice of the assertion by any person not a party to this Purchase Agreement of any claim or of the commencement of any action or proceeding (a “</w:t>
      </w:r>
      <w:r>
        <w:rPr>
          <w:rFonts w:ascii="Times New Roman" w:cs="Times New Roman" w:eastAsia="Times New Roman" w:hAnsi="Times New Roman"/>
          <w:sz w:val="22"/>
          <w:szCs w:val="22"/>
          <w:u w:val="single" w:color="auto"/>
          <w:color w:val="auto"/>
        </w:rPr>
        <w:t>Third Party Claim</w:t>
      </w:r>
      <w:r>
        <w:rPr>
          <w:rFonts w:ascii="Times New Roman" w:cs="Times New Roman" w:eastAsia="Times New Roman" w:hAnsi="Times New Roman"/>
          <w:sz w:val="22"/>
          <w:szCs w:val="22"/>
          <w:color w:val="auto"/>
        </w:rPr>
        <w:t>”) with respect to which Seller or Buyer is obligated to provide indemnification, the indemnified party (the “</w:t>
      </w:r>
      <w:r>
        <w:rPr>
          <w:rFonts w:ascii="Times New Roman" w:cs="Times New Roman" w:eastAsia="Times New Roman" w:hAnsi="Times New Roman"/>
          <w:sz w:val="22"/>
          <w:szCs w:val="22"/>
          <w:u w:val="single" w:color="auto"/>
          <w:color w:val="auto"/>
        </w:rPr>
        <w:t>Indemnitee</w:t>
      </w:r>
      <w:r>
        <w:rPr>
          <w:rFonts w:ascii="Times New Roman" w:cs="Times New Roman" w:eastAsia="Times New Roman" w:hAnsi="Times New Roman"/>
          <w:sz w:val="22"/>
          <w:szCs w:val="22"/>
          <w:color w:val="auto"/>
        </w:rPr>
        <w:t>”) shall give the indemnifying party (the “</w:t>
      </w:r>
      <w:r>
        <w:rPr>
          <w:rFonts w:ascii="Times New Roman" w:cs="Times New Roman" w:eastAsia="Times New Roman" w:hAnsi="Times New Roman"/>
          <w:sz w:val="22"/>
          <w:szCs w:val="22"/>
          <w:u w:val="single" w:color="auto"/>
          <w:color w:val="auto"/>
        </w:rPr>
        <w:t>Indemnitor</w:t>
      </w:r>
      <w:r>
        <w:rPr>
          <w:rFonts w:ascii="Times New Roman" w:cs="Times New Roman" w:eastAsia="Times New Roman" w:hAnsi="Times New Roman"/>
          <w:sz w:val="22"/>
          <w:szCs w:val="22"/>
          <w:color w:val="auto"/>
        </w:rPr>
        <w:t>”) prompt written notice after becoming aware of such Third Party Claim. The failure of the Indemnitee to give notice as provided in this Section 12(d)(i) shall not relieve the Indemnitor of its obligations for indemnification under this Purchase Agreement, except to the extent that the failure has materially and adversely affected the rights of the Indemnitor. The notice from the Indemnitee shall describe the Third Party Claim in reasonable detail, and shall attach a copy of any demand, summons, complaint or other court or arbitration papers that Indemnitee has received with respect to such Third Party Claim.</w:t>
      </w:r>
    </w:p>
    <w:p>
      <w:pPr>
        <w:spacing w:after="0" w:line="183" w:lineRule="exact"/>
        <w:rPr>
          <w:sz w:val="20"/>
          <w:szCs w:val="20"/>
          <w:color w:val="auto"/>
        </w:rPr>
      </w:pPr>
    </w:p>
    <w:p>
      <w:pPr>
        <w:jc w:val="both"/>
        <w:ind w:firstLine="1505"/>
        <w:spacing w:after="0" w:line="233" w:lineRule="auto"/>
        <w:tabs>
          <w:tab w:leader="none" w:pos="2036"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Indemnitor may elect to compromise or defend, at the Indemnitor’s own expense and by the Indemnitor’s own counsel, any Third Party Claim. The Indemnitee shall promptly cooperate, at Indemnitor’s expense, in any reasonable investigation that Indemnitor shall undertake to determine whether to compromise or defend any Third Party Claim. If the Indemnitor elects to compromise or defend a Third Party Claim, it shall, within thirty (30) days (or sooner, if the nature of the Third Party Claim so requires), notify the Indemnitee in writing of its intent to do so, and the Indemnitee shall reasonably cooperate in the compromise of, or defense against, the Third Party Claim, and the Indemnitee shall not consent to entry of any judgment or enter into any settlement, except with the written consent of the Indemnitor which shall not be unreasonably withheld. The Indemnitor shall pay the Indemnitee’s actual out-of-pocket expenses incurred in connection with its cooperation. After notice from the Indemnitor to the Indemnitee of its election to assume the defense of a Third Party Claim, the Indemnitor shall not be liable to the Indemnitee under this Purchase Agreement for any legal expenses subsequently incurred by the Indemnitee in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821055</wp:posOffset>
            </wp:positionV>
            <wp:extent cx="7157720" cy="4254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8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3" w:name="page174"/>
    <w:bookmarkEnd w:id="173"/>
    <w:p>
      <w:pPr>
        <w:jc w:val="both"/>
        <w:spacing w:after="0" w:line="233" w:lineRule="auto"/>
        <w:rPr>
          <w:sz w:val="20"/>
          <w:szCs w:val="20"/>
          <w:color w:val="auto"/>
        </w:rPr>
      </w:pPr>
      <w:r>
        <w:rPr>
          <w:rFonts w:ascii="Times New Roman" w:cs="Times New Roman" w:eastAsia="Times New Roman" w:hAnsi="Times New Roman"/>
          <w:sz w:val="22"/>
          <w:szCs w:val="22"/>
          <w:color w:val="auto"/>
        </w:rPr>
        <w:t>connection with defense of the Third Party Claim; provided that, if the Indemnitee is advised that representation of both parties by the same counsel would be inappropriate under the applicable standards of professional conduct, the Indemnitee shall have the right to employ separate counsel, and in that event the reasonable out-of-pocket fees and expenses of such separate counsel shall be paid by the Indemnitor. The Indemnitor shall not consent to entry of any judgment or enter into any settlement, except with the written consent of the Indemnitee (which consent shall not be unreasonably withheld) if such judgment or settlement provides for anything other than money damages or other money payments for which the Indemnitee is entitled to indemnification under this Purchase Agreement or which does not contain as an unconditional term thereof the giving by the claimant or plaintiff to the Indemnitee of a release from all liability in respect of the Third Party Claim. If the Indemnitor elects not to defend against a Third Party Claim, or fails to notify the Indemnitee of its election as provided in this Section 12(d)(ii), the Indemnitee may pay, compromise or defend such Third Party Claim on behalf of, and for the account and risk of, the Indemnitor. In such event, the Indemnitor may participate in the defense of such Third Party Claim, and Indemnitee shall not consent to entry of any judgment or enter into any settlement, except with the written consent of the Indemnitor (which consent shall not be unreasonably withheld). Any indemnification payment shall be treated for tax purposes as an adjustment to the applicable Interest Purchase Price(s), to the extent such characterization is proper and permissible under applicable tax law.</w:t>
      </w:r>
    </w:p>
    <w:p>
      <w:pPr>
        <w:spacing w:after="0" w:line="180" w:lineRule="exact"/>
        <w:rPr>
          <w:sz w:val="20"/>
          <w:szCs w:val="20"/>
          <w:color w:val="auto"/>
        </w:rPr>
      </w:pPr>
    </w:p>
    <w:p>
      <w:pPr>
        <w:jc w:val="both"/>
        <w:ind w:firstLine="1505"/>
        <w:spacing w:after="0" w:line="235" w:lineRule="auto"/>
        <w:tabs>
          <w:tab w:leader="none" w:pos="2036" w:val="left"/>
        </w:tabs>
        <w:numPr>
          <w:ilvl w:val="1"/>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there is a reasonable likelihood that a Third Party Claim may materially and adversely affect the Indemnitee, other than as a result of money damages or other money payments for which the Indemnitee is entitled to indemnification hereunder, the Indemnitee will have the right, after consultation with the Indemnitor and at the reasonable cost and expense of the Indemnitee, to assume the defense of the Third Party Claim in lieu of the Indemnitor with counsel reasonably acceptable to the Indemnitor. In such event, the Indemnitor may participate in the defense of such Third Party Claim, and no Indemnitee shall consent to entry of any judgment or enter into any settlement, except with the written consent of the Indemnitor (which consent shall not be unreasonably withheld or delayed or conditioned).</w:t>
      </w:r>
    </w:p>
    <w:p>
      <w:pPr>
        <w:spacing w:after="0" w:line="183" w:lineRule="exact"/>
        <w:rPr>
          <w:rFonts w:ascii="Times New Roman" w:cs="Times New Roman" w:eastAsia="Times New Roman" w:hAnsi="Times New Roman"/>
          <w:sz w:val="22"/>
          <w:szCs w:val="22"/>
          <w:color w:val="auto"/>
        </w:rPr>
      </w:pPr>
    </w:p>
    <w:p>
      <w:pPr>
        <w:jc w:val="both"/>
        <w:ind w:firstLine="757"/>
        <w:spacing w:after="0" w:line="235" w:lineRule="auto"/>
        <w:tabs>
          <w:tab w:leader="none" w:pos="1018"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Procedure for Non-Third Party Claims</w:t>
      </w:r>
      <w:r>
        <w:rPr>
          <w:rFonts w:ascii="Times New Roman" w:cs="Times New Roman" w:eastAsia="Times New Roman" w:hAnsi="Times New Roman"/>
          <w:sz w:val="22"/>
          <w:szCs w:val="22"/>
          <w:color w:val="auto"/>
        </w:rPr>
        <w:t>. With respect to any claim for indemnification hereunder which does not result from a Third Party Claim, the Indemnitor shall have a period of thirty (30 days after receipt of written notice from the Indemnitee within which to respond to the Indemnitee. If the Indemnitor does not respond within the thirty (30 day period, the Indemnitor shall be deemed to have accepted responsibility to make payment and shall have no further right to contest the validity of such claim. If the Indemnitor does respond within the thirty (30) day period and rejects the claim in whole or in part, the Indemnitee shall be free to pursue such remedies as may be available to the Indemnitee under applicable law (subject to the terms of this Purchase Agreement).</w:t>
      </w:r>
    </w:p>
    <w:p>
      <w:pPr>
        <w:spacing w:after="0" w:line="183" w:lineRule="exact"/>
        <w:rPr>
          <w:rFonts w:ascii="Times New Roman" w:cs="Times New Roman" w:eastAsia="Times New Roman" w:hAnsi="Times New Roman"/>
          <w:sz w:val="22"/>
          <w:szCs w:val="22"/>
          <w:color w:val="auto"/>
        </w:rPr>
      </w:pPr>
    </w:p>
    <w:p>
      <w:pPr>
        <w:jc w:val="both"/>
        <w:ind w:firstLine="757"/>
        <w:spacing w:after="0" w:line="244" w:lineRule="auto"/>
        <w:tabs>
          <w:tab w:leader="none" w:pos="1018"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Reduction of Damages</w:t>
      </w:r>
      <w:r>
        <w:rPr>
          <w:rFonts w:ascii="Times New Roman" w:cs="Times New Roman" w:eastAsia="Times New Roman" w:hAnsi="Times New Roman"/>
          <w:sz w:val="22"/>
          <w:szCs w:val="22"/>
          <w:color w:val="auto"/>
        </w:rPr>
        <w:t>. If the amount of any Damages shall, at any time subsequent to payment pursuant to this Section 12, be reduced by insurance, recovery, settlement or otherwise, the amount of such reduction, less any expenses incurred by the Indemnitee in connection therewith, shall promptly be repaid by the Indemnitee to the Indemnitor.</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821055</wp:posOffset>
            </wp:positionV>
            <wp:extent cx="7157720" cy="4254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8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4" w:name="page175"/>
    <w:bookmarkEnd w:id="174"/>
    <w:p>
      <w:pPr>
        <w:jc w:val="both"/>
        <w:ind w:firstLine="757"/>
        <w:spacing w:after="0" w:line="236" w:lineRule="auto"/>
        <w:tabs>
          <w:tab w:leader="none" w:pos="1018" w:val="left"/>
        </w:tabs>
        <w:numPr>
          <w:ilvl w:val="1"/>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Remedies Exclusive</w:t>
      </w:r>
      <w:r>
        <w:rPr>
          <w:rFonts w:ascii="Times New Roman" w:cs="Times New Roman" w:eastAsia="Times New Roman" w:hAnsi="Times New Roman"/>
          <w:sz w:val="22"/>
          <w:szCs w:val="22"/>
          <w:color w:val="auto"/>
        </w:rPr>
        <w:t xml:space="preserve">. Subject to Section 17(l), the remedies provided in this Section 12 shall be the sole and exclusive remedy against a party for any Damages arising under this Purchase Agreement or any other document, certificate or instrument delivered pursuant to this Purchase Agreement;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nothing in this Section 12(g) shall limit in any way any remedy at law or equity to which a party may be entitled as a result of fraud or intentional misrepresentation or deliberate and willful breach by the other party of any of their representations and warranties, covenants or agreements under this Purchase Agreement.</w:t>
      </w:r>
    </w:p>
    <w:p>
      <w:pPr>
        <w:spacing w:after="0" w:line="181" w:lineRule="exact"/>
        <w:rPr>
          <w:rFonts w:ascii="Times New Roman" w:cs="Times New Roman" w:eastAsia="Times New Roman" w:hAnsi="Times New Roman"/>
          <w:sz w:val="22"/>
          <w:szCs w:val="22"/>
          <w:color w:val="auto"/>
        </w:rPr>
      </w:pPr>
    </w:p>
    <w:p>
      <w:pPr>
        <w:jc w:val="both"/>
        <w:ind w:firstLine="757"/>
        <w:spacing w:after="0" w:line="244" w:lineRule="auto"/>
        <w:tabs>
          <w:tab w:leader="none" w:pos="1018" w:val="left"/>
        </w:tabs>
        <w:numPr>
          <w:ilvl w:val="1"/>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Mitigation</w:t>
      </w:r>
      <w:r>
        <w:rPr>
          <w:rFonts w:ascii="Times New Roman" w:cs="Times New Roman" w:eastAsia="Times New Roman" w:hAnsi="Times New Roman"/>
          <w:sz w:val="22"/>
          <w:szCs w:val="22"/>
          <w:color w:val="auto"/>
        </w:rPr>
        <w:t>. Nothing in this Purchase Agreement restricts or limits the Buyer’s or Seller’s general obligation at law to mitigate any Damages which it may incur in consequence of a matter giving rise to indemnification obligations under this Purchase Agreement.</w:t>
      </w:r>
    </w:p>
    <w:p>
      <w:pPr>
        <w:spacing w:after="0" w:line="173" w:lineRule="exact"/>
        <w:rPr>
          <w:rFonts w:ascii="Times New Roman" w:cs="Times New Roman" w:eastAsia="Times New Roman" w:hAnsi="Times New Roman"/>
          <w:sz w:val="22"/>
          <w:szCs w:val="22"/>
          <w:color w:val="auto"/>
        </w:rPr>
      </w:pPr>
    </w:p>
    <w:p>
      <w:pPr>
        <w:jc w:val="both"/>
        <w:ind w:firstLine="757"/>
        <w:spacing w:after="0" w:line="239" w:lineRule="auto"/>
        <w:tabs>
          <w:tab w:leader="none" w:pos="1018" w:val="left"/>
        </w:tabs>
        <w:numPr>
          <w:ilvl w:val="1"/>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Consequential Damages</w:t>
      </w:r>
      <w:r>
        <w:rPr>
          <w:rFonts w:ascii="Times New Roman" w:cs="Times New Roman" w:eastAsia="Times New Roman" w:hAnsi="Times New Roman"/>
          <w:sz w:val="22"/>
          <w:szCs w:val="22"/>
          <w:color w:val="auto"/>
        </w:rPr>
        <w:t>. Neither Buyer nor the Seller shall be liable to each other for consequential, punitive or indirect or incidental Damages, or special damages in connection with its indemnification obligations under this Section 12, except to the extent payments in respect of such indemnification obligations are for Damages owed by an indemnified party to a third party.</w:t>
      </w:r>
    </w:p>
    <w:p>
      <w:pPr>
        <w:spacing w:after="0" w:line="180" w:lineRule="exact"/>
        <w:rPr>
          <w:rFonts w:ascii="Times New Roman" w:cs="Times New Roman" w:eastAsia="Times New Roman" w:hAnsi="Times New Roman"/>
          <w:sz w:val="22"/>
          <w:szCs w:val="22"/>
          <w:color w:val="auto"/>
        </w:rPr>
      </w:pPr>
    </w:p>
    <w:p>
      <w:pPr>
        <w:jc w:val="both"/>
        <w:ind w:firstLine="757"/>
        <w:spacing w:after="0" w:line="239" w:lineRule="auto"/>
        <w:tabs>
          <w:tab w:leader="none" w:pos="1018" w:val="left"/>
        </w:tabs>
        <w:numPr>
          <w:ilvl w:val="1"/>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Foreign Currency Treatment</w:t>
      </w:r>
      <w:r>
        <w:rPr>
          <w:rFonts w:ascii="Times New Roman" w:cs="Times New Roman" w:eastAsia="Times New Roman" w:hAnsi="Times New Roman"/>
          <w:sz w:val="22"/>
          <w:szCs w:val="22"/>
          <w:color w:val="auto"/>
        </w:rPr>
        <w:t>. Any Damages with respect to an Interest shall be determined and paid in U.S. Dollars after having been converted from any non-U.S. Dollar currency, to the extent applicable, at the Exchange Rate on the date of any final determination by a court of competent jurisdiction or agreement by the Buyer and the Seller of the amount of any such Damages.</w:t>
      </w:r>
    </w:p>
    <w:p>
      <w:pPr>
        <w:spacing w:after="0" w:line="176" w:lineRule="exact"/>
        <w:rPr>
          <w:rFonts w:ascii="Times New Roman" w:cs="Times New Roman" w:eastAsia="Times New Roman" w:hAnsi="Times New Roman"/>
          <w:sz w:val="22"/>
          <w:szCs w:val="22"/>
          <w:color w:val="auto"/>
        </w:rPr>
      </w:pPr>
    </w:p>
    <w:p>
      <w:pPr>
        <w:ind w:left="520" w:hanging="512"/>
        <w:spacing w:after="0"/>
        <w:tabs>
          <w:tab w:leader="none" w:pos="520" w:val="left"/>
        </w:tabs>
        <w:numPr>
          <w:ilvl w:val="0"/>
          <w:numId w:val="1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Confidentiality.</w:t>
      </w:r>
    </w:p>
    <w:p>
      <w:pPr>
        <w:spacing w:after="0" w:line="210" w:lineRule="exact"/>
        <w:rPr>
          <w:rFonts w:ascii="Times New Roman" w:cs="Times New Roman" w:eastAsia="Times New Roman" w:hAnsi="Times New Roman"/>
          <w:sz w:val="22"/>
          <w:szCs w:val="22"/>
          <w:b w:val="1"/>
          <w:bCs w:val="1"/>
          <w:color w:val="auto"/>
        </w:rPr>
      </w:pPr>
    </w:p>
    <w:p>
      <w:pPr>
        <w:jc w:val="both"/>
        <w:ind w:firstLine="757"/>
        <w:spacing w:after="0" w:line="232" w:lineRule="auto"/>
        <w:tabs>
          <w:tab w:leader="none" w:pos="1018" w:val="left"/>
        </w:tabs>
        <w:numPr>
          <w:ilvl w:val="1"/>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information furnished in writing by either party to this Purchase Agreement to the other party to this Purchase Agreement in connection with this Purchase Agreement or any transfer agreement or assignment and assumption agreement and the transactions contemplated hereunder or thereunder shall be kept confidential by the receiving party and shall be used by the receiving party only in connection with this Purchase Agreement and the transactions contemplated hereby, except to the extent that such information (i) is information which the receiving party can demonstrate was already known to the receiving party when received without any breach of any obligation of confidentiality to the knowledge of the receiving party, (ii) at the time of disclosure or thereafter becomes lawfully obtainable from other sources through no act or failure to act on the part of the receiving party, (iii) is made to the Fund or a Manager to the extent necessary to obtain the Approvals, (iv) is disclosed with the consent of the party who furnished such information, (v) is disclosed to a party’s (or any affiliate of such party’s) officers, directors, partners, attorneys, administrators (and their officers, directors, employees and agents), advisors (including NEPC, Campbell Lutyens and MFAM) and employees who, in each case (A) are under an obligation to keep such information confidential and (B) require such information for the purpose of consummating the transactions contemplated by this Purchase Agreement, or (vi) is required to be disclosed by court order, applicable law or regulation or in any document to be filed with any federal, state, municipal or other governmental or quasi-governmental or regulatory or quasi-regulatory department, commission, board, bureau, organization, agency or instrumentality, domestic or foreign, or in connection with any litigation; provided that in the case of clause (vi),</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821055</wp:posOffset>
            </wp:positionV>
            <wp:extent cx="7157720" cy="4254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8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5" w:name="page176"/>
    <w:bookmarkEnd w:id="175"/>
    <w:p>
      <w:pPr>
        <w:jc w:val="both"/>
        <w:spacing w:after="0" w:line="238" w:lineRule="auto"/>
        <w:rPr>
          <w:sz w:val="20"/>
          <w:szCs w:val="20"/>
          <w:color w:val="auto"/>
        </w:rPr>
      </w:pPr>
      <w:r>
        <w:rPr>
          <w:rFonts w:ascii="Times New Roman" w:cs="Times New Roman" w:eastAsia="Times New Roman" w:hAnsi="Times New Roman"/>
          <w:sz w:val="22"/>
          <w:szCs w:val="22"/>
          <w:color w:val="auto"/>
        </w:rPr>
        <w:t>the receiving party shall disclose only so much of the confidential information as is legally required. The parties shall use their respective reasonable efforts and establish reasonable precautions to ensure that their principals, agents and employees abide by the terms of this Section 13(a). Any breach of this Purchase Agreement by any party’s officers, directors, partners, shareholders, or members, principals, agents, employees and advisors shall be deemed to be a breach of this Purchase Agreement by such party and such party will be responsible for any such breach.</w:t>
      </w:r>
    </w:p>
    <w:p>
      <w:pPr>
        <w:spacing w:after="0" w:line="177" w:lineRule="exact"/>
        <w:rPr>
          <w:sz w:val="20"/>
          <w:szCs w:val="20"/>
          <w:color w:val="auto"/>
        </w:rPr>
      </w:pPr>
    </w:p>
    <w:p>
      <w:pPr>
        <w:jc w:val="both"/>
        <w:ind w:firstLine="749"/>
        <w:spacing w:after="0" w:line="232" w:lineRule="auto"/>
        <w:rPr>
          <w:sz w:val="20"/>
          <w:szCs w:val="20"/>
          <w:color w:val="auto"/>
        </w:rPr>
      </w:pPr>
      <w:r>
        <w:rPr>
          <w:rFonts w:ascii="Times New Roman" w:cs="Times New Roman" w:eastAsia="Times New Roman" w:hAnsi="Times New Roman"/>
          <w:sz w:val="22"/>
          <w:szCs w:val="22"/>
          <w:color w:val="auto"/>
        </w:rPr>
        <w:t>(b)Without the prior consent of the other party, neither the Seller, on the one hand, nor Buyer, on the other hand, will disclose the terms of this Purchase Agreement (including, without limitation, any Interest Purchase Price) or the transactions contemplated hereunder, or the identity of the parties hereto, to any person (including the Managers), except that such disclosure may be made (i) to a party’s (or any affiliate of such party’s) officers, directors, partners, attorneys, administrators (and their officers, directors, employees and agents), advisors (including NEPC, Campbell Lutyens and MFAM), and employees who require such information for the purpose of consummating the transactions contemplated by this Purchase Agreement and who are under an obligation to keep such information confidential, (ii) to a federal, state, municipal or other governmental or quasi-governmental or regulatory or quasi-regulatory department, commission, board, bureau, organization, agency or instrumentality, domestic or foreign, or pension or insurance regulator, in each case, with jurisdiction over a party hereto, (iii) in any filing required to be made with any federal, state, municipal or other governmental or quasi-governmental or regulatory or quasi-regulatory department, commission, board, bureau, organization, agency or instrumentality, domestic or foreign, (iv) as otherwise required by law, or (v) to a Fund (and its limited partners, members, unitholders, or shareholders) and its Manager to the extent necessary to obtain Approvals, provided that the disclosing party shall remain responsible for any disclosure by such parties. Buyer and the Seller will cooperate with each other to make any necessary disclosure to the partners, members, unitholders, or shareholders of the Funds in which the Seller owns an Interest in connection with any right of first refusal, right of co-sale, or right of first offer (or similar right) under the applicable Portfolio Property Agreements.</w:t>
      </w:r>
    </w:p>
    <w:p>
      <w:pPr>
        <w:spacing w:after="0" w:line="191" w:lineRule="exact"/>
        <w:rPr>
          <w:sz w:val="20"/>
          <w:szCs w:val="20"/>
          <w:color w:val="auto"/>
        </w:rPr>
      </w:pPr>
    </w:p>
    <w:p>
      <w:pPr>
        <w:jc w:val="both"/>
        <w:ind w:firstLine="757"/>
        <w:spacing w:after="0" w:line="233" w:lineRule="auto"/>
        <w:tabs>
          <w:tab w:leader="none" w:pos="1018"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of this Purchase Agreement to the contrary, to comply with United States Treasury Regulation Section 1.6011-4(b)(3), each of the parties hereto (and any employee, representative, or other agent of such party) may disclose to any and all persons, without limitation of any kind, the United States federal tax treatment and tax structure of any transactions contemplated by this Purchase Agreement, it being understood and agreed, for this purpose (i) the name of, or any other identifying information regarding, (A) the parties hereto, (B) any of the Funds or any existing or future investors (or any affiliates thereof) in the Funds, or (C) any investments or transactions entered into by the Funds, or (ii) any performance information relating to the Funds or their investments, does not constitute such treatment or tax structure information. The parties agree that the disclosure allowed under this Section 13(c) shall only be to the extent required by applicable United States tax law (including applicable United States Treasury Regulations) and that only the minimum amount of information necessary to comply with applicable United States tax law (including applicable Treasury Regulations) may be disclosed.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821055</wp:posOffset>
            </wp:positionV>
            <wp:extent cx="7157720" cy="4254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8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6" w:name="page177"/>
    <w:bookmarkEnd w:id="176"/>
    <w:p>
      <w:pPr>
        <w:ind w:left="520" w:hanging="512"/>
        <w:spacing w:after="0"/>
        <w:tabs>
          <w:tab w:leader="none" w:pos="520" w:val="left"/>
        </w:tabs>
        <w:numPr>
          <w:ilvl w:val="0"/>
          <w:numId w:val="1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Nonassignable Interests.</w:t>
      </w:r>
    </w:p>
    <w:p>
      <w:pPr>
        <w:spacing w:after="0" w:line="210"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1"/>
          <w:szCs w:val="21"/>
          <w:color w:val="auto"/>
        </w:rPr>
        <w:t>If the sale, assignment or transfer of all or any portion of the Portfolio Property (other than rights afforded pursuant to a side letter), or a request for permission to sell, assign or transfer all or any portion of the Portfolio Property would require the consent of any other party pursuant to the relevant Portfolio Property Agreement or pursuant to applicable laws, rules or regulations, then this Purchase Agreement shall not constitute a contract to sell, assign or transfer such Portfolio Property, or such affected part thereof, until such time as such consent has been received or the requirement therefor duly waived to the extent that an attempted sale, assignment or transfer without such consent or wavier would (a) constitute a breach of the relevant Portfolio Property Agreement, (b) create rights in others not desired by the Seller or the Buyer, or (c) create rights in third parties against the Seller or Buyer. The Buyer and the Seller shall cooperate and use commercially reasonable efforts to procure all Approvals which may be required in order to assign the Portfolio Property and, if applicable, to admit Buyer as a substitute limited partner (of each Fund that is organized as a limited partnership) or substitute member, shareholder or unitholder (of each Fund that is organized as a limited liability company, corporation, company, or other similar entity) of each such Fund.</w:t>
      </w:r>
    </w:p>
    <w:p>
      <w:pPr>
        <w:spacing w:after="0" w:line="173" w:lineRule="exact"/>
        <w:rPr>
          <w:sz w:val="20"/>
          <w:szCs w:val="20"/>
          <w:color w:val="auto"/>
        </w:rPr>
      </w:pPr>
    </w:p>
    <w:p>
      <w:pPr>
        <w:ind w:left="520" w:hanging="512"/>
        <w:spacing w:after="0"/>
        <w:tabs>
          <w:tab w:leader="none" w:pos="520" w:val="left"/>
        </w:tabs>
        <w:numPr>
          <w:ilvl w:val="0"/>
          <w:numId w:val="1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Termination.</w:t>
      </w:r>
    </w:p>
    <w:p>
      <w:pPr>
        <w:spacing w:after="0" w:line="210" w:lineRule="exact"/>
        <w:rPr>
          <w:rFonts w:ascii="Times New Roman" w:cs="Times New Roman" w:eastAsia="Times New Roman" w:hAnsi="Times New Roman"/>
          <w:sz w:val="22"/>
          <w:szCs w:val="22"/>
          <w:b w:val="1"/>
          <w:bCs w:val="1"/>
          <w:color w:val="auto"/>
        </w:rPr>
      </w:pPr>
    </w:p>
    <w:p>
      <w:pPr>
        <w:jc w:val="both"/>
        <w:ind w:firstLine="757"/>
        <w:spacing w:after="0" w:line="238" w:lineRule="auto"/>
        <w:tabs>
          <w:tab w:leader="none" w:pos="1018" w:val="left"/>
        </w:tabs>
        <w:numPr>
          <w:ilvl w:val="1"/>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By Mutual Consent</w:t>
      </w:r>
      <w:r>
        <w:rPr>
          <w:rFonts w:ascii="Times New Roman" w:cs="Times New Roman" w:eastAsia="Times New Roman" w:hAnsi="Times New Roman"/>
          <w:sz w:val="22"/>
          <w:szCs w:val="22"/>
          <w:color w:val="auto"/>
        </w:rPr>
        <w:t>. This Purchase Agreement may be terminated and the transactions contemplated by it abandoned, with respect to any Portfolio Property not transferred to the Buyer prior to such termination, at any time before the Final Closing pursuant to the mutual written consent of Buyer and Seller for any reason and the Buyer shall have no further obligation to buy, and the Seller shall have no further obligations to sell, any Portfolio Property not purchased by and transferred to Buyer prior to such termination of this Purchase Agreement.</w:t>
      </w:r>
    </w:p>
    <w:p>
      <w:pPr>
        <w:spacing w:after="0" w:line="176" w:lineRule="exact"/>
        <w:rPr>
          <w:rFonts w:ascii="Times New Roman" w:cs="Times New Roman" w:eastAsia="Times New Roman" w:hAnsi="Times New Roman"/>
          <w:sz w:val="22"/>
          <w:szCs w:val="22"/>
          <w:color w:val="auto"/>
        </w:rPr>
      </w:pPr>
    </w:p>
    <w:p>
      <w:pPr>
        <w:jc w:val="both"/>
        <w:ind w:firstLine="757"/>
        <w:spacing w:after="0" w:line="233" w:lineRule="auto"/>
        <w:tabs>
          <w:tab w:leader="none" w:pos="1018" w:val="left"/>
        </w:tabs>
        <w:numPr>
          <w:ilvl w:val="1"/>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By Buyer or Seller</w:t>
      </w:r>
      <w:r>
        <w:rPr>
          <w:rFonts w:ascii="Times New Roman" w:cs="Times New Roman" w:eastAsia="Times New Roman" w:hAnsi="Times New Roman"/>
          <w:sz w:val="22"/>
          <w:szCs w:val="22"/>
          <w:color w:val="auto"/>
        </w:rPr>
        <w:t xml:space="preserve">. This Purchase Agreement may be terminated and the transactions contemplated by it abandoned, with respect to any Portfolio Property not transferred to the Buyer prior to such termination, by written notice from Buyer to Seller, or from Seller to Buyer, (i) in the event of a material breach by the Seller or Buyer, respectively, of any representation, warranty, covenant or agreement contained in this Purchase Agreement which is not or cannot be cured within ten (10) Business Days after written notice of the breach is given to the party committing the breach; or (ii) if the Final Closing does not occur on or before the Final Closing Deadline (or such later date as may be agreed upon in writing by Buyer and Seller);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right to terminate this Purchase Agreement under the foregoing clause (ii) shall not be available to a party if such party’s breach of this Purchase Agreement has been the cause of or resulted in the failure of the Final Closing to occur on or before the Final Closing Deadline, it being understood and agreed that a failure to satisfy any of the conditions set forth in Sections 8(c) and 9(c) shall not be deemed a “breach or failure to fulfill any obligation” by any party. Termination of this Purchase Agreement pursuant to this Section 15 shall not affect the validity of the assignment of any Interest consummated prior to such termination or the rights and obligations of the parties with respect to any such Interest.</w:t>
      </w:r>
    </w:p>
    <w:p>
      <w:pPr>
        <w:spacing w:after="0" w:line="184" w:lineRule="exact"/>
        <w:rPr>
          <w:rFonts w:ascii="Times New Roman" w:cs="Times New Roman" w:eastAsia="Times New Roman" w:hAnsi="Times New Roman"/>
          <w:sz w:val="22"/>
          <w:szCs w:val="22"/>
          <w:color w:val="auto"/>
        </w:rPr>
      </w:pPr>
    </w:p>
    <w:p>
      <w:pPr>
        <w:ind w:firstLine="757"/>
        <w:spacing w:after="0" w:line="258" w:lineRule="auto"/>
        <w:tabs>
          <w:tab w:leader="none" w:pos="1018" w:val="left"/>
        </w:tabs>
        <w:numPr>
          <w:ilvl w:val="1"/>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If this Purchase Agreement is terminated, no party to this Purchase Agreement will have any liability or further obligation to the other party pursuant to this Purchase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821055</wp:posOffset>
            </wp:positionV>
            <wp:extent cx="7157720" cy="4254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8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77" w:name="page178"/>
    <w:bookmarkEnd w:id="177"/>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Agreement with respect to any Portfolio Property (or portion thereof) that has not been transferred to Buyer;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the agreements of Seller and Buyer contained in Sections 13 and 17 shall survive such termination; and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further</w:t>
      </w:r>
      <w:r>
        <w:rPr>
          <w:rFonts w:ascii="Times New Roman" w:cs="Times New Roman" w:eastAsia="Times New Roman" w:hAnsi="Times New Roman"/>
          <w:sz w:val="22"/>
          <w:szCs w:val="22"/>
          <w:color w:val="auto"/>
        </w:rPr>
        <w:t xml:space="preserve">, that if termination results from intentional misrepresentation or a deliberate or willful breach of this Purchase Agreement of a party, such party will remain liable for any and all costs, expenses, damages incurred or suffered by the other party as a direct result of such intentional misrepresentation or deliberate or willful breach; and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that that nothing in this Section 15 shall affect the rights and obligations of the parties with respect to any and all Portfolio Property that has been transferred to Buyer prior to such termination.</w:t>
      </w:r>
    </w:p>
    <w:p>
      <w:pPr>
        <w:spacing w:after="0" w:line="176" w:lineRule="exact"/>
        <w:rPr>
          <w:sz w:val="20"/>
          <w:szCs w:val="20"/>
          <w:color w:val="auto"/>
        </w:rPr>
      </w:pPr>
    </w:p>
    <w:p>
      <w:pPr>
        <w:ind w:left="520" w:hanging="512"/>
        <w:spacing w:after="0"/>
        <w:tabs>
          <w:tab w:leader="none" w:pos="520" w:val="left"/>
        </w:tabs>
        <w:numPr>
          <w:ilvl w:val="0"/>
          <w:numId w:val="1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Post Closing Notices.</w:t>
      </w:r>
    </w:p>
    <w:p>
      <w:pPr>
        <w:spacing w:after="0" w:line="210" w:lineRule="exact"/>
        <w:rPr>
          <w:rFonts w:ascii="Times New Roman" w:cs="Times New Roman" w:eastAsia="Times New Roman" w:hAnsi="Times New Roman"/>
          <w:sz w:val="22"/>
          <w:szCs w:val="22"/>
          <w:b w:val="1"/>
          <w:bCs w:val="1"/>
          <w:color w:val="auto"/>
        </w:rPr>
      </w:pPr>
    </w:p>
    <w:p>
      <w:pPr>
        <w:jc w:val="both"/>
        <w:ind w:firstLine="757"/>
        <w:spacing w:after="0" w:line="235" w:lineRule="auto"/>
        <w:tabs>
          <w:tab w:leader="none" w:pos="1018" w:val="left"/>
        </w:tabs>
        <w:numPr>
          <w:ilvl w:val="1"/>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From and after each Closing until the second anniversary thereof, the Seller shall promptly forward to Buyer any notices (other than any Advisory Committee Material) or distributions (in cash or otherwise) received after such Closing by the Seller from a Fund related to an Interest assigned to Buyer at such Closing hereunder;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Seller shall not be required to forward refunds that are received by Seller that are attributable to Tax or other withholdings (if any) prior to such Closing that have been borne by Seller. The Seller shall remit any distributions in cash, securities or other property pursuant to the preceding sentence to the Buyer within twenty (20) Business Days of receipt thereof, other than those that are refunds attributable to Tax or other withholdings (if any) prior to such Closing that have been borne by Seller.</w:t>
      </w:r>
    </w:p>
    <w:p>
      <w:pPr>
        <w:spacing w:after="0" w:line="183"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(b)From and after each Closing until the second anniversary thereof, if and solely to the extent that the Buyer receives a distribution notice in relation to the Interest acquired by the Buyer pursuant to this Purchase Agreement which expressly contains a statement that some or all of the distribution forming the subject of such notice is or represents a refund of Taxes withheld from a distribution to the Seller or otherwise treated as distributed to the Seller on or prior to the applicable Closing Date in relation to such Interest (the amount of the refund referred to in such express statement being, the “</w:t>
      </w:r>
      <w:r>
        <w:rPr>
          <w:rFonts w:ascii="Times New Roman" w:cs="Times New Roman" w:eastAsia="Times New Roman" w:hAnsi="Times New Roman"/>
          <w:sz w:val="22"/>
          <w:szCs w:val="22"/>
          <w:u w:val="single" w:color="auto"/>
          <w:color w:val="auto"/>
        </w:rPr>
        <w:t>Withholding Tax Refund</w:t>
      </w:r>
      <w:r>
        <w:rPr>
          <w:rFonts w:ascii="Times New Roman" w:cs="Times New Roman" w:eastAsia="Times New Roman" w:hAnsi="Times New Roman"/>
          <w:sz w:val="22"/>
          <w:szCs w:val="22"/>
          <w:color w:val="auto"/>
        </w:rPr>
        <w:t>”), the Buyer shall, within twenty (20) Business Days, notify the Seller and remit an amount equal to such Withholding Tax Refund (net of any taxes of the Buyer attributable to such Withholding Tax Refund) to the Seller in such form (cash or non-cash) as the Buyer received such distribution from the Fund.</w:t>
      </w:r>
    </w:p>
    <w:p>
      <w:pPr>
        <w:spacing w:after="0" w:line="174" w:lineRule="exact"/>
        <w:rPr>
          <w:sz w:val="20"/>
          <w:szCs w:val="20"/>
          <w:color w:val="auto"/>
        </w:rPr>
      </w:pPr>
    </w:p>
    <w:p>
      <w:pPr>
        <w:ind w:left="520" w:hanging="512"/>
        <w:spacing w:after="0"/>
        <w:tabs>
          <w:tab w:leader="none" w:pos="520" w:val="left"/>
        </w:tabs>
        <w:numPr>
          <w:ilvl w:val="0"/>
          <w:numId w:val="1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General Provisions.</w:t>
      </w:r>
    </w:p>
    <w:p>
      <w:pPr>
        <w:spacing w:after="0" w:line="210" w:lineRule="exact"/>
        <w:rPr>
          <w:rFonts w:ascii="Times New Roman" w:cs="Times New Roman" w:eastAsia="Times New Roman" w:hAnsi="Times New Roman"/>
          <w:sz w:val="22"/>
          <w:szCs w:val="22"/>
          <w:b w:val="1"/>
          <w:bCs w:val="1"/>
          <w:color w:val="auto"/>
        </w:rPr>
      </w:pPr>
    </w:p>
    <w:p>
      <w:pPr>
        <w:jc w:val="both"/>
        <w:ind w:firstLine="757"/>
        <w:spacing w:after="0" w:line="235" w:lineRule="auto"/>
        <w:tabs>
          <w:tab w:leader="none" w:pos="1018"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Except as otherwise specified herein, including Section 10(c), all fees and expenses incurred in connection with this Purchase Agreement and the transactions contemplated hereunder, including all fees of counsel, administrators, accountants, finders and brokers (other than Campbell Lutyens, the fees and expenses of which shall be paid by Seller), shall be borne by the party incurring the same. Buyer, on the one hand, and the Seller, on the other hand, shall each pay 50% of all fees charged by a Fund, a Manager or its or their respective counsel in connection with the assignment or transfer by the Seller to Buyer of the applicable Portfolio Property, as well as any expenses required to be reimbursed to such Fund, Manager or counsel thereof with respect to any such assignment or transfer by the Seller contemplated herein (it being understood and agreed that such expenses shall be paid on or before the applicable Closings to the</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821055</wp:posOffset>
            </wp:positionV>
            <wp:extent cx="7157720" cy="4254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8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78" w:name="page179"/>
    <w:bookmarkEnd w:id="178"/>
    <w:p>
      <w:pPr>
        <w:jc w:val="both"/>
        <w:spacing w:after="0" w:line="237" w:lineRule="auto"/>
        <w:rPr>
          <w:sz w:val="20"/>
          <w:szCs w:val="20"/>
          <w:color w:val="auto"/>
        </w:rPr>
      </w:pPr>
      <w:r>
        <w:rPr>
          <w:rFonts w:ascii="Times New Roman" w:cs="Times New Roman" w:eastAsia="Times New Roman" w:hAnsi="Times New Roman"/>
          <w:sz w:val="22"/>
          <w:szCs w:val="22"/>
          <w:color w:val="auto"/>
        </w:rPr>
        <w:t xml:space="preserve">extent necessary to receive the applicable Approvals on or before such Closings);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(i) all expenses, fees and costs arising out of, related to or in connection with the negotiation, preparation, drafting, execution, delivery or performance of any side letter, letter agreement or similar agreement or arrangement between such Fund (or any Manager or counsel thereof) and Buyer, (ii) all organizational and operating expenses, fees and costs with respect to the Buyer, and (iii) all expenses fees and costs relating to any legal opinion required by any Manager or Fund in connection with the transactions contemplated hereunder shall be borne solely by Buyer (and not by Seller).</w:t>
      </w:r>
    </w:p>
    <w:p>
      <w:pPr>
        <w:spacing w:after="0" w:line="179" w:lineRule="exact"/>
        <w:rPr>
          <w:sz w:val="20"/>
          <w:szCs w:val="20"/>
          <w:color w:val="auto"/>
        </w:rPr>
      </w:pPr>
    </w:p>
    <w:p>
      <w:pPr>
        <w:jc w:val="both"/>
        <w:ind w:firstLine="757"/>
        <w:spacing w:after="0" w:line="239" w:lineRule="auto"/>
        <w:tabs>
          <w:tab w:leader="none" w:pos="1018"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requests, demands and other communications required or permitted under this Purchase Agreement shall be in writing and shall be deemed to have been duly given and received when delivered by hand or courier, when received by e-mail transmission, or three (3) days after the date when posted by air mail, with postage prepaid, addressed as follows:</w:t>
      </w:r>
    </w:p>
    <w:p>
      <w:pPr>
        <w:spacing w:after="0" w:line="180"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1"/>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Seller, to:</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Kodak Retirement Income Plan</w:t>
      </w:r>
    </w:p>
    <w:p>
      <w:pPr>
        <w:spacing w:after="0" w:line="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343 State Street</w:t>
      </w:r>
    </w:p>
    <w:p>
      <w:pPr>
        <w:ind w:left="1500"/>
        <w:spacing w:after="0" w:line="230" w:lineRule="auto"/>
        <w:rPr>
          <w:sz w:val="20"/>
          <w:szCs w:val="20"/>
          <w:color w:val="auto"/>
        </w:rPr>
      </w:pPr>
      <w:r>
        <w:rPr>
          <w:rFonts w:ascii="Times New Roman" w:cs="Times New Roman" w:eastAsia="Times New Roman" w:hAnsi="Times New Roman"/>
          <w:sz w:val="22"/>
          <w:szCs w:val="22"/>
          <w:color w:val="auto"/>
        </w:rPr>
        <w:t>Rochester, NY 14650</w:t>
      </w:r>
    </w:p>
    <w:p>
      <w:pPr>
        <w:ind w:left="1500"/>
        <w:spacing w:after="0" w:line="231" w:lineRule="auto"/>
        <w:rPr>
          <w:sz w:val="20"/>
          <w:szCs w:val="20"/>
          <w:color w:val="auto"/>
        </w:rPr>
      </w:pPr>
      <w:r>
        <w:rPr>
          <w:rFonts w:ascii="Times New Roman" w:cs="Times New Roman" w:eastAsia="Times New Roman" w:hAnsi="Times New Roman"/>
          <w:sz w:val="22"/>
          <w:szCs w:val="22"/>
          <w:color w:val="auto"/>
        </w:rPr>
        <w:t>Attn: [* * *]</w:t>
      </w:r>
    </w:p>
    <w:p>
      <w:pPr>
        <w:ind w:left="1500"/>
        <w:spacing w:after="0"/>
        <w:rPr>
          <w:sz w:val="20"/>
          <w:szCs w:val="20"/>
          <w:color w:val="auto"/>
        </w:rPr>
      </w:pPr>
      <w:r>
        <w:rPr>
          <w:rFonts w:ascii="Times New Roman" w:cs="Times New Roman" w:eastAsia="Times New Roman" w:hAnsi="Times New Roman"/>
          <w:sz w:val="22"/>
          <w:szCs w:val="22"/>
          <w:color w:val="auto"/>
        </w:rPr>
        <w:t>Email: [* * *]</w:t>
      </w:r>
    </w:p>
    <w:p>
      <w:pPr>
        <w:spacing w:after="0" w:line="20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with copies to (which shall not constitute notice):</w:t>
      </w:r>
    </w:p>
    <w:p>
      <w:pPr>
        <w:spacing w:after="0" w:line="23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Morgan, Lewis &amp; Bockius LLP</w:t>
      </w:r>
    </w:p>
    <w:p>
      <w:pPr>
        <w:spacing w:after="0" w:line="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101 Park Avenue</w:t>
      </w:r>
    </w:p>
    <w:p>
      <w:pPr>
        <w:ind w:left="1500"/>
        <w:spacing w:after="0" w:line="230" w:lineRule="auto"/>
        <w:rPr>
          <w:sz w:val="20"/>
          <w:szCs w:val="20"/>
          <w:color w:val="auto"/>
        </w:rPr>
      </w:pPr>
      <w:r>
        <w:rPr>
          <w:rFonts w:ascii="Times New Roman" w:cs="Times New Roman" w:eastAsia="Times New Roman" w:hAnsi="Times New Roman"/>
          <w:sz w:val="22"/>
          <w:szCs w:val="22"/>
          <w:color w:val="auto"/>
        </w:rPr>
        <w:t>New York, New York 10178</w:t>
      </w:r>
    </w:p>
    <w:p>
      <w:pPr>
        <w:ind w:left="1500"/>
        <w:spacing w:after="0" w:line="231" w:lineRule="auto"/>
        <w:rPr>
          <w:sz w:val="20"/>
          <w:szCs w:val="20"/>
          <w:color w:val="auto"/>
        </w:rPr>
      </w:pPr>
      <w:r>
        <w:rPr>
          <w:rFonts w:ascii="Times New Roman" w:cs="Times New Roman" w:eastAsia="Times New Roman" w:hAnsi="Times New Roman"/>
          <w:sz w:val="22"/>
          <w:szCs w:val="22"/>
          <w:color w:val="auto"/>
        </w:rPr>
        <w:t>United States of America</w:t>
      </w:r>
    </w:p>
    <w:p>
      <w:pPr>
        <w:ind w:left="1500"/>
        <w:spacing w:after="0" w:line="230" w:lineRule="auto"/>
        <w:rPr>
          <w:sz w:val="20"/>
          <w:szCs w:val="20"/>
          <w:color w:val="auto"/>
        </w:rPr>
      </w:pPr>
      <w:r>
        <w:rPr>
          <w:rFonts w:ascii="Times New Roman" w:cs="Times New Roman" w:eastAsia="Times New Roman" w:hAnsi="Times New Roman"/>
          <w:sz w:val="22"/>
          <w:szCs w:val="22"/>
          <w:color w:val="auto"/>
        </w:rPr>
        <w:t>Attention: [* * *]</w:t>
      </w:r>
    </w:p>
    <w:p>
      <w:pPr>
        <w:spacing w:after="0" w:line="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Email: [* * *]</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 to such other person or address as Seller shall furnish to Buyer in writing.</w:t>
      </w:r>
    </w:p>
    <w:p>
      <w:pPr>
        <w:spacing w:after="0" w:line="206" w:lineRule="exact"/>
        <w:rPr>
          <w:sz w:val="20"/>
          <w:szCs w:val="20"/>
          <w:color w:val="auto"/>
        </w:rPr>
      </w:pPr>
    </w:p>
    <w:p>
      <w:pPr>
        <w:ind w:left="2040" w:hanging="535"/>
        <w:spacing w:after="0"/>
        <w:tabs>
          <w:tab w:leader="none" w:pos="2040"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Buyer, to:</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Mastercard Foundation</w:t>
      </w:r>
    </w:p>
    <w:p>
      <w:pPr>
        <w:spacing w:after="0" w:line="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c/o Mastercard Foundation Asset Management Corporation</w:t>
      </w:r>
    </w:p>
    <w:p>
      <w:pPr>
        <w:ind w:left="1500"/>
        <w:spacing w:after="0" w:line="230" w:lineRule="auto"/>
        <w:rPr>
          <w:sz w:val="20"/>
          <w:szCs w:val="20"/>
          <w:color w:val="auto"/>
        </w:rPr>
      </w:pPr>
      <w:r>
        <w:rPr>
          <w:rFonts w:ascii="Times New Roman" w:cs="Times New Roman" w:eastAsia="Times New Roman" w:hAnsi="Times New Roman"/>
          <w:sz w:val="22"/>
          <w:szCs w:val="22"/>
          <w:color w:val="auto"/>
        </w:rPr>
        <w:t>250 Yonge Street, Suite 2400</w:t>
      </w:r>
    </w:p>
    <w:p>
      <w:pPr>
        <w:ind w:left="1500"/>
        <w:spacing w:after="0" w:line="231" w:lineRule="auto"/>
        <w:rPr>
          <w:sz w:val="20"/>
          <w:szCs w:val="20"/>
          <w:color w:val="auto"/>
        </w:rPr>
      </w:pPr>
      <w:r>
        <w:rPr>
          <w:rFonts w:ascii="Times New Roman" w:cs="Times New Roman" w:eastAsia="Times New Roman" w:hAnsi="Times New Roman"/>
          <w:sz w:val="22"/>
          <w:szCs w:val="22"/>
          <w:color w:val="auto"/>
        </w:rPr>
        <w:t>Toronto, Ontario</w:t>
      </w:r>
    </w:p>
    <w:p>
      <w:pPr>
        <w:ind w:left="1500"/>
        <w:spacing w:after="0" w:line="230" w:lineRule="auto"/>
        <w:rPr>
          <w:sz w:val="20"/>
          <w:szCs w:val="20"/>
          <w:color w:val="auto"/>
        </w:rPr>
      </w:pPr>
      <w:r>
        <w:rPr>
          <w:rFonts w:ascii="Times New Roman" w:cs="Times New Roman" w:eastAsia="Times New Roman" w:hAnsi="Times New Roman"/>
          <w:sz w:val="22"/>
          <w:szCs w:val="22"/>
          <w:color w:val="auto"/>
        </w:rPr>
        <w:t>Canada M5B 2L7</w:t>
      </w:r>
    </w:p>
    <w:p>
      <w:pPr>
        <w:ind w:left="1500"/>
        <w:spacing w:after="0" w:line="231" w:lineRule="auto"/>
        <w:rPr>
          <w:sz w:val="20"/>
          <w:szCs w:val="20"/>
          <w:color w:val="auto"/>
        </w:rPr>
      </w:pPr>
      <w:r>
        <w:rPr>
          <w:rFonts w:ascii="Times New Roman" w:cs="Times New Roman" w:eastAsia="Times New Roman" w:hAnsi="Times New Roman"/>
          <w:sz w:val="22"/>
          <w:szCs w:val="22"/>
          <w:color w:val="auto"/>
        </w:rPr>
        <w:t>Attn: [* * *]</w:t>
      </w:r>
    </w:p>
    <w:p>
      <w:pPr>
        <w:ind w:left="1500"/>
        <w:spacing w:after="0"/>
        <w:rPr>
          <w:sz w:val="20"/>
          <w:szCs w:val="20"/>
          <w:color w:val="auto"/>
        </w:rPr>
      </w:pPr>
      <w:r>
        <w:rPr>
          <w:rFonts w:ascii="Times New Roman" w:cs="Times New Roman" w:eastAsia="Times New Roman" w:hAnsi="Times New Roman"/>
          <w:sz w:val="22"/>
          <w:szCs w:val="22"/>
          <w:color w:val="auto"/>
        </w:rPr>
        <w:t>Email: [* * *]</w:t>
      </w:r>
    </w:p>
    <w:p>
      <w:pPr>
        <w:spacing w:after="0" w:line="18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with copies to (which shall not constitute notice):</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Torys LLP</w:t>
      </w:r>
    </w:p>
    <w:p>
      <w:pPr>
        <w:ind w:left="1500"/>
        <w:spacing w:after="0" w:line="201" w:lineRule="auto"/>
        <w:rPr>
          <w:sz w:val="20"/>
          <w:szCs w:val="20"/>
          <w:color w:val="auto"/>
        </w:rPr>
      </w:pPr>
      <w:r>
        <w:rPr>
          <w:rFonts w:ascii="Times New Roman" w:cs="Times New Roman" w:eastAsia="Times New Roman" w:hAnsi="Times New Roman"/>
          <w:sz w:val="22"/>
          <w:szCs w:val="22"/>
          <w:color w:val="auto"/>
        </w:rPr>
        <w:t>1114 Avenue of the Americas, 23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22"/>
          <w:szCs w:val="22"/>
          <w:color w:val="auto"/>
        </w:rPr>
        <w:t xml:space="preserve"> Floor</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805815</wp:posOffset>
            </wp:positionV>
            <wp:extent cx="7157720" cy="4254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8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79" w:name="page180"/>
    <w:bookmarkEnd w:id="179"/>
    <w:p>
      <w:pPr>
        <w:ind w:left="1500"/>
        <w:spacing w:after="0"/>
        <w:rPr>
          <w:sz w:val="20"/>
          <w:szCs w:val="20"/>
          <w:color w:val="auto"/>
        </w:rPr>
      </w:pPr>
      <w:r>
        <w:rPr>
          <w:rFonts w:ascii="Times New Roman" w:cs="Times New Roman" w:eastAsia="Times New Roman" w:hAnsi="Times New Roman"/>
          <w:sz w:val="22"/>
          <w:szCs w:val="22"/>
          <w:color w:val="auto"/>
        </w:rPr>
        <w:t>New York, New York</w:t>
      </w:r>
    </w:p>
    <w:p>
      <w:pPr>
        <w:spacing w:after="0" w:line="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10036-7703</w:t>
      </w:r>
    </w:p>
    <w:p>
      <w:pPr>
        <w:ind w:left="1500"/>
        <w:spacing w:after="0" w:line="230" w:lineRule="auto"/>
        <w:rPr>
          <w:sz w:val="20"/>
          <w:szCs w:val="20"/>
          <w:color w:val="auto"/>
        </w:rPr>
      </w:pPr>
      <w:r>
        <w:rPr>
          <w:rFonts w:ascii="Times New Roman" w:cs="Times New Roman" w:eastAsia="Times New Roman" w:hAnsi="Times New Roman"/>
          <w:sz w:val="22"/>
          <w:szCs w:val="22"/>
          <w:color w:val="auto"/>
        </w:rPr>
        <w:t>Attn: [* * *]</w:t>
      </w:r>
    </w:p>
    <w:p>
      <w:pPr>
        <w:spacing w:after="0" w:line="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Email: [* * *]</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 to such other person or address as Buyer shall furnish to Seller in writing.</w:t>
      </w:r>
    </w:p>
    <w:p>
      <w:pPr>
        <w:spacing w:after="0" w:line="206" w:lineRule="exact"/>
        <w:rPr>
          <w:sz w:val="20"/>
          <w:szCs w:val="20"/>
          <w:color w:val="auto"/>
        </w:rPr>
      </w:pPr>
    </w:p>
    <w:p>
      <w:pPr>
        <w:jc w:val="both"/>
        <w:ind w:firstLine="757"/>
        <w:spacing w:after="0" w:line="244" w:lineRule="auto"/>
        <w:tabs>
          <w:tab w:leader="none" w:pos="1018"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w:t>
      </w:r>
      <w:r>
        <w:rPr>
          <w:rFonts w:ascii="Times New Roman" w:cs="Times New Roman" w:eastAsia="Times New Roman" w:hAnsi="Times New Roman"/>
          <w:sz w:val="22"/>
          <w:szCs w:val="22"/>
          <w:color w:val="auto"/>
        </w:rPr>
        <w:t>. This Purchase Agreement and all of its provisions shall be binding upon and inure to the benefit of the parties and their respective successors and assigns. This Purchase Agreement may not be assigned without the prior written consent of each of the parties hereto.</w:t>
      </w:r>
    </w:p>
    <w:p>
      <w:pPr>
        <w:spacing w:after="0" w:line="173" w:lineRule="exact"/>
        <w:rPr>
          <w:rFonts w:ascii="Times New Roman" w:cs="Times New Roman" w:eastAsia="Times New Roman" w:hAnsi="Times New Roman"/>
          <w:sz w:val="22"/>
          <w:szCs w:val="22"/>
          <w:color w:val="auto"/>
        </w:rPr>
      </w:pPr>
    </w:p>
    <w:p>
      <w:pPr>
        <w:jc w:val="both"/>
        <w:ind w:firstLine="757"/>
        <w:spacing w:after="0" w:line="232" w:lineRule="auto"/>
        <w:tabs>
          <w:tab w:leader="none" w:pos="1018"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 Jurisdiction; Waiver of Jury Trial</w:t>
      </w:r>
      <w:r>
        <w:rPr>
          <w:rFonts w:ascii="Times New Roman" w:cs="Times New Roman" w:eastAsia="Times New Roman" w:hAnsi="Times New Roman"/>
          <w:sz w:val="22"/>
          <w:szCs w:val="22"/>
          <w:color w:val="auto"/>
        </w:rPr>
        <w:t>. This Purchase Agreement, and all claims or causes of action (whether in contract, tort or statute) that may be based upon, arise out of or relate to this Purchase Agreement, or the negotiation, execution or performance of this Purchase Agreement (including any claim or cause of action based upon, arising out of or related to any representation or warranty made in or in connection with this Purchase Agreement or as an inducement to enter into this Purchase Agreement), shall be governed by, and enforced in accordance with, the internal laws of the State of New York, without giving effect to any laws, rules or provisions of the State of New York that would cause the application of the laws rules or provisions of any jurisdiction other than the State of New York. Any dispute, controversy or claim arising out of or relating to this Purchase Agreement or the interpretation, breach, termination or validity or any dispute regarding pre-contractual or non-contractual rights or obligations arising out of or relating to it hereof shall be resolved exclusively by state or federal courts located in New York County, New York, United States of America. EACH OF THE PARTIES HEREBY WAIVES, TO THE FULLEST EXTENT PERMITTED BY APPLICABLE LAW, ANY RIGHT IT MAY HAVE TO A TRIAL BY JURY IN RESPECT OF ANY LITIGATION AS BETWEEN THE PARTIES DIRECTLY OR INDIRECTLY ARISING OUT OF, UNDER OR IN CONNECTION WITH THIS PURCHASE AGREEMENT OR THE TRANSACTIONS CONTEMPLATED HEREBY OR DISPUTES RELATING THERETO. Each of the parties (i) certifies that no representative, agent or attorney of the other party has represented, expressly or otherwise that such other party would not, in the event of litigation, seek to enforce the foregoing waiver and (ii) acknowledges that it and the other party have been induced to enter into this agreement by, among other things, the mutual waivers and certifications in this Section 17(d).</w:t>
      </w:r>
    </w:p>
    <w:p>
      <w:pPr>
        <w:spacing w:after="0" w:line="189" w:lineRule="exact"/>
        <w:rPr>
          <w:rFonts w:ascii="Times New Roman" w:cs="Times New Roman" w:eastAsia="Times New Roman" w:hAnsi="Times New Roman"/>
          <w:sz w:val="22"/>
          <w:szCs w:val="22"/>
          <w:color w:val="auto"/>
        </w:rPr>
      </w:pPr>
    </w:p>
    <w:p>
      <w:pPr>
        <w:jc w:val="both"/>
        <w:ind w:firstLine="757"/>
        <w:spacing w:after="0" w:line="236" w:lineRule="auto"/>
        <w:tabs>
          <w:tab w:leader="none" w:pos="1018"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Purchase Agreement may be executed in two or more identical counterparts, each of which shall be deemed an original, but all of which together shall constitute one and the same instrument. Delivery of an executed signature page of this Purchase Agreement, or any of the Additional Buyer’s Documents or the Additional Seller’s Documents, by electronic mail in portable document format (PDF), or via DocuSign (or other similar electronic signature platform) will be as legally binding and effective as delivery of a manually executed signature page of this Purchase Agreement, or any of the Additional Buyer’s Documents or the Additional Seller’s Documents and shall be treated in all respects as an original.</w:t>
      </w:r>
    </w:p>
    <w:p>
      <w:pPr>
        <w:spacing w:after="0" w:line="181" w:lineRule="exact"/>
        <w:rPr>
          <w:rFonts w:ascii="Times New Roman" w:cs="Times New Roman" w:eastAsia="Times New Roman" w:hAnsi="Times New Roman"/>
          <w:sz w:val="22"/>
          <w:szCs w:val="22"/>
          <w:color w:val="auto"/>
        </w:rPr>
      </w:pPr>
    </w:p>
    <w:p>
      <w:pPr>
        <w:ind w:firstLine="757"/>
        <w:spacing w:after="0" w:line="258" w:lineRule="auto"/>
        <w:tabs>
          <w:tab w:leader="none" w:pos="1018"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Interpretation</w:t>
      </w:r>
      <w:r>
        <w:rPr>
          <w:rFonts w:ascii="Times New Roman" w:cs="Times New Roman" w:eastAsia="Times New Roman" w:hAnsi="Times New Roman"/>
          <w:sz w:val="22"/>
          <w:szCs w:val="22"/>
          <w:color w:val="auto"/>
        </w:rPr>
        <w:t>. The headings of the Sections and Subsections of this Purchase Agreement are inserted for convenience only and shall not constitute a part of or affect in any way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821055</wp:posOffset>
            </wp:positionV>
            <wp:extent cx="7157720" cy="4254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8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80" w:name="page181"/>
    <w:bookmarkEnd w:id="180"/>
    <w:p>
      <w:pPr>
        <w:jc w:val="both"/>
        <w:spacing w:after="0" w:line="234" w:lineRule="auto"/>
        <w:rPr>
          <w:sz w:val="20"/>
          <w:szCs w:val="20"/>
          <w:color w:val="auto"/>
        </w:rPr>
      </w:pPr>
      <w:r>
        <w:rPr>
          <w:rFonts w:ascii="Times New Roman" w:cs="Times New Roman" w:eastAsia="Times New Roman" w:hAnsi="Times New Roman"/>
          <w:sz w:val="22"/>
          <w:szCs w:val="22"/>
          <w:color w:val="auto"/>
        </w:rPr>
        <w:t>the meaning or interpretation of this Purchase Agreement. The words “include,” “includes” and “including” when used in this Purchase Agreement shall be deemed in each case to be followed by the words “without limitation.” The word “affiliate” shall mean, with respect to a first person, any other person controlling or controlled by such first person, or any other person under common control with such first person. The word “person” shall mean any individual, corporation, partnership, limited liability company, joint venture, association, joint-stock company, trust, unincorporated organization or government or any agency or political subdivision thereof. Defined terms used in this Purchase Agreement shall have the same meaning whether defined or used herein in the singular or the plural, as the case may be. All references in this Purchase Agreement or any Exhibit, Schedule, or Appendix hereto to “Dollars”, “U.S. Dollars”, “USD”, or “$” shall mean the United States Dollar, the official currency of the United States of America.</w:t>
      </w:r>
    </w:p>
    <w:p>
      <w:pPr>
        <w:spacing w:after="0" w:line="183" w:lineRule="exact"/>
        <w:rPr>
          <w:sz w:val="20"/>
          <w:szCs w:val="20"/>
          <w:color w:val="auto"/>
        </w:rPr>
      </w:pPr>
    </w:p>
    <w:p>
      <w:pPr>
        <w:jc w:val="both"/>
        <w:ind w:firstLine="757"/>
        <w:spacing w:after="0" w:line="238" w:lineRule="auto"/>
        <w:tabs>
          <w:tab w:leader="none" w:pos="1018"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Purchase Agreement, including the Schedules to this Purchase Agreement, and the other documents and certificates delivered pursuant to the terms of this Purchase Agreement set forth the entire agreement and understanding of the parties with respect to the subject matter of this Purchase Agreement and supersede all prior agreements, promises, covenants, arrangements, communications, representations or warranties, whether oral or written, by any officer, employee or representative of any party.</w:t>
      </w:r>
    </w:p>
    <w:p>
      <w:pPr>
        <w:spacing w:after="0" w:line="176" w:lineRule="exact"/>
        <w:rPr>
          <w:rFonts w:ascii="Times New Roman" w:cs="Times New Roman" w:eastAsia="Times New Roman" w:hAnsi="Times New Roman"/>
          <w:sz w:val="22"/>
          <w:szCs w:val="22"/>
          <w:color w:val="auto"/>
        </w:rPr>
      </w:pPr>
    </w:p>
    <w:p>
      <w:pPr>
        <w:jc w:val="both"/>
        <w:ind w:firstLine="757"/>
        <w:spacing w:after="0" w:line="234" w:lineRule="auto"/>
        <w:tabs>
          <w:tab w:leader="none" w:pos="1018"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Waiver</w:t>
      </w:r>
      <w:r>
        <w:rPr>
          <w:rFonts w:ascii="Times New Roman" w:cs="Times New Roman" w:eastAsia="Times New Roman" w:hAnsi="Times New Roman"/>
          <w:sz w:val="22"/>
          <w:szCs w:val="22"/>
          <w:color w:val="auto"/>
        </w:rPr>
        <w:t>. This Purchase Agreement may be amended only by a written instrument executed by Seller and Buyer. Any failure of Buyer to comply with any obligation, agreement or condition under this Purchase Agreement may only be waived in writing by Seller, and any such failure by Seller may only be waived in writing by Buyer, but any such waiver shall not operate as a waiver of, or estoppel with respect to, any subsequent or other failure. No failure by a party to take any action against any breach of this Purchase Agreement or default by the other party shall constitute a waiver of such party’s right to enforce any provision of this Purchase Agreement or to take any such action. Notwithstanding the foregoing, the Seller may update and amend the amounts reflected in Schedule II to reflect Distributions or Capital Contributions occurring after the date of this Purchase Agreement and on or prior to the Closing Date, and any such update and amendment shall supersede all prior versions of such Schedule for all purposes of this Purchase Agreement.</w:t>
      </w:r>
    </w:p>
    <w:p>
      <w:pPr>
        <w:spacing w:after="0" w:line="183" w:lineRule="exact"/>
        <w:rPr>
          <w:rFonts w:ascii="Times New Roman" w:cs="Times New Roman" w:eastAsia="Times New Roman" w:hAnsi="Times New Roman"/>
          <w:sz w:val="22"/>
          <w:szCs w:val="22"/>
          <w:color w:val="auto"/>
        </w:rPr>
      </w:pPr>
    </w:p>
    <w:p>
      <w:pPr>
        <w:jc w:val="both"/>
        <w:ind w:firstLine="757"/>
        <w:spacing w:after="0" w:line="238" w:lineRule="auto"/>
        <w:tabs>
          <w:tab w:leader="none" w:pos="1018"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Third Parties</w:t>
      </w:r>
      <w:r>
        <w:rPr>
          <w:rFonts w:ascii="Times New Roman" w:cs="Times New Roman" w:eastAsia="Times New Roman" w:hAnsi="Times New Roman"/>
          <w:sz w:val="22"/>
          <w:szCs w:val="22"/>
          <w:color w:val="auto"/>
        </w:rPr>
        <w:t>. Nothing in this Purchase Agreement, expressed or implied, is intended, or shall be construed, to confer upon or give to any person or entity other than the parties and their successors or permitted assigns, any rights or remedies under or by reason of this Purchase Agreement, provided, however, that NEPC and Campbell Lutyens are third-party beneficiaries for all purposes of Section 6(c) and MFAM is a third-party beneficiary for all purposes of Section 5(k). For the avoidance of doubt, the Managers and the Funds shall not be third-party beneficiaries of this Purchase Agreement.</w:t>
      </w:r>
    </w:p>
    <w:p>
      <w:pPr>
        <w:spacing w:after="0" w:line="176" w:lineRule="exact"/>
        <w:rPr>
          <w:rFonts w:ascii="Times New Roman" w:cs="Times New Roman" w:eastAsia="Times New Roman" w:hAnsi="Times New Roman"/>
          <w:sz w:val="22"/>
          <w:szCs w:val="22"/>
          <w:color w:val="auto"/>
        </w:rPr>
      </w:pPr>
    </w:p>
    <w:p>
      <w:pPr>
        <w:jc w:val="both"/>
        <w:ind w:firstLine="757"/>
        <w:spacing w:after="0" w:line="244" w:lineRule="auto"/>
        <w:tabs>
          <w:tab w:leader="none" w:pos="1018"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Publicity</w:t>
      </w:r>
      <w:r>
        <w:rPr>
          <w:rFonts w:ascii="Times New Roman" w:cs="Times New Roman" w:eastAsia="Times New Roman" w:hAnsi="Times New Roman"/>
          <w:sz w:val="22"/>
          <w:szCs w:val="22"/>
          <w:color w:val="auto"/>
        </w:rPr>
        <w:t>. Except as may otherwise be required by law, no press release, publicity release or announcement concerning this Purchase Agreement or the transactions contemplated by this Purchase Agreement shall be made by Seller without the prior written consent of Buyer or by Buyer without the prior written consent of Seller.</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821055</wp:posOffset>
            </wp:positionV>
            <wp:extent cx="7157720" cy="4254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8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81" w:name="page182"/>
    <w:bookmarkEnd w:id="181"/>
    <w:p>
      <w:pPr>
        <w:jc w:val="both"/>
        <w:ind w:firstLine="757"/>
        <w:spacing w:after="0" w:line="239" w:lineRule="auto"/>
        <w:tabs>
          <w:tab w:leader="none" w:pos="1018"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Documents and Acts</w:t>
      </w:r>
      <w:r>
        <w:rPr>
          <w:rFonts w:ascii="Times New Roman" w:cs="Times New Roman" w:eastAsia="Times New Roman" w:hAnsi="Times New Roman"/>
          <w:sz w:val="22"/>
          <w:szCs w:val="22"/>
          <w:color w:val="auto"/>
        </w:rPr>
        <w:t>. Each of the parties agrees to execute and deliver such additional documents, certificates and instruments, and to perform such additional acts, as may be reasonably requested and as may be necessary or appropriate to carry out the provisions of this Purchase Agreement and to consummate the transactions contemplated by this Purchase Agreement.</w:t>
      </w:r>
    </w:p>
    <w:p>
      <w:pPr>
        <w:spacing w:after="0" w:line="180" w:lineRule="exact"/>
        <w:rPr>
          <w:rFonts w:ascii="Times New Roman" w:cs="Times New Roman" w:eastAsia="Times New Roman" w:hAnsi="Times New Roman"/>
          <w:sz w:val="22"/>
          <w:szCs w:val="22"/>
          <w:color w:val="auto"/>
        </w:rPr>
      </w:pPr>
    </w:p>
    <w:p>
      <w:pPr>
        <w:jc w:val="both"/>
        <w:ind w:firstLine="757"/>
        <w:spacing w:after="0" w:line="244" w:lineRule="auto"/>
        <w:tabs>
          <w:tab w:leader="none" w:pos="1018"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Specific Performance</w:t>
      </w:r>
      <w:r>
        <w:rPr>
          <w:rFonts w:ascii="Times New Roman" w:cs="Times New Roman" w:eastAsia="Times New Roman" w:hAnsi="Times New Roman"/>
          <w:sz w:val="22"/>
          <w:szCs w:val="22"/>
          <w:color w:val="auto"/>
        </w:rPr>
        <w:t>. Each party hereto hereby acknowledges that monetary damages may not be a sufficient remedy if either party fails to perform any of its material obligations under this Purchase Agreement. In such event, the non-breaching party shall have the right to seek specific performance of this Purchase Agreement.</w:t>
      </w:r>
    </w:p>
    <w:p>
      <w:pPr>
        <w:spacing w:after="0" w:line="173"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(m)</w:t>
      </w:r>
      <w:r>
        <w:rPr>
          <w:rFonts w:ascii="Times New Roman" w:cs="Times New Roman" w:eastAsia="Times New Roman" w:hAnsi="Times New Roman"/>
          <w:sz w:val="22"/>
          <w:szCs w:val="22"/>
          <w:u w:val="single" w:color="auto"/>
          <w:color w:val="auto"/>
        </w:rPr>
        <w:t>Resolution of Conflicts</w:t>
      </w:r>
      <w:r>
        <w:rPr>
          <w:rFonts w:ascii="Times New Roman" w:cs="Times New Roman" w:eastAsia="Times New Roman" w:hAnsi="Times New Roman"/>
          <w:sz w:val="22"/>
          <w:szCs w:val="22"/>
          <w:color w:val="auto"/>
        </w:rPr>
        <w:t>. In the event of any inconsistency or conflict between the terms and provisions of this Purchase Agreement and the terms and provisions of any transfer agreement, assignment and assumption agreement or other document executed by the parties hereto in connection with obtaining the Approvals (whether executed on or after the date of this Purchase Agreement), as between the Buyer and the Seller, the terms and provisions of this Purchase Agreement shall control and govern (notwithstanding any other agreement the parties hereto may have jointly or separately made with any Manager or any Fund).</w:t>
      </w:r>
    </w:p>
    <w:p>
      <w:pPr>
        <w:spacing w:after="0" w:line="181" w:lineRule="exact"/>
        <w:rPr>
          <w:sz w:val="20"/>
          <w:szCs w:val="20"/>
          <w:color w:val="auto"/>
        </w:rPr>
      </w:pPr>
    </w:p>
    <w:p>
      <w:pPr>
        <w:jc w:val="both"/>
        <w:ind w:right="20" w:firstLine="757"/>
        <w:spacing w:after="0" w:line="238" w:lineRule="auto"/>
        <w:tabs>
          <w:tab w:leader="none" w:pos="1018"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Presumption Regarding Drafting</w:t>
      </w:r>
      <w:r>
        <w:rPr>
          <w:rFonts w:ascii="Times New Roman" w:cs="Times New Roman" w:eastAsia="Times New Roman" w:hAnsi="Times New Roman"/>
          <w:sz w:val="22"/>
          <w:szCs w:val="22"/>
          <w:color w:val="auto"/>
        </w:rPr>
        <w:t>. Each party hereto acknowledges that it and its counsel has reviewed this Purchase Agreement prior to its execution and that changes were made to this Purchase Agreement based upon its and its counsel’s comments. If any disputes arise with respect to the interpretation of any provision of this Purchase Agreement, the provision shall be deemed to have been drafted by all of the parties and shall not be construed against any party on the basis that the party was responsible for drafting that provision.</w:t>
      </w:r>
    </w:p>
    <w:p>
      <w:pPr>
        <w:spacing w:after="0" w:line="176" w:lineRule="exact"/>
        <w:rPr>
          <w:rFonts w:ascii="Times New Roman" w:cs="Times New Roman" w:eastAsia="Times New Roman" w:hAnsi="Times New Roman"/>
          <w:sz w:val="22"/>
          <w:szCs w:val="22"/>
          <w:color w:val="auto"/>
        </w:rPr>
      </w:pPr>
    </w:p>
    <w:p>
      <w:pPr>
        <w:jc w:val="both"/>
        <w:ind w:firstLine="757"/>
        <w:spacing w:after="0" w:line="234" w:lineRule="auto"/>
        <w:tabs>
          <w:tab w:leader="none" w:pos="1018"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term, provision, agreement, covenant or restriction of this Purchase Agreement is held by a court of competent jurisdiction or other authority to be invalid, void, or unenforceable, the remainder of the terms, provisions, agreements, covenants and restrictions of this Purchase Agreement shall remain in full force and effect and shall in no way be affected, impaired, or invalidated so long as the economic or legal substance of the transactions contemplated hereby is not affected in any manner materially adverse to any party hereto (and, in particular, there is no reduction or change to the Interest Purchase Prices payable to the Seller or the timing thereof or to the Buyer’s purchase of the applicable Interests). Upon such a determination, the parties shall negotiate in good faith to modify this Purchase Agreement so as to effect the original intent of the parties as closely as possible in a reasonably acceptable manner in order that the transactions contemplated hereby may be consummated as originally contemplated to the fullest extent possible.</w:t>
      </w:r>
    </w:p>
    <w:p>
      <w:pPr>
        <w:spacing w:after="0" w:line="183" w:lineRule="exact"/>
        <w:rPr>
          <w:rFonts w:ascii="Times New Roman" w:cs="Times New Roman" w:eastAsia="Times New Roman" w:hAnsi="Times New Roman"/>
          <w:sz w:val="22"/>
          <w:szCs w:val="22"/>
          <w:color w:val="auto"/>
        </w:rPr>
      </w:pPr>
    </w:p>
    <w:p>
      <w:pPr>
        <w:jc w:val="both"/>
        <w:ind w:firstLine="757"/>
        <w:spacing w:after="0" w:line="236" w:lineRule="auto"/>
        <w:tabs>
          <w:tab w:leader="none" w:pos="1018"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Schedules</w:t>
      </w:r>
      <w:r>
        <w:rPr>
          <w:rFonts w:ascii="Times New Roman" w:cs="Times New Roman" w:eastAsia="Times New Roman" w:hAnsi="Times New Roman"/>
          <w:sz w:val="22"/>
          <w:szCs w:val="22"/>
          <w:color w:val="auto"/>
        </w:rPr>
        <w:t>. The schedules attached hereto (as the same may be updated from time to time after the date hereof solely pursuant the terms hereof, each a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u w:val="single" w:color="auto"/>
          <w:color w:val="auto"/>
        </w:rPr>
        <w:t>Schedules</w:t>
      </w:r>
      <w:r>
        <w:rPr>
          <w:rFonts w:ascii="Times New Roman" w:cs="Times New Roman" w:eastAsia="Times New Roman" w:hAnsi="Times New Roman"/>
          <w:sz w:val="22"/>
          <w:szCs w:val="22"/>
          <w:color w:val="auto"/>
        </w:rPr>
        <w:t>”) are incorporated herein and expressly made a part of this Purchase Agreement as though completely set forth herein. Capitalized terms used in a Schedule and not otherwise defined therein have the meanings given to them in this Purchase Agreement. The Schedules have been arranged for purposes of convenience in separately titled sections; provided, however, each Schedule shall be deemed to incorporate by reference all information disclosed in any Schedule to</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821055</wp:posOffset>
            </wp:positionV>
            <wp:extent cx="7157720" cy="4254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8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82" w:name="page183"/>
    <w:bookmarkEnd w:id="182"/>
    <w:p>
      <w:pPr>
        <w:jc w:val="both"/>
        <w:spacing w:after="0" w:line="238" w:lineRule="auto"/>
        <w:rPr>
          <w:sz w:val="20"/>
          <w:szCs w:val="20"/>
          <w:color w:val="auto"/>
        </w:rPr>
      </w:pPr>
      <w:r>
        <w:rPr>
          <w:rFonts w:ascii="Times New Roman" w:cs="Times New Roman" w:eastAsia="Times New Roman" w:hAnsi="Times New Roman"/>
          <w:sz w:val="22"/>
          <w:szCs w:val="22"/>
          <w:color w:val="auto"/>
        </w:rPr>
        <w:t>the extent it is reasonably apparent on its face that such disclosure is applicable to such other Schedule, notwithstanding the fact that a particular Section of this Purchase Agreement may or may not make reference to a specific Schedule. In addition, matters reflected in a Schedule are not necessarily limited to matters required by this Purchase Agreement to be reflected in such Schedule. Any such additional matters are set forth for informational purposes only and do not necessarily include other matters of a similar nature.</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821055</wp:posOffset>
            </wp:positionV>
            <wp:extent cx="7157720" cy="4254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8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83" w:name="page184"/>
    <w:bookmarkEnd w:id="183"/>
    <w:p>
      <w:pPr>
        <w:ind w:firstLine="749"/>
        <w:spacing w:after="0" w:line="258" w:lineRule="auto"/>
        <w:rPr>
          <w:sz w:val="20"/>
          <w:szCs w:val="20"/>
          <w:color w:val="auto"/>
        </w:rPr>
      </w:pPr>
      <w:r>
        <w:rPr>
          <w:rFonts w:ascii="Times New Roman" w:cs="Times New Roman" w:eastAsia="Times New Roman" w:hAnsi="Times New Roman"/>
          <w:sz w:val="22"/>
          <w:szCs w:val="22"/>
          <w:color w:val="auto"/>
        </w:rPr>
        <w:t>IN WITNESS WHEREOF, the parties have executed this Purchase Agreement, acting by their duly authorized agents, as of the date first above written.</w:t>
      </w:r>
    </w:p>
    <w:p>
      <w:pPr>
        <w:sectPr>
          <w:pgSz w:w="11900" w:h="16838" w:orient="portrait"/>
          <w:cols w:equalWidth="0" w:num="1">
            <w:col w:w="11240"/>
          </w:cols>
          <w:pgMar w:left="320" w:top="14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0"/>
        <w:spacing w:after="0" w:line="237" w:lineRule="auto"/>
        <w:rPr>
          <w:sz w:val="20"/>
          <w:szCs w:val="20"/>
          <w:color w:val="auto"/>
        </w:rPr>
      </w:pPr>
      <w:r>
        <w:rPr>
          <w:rFonts w:ascii="Calibri" w:cs="Calibri" w:eastAsia="Calibri" w:hAnsi="Calibri"/>
          <w:sz w:val="20"/>
          <w:szCs w:val="20"/>
          <w:color w:val="auto"/>
        </w:rPr>
        <w:t>The decision to partcipate in the investment, any representatons made herein by the partcipant, and any actons taken hereunder by the partcipant has/ have been made solely at the directon of the investment fduciary who has sole investment discreton with respect to this investment.</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SELLER</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580"/>
        <w:spacing w:after="0" w:line="244" w:lineRule="auto"/>
        <w:rPr>
          <w:sz w:val="20"/>
          <w:szCs w:val="20"/>
          <w:color w:val="auto"/>
        </w:rPr>
      </w:pPr>
      <w:r>
        <w:rPr>
          <w:rFonts w:ascii="Times New Roman" w:cs="Times New Roman" w:eastAsia="Times New Roman" w:hAnsi="Times New Roman"/>
          <w:sz w:val="22"/>
          <w:szCs w:val="22"/>
          <w:color w:val="auto"/>
        </w:rPr>
        <w:t>TRUST UNDER THE KODAK RETIREMENT INCOME PLAN (F/K/A KODAK RETIREMENT INCOME PLAN TRUST)</w:t>
      </w:r>
    </w:p>
    <w:p>
      <w:pPr>
        <w:spacing w:after="0" w:line="281" w:lineRule="exact"/>
        <w:rPr>
          <w:sz w:val="20"/>
          <w:szCs w:val="20"/>
          <w:color w:val="auto"/>
        </w:rPr>
      </w:pPr>
    </w:p>
    <w:p>
      <w:pPr>
        <w:ind w:right="800"/>
        <w:spacing w:after="0" w:line="241" w:lineRule="auto"/>
        <w:rPr>
          <w:sz w:val="20"/>
          <w:szCs w:val="20"/>
          <w:color w:val="auto"/>
        </w:rPr>
      </w:pPr>
      <w:r>
        <w:rPr>
          <w:rFonts w:ascii="Times New Roman" w:cs="Times New Roman" w:eastAsia="Times New Roman" w:hAnsi="Times New Roman"/>
          <w:sz w:val="22"/>
          <w:szCs w:val="22"/>
          <w:color w:val="auto"/>
        </w:rPr>
        <w:t>By: The Bank of New York Mellon, solely in its capacity as Directed Trustee</w:t>
      </w:r>
    </w:p>
    <w:p>
      <w:pPr>
        <w:spacing w:after="0" w:line="2" w:lineRule="exact"/>
        <w:rPr>
          <w:sz w:val="20"/>
          <w:szCs w:val="20"/>
          <w:color w:val="auto"/>
        </w:rPr>
      </w:pPr>
    </w:p>
    <w:p>
      <w:pPr>
        <w:ind w:right="300"/>
        <w:spacing w:after="0" w:line="237" w:lineRule="auto"/>
        <w:rPr>
          <w:sz w:val="20"/>
          <w:szCs w:val="20"/>
          <w:color w:val="auto"/>
        </w:rPr>
      </w:pPr>
      <w:r>
        <w:rPr>
          <w:rFonts w:ascii="Times New Roman" w:cs="Times New Roman" w:eastAsia="Times New Roman" w:hAnsi="Times New Roman"/>
          <w:sz w:val="22"/>
          <w:szCs w:val="22"/>
          <w:color w:val="auto"/>
        </w:rPr>
        <w:t>(a directed by the Investment Fiduciary), and not in its individual capacity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 * *]</w:t>
      </w:r>
    </w:p>
    <w:p>
      <w:pPr>
        <w:spacing w:after="0" w:line="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2"/>
          <w:szCs w:val="22"/>
          <w:u w:val="single" w:color="auto"/>
          <w:color w:val="auto"/>
        </w:rPr>
        <w:t>[* * *]</w:t>
      </w: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u w:val="single" w:color="auto"/>
          <w:color w:val="auto"/>
        </w:rPr>
        <w:t>As Agent</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BUYER</w:t>
      </w:r>
      <w:r>
        <w:rPr>
          <w:rFonts w:ascii="Times New Roman" w:cs="Times New Roman" w:eastAsia="Times New Roman" w:hAnsi="Times New Roman"/>
          <w:sz w:val="22"/>
          <w:szCs w:val="22"/>
          <w:color w:val="auto"/>
        </w:rPr>
        <w:t>:</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MASTERCARD FOUNDATION</w:t>
      </w:r>
    </w:p>
    <w:p>
      <w:pPr>
        <w:spacing w:after="0" w:line="314"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21"/>
          <w:szCs w:val="21"/>
          <w:color w:val="auto"/>
        </w:rPr>
        <w:t>By: Mastercard Foundation Asset Management Corporation, its investment manager</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 * *]</w:t>
      </w:r>
    </w:p>
    <w:tbl>
      <w:tblPr>
        <w:tblLayout w:type="fixed"/>
        <w:tblInd w:w="0" w:type="dxa"/>
        <w:tblCellMar>
          <w:top w:w="0" w:type="dxa"/>
          <w:left w:w="0" w:type="dxa"/>
          <w:bottom w:w="0" w:type="dxa"/>
          <w:right w:w="0" w:type="dxa"/>
        </w:tblCellMar>
      </w:tblPr>
      <w:tr>
        <w:trPr>
          <w:trHeight w:val="220"/>
        </w:trPr>
        <w:tc>
          <w:tcPr>
            <w:tcW w:w="880" w:type="dxa"/>
            <w:vAlign w:val="bottom"/>
          </w:tcPr>
          <w:p>
            <w:pPr>
              <w:spacing w:after="0" w:line="220" w:lineRule="exact"/>
              <w:rPr>
                <w:sz w:val="20"/>
                <w:szCs w:val="20"/>
                <w:color w:val="auto"/>
              </w:rPr>
            </w:pPr>
            <w:r>
              <w:rPr>
                <w:rFonts w:ascii="Times New Roman" w:cs="Times New Roman" w:eastAsia="Times New Roman" w:hAnsi="Times New Roman"/>
                <w:sz w:val="22"/>
                <w:szCs w:val="22"/>
                <w:color w:val="auto"/>
              </w:rPr>
              <w:t>Name:</w:t>
            </w:r>
          </w:p>
        </w:tc>
        <w:tc>
          <w:tcPr>
            <w:tcW w:w="560" w:type="dxa"/>
            <w:vAlign w:val="bottom"/>
            <w:tcBorders>
              <w:bottom w:val="single" w:sz="8" w:color="auto"/>
            </w:tcBorders>
          </w:tcPr>
          <w:p>
            <w:pPr>
              <w:spacing w:after="0" w:line="220" w:lineRule="exact"/>
              <w:rPr>
                <w:sz w:val="20"/>
                <w:szCs w:val="20"/>
                <w:color w:val="auto"/>
              </w:rPr>
            </w:pPr>
            <w:r>
              <w:rPr>
                <w:rFonts w:ascii="Times New Roman" w:cs="Times New Roman" w:eastAsia="Times New Roman" w:hAnsi="Times New Roman"/>
                <w:sz w:val="22"/>
                <w:szCs w:val="22"/>
                <w:color w:val="auto"/>
                <w:w w:val="91"/>
              </w:rPr>
              <w:t>[* * *]</w:t>
            </w:r>
          </w:p>
        </w:tc>
        <w:tc>
          <w:tcPr>
            <w:tcW w:w="1600" w:type="dxa"/>
            <w:vAlign w:val="bottom"/>
          </w:tcPr>
          <w:p>
            <w:pPr>
              <w:spacing w:after="0"/>
              <w:rPr>
                <w:sz w:val="19"/>
                <w:szCs w:val="19"/>
                <w:color w:val="auto"/>
              </w:rPr>
            </w:pPr>
          </w:p>
        </w:tc>
      </w:tr>
      <w:tr>
        <w:trPr>
          <w:trHeight w:val="223"/>
        </w:trPr>
        <w:tc>
          <w:tcPr>
            <w:tcW w:w="880" w:type="dxa"/>
            <w:vAlign w:val="bottom"/>
          </w:tcPr>
          <w:p>
            <w:pPr>
              <w:spacing w:after="0" w:line="223" w:lineRule="exact"/>
              <w:rPr>
                <w:sz w:val="20"/>
                <w:szCs w:val="20"/>
                <w:color w:val="auto"/>
              </w:rPr>
            </w:pPr>
            <w:r>
              <w:rPr>
                <w:rFonts w:ascii="Times New Roman" w:cs="Times New Roman" w:eastAsia="Times New Roman" w:hAnsi="Times New Roman"/>
                <w:sz w:val="22"/>
                <w:szCs w:val="22"/>
                <w:color w:val="auto"/>
              </w:rPr>
              <w:t>Title:</w:t>
            </w:r>
          </w:p>
        </w:tc>
        <w:tc>
          <w:tcPr>
            <w:tcW w:w="560" w:type="dxa"/>
            <w:vAlign w:val="bottom"/>
            <w:tcBorders>
              <w:bottom w:val="single" w:sz="8" w:color="auto"/>
            </w:tcBorders>
          </w:tcPr>
          <w:p>
            <w:pPr>
              <w:spacing w:after="0" w:line="223" w:lineRule="exact"/>
              <w:rPr>
                <w:sz w:val="20"/>
                <w:szCs w:val="20"/>
                <w:color w:val="auto"/>
              </w:rPr>
            </w:pPr>
            <w:r>
              <w:rPr>
                <w:rFonts w:ascii="Times New Roman" w:cs="Times New Roman" w:eastAsia="Times New Roman" w:hAnsi="Times New Roman"/>
                <w:sz w:val="22"/>
                <w:szCs w:val="22"/>
                <w:color w:val="auto"/>
              </w:rPr>
              <w:t>Chief</w:t>
            </w:r>
          </w:p>
        </w:tc>
        <w:tc>
          <w:tcPr>
            <w:tcW w:w="1600" w:type="dxa"/>
            <w:vAlign w:val="bottom"/>
            <w:tcBorders>
              <w:bottom w:val="single" w:sz="8" w:color="auto"/>
            </w:tcBorders>
          </w:tcPr>
          <w:p>
            <w:pPr>
              <w:spacing w:after="0" w:line="223" w:lineRule="exact"/>
              <w:rPr>
                <w:sz w:val="20"/>
                <w:szCs w:val="20"/>
                <w:color w:val="auto"/>
              </w:rPr>
            </w:pPr>
            <w:r>
              <w:rPr>
                <w:rFonts w:ascii="Times New Roman" w:cs="Times New Roman" w:eastAsia="Times New Roman" w:hAnsi="Times New Roman"/>
                <w:sz w:val="22"/>
                <w:szCs w:val="22"/>
                <w:color w:val="auto"/>
                <w:w w:val="94"/>
              </w:rPr>
              <w:t>Investment Officer</w:t>
            </w:r>
          </w:p>
        </w:tc>
      </w:tr>
    </w:tbl>
    <w:p>
      <w:pPr>
        <w:spacing w:after="0" w:line="200" w:lineRule="exact"/>
        <w:rPr>
          <w:sz w:val="20"/>
          <w:szCs w:val="20"/>
          <w:color w:val="auto"/>
        </w:rPr>
      </w:pPr>
    </w:p>
    <w:p>
      <w:pPr>
        <w:sectPr>
          <w:pgSz w:w="11900" w:h="16838" w:orient="portrait"/>
          <w:cols w:equalWidth="0" w:num="2">
            <w:col w:w="5900" w:space="340"/>
            <w:col w:w="5000"/>
          </w:cols>
          <w:pgMar w:left="320" w:top="140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Signature Page to Agreement of Purchase and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8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type w:val="continuous"/>
        </w:sectPr>
      </w:pPr>
    </w:p>
    <w:bookmarkStart w:id="184" w:name="page185"/>
    <w:bookmarkEnd w:id="184"/>
    <w:p>
      <w:pPr>
        <w:jc w:val="center"/>
        <w:spacing w:after="0"/>
        <w:rPr>
          <w:sz w:val="20"/>
          <w:szCs w:val="20"/>
          <w:color w:val="auto"/>
        </w:rPr>
      </w:pPr>
      <w:r>
        <w:rPr>
          <w:rFonts w:ascii="Times New Roman" w:cs="Times New Roman" w:eastAsia="Times New Roman" w:hAnsi="Times New Roman"/>
          <w:sz w:val="22"/>
          <w:szCs w:val="22"/>
          <w:b w:val="1"/>
          <w:bCs w:val="1"/>
          <w:color w:val="auto"/>
        </w:rPr>
        <w:t>Schedule I</w:t>
      </w:r>
    </w:p>
    <w:p>
      <w:pPr>
        <w:spacing w:after="0" w:line="393" w:lineRule="exact"/>
        <w:rPr>
          <w:sz w:val="20"/>
          <w:szCs w:val="20"/>
          <w:color w:val="auto"/>
        </w:rPr>
      </w:pPr>
    </w:p>
    <w:tbl>
      <w:tblPr>
        <w:tblLayout w:type="fixed"/>
        <w:tblInd w:w="10" w:type="dxa"/>
        <w:tblCellMar>
          <w:top w:w="0" w:type="dxa"/>
          <w:left w:w="0" w:type="dxa"/>
          <w:bottom w:w="0" w:type="dxa"/>
          <w:right w:w="0" w:type="dxa"/>
        </w:tblCellMar>
      </w:tblPr>
      <w:tr>
        <w:trPr>
          <w:trHeight w:val="221"/>
        </w:trPr>
        <w:tc>
          <w:tcPr>
            <w:tcW w:w="2940" w:type="dxa"/>
            <w:vAlign w:val="bottom"/>
            <w:tcBorders>
              <w:top w:val="single" w:sz="8" w:color="auto"/>
              <w:left w:val="single" w:sz="8" w:color="auto"/>
              <w:right w:val="single" w:sz="8" w:color="auto"/>
            </w:tcBorders>
            <w:shd w:val="clear" w:color="auto" w:fill="D0CECE"/>
          </w:tcPr>
          <w:p>
            <w:pPr>
              <w:spacing w:after="0"/>
              <w:rPr>
                <w:sz w:val="19"/>
                <w:szCs w:val="19"/>
                <w:color w:val="auto"/>
              </w:rPr>
            </w:pPr>
          </w:p>
        </w:tc>
        <w:tc>
          <w:tcPr>
            <w:tcW w:w="600" w:type="dxa"/>
            <w:vAlign w:val="bottom"/>
            <w:tcBorders>
              <w:top w:val="single" w:sz="8" w:color="auto"/>
              <w:right w:val="single" w:sz="8" w:color="auto"/>
            </w:tcBorders>
            <w:shd w:val="clear" w:color="auto" w:fill="D0CECE"/>
          </w:tcPr>
          <w:p>
            <w:pPr>
              <w:spacing w:after="0"/>
              <w:rPr>
                <w:sz w:val="19"/>
                <w:szCs w:val="19"/>
                <w:color w:val="auto"/>
              </w:rPr>
            </w:pPr>
          </w:p>
        </w:tc>
        <w:tc>
          <w:tcPr>
            <w:tcW w:w="600" w:type="dxa"/>
            <w:vAlign w:val="bottom"/>
            <w:tcBorders>
              <w:top w:val="single" w:sz="8" w:color="auto"/>
              <w:right w:val="single" w:sz="8" w:color="auto"/>
            </w:tcBorders>
            <w:shd w:val="clear" w:color="auto" w:fill="D0CECE"/>
          </w:tcPr>
          <w:p>
            <w:pPr>
              <w:spacing w:after="0"/>
              <w:rPr>
                <w:sz w:val="19"/>
                <w:szCs w:val="19"/>
                <w:color w:val="auto"/>
              </w:rPr>
            </w:pPr>
          </w:p>
        </w:tc>
        <w:tc>
          <w:tcPr>
            <w:tcW w:w="1080" w:type="dxa"/>
            <w:vAlign w:val="bottom"/>
            <w:tcBorders>
              <w:top w:val="single" w:sz="8" w:color="auto"/>
              <w:right w:val="single" w:sz="8" w:color="auto"/>
            </w:tcBorders>
            <w:shd w:val="clear" w:color="auto" w:fill="D0CECE"/>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Percentage</w:t>
            </w:r>
          </w:p>
        </w:tc>
        <w:tc>
          <w:tcPr>
            <w:tcW w:w="1220" w:type="dxa"/>
            <w:vAlign w:val="bottom"/>
            <w:tcBorders>
              <w:top w:val="single" w:sz="8" w:color="auto"/>
              <w:right w:val="single" w:sz="8" w:color="auto"/>
            </w:tcBorders>
            <w:shd w:val="clear" w:color="auto" w:fill="D0CECE"/>
          </w:tcPr>
          <w:p>
            <w:pPr>
              <w:spacing w:after="0"/>
              <w:rPr>
                <w:sz w:val="19"/>
                <w:szCs w:val="19"/>
                <w:color w:val="auto"/>
              </w:rPr>
            </w:pPr>
          </w:p>
        </w:tc>
        <w:tc>
          <w:tcPr>
            <w:tcW w:w="1140" w:type="dxa"/>
            <w:vAlign w:val="bottom"/>
            <w:tcBorders>
              <w:top w:val="single" w:sz="8" w:color="auto"/>
              <w:right w:val="single" w:sz="8" w:color="auto"/>
            </w:tcBorders>
            <w:shd w:val="clear" w:color="auto" w:fill="D0CECE"/>
          </w:tcPr>
          <w:p>
            <w:pPr>
              <w:spacing w:after="0"/>
              <w:rPr>
                <w:sz w:val="19"/>
                <w:szCs w:val="19"/>
                <w:color w:val="auto"/>
              </w:rPr>
            </w:pPr>
          </w:p>
        </w:tc>
        <w:tc>
          <w:tcPr>
            <w:tcW w:w="1160" w:type="dxa"/>
            <w:vAlign w:val="bottom"/>
            <w:tcBorders>
              <w:top w:val="single" w:sz="8" w:color="auto"/>
              <w:right w:val="single" w:sz="8" w:color="auto"/>
            </w:tcBorders>
            <w:shd w:val="clear" w:color="auto" w:fill="D0CECE"/>
          </w:tcPr>
          <w:p>
            <w:pPr>
              <w:spacing w:after="0"/>
              <w:rPr>
                <w:sz w:val="19"/>
                <w:szCs w:val="19"/>
                <w:color w:val="auto"/>
              </w:rPr>
            </w:pPr>
          </w:p>
        </w:tc>
        <w:tc>
          <w:tcPr>
            <w:tcW w:w="1120" w:type="dxa"/>
            <w:vAlign w:val="bottom"/>
            <w:tcBorders>
              <w:top w:val="single" w:sz="8" w:color="auto"/>
              <w:right w:val="single" w:sz="8" w:color="auto"/>
            </w:tcBorders>
            <w:shd w:val="clear" w:color="auto" w:fill="D0CECE"/>
          </w:tcPr>
          <w:p>
            <w:pPr>
              <w:spacing w:after="0"/>
              <w:rPr>
                <w:sz w:val="19"/>
                <w:szCs w:val="19"/>
                <w:color w:val="auto"/>
              </w:rPr>
            </w:pPr>
          </w:p>
        </w:tc>
        <w:tc>
          <w:tcPr>
            <w:tcW w:w="1380" w:type="dxa"/>
            <w:vAlign w:val="bottom"/>
            <w:tcBorders>
              <w:top w:val="single" w:sz="8" w:color="auto"/>
              <w:right w:val="single" w:sz="8" w:color="auto"/>
            </w:tcBorders>
            <w:shd w:val="clear" w:color="auto" w:fill="D0CEC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40" w:type="dxa"/>
            <w:vAlign w:val="bottom"/>
            <w:tcBorders>
              <w:left w:val="single" w:sz="8" w:color="auto"/>
              <w:right w:val="single" w:sz="8" w:color="auto"/>
            </w:tcBorders>
            <w:shd w:val="clear" w:color="auto" w:fill="D0CECE"/>
          </w:tcPr>
          <w:p>
            <w:pPr>
              <w:spacing w:after="0"/>
              <w:rPr>
                <w:sz w:val="18"/>
                <w:szCs w:val="18"/>
                <w:color w:val="auto"/>
              </w:rPr>
            </w:pPr>
          </w:p>
        </w:tc>
        <w:tc>
          <w:tcPr>
            <w:tcW w:w="600" w:type="dxa"/>
            <w:vAlign w:val="bottom"/>
            <w:tcBorders>
              <w:right w:val="single" w:sz="8" w:color="auto"/>
            </w:tcBorders>
            <w:shd w:val="clear" w:color="auto" w:fill="D0CECE"/>
          </w:tcPr>
          <w:p>
            <w:pPr>
              <w:spacing w:after="0"/>
              <w:rPr>
                <w:sz w:val="18"/>
                <w:szCs w:val="18"/>
                <w:color w:val="auto"/>
              </w:rPr>
            </w:pPr>
          </w:p>
        </w:tc>
        <w:tc>
          <w:tcPr>
            <w:tcW w:w="600" w:type="dxa"/>
            <w:vAlign w:val="bottom"/>
            <w:tcBorders>
              <w:right w:val="single" w:sz="8" w:color="auto"/>
            </w:tcBorders>
            <w:shd w:val="clear" w:color="auto" w:fill="D0CECE"/>
          </w:tcPr>
          <w:p>
            <w:pPr>
              <w:spacing w:after="0"/>
              <w:rPr>
                <w:sz w:val="18"/>
                <w:szCs w:val="18"/>
                <w:color w:val="auto"/>
              </w:rPr>
            </w:pPr>
          </w:p>
        </w:tc>
        <w:tc>
          <w:tcPr>
            <w:tcW w:w="1080" w:type="dxa"/>
            <w:vAlign w:val="bottom"/>
            <w:tcBorders>
              <w:right w:val="single" w:sz="8" w:color="auto"/>
            </w:tcBorders>
            <w:shd w:val="clear" w:color="auto" w:fill="D0CECE"/>
          </w:tcPr>
          <w:p>
            <w:pPr>
              <w:jc w:val="center"/>
              <w:spacing w:after="0"/>
              <w:rPr>
                <w:sz w:val="20"/>
                <w:szCs w:val="20"/>
                <w:color w:val="auto"/>
              </w:rPr>
            </w:pPr>
            <w:r>
              <w:rPr>
                <w:rFonts w:ascii="Times New Roman" w:cs="Times New Roman" w:eastAsia="Times New Roman" w:hAnsi="Times New Roman"/>
                <w:sz w:val="18"/>
                <w:szCs w:val="18"/>
                <w:b w:val="1"/>
                <w:bCs w:val="1"/>
                <w:color w:val="auto"/>
              </w:rPr>
              <w:t>of Seller’s</w:t>
            </w:r>
          </w:p>
        </w:tc>
        <w:tc>
          <w:tcPr>
            <w:tcW w:w="1220" w:type="dxa"/>
            <w:vAlign w:val="bottom"/>
            <w:tcBorders>
              <w:right w:val="single" w:sz="8" w:color="auto"/>
            </w:tcBorders>
            <w:shd w:val="clear" w:color="auto" w:fill="D0CECE"/>
          </w:tcPr>
          <w:p>
            <w:pPr>
              <w:spacing w:after="0"/>
              <w:rPr>
                <w:sz w:val="18"/>
                <w:szCs w:val="18"/>
                <w:color w:val="auto"/>
              </w:rPr>
            </w:pPr>
          </w:p>
        </w:tc>
        <w:tc>
          <w:tcPr>
            <w:tcW w:w="1140" w:type="dxa"/>
            <w:vAlign w:val="bottom"/>
            <w:tcBorders>
              <w:right w:val="single" w:sz="8" w:color="auto"/>
            </w:tcBorders>
            <w:shd w:val="clear" w:color="auto" w:fill="D0CECE"/>
          </w:tcPr>
          <w:p>
            <w:pPr>
              <w:spacing w:after="0"/>
              <w:rPr>
                <w:sz w:val="18"/>
                <w:szCs w:val="18"/>
                <w:color w:val="auto"/>
              </w:rPr>
            </w:pPr>
          </w:p>
        </w:tc>
        <w:tc>
          <w:tcPr>
            <w:tcW w:w="1160" w:type="dxa"/>
            <w:vAlign w:val="bottom"/>
            <w:tcBorders>
              <w:right w:val="single" w:sz="8" w:color="auto"/>
            </w:tcBorders>
            <w:shd w:val="clear" w:color="auto" w:fill="D0CECE"/>
          </w:tcPr>
          <w:p>
            <w:pPr>
              <w:spacing w:after="0"/>
              <w:rPr>
                <w:sz w:val="18"/>
                <w:szCs w:val="18"/>
                <w:color w:val="auto"/>
              </w:rPr>
            </w:pPr>
          </w:p>
        </w:tc>
        <w:tc>
          <w:tcPr>
            <w:tcW w:w="1120" w:type="dxa"/>
            <w:vAlign w:val="bottom"/>
            <w:tcBorders>
              <w:right w:val="single" w:sz="8" w:color="auto"/>
            </w:tcBorders>
            <w:shd w:val="clear" w:color="auto" w:fill="D0CECE"/>
          </w:tcPr>
          <w:p>
            <w:pPr>
              <w:spacing w:after="0"/>
              <w:rPr>
                <w:sz w:val="18"/>
                <w:szCs w:val="18"/>
                <w:color w:val="auto"/>
              </w:rPr>
            </w:pPr>
          </w:p>
        </w:tc>
        <w:tc>
          <w:tcPr>
            <w:tcW w:w="1380" w:type="dxa"/>
            <w:vAlign w:val="bottom"/>
            <w:tcBorders>
              <w:right w:val="single" w:sz="8" w:color="auto"/>
            </w:tcBorders>
            <w:shd w:val="clear" w:color="auto" w:fill="D0CEC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Borders>
              <w:left w:val="single" w:sz="8" w:color="auto"/>
              <w:right w:val="single" w:sz="8" w:color="auto"/>
            </w:tcBorders>
            <w:shd w:val="clear" w:color="auto" w:fill="D0CECE"/>
          </w:tcPr>
          <w:p>
            <w:pPr>
              <w:spacing w:after="0"/>
              <w:rPr>
                <w:sz w:val="18"/>
                <w:szCs w:val="18"/>
                <w:color w:val="auto"/>
              </w:rPr>
            </w:pPr>
          </w:p>
        </w:tc>
        <w:tc>
          <w:tcPr>
            <w:tcW w:w="600" w:type="dxa"/>
            <w:vAlign w:val="bottom"/>
            <w:tcBorders>
              <w:right w:val="single" w:sz="8" w:color="auto"/>
            </w:tcBorders>
            <w:vMerge w:val="restart"/>
            <w:shd w:val="clear" w:color="auto" w:fill="D0CECE"/>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Hed</w:t>
            </w:r>
          </w:p>
        </w:tc>
        <w:tc>
          <w:tcPr>
            <w:tcW w:w="600" w:type="dxa"/>
            <w:vAlign w:val="bottom"/>
            <w:tcBorders>
              <w:right w:val="single" w:sz="8" w:color="auto"/>
            </w:tcBorders>
            <w:shd w:val="clear" w:color="auto" w:fill="D0CECE"/>
          </w:tcPr>
          <w:p>
            <w:pPr>
              <w:spacing w:after="0"/>
              <w:rPr>
                <w:sz w:val="18"/>
                <w:szCs w:val="18"/>
                <w:color w:val="auto"/>
              </w:rPr>
            </w:pPr>
          </w:p>
        </w:tc>
        <w:tc>
          <w:tcPr>
            <w:tcW w:w="1080" w:type="dxa"/>
            <w:vAlign w:val="bottom"/>
            <w:tcBorders>
              <w:right w:val="single" w:sz="8" w:color="auto"/>
            </w:tcBorders>
            <w:shd w:val="clear" w:color="auto" w:fill="D0CECE"/>
          </w:tcPr>
          <w:p>
            <w:pPr>
              <w:jc w:val="cente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20" w:type="dxa"/>
            <w:vAlign w:val="bottom"/>
            <w:tcBorders>
              <w:right w:val="single" w:sz="8" w:color="auto"/>
            </w:tcBorders>
            <w:shd w:val="clear" w:color="auto" w:fill="D0CECE"/>
          </w:tcPr>
          <w:p>
            <w:pPr>
              <w:spacing w:after="0"/>
              <w:rPr>
                <w:sz w:val="18"/>
                <w:szCs w:val="18"/>
                <w:color w:val="auto"/>
              </w:rPr>
            </w:pPr>
          </w:p>
        </w:tc>
        <w:tc>
          <w:tcPr>
            <w:tcW w:w="1140" w:type="dxa"/>
            <w:vAlign w:val="bottom"/>
            <w:tcBorders>
              <w:right w:val="single" w:sz="8" w:color="auto"/>
            </w:tcBorders>
            <w:shd w:val="clear" w:color="auto" w:fill="D0CECE"/>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160" w:type="dxa"/>
            <w:vAlign w:val="bottom"/>
            <w:tcBorders>
              <w:right w:val="single" w:sz="8" w:color="auto"/>
            </w:tcBorders>
            <w:shd w:val="clear" w:color="auto" w:fill="D0CECE"/>
          </w:tcPr>
          <w:p>
            <w:pPr>
              <w:spacing w:after="0"/>
              <w:rPr>
                <w:sz w:val="18"/>
                <w:szCs w:val="18"/>
                <w:color w:val="auto"/>
              </w:rPr>
            </w:pPr>
          </w:p>
        </w:tc>
        <w:tc>
          <w:tcPr>
            <w:tcW w:w="1120" w:type="dxa"/>
            <w:vAlign w:val="bottom"/>
            <w:tcBorders>
              <w:right w:val="single" w:sz="8" w:color="auto"/>
            </w:tcBorders>
            <w:shd w:val="clear" w:color="auto" w:fill="D0CECE"/>
          </w:tcPr>
          <w:p>
            <w:pPr>
              <w:spacing w:after="0"/>
              <w:rPr>
                <w:sz w:val="18"/>
                <w:szCs w:val="18"/>
                <w:color w:val="auto"/>
              </w:rPr>
            </w:pPr>
          </w:p>
        </w:tc>
        <w:tc>
          <w:tcPr>
            <w:tcW w:w="1380" w:type="dxa"/>
            <w:vAlign w:val="bottom"/>
            <w:tcBorders>
              <w:right w:val="single" w:sz="8" w:color="auto"/>
            </w:tcBorders>
            <w:shd w:val="clear" w:color="auto" w:fill="D0CEC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940" w:type="dxa"/>
            <w:vAlign w:val="bottom"/>
            <w:tcBorders>
              <w:left w:val="single" w:sz="8" w:color="auto"/>
              <w:right w:val="single" w:sz="8" w:color="auto"/>
            </w:tcBorders>
            <w:shd w:val="clear" w:color="auto" w:fill="D0CECE"/>
          </w:tcPr>
          <w:p>
            <w:pPr>
              <w:spacing w:after="0"/>
              <w:rPr>
                <w:sz w:val="9"/>
                <w:szCs w:val="9"/>
                <w:color w:val="auto"/>
              </w:rPr>
            </w:pPr>
          </w:p>
        </w:tc>
        <w:tc>
          <w:tcPr>
            <w:tcW w:w="600" w:type="dxa"/>
            <w:vAlign w:val="bottom"/>
            <w:tcBorders>
              <w:right w:val="single" w:sz="8" w:color="auto"/>
            </w:tcBorders>
            <w:vMerge w:val="continue"/>
            <w:shd w:val="clear" w:color="auto" w:fill="D0CECE"/>
          </w:tcPr>
          <w:p>
            <w:pPr>
              <w:spacing w:after="0"/>
              <w:rPr>
                <w:sz w:val="9"/>
                <w:szCs w:val="9"/>
                <w:color w:val="auto"/>
              </w:rPr>
            </w:pPr>
          </w:p>
        </w:tc>
        <w:tc>
          <w:tcPr>
            <w:tcW w:w="600" w:type="dxa"/>
            <w:vAlign w:val="bottom"/>
            <w:tcBorders>
              <w:right w:val="single" w:sz="8" w:color="auto"/>
            </w:tcBorders>
            <w:shd w:val="clear" w:color="auto" w:fill="D0CECE"/>
          </w:tcPr>
          <w:p>
            <w:pPr>
              <w:spacing w:after="0"/>
              <w:rPr>
                <w:sz w:val="9"/>
                <w:szCs w:val="9"/>
                <w:color w:val="auto"/>
              </w:rPr>
            </w:pPr>
          </w:p>
        </w:tc>
        <w:tc>
          <w:tcPr>
            <w:tcW w:w="1080" w:type="dxa"/>
            <w:vAlign w:val="bottom"/>
            <w:tcBorders>
              <w:right w:val="single" w:sz="8" w:color="auto"/>
            </w:tcBorders>
            <w:vMerge w:val="restart"/>
            <w:shd w:val="clear" w:color="auto" w:fill="D0CECE"/>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Interest in</w:t>
            </w:r>
          </w:p>
        </w:tc>
        <w:tc>
          <w:tcPr>
            <w:tcW w:w="1220" w:type="dxa"/>
            <w:vAlign w:val="bottom"/>
            <w:tcBorders>
              <w:right w:val="single" w:sz="8" w:color="auto"/>
            </w:tcBorders>
            <w:shd w:val="clear" w:color="auto" w:fill="D0CECE"/>
          </w:tcPr>
          <w:p>
            <w:pPr>
              <w:spacing w:after="0"/>
              <w:rPr>
                <w:sz w:val="9"/>
                <w:szCs w:val="9"/>
                <w:color w:val="auto"/>
              </w:rPr>
            </w:pPr>
          </w:p>
        </w:tc>
        <w:tc>
          <w:tcPr>
            <w:tcW w:w="1140" w:type="dxa"/>
            <w:vAlign w:val="bottom"/>
            <w:tcBorders>
              <w:right w:val="single" w:sz="8" w:color="auto"/>
            </w:tcBorders>
            <w:vMerge w:val="restart"/>
            <w:shd w:val="clear" w:color="auto" w:fill="D0CECE"/>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Account</w:t>
            </w:r>
          </w:p>
        </w:tc>
        <w:tc>
          <w:tcPr>
            <w:tcW w:w="1160" w:type="dxa"/>
            <w:vAlign w:val="bottom"/>
            <w:tcBorders>
              <w:right w:val="single" w:sz="8" w:color="auto"/>
            </w:tcBorders>
            <w:vMerge w:val="restart"/>
            <w:shd w:val="clear" w:color="auto" w:fill="D0CECE"/>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120" w:type="dxa"/>
            <w:vAlign w:val="bottom"/>
            <w:tcBorders>
              <w:right w:val="single" w:sz="8" w:color="auto"/>
            </w:tcBorders>
            <w:vMerge w:val="restart"/>
            <w:shd w:val="clear" w:color="auto" w:fill="D0CECE"/>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Purchase</w:t>
            </w:r>
          </w:p>
        </w:tc>
        <w:tc>
          <w:tcPr>
            <w:tcW w:w="1380" w:type="dxa"/>
            <w:vAlign w:val="bottom"/>
            <w:tcBorders>
              <w:right w:val="single" w:sz="8" w:color="auto"/>
            </w:tcBorders>
            <w:shd w:val="clear" w:color="auto" w:fill="D0CEC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940" w:type="dxa"/>
            <w:vAlign w:val="bottom"/>
            <w:tcBorders>
              <w:left w:val="single" w:sz="8" w:color="auto"/>
              <w:right w:val="single" w:sz="8" w:color="auto"/>
            </w:tcBorders>
            <w:shd w:val="clear" w:color="auto" w:fill="D0CECE"/>
          </w:tcPr>
          <w:p>
            <w:pPr>
              <w:spacing w:after="0"/>
              <w:rPr>
                <w:sz w:val="9"/>
                <w:szCs w:val="9"/>
                <w:color w:val="auto"/>
              </w:rPr>
            </w:pPr>
          </w:p>
        </w:tc>
        <w:tc>
          <w:tcPr>
            <w:tcW w:w="600" w:type="dxa"/>
            <w:vAlign w:val="bottom"/>
            <w:tcBorders>
              <w:right w:val="single" w:sz="8" w:color="auto"/>
            </w:tcBorders>
            <w:vMerge w:val="restart"/>
            <w:shd w:val="clear" w:color="auto" w:fill="D0CECE"/>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ge</w:t>
            </w:r>
          </w:p>
        </w:tc>
        <w:tc>
          <w:tcPr>
            <w:tcW w:w="600" w:type="dxa"/>
            <w:vAlign w:val="bottom"/>
            <w:tcBorders>
              <w:right w:val="single" w:sz="8" w:color="auto"/>
            </w:tcBorders>
            <w:shd w:val="clear" w:color="auto" w:fill="D0CECE"/>
          </w:tcPr>
          <w:p>
            <w:pPr>
              <w:spacing w:after="0"/>
              <w:rPr>
                <w:sz w:val="9"/>
                <w:szCs w:val="9"/>
                <w:color w:val="auto"/>
              </w:rPr>
            </w:pPr>
          </w:p>
        </w:tc>
        <w:tc>
          <w:tcPr>
            <w:tcW w:w="1080" w:type="dxa"/>
            <w:vAlign w:val="bottom"/>
            <w:tcBorders>
              <w:right w:val="single" w:sz="8" w:color="auto"/>
            </w:tcBorders>
            <w:vMerge w:val="continue"/>
            <w:shd w:val="clear" w:color="auto" w:fill="D0CECE"/>
          </w:tcPr>
          <w:p>
            <w:pPr>
              <w:spacing w:after="0"/>
              <w:rPr>
                <w:sz w:val="9"/>
                <w:szCs w:val="9"/>
                <w:color w:val="auto"/>
              </w:rPr>
            </w:pPr>
          </w:p>
        </w:tc>
        <w:tc>
          <w:tcPr>
            <w:tcW w:w="1220" w:type="dxa"/>
            <w:vAlign w:val="bottom"/>
            <w:tcBorders>
              <w:right w:val="single" w:sz="8" w:color="auto"/>
            </w:tcBorders>
            <w:vMerge w:val="restart"/>
            <w:shd w:val="clear" w:color="auto" w:fill="D0CECE"/>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140" w:type="dxa"/>
            <w:vAlign w:val="bottom"/>
            <w:tcBorders>
              <w:right w:val="single" w:sz="8" w:color="auto"/>
            </w:tcBorders>
            <w:vMerge w:val="continue"/>
            <w:shd w:val="clear" w:color="auto" w:fill="D0CECE"/>
          </w:tcPr>
          <w:p>
            <w:pPr>
              <w:spacing w:after="0"/>
              <w:rPr>
                <w:sz w:val="9"/>
                <w:szCs w:val="9"/>
                <w:color w:val="auto"/>
              </w:rPr>
            </w:pPr>
          </w:p>
        </w:tc>
        <w:tc>
          <w:tcPr>
            <w:tcW w:w="1160" w:type="dxa"/>
            <w:vAlign w:val="bottom"/>
            <w:tcBorders>
              <w:right w:val="single" w:sz="8" w:color="auto"/>
            </w:tcBorders>
            <w:vMerge w:val="continue"/>
            <w:shd w:val="clear" w:color="auto" w:fill="D0CECE"/>
          </w:tcPr>
          <w:p>
            <w:pPr>
              <w:spacing w:after="0"/>
              <w:rPr>
                <w:sz w:val="9"/>
                <w:szCs w:val="9"/>
                <w:color w:val="auto"/>
              </w:rPr>
            </w:pPr>
          </w:p>
        </w:tc>
        <w:tc>
          <w:tcPr>
            <w:tcW w:w="1120" w:type="dxa"/>
            <w:vAlign w:val="bottom"/>
            <w:tcBorders>
              <w:right w:val="single" w:sz="8" w:color="auto"/>
            </w:tcBorders>
            <w:vMerge w:val="continue"/>
            <w:shd w:val="clear" w:color="auto" w:fill="D0CECE"/>
          </w:tcPr>
          <w:p>
            <w:pPr>
              <w:spacing w:after="0"/>
              <w:rPr>
                <w:sz w:val="9"/>
                <w:szCs w:val="9"/>
                <w:color w:val="auto"/>
              </w:rPr>
            </w:pPr>
          </w:p>
        </w:tc>
        <w:tc>
          <w:tcPr>
            <w:tcW w:w="1380" w:type="dxa"/>
            <w:vAlign w:val="bottom"/>
            <w:tcBorders>
              <w:right w:val="single" w:sz="8" w:color="auto"/>
            </w:tcBorders>
            <w:shd w:val="clear" w:color="auto" w:fill="D0CEC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940" w:type="dxa"/>
            <w:vAlign w:val="bottom"/>
            <w:tcBorders>
              <w:left w:val="single" w:sz="8" w:color="auto"/>
              <w:right w:val="single" w:sz="8" w:color="auto"/>
            </w:tcBorders>
            <w:shd w:val="clear" w:color="auto" w:fill="D0CECE"/>
          </w:tcPr>
          <w:p>
            <w:pPr>
              <w:spacing w:after="0"/>
              <w:rPr>
                <w:sz w:val="9"/>
                <w:szCs w:val="9"/>
                <w:color w:val="auto"/>
              </w:rPr>
            </w:pPr>
          </w:p>
        </w:tc>
        <w:tc>
          <w:tcPr>
            <w:tcW w:w="600" w:type="dxa"/>
            <w:vAlign w:val="bottom"/>
            <w:tcBorders>
              <w:right w:val="single" w:sz="8" w:color="auto"/>
            </w:tcBorders>
            <w:vMerge w:val="continue"/>
            <w:shd w:val="clear" w:color="auto" w:fill="D0CECE"/>
          </w:tcPr>
          <w:p>
            <w:pPr>
              <w:spacing w:after="0"/>
              <w:rPr>
                <w:sz w:val="9"/>
                <w:szCs w:val="9"/>
                <w:color w:val="auto"/>
              </w:rPr>
            </w:pPr>
          </w:p>
        </w:tc>
        <w:tc>
          <w:tcPr>
            <w:tcW w:w="600" w:type="dxa"/>
            <w:vAlign w:val="bottom"/>
            <w:tcBorders>
              <w:right w:val="single" w:sz="8" w:color="auto"/>
            </w:tcBorders>
            <w:vMerge w:val="restart"/>
            <w:shd w:val="clear" w:color="auto" w:fill="D0CECE"/>
          </w:tcPr>
          <w:p>
            <w:pPr>
              <w:ind w:left="120"/>
              <w:spacing w:after="0"/>
              <w:rPr>
                <w:sz w:val="20"/>
                <w:szCs w:val="20"/>
                <w:color w:val="auto"/>
              </w:rPr>
            </w:pPr>
            <w:r>
              <w:rPr>
                <w:rFonts w:ascii="Times New Roman" w:cs="Times New Roman" w:eastAsia="Times New Roman" w:hAnsi="Times New Roman"/>
                <w:sz w:val="18"/>
                <w:szCs w:val="18"/>
                <w:b w:val="1"/>
                <w:bCs w:val="1"/>
                <w:color w:val="auto"/>
              </w:rPr>
              <w:t>Cut</w:t>
            </w:r>
          </w:p>
        </w:tc>
        <w:tc>
          <w:tcPr>
            <w:tcW w:w="1080" w:type="dxa"/>
            <w:vAlign w:val="bottom"/>
            <w:tcBorders>
              <w:right w:val="single" w:sz="8" w:color="auto"/>
            </w:tcBorders>
            <w:vMerge w:val="restart"/>
            <w:shd w:val="clear" w:color="auto" w:fill="D0CECE"/>
          </w:tcPr>
          <w:p>
            <w:pPr>
              <w:jc w:val="center"/>
              <w:spacing w:after="0"/>
              <w:rPr>
                <w:sz w:val="20"/>
                <w:szCs w:val="20"/>
                <w:color w:val="auto"/>
              </w:rPr>
            </w:pPr>
            <w:r>
              <w:rPr>
                <w:rFonts w:ascii="Times New Roman" w:cs="Times New Roman" w:eastAsia="Times New Roman" w:hAnsi="Times New Roman"/>
                <w:sz w:val="18"/>
                <w:szCs w:val="18"/>
                <w:b w:val="1"/>
                <w:bCs w:val="1"/>
                <w:color w:val="auto"/>
              </w:rPr>
              <w:t>the Fund</w:t>
            </w:r>
          </w:p>
        </w:tc>
        <w:tc>
          <w:tcPr>
            <w:tcW w:w="1220" w:type="dxa"/>
            <w:vAlign w:val="bottom"/>
            <w:tcBorders>
              <w:right w:val="single" w:sz="8" w:color="auto"/>
            </w:tcBorders>
            <w:vMerge w:val="continue"/>
            <w:shd w:val="clear" w:color="auto" w:fill="D0CECE"/>
          </w:tcPr>
          <w:p>
            <w:pPr>
              <w:spacing w:after="0"/>
              <w:rPr>
                <w:sz w:val="9"/>
                <w:szCs w:val="9"/>
                <w:color w:val="auto"/>
              </w:rPr>
            </w:pPr>
          </w:p>
        </w:tc>
        <w:tc>
          <w:tcPr>
            <w:tcW w:w="1140" w:type="dxa"/>
            <w:vAlign w:val="bottom"/>
            <w:tcBorders>
              <w:right w:val="single" w:sz="8" w:color="auto"/>
            </w:tcBorders>
            <w:vMerge w:val="restart"/>
            <w:shd w:val="clear" w:color="auto" w:fill="D0CECE"/>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Balance as</w:t>
            </w:r>
          </w:p>
        </w:tc>
        <w:tc>
          <w:tcPr>
            <w:tcW w:w="1160" w:type="dxa"/>
            <w:vAlign w:val="bottom"/>
            <w:tcBorders>
              <w:right w:val="single" w:sz="8" w:color="auto"/>
            </w:tcBorders>
            <w:vMerge w:val="restart"/>
            <w:shd w:val="clear" w:color="auto" w:fill="D0CECE"/>
          </w:tcPr>
          <w:p>
            <w:pPr>
              <w:jc w:val="center"/>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120" w:type="dxa"/>
            <w:vAlign w:val="bottom"/>
            <w:tcBorders>
              <w:right w:val="single" w:sz="8" w:color="auto"/>
            </w:tcBorders>
            <w:vMerge w:val="restart"/>
            <w:shd w:val="clear" w:color="auto" w:fill="D0CECE"/>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380" w:type="dxa"/>
            <w:vAlign w:val="bottom"/>
            <w:tcBorders>
              <w:right w:val="single" w:sz="8" w:color="auto"/>
            </w:tcBorders>
            <w:vMerge w:val="restart"/>
            <w:shd w:val="clear" w:color="auto" w:fill="D0CECE"/>
          </w:tcPr>
          <w:p>
            <w:pPr>
              <w:jc w:val="center"/>
              <w:spacing w:after="0"/>
              <w:rPr>
                <w:sz w:val="20"/>
                <w:szCs w:val="20"/>
                <w:color w:val="auto"/>
              </w:rPr>
            </w:pPr>
            <w:r>
              <w:rPr>
                <w:rFonts w:ascii="Times New Roman" w:cs="Times New Roman" w:eastAsia="Times New Roman" w:hAnsi="Times New Roman"/>
                <w:sz w:val="18"/>
                <w:szCs w:val="18"/>
                <w:b w:val="1"/>
                <w:bCs w:val="1"/>
                <w:color w:val="auto"/>
              </w:rPr>
              <w:t>Purchase Price</w:t>
            </w:r>
          </w:p>
        </w:tc>
        <w:tc>
          <w:tcPr>
            <w:tcW w:w="0" w:type="dxa"/>
            <w:vAlign w:val="bottom"/>
          </w:tcPr>
          <w:p>
            <w:pPr>
              <w:spacing w:after="0"/>
              <w:rPr>
                <w:sz w:val="1"/>
                <w:szCs w:val="1"/>
                <w:color w:val="auto"/>
              </w:rPr>
            </w:pPr>
          </w:p>
        </w:tc>
      </w:tr>
      <w:tr>
        <w:trPr>
          <w:trHeight w:val="108"/>
        </w:trPr>
        <w:tc>
          <w:tcPr>
            <w:tcW w:w="2940" w:type="dxa"/>
            <w:vAlign w:val="bottom"/>
            <w:tcBorders>
              <w:left w:val="single" w:sz="8" w:color="auto"/>
              <w:right w:val="single" w:sz="8" w:color="auto"/>
            </w:tcBorders>
            <w:shd w:val="clear" w:color="auto" w:fill="D0CECE"/>
          </w:tcPr>
          <w:p>
            <w:pPr>
              <w:spacing w:after="0"/>
              <w:rPr>
                <w:sz w:val="9"/>
                <w:szCs w:val="9"/>
                <w:color w:val="auto"/>
              </w:rPr>
            </w:pPr>
          </w:p>
        </w:tc>
        <w:tc>
          <w:tcPr>
            <w:tcW w:w="600" w:type="dxa"/>
            <w:vAlign w:val="bottom"/>
            <w:tcBorders>
              <w:right w:val="single" w:sz="8" w:color="auto"/>
            </w:tcBorders>
            <w:vMerge w:val="restart"/>
            <w:shd w:val="clear" w:color="auto" w:fill="D0CECE"/>
          </w:tcPr>
          <w:p>
            <w:pPr>
              <w:jc w:val="center"/>
              <w:spacing w:after="0"/>
              <w:rPr>
                <w:sz w:val="20"/>
                <w:szCs w:val="20"/>
                <w:color w:val="auto"/>
              </w:rPr>
            </w:pPr>
            <w:r>
              <w:rPr>
                <w:rFonts w:ascii="Times New Roman" w:cs="Times New Roman" w:eastAsia="Times New Roman" w:hAnsi="Times New Roman"/>
                <w:sz w:val="18"/>
                <w:szCs w:val="18"/>
                <w:b w:val="1"/>
                <w:bCs w:val="1"/>
                <w:color w:val="auto"/>
              </w:rPr>
              <w:t>Fun</w:t>
            </w:r>
          </w:p>
        </w:tc>
        <w:tc>
          <w:tcPr>
            <w:tcW w:w="600" w:type="dxa"/>
            <w:vAlign w:val="bottom"/>
            <w:tcBorders>
              <w:right w:val="single" w:sz="8" w:color="auto"/>
            </w:tcBorders>
            <w:vMerge w:val="continue"/>
            <w:shd w:val="clear" w:color="auto" w:fill="D0CECE"/>
          </w:tcPr>
          <w:p>
            <w:pPr>
              <w:spacing w:after="0"/>
              <w:rPr>
                <w:sz w:val="9"/>
                <w:szCs w:val="9"/>
                <w:color w:val="auto"/>
              </w:rPr>
            </w:pPr>
          </w:p>
        </w:tc>
        <w:tc>
          <w:tcPr>
            <w:tcW w:w="1080" w:type="dxa"/>
            <w:vAlign w:val="bottom"/>
            <w:tcBorders>
              <w:right w:val="single" w:sz="8" w:color="auto"/>
            </w:tcBorders>
            <w:vMerge w:val="continue"/>
            <w:shd w:val="clear" w:color="auto" w:fill="D0CECE"/>
          </w:tcPr>
          <w:p>
            <w:pPr>
              <w:spacing w:after="0"/>
              <w:rPr>
                <w:sz w:val="9"/>
                <w:szCs w:val="9"/>
                <w:color w:val="auto"/>
              </w:rPr>
            </w:pPr>
          </w:p>
        </w:tc>
        <w:tc>
          <w:tcPr>
            <w:tcW w:w="1220" w:type="dxa"/>
            <w:vAlign w:val="bottom"/>
            <w:tcBorders>
              <w:right w:val="single" w:sz="8" w:color="auto"/>
            </w:tcBorders>
            <w:vMerge w:val="restart"/>
            <w:shd w:val="clear" w:color="auto" w:fill="D0CECE"/>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Commitmen</w:t>
            </w:r>
          </w:p>
        </w:tc>
        <w:tc>
          <w:tcPr>
            <w:tcW w:w="1140" w:type="dxa"/>
            <w:vAlign w:val="bottom"/>
            <w:tcBorders>
              <w:right w:val="single" w:sz="8" w:color="auto"/>
            </w:tcBorders>
            <w:vMerge w:val="continue"/>
            <w:shd w:val="clear" w:color="auto" w:fill="D0CECE"/>
          </w:tcPr>
          <w:p>
            <w:pPr>
              <w:spacing w:after="0"/>
              <w:rPr>
                <w:sz w:val="9"/>
                <w:szCs w:val="9"/>
                <w:color w:val="auto"/>
              </w:rPr>
            </w:pPr>
          </w:p>
        </w:tc>
        <w:tc>
          <w:tcPr>
            <w:tcW w:w="1160" w:type="dxa"/>
            <w:vAlign w:val="bottom"/>
            <w:tcBorders>
              <w:right w:val="single" w:sz="8" w:color="auto"/>
            </w:tcBorders>
            <w:vMerge w:val="continue"/>
            <w:shd w:val="clear" w:color="auto" w:fill="D0CECE"/>
          </w:tcPr>
          <w:p>
            <w:pPr>
              <w:spacing w:after="0"/>
              <w:rPr>
                <w:sz w:val="9"/>
                <w:szCs w:val="9"/>
                <w:color w:val="auto"/>
              </w:rPr>
            </w:pPr>
          </w:p>
        </w:tc>
        <w:tc>
          <w:tcPr>
            <w:tcW w:w="1120" w:type="dxa"/>
            <w:vAlign w:val="bottom"/>
            <w:tcBorders>
              <w:right w:val="single" w:sz="8" w:color="auto"/>
            </w:tcBorders>
            <w:vMerge w:val="continue"/>
            <w:shd w:val="clear" w:color="auto" w:fill="D0CECE"/>
          </w:tcPr>
          <w:p>
            <w:pPr>
              <w:spacing w:after="0"/>
              <w:rPr>
                <w:sz w:val="9"/>
                <w:szCs w:val="9"/>
                <w:color w:val="auto"/>
              </w:rPr>
            </w:pPr>
          </w:p>
        </w:tc>
        <w:tc>
          <w:tcPr>
            <w:tcW w:w="1380" w:type="dxa"/>
            <w:vAlign w:val="bottom"/>
            <w:tcBorders>
              <w:right w:val="single" w:sz="8" w:color="auto"/>
            </w:tcBorders>
            <w:vMerge w:val="continue"/>
            <w:shd w:val="clear" w:color="auto" w:fill="D0CEC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940" w:type="dxa"/>
            <w:vAlign w:val="bottom"/>
            <w:tcBorders>
              <w:left w:val="single" w:sz="8" w:color="auto"/>
              <w:right w:val="single" w:sz="8" w:color="auto"/>
            </w:tcBorders>
            <w:vMerge w:val="restart"/>
            <w:shd w:val="clear" w:color="auto" w:fill="D0CECE"/>
          </w:tcPr>
          <w:p>
            <w:pPr>
              <w:ind w:left="420"/>
              <w:spacing w:after="0"/>
              <w:rPr>
                <w:sz w:val="20"/>
                <w:szCs w:val="20"/>
                <w:color w:val="auto"/>
              </w:rPr>
            </w:pPr>
            <w:r>
              <w:rPr>
                <w:rFonts w:ascii="Times New Roman" w:cs="Times New Roman" w:eastAsia="Times New Roman" w:hAnsi="Times New Roman"/>
                <w:sz w:val="18"/>
                <w:szCs w:val="18"/>
                <w:b w:val="1"/>
                <w:bCs w:val="1"/>
                <w:color w:val="auto"/>
              </w:rPr>
              <w:t>Fund (and related Interest)</w:t>
            </w:r>
          </w:p>
        </w:tc>
        <w:tc>
          <w:tcPr>
            <w:tcW w:w="600" w:type="dxa"/>
            <w:vAlign w:val="bottom"/>
            <w:tcBorders>
              <w:right w:val="single" w:sz="8" w:color="auto"/>
            </w:tcBorders>
            <w:vMerge w:val="continue"/>
            <w:shd w:val="clear" w:color="auto" w:fill="D0CECE"/>
          </w:tcPr>
          <w:p>
            <w:pPr>
              <w:spacing w:after="0"/>
              <w:rPr>
                <w:sz w:val="9"/>
                <w:szCs w:val="9"/>
                <w:color w:val="auto"/>
              </w:rPr>
            </w:pPr>
          </w:p>
        </w:tc>
        <w:tc>
          <w:tcPr>
            <w:tcW w:w="600" w:type="dxa"/>
            <w:vAlign w:val="bottom"/>
            <w:tcBorders>
              <w:right w:val="single" w:sz="8" w:color="auto"/>
            </w:tcBorders>
            <w:vMerge w:val="restart"/>
            <w:shd w:val="clear" w:color="auto" w:fill="D0CECE"/>
          </w:tcPr>
          <w:p>
            <w:pPr>
              <w:ind w:left="140"/>
              <w:spacing w:after="0"/>
              <w:rPr>
                <w:sz w:val="20"/>
                <w:szCs w:val="20"/>
                <w:color w:val="auto"/>
              </w:rPr>
            </w:pPr>
            <w:r>
              <w:rPr>
                <w:rFonts w:ascii="Times New Roman" w:cs="Times New Roman" w:eastAsia="Times New Roman" w:hAnsi="Times New Roman"/>
                <w:sz w:val="18"/>
                <w:szCs w:val="18"/>
                <w:b w:val="1"/>
                <w:bCs w:val="1"/>
                <w:color w:val="auto"/>
              </w:rPr>
              <w:t>Off</w:t>
            </w:r>
          </w:p>
        </w:tc>
        <w:tc>
          <w:tcPr>
            <w:tcW w:w="1080" w:type="dxa"/>
            <w:vAlign w:val="bottom"/>
            <w:tcBorders>
              <w:right w:val="single" w:sz="8" w:color="auto"/>
            </w:tcBorders>
            <w:vMerge w:val="restart"/>
            <w:shd w:val="clear" w:color="auto" w:fill="D0CECE"/>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(other than</w:t>
            </w:r>
          </w:p>
        </w:tc>
        <w:tc>
          <w:tcPr>
            <w:tcW w:w="1220" w:type="dxa"/>
            <w:vAlign w:val="bottom"/>
            <w:tcBorders>
              <w:right w:val="single" w:sz="8" w:color="auto"/>
            </w:tcBorders>
            <w:vMerge w:val="continue"/>
            <w:shd w:val="clear" w:color="auto" w:fill="D0CECE"/>
          </w:tcPr>
          <w:p>
            <w:pPr>
              <w:spacing w:after="0"/>
              <w:rPr>
                <w:sz w:val="9"/>
                <w:szCs w:val="9"/>
                <w:color w:val="auto"/>
              </w:rPr>
            </w:pPr>
          </w:p>
        </w:tc>
        <w:tc>
          <w:tcPr>
            <w:tcW w:w="1140" w:type="dxa"/>
            <w:vAlign w:val="bottom"/>
            <w:tcBorders>
              <w:right w:val="single" w:sz="8" w:color="auto"/>
            </w:tcBorders>
            <w:vMerge w:val="restart"/>
            <w:shd w:val="clear" w:color="auto" w:fill="D0CECE"/>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of the Cut</w:t>
            </w:r>
          </w:p>
        </w:tc>
        <w:tc>
          <w:tcPr>
            <w:tcW w:w="1160" w:type="dxa"/>
            <w:vAlign w:val="bottom"/>
            <w:tcBorders>
              <w:right w:val="single" w:sz="8" w:color="auto"/>
            </w:tcBorders>
            <w:vMerge w:val="restart"/>
            <w:shd w:val="clear" w:color="auto" w:fill="D0CECE"/>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Commitme</w:t>
            </w:r>
          </w:p>
        </w:tc>
        <w:tc>
          <w:tcPr>
            <w:tcW w:w="1120" w:type="dxa"/>
            <w:vAlign w:val="bottom"/>
            <w:tcBorders>
              <w:right w:val="single" w:sz="8" w:color="auto"/>
            </w:tcBorders>
            <w:vMerge w:val="restart"/>
            <w:shd w:val="clear" w:color="auto" w:fill="D0CECE"/>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Allocation</w:t>
            </w:r>
          </w:p>
        </w:tc>
        <w:tc>
          <w:tcPr>
            <w:tcW w:w="1380" w:type="dxa"/>
            <w:vAlign w:val="bottom"/>
            <w:tcBorders>
              <w:right w:val="single" w:sz="8" w:color="auto"/>
            </w:tcBorders>
            <w:vMerge w:val="restart"/>
            <w:shd w:val="clear" w:color="auto" w:fill="D0CECE"/>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Allocation (in</w:t>
            </w:r>
          </w:p>
        </w:tc>
        <w:tc>
          <w:tcPr>
            <w:tcW w:w="0" w:type="dxa"/>
            <w:vAlign w:val="bottom"/>
          </w:tcPr>
          <w:p>
            <w:pPr>
              <w:spacing w:after="0"/>
              <w:rPr>
                <w:sz w:val="1"/>
                <w:szCs w:val="1"/>
                <w:color w:val="auto"/>
              </w:rPr>
            </w:pPr>
          </w:p>
        </w:tc>
      </w:tr>
      <w:tr>
        <w:trPr>
          <w:trHeight w:val="108"/>
        </w:trPr>
        <w:tc>
          <w:tcPr>
            <w:tcW w:w="2940" w:type="dxa"/>
            <w:vAlign w:val="bottom"/>
            <w:tcBorders>
              <w:left w:val="single" w:sz="8" w:color="auto"/>
              <w:right w:val="single" w:sz="8" w:color="auto"/>
            </w:tcBorders>
            <w:vMerge w:val="continue"/>
            <w:shd w:val="clear" w:color="auto" w:fill="D0CECE"/>
          </w:tcPr>
          <w:p>
            <w:pPr>
              <w:spacing w:after="0"/>
              <w:rPr>
                <w:sz w:val="9"/>
                <w:szCs w:val="9"/>
                <w:color w:val="auto"/>
              </w:rPr>
            </w:pPr>
          </w:p>
        </w:tc>
        <w:tc>
          <w:tcPr>
            <w:tcW w:w="600" w:type="dxa"/>
            <w:vAlign w:val="bottom"/>
            <w:tcBorders>
              <w:right w:val="single" w:sz="8" w:color="auto"/>
            </w:tcBorders>
            <w:vMerge w:val="restart"/>
            <w:shd w:val="clear" w:color="auto" w:fill="D0CECE"/>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w:t>
            </w:r>
          </w:p>
        </w:tc>
        <w:tc>
          <w:tcPr>
            <w:tcW w:w="600" w:type="dxa"/>
            <w:vAlign w:val="bottom"/>
            <w:tcBorders>
              <w:right w:val="single" w:sz="8" w:color="auto"/>
            </w:tcBorders>
            <w:vMerge w:val="continue"/>
            <w:shd w:val="clear" w:color="auto" w:fill="D0CECE"/>
          </w:tcPr>
          <w:p>
            <w:pPr>
              <w:spacing w:after="0"/>
              <w:rPr>
                <w:sz w:val="9"/>
                <w:szCs w:val="9"/>
                <w:color w:val="auto"/>
              </w:rPr>
            </w:pPr>
          </w:p>
        </w:tc>
        <w:tc>
          <w:tcPr>
            <w:tcW w:w="1080" w:type="dxa"/>
            <w:vAlign w:val="bottom"/>
            <w:tcBorders>
              <w:right w:val="single" w:sz="8" w:color="auto"/>
            </w:tcBorders>
            <w:vMerge w:val="continue"/>
            <w:shd w:val="clear" w:color="auto" w:fill="D0CECE"/>
          </w:tcPr>
          <w:p>
            <w:pPr>
              <w:spacing w:after="0"/>
              <w:rPr>
                <w:sz w:val="9"/>
                <w:szCs w:val="9"/>
                <w:color w:val="auto"/>
              </w:rPr>
            </w:pPr>
          </w:p>
        </w:tc>
        <w:tc>
          <w:tcPr>
            <w:tcW w:w="1220" w:type="dxa"/>
            <w:vAlign w:val="bottom"/>
            <w:tcBorders>
              <w:right w:val="single" w:sz="8" w:color="auto"/>
            </w:tcBorders>
            <w:vMerge w:val="restart"/>
            <w:shd w:val="clear" w:color="auto" w:fill="D0CECE"/>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 (in Fund</w:t>
            </w:r>
          </w:p>
        </w:tc>
        <w:tc>
          <w:tcPr>
            <w:tcW w:w="1140" w:type="dxa"/>
            <w:vAlign w:val="bottom"/>
            <w:tcBorders>
              <w:right w:val="single" w:sz="8" w:color="auto"/>
            </w:tcBorders>
            <w:vMerge w:val="continue"/>
            <w:shd w:val="clear" w:color="auto" w:fill="D0CECE"/>
          </w:tcPr>
          <w:p>
            <w:pPr>
              <w:spacing w:after="0"/>
              <w:rPr>
                <w:sz w:val="9"/>
                <w:szCs w:val="9"/>
                <w:color w:val="auto"/>
              </w:rPr>
            </w:pPr>
          </w:p>
        </w:tc>
        <w:tc>
          <w:tcPr>
            <w:tcW w:w="1160" w:type="dxa"/>
            <w:vAlign w:val="bottom"/>
            <w:tcBorders>
              <w:right w:val="single" w:sz="8" w:color="auto"/>
            </w:tcBorders>
            <w:vMerge w:val="continue"/>
            <w:shd w:val="clear" w:color="auto" w:fill="D0CECE"/>
          </w:tcPr>
          <w:p>
            <w:pPr>
              <w:spacing w:after="0"/>
              <w:rPr>
                <w:sz w:val="9"/>
                <w:szCs w:val="9"/>
                <w:color w:val="auto"/>
              </w:rPr>
            </w:pPr>
          </w:p>
        </w:tc>
        <w:tc>
          <w:tcPr>
            <w:tcW w:w="1120" w:type="dxa"/>
            <w:vAlign w:val="bottom"/>
            <w:tcBorders>
              <w:right w:val="single" w:sz="8" w:color="auto"/>
            </w:tcBorders>
            <w:vMerge w:val="continue"/>
            <w:shd w:val="clear" w:color="auto" w:fill="D0CECE"/>
          </w:tcPr>
          <w:p>
            <w:pPr>
              <w:spacing w:after="0"/>
              <w:rPr>
                <w:sz w:val="9"/>
                <w:szCs w:val="9"/>
                <w:color w:val="auto"/>
              </w:rPr>
            </w:pPr>
          </w:p>
        </w:tc>
        <w:tc>
          <w:tcPr>
            <w:tcW w:w="1380" w:type="dxa"/>
            <w:vAlign w:val="bottom"/>
            <w:tcBorders>
              <w:right w:val="single" w:sz="8" w:color="auto"/>
            </w:tcBorders>
            <w:vMerge w:val="continue"/>
            <w:shd w:val="clear" w:color="auto" w:fill="D0CEC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940" w:type="dxa"/>
            <w:vAlign w:val="bottom"/>
            <w:tcBorders>
              <w:left w:val="single" w:sz="8" w:color="auto"/>
              <w:right w:val="single" w:sz="8" w:color="auto"/>
            </w:tcBorders>
            <w:shd w:val="clear" w:color="auto" w:fill="D0CECE"/>
          </w:tcPr>
          <w:p>
            <w:pPr>
              <w:spacing w:after="0"/>
              <w:rPr>
                <w:sz w:val="9"/>
                <w:szCs w:val="9"/>
                <w:color w:val="auto"/>
              </w:rPr>
            </w:pPr>
          </w:p>
        </w:tc>
        <w:tc>
          <w:tcPr>
            <w:tcW w:w="600" w:type="dxa"/>
            <w:vAlign w:val="bottom"/>
            <w:tcBorders>
              <w:right w:val="single" w:sz="8" w:color="auto"/>
            </w:tcBorders>
            <w:vMerge w:val="continue"/>
            <w:shd w:val="clear" w:color="auto" w:fill="D0CECE"/>
          </w:tcPr>
          <w:p>
            <w:pPr>
              <w:spacing w:after="0"/>
              <w:rPr>
                <w:sz w:val="9"/>
                <w:szCs w:val="9"/>
                <w:color w:val="auto"/>
              </w:rPr>
            </w:pPr>
          </w:p>
        </w:tc>
        <w:tc>
          <w:tcPr>
            <w:tcW w:w="600" w:type="dxa"/>
            <w:vAlign w:val="bottom"/>
            <w:tcBorders>
              <w:right w:val="single" w:sz="8" w:color="auto"/>
            </w:tcBorders>
            <w:vMerge w:val="restart"/>
            <w:shd w:val="clear" w:color="auto" w:fill="D0CECE"/>
          </w:tcPr>
          <w:p>
            <w:pPr>
              <w:ind w:left="12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080" w:type="dxa"/>
            <w:vAlign w:val="bottom"/>
            <w:tcBorders>
              <w:right w:val="single" w:sz="8" w:color="auto"/>
            </w:tcBorders>
            <w:vMerge w:val="restart"/>
            <w:shd w:val="clear" w:color="auto" w:fill="D0CECE"/>
          </w:tcPr>
          <w:p>
            <w:pPr>
              <w:jc w:val="center"/>
              <w:spacing w:after="0"/>
              <w:rPr>
                <w:sz w:val="20"/>
                <w:szCs w:val="20"/>
                <w:color w:val="auto"/>
              </w:rPr>
            </w:pPr>
            <w:r>
              <w:rPr>
                <w:rFonts w:ascii="Times New Roman" w:cs="Times New Roman" w:eastAsia="Times New Roman" w:hAnsi="Times New Roman"/>
                <w:sz w:val="18"/>
                <w:szCs w:val="18"/>
                <w:b w:val="1"/>
                <w:bCs w:val="1"/>
                <w:color w:val="auto"/>
              </w:rPr>
              <w:t>any Hedge</w:t>
            </w:r>
          </w:p>
        </w:tc>
        <w:tc>
          <w:tcPr>
            <w:tcW w:w="1220" w:type="dxa"/>
            <w:vAlign w:val="bottom"/>
            <w:tcBorders>
              <w:right w:val="single" w:sz="8" w:color="auto"/>
            </w:tcBorders>
            <w:vMerge w:val="continue"/>
            <w:shd w:val="clear" w:color="auto" w:fill="D0CECE"/>
          </w:tcPr>
          <w:p>
            <w:pPr>
              <w:spacing w:after="0"/>
              <w:rPr>
                <w:sz w:val="9"/>
                <w:szCs w:val="9"/>
                <w:color w:val="auto"/>
              </w:rPr>
            </w:pPr>
          </w:p>
        </w:tc>
        <w:tc>
          <w:tcPr>
            <w:tcW w:w="1140" w:type="dxa"/>
            <w:vAlign w:val="bottom"/>
            <w:tcBorders>
              <w:right w:val="single" w:sz="8" w:color="auto"/>
            </w:tcBorders>
            <w:vMerge w:val="restart"/>
            <w:shd w:val="clear" w:color="auto" w:fill="D0CECE"/>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 Date (in</w:t>
            </w:r>
          </w:p>
        </w:tc>
        <w:tc>
          <w:tcPr>
            <w:tcW w:w="1160" w:type="dxa"/>
            <w:vAlign w:val="bottom"/>
            <w:tcBorders>
              <w:right w:val="single" w:sz="8" w:color="auto"/>
            </w:tcBorders>
            <w:vMerge w:val="restart"/>
            <w:shd w:val="clear" w:color="auto" w:fill="D0CECE"/>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nt (in Fund</w:t>
            </w:r>
          </w:p>
        </w:tc>
        <w:tc>
          <w:tcPr>
            <w:tcW w:w="1120" w:type="dxa"/>
            <w:vAlign w:val="bottom"/>
            <w:tcBorders>
              <w:right w:val="single" w:sz="8" w:color="auto"/>
            </w:tcBorders>
            <w:vMerge w:val="restart"/>
            <w:shd w:val="clear" w:color="auto" w:fill="D0CECE"/>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Fund</w:t>
            </w:r>
          </w:p>
        </w:tc>
        <w:tc>
          <w:tcPr>
            <w:tcW w:w="1380" w:type="dxa"/>
            <w:vAlign w:val="bottom"/>
            <w:tcBorders>
              <w:right w:val="single" w:sz="8" w:color="auto"/>
            </w:tcBorders>
            <w:vMerge w:val="restart"/>
            <w:shd w:val="clear" w:color="auto" w:fill="D0CECE"/>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 Dollars)</w:t>
            </w:r>
          </w:p>
        </w:tc>
        <w:tc>
          <w:tcPr>
            <w:tcW w:w="0" w:type="dxa"/>
            <w:vAlign w:val="bottom"/>
          </w:tcPr>
          <w:p>
            <w:pPr>
              <w:spacing w:after="0"/>
              <w:rPr>
                <w:sz w:val="1"/>
                <w:szCs w:val="1"/>
                <w:color w:val="auto"/>
              </w:rPr>
            </w:pPr>
          </w:p>
        </w:tc>
      </w:tr>
      <w:tr>
        <w:trPr>
          <w:trHeight w:val="108"/>
        </w:trPr>
        <w:tc>
          <w:tcPr>
            <w:tcW w:w="2940" w:type="dxa"/>
            <w:vAlign w:val="bottom"/>
            <w:tcBorders>
              <w:left w:val="single" w:sz="8" w:color="auto"/>
              <w:right w:val="single" w:sz="8" w:color="auto"/>
            </w:tcBorders>
            <w:shd w:val="clear" w:color="auto" w:fill="D0CECE"/>
          </w:tcPr>
          <w:p>
            <w:pPr>
              <w:spacing w:after="0"/>
              <w:rPr>
                <w:sz w:val="9"/>
                <w:szCs w:val="9"/>
                <w:color w:val="auto"/>
              </w:rPr>
            </w:pPr>
          </w:p>
        </w:tc>
        <w:tc>
          <w:tcPr>
            <w:tcW w:w="600" w:type="dxa"/>
            <w:vAlign w:val="bottom"/>
            <w:tcBorders>
              <w:right w:val="single" w:sz="8" w:color="auto"/>
            </w:tcBorders>
            <w:vMerge w:val="restart"/>
            <w:shd w:val="clear" w:color="auto" w:fill="D0CECE"/>
          </w:tcPr>
          <w:p>
            <w:pPr>
              <w:jc w:val="center"/>
              <w:spacing w:after="0"/>
              <w:rPr>
                <w:sz w:val="20"/>
                <w:szCs w:val="20"/>
                <w:color w:val="auto"/>
              </w:rPr>
            </w:pPr>
            <w:r>
              <w:rPr>
                <w:rFonts w:ascii="Times New Roman" w:cs="Times New Roman" w:eastAsia="Times New Roman" w:hAnsi="Times New Roman"/>
                <w:sz w:val="18"/>
                <w:szCs w:val="18"/>
                <w:b w:val="1"/>
                <w:bCs w:val="1"/>
                <w:color w:val="auto"/>
              </w:rPr>
              <w:t>(Yes/</w:t>
            </w:r>
          </w:p>
        </w:tc>
        <w:tc>
          <w:tcPr>
            <w:tcW w:w="600" w:type="dxa"/>
            <w:vAlign w:val="bottom"/>
            <w:tcBorders>
              <w:right w:val="single" w:sz="8" w:color="auto"/>
            </w:tcBorders>
            <w:vMerge w:val="continue"/>
            <w:shd w:val="clear" w:color="auto" w:fill="D0CECE"/>
          </w:tcPr>
          <w:p>
            <w:pPr>
              <w:spacing w:after="0"/>
              <w:rPr>
                <w:sz w:val="9"/>
                <w:szCs w:val="9"/>
                <w:color w:val="auto"/>
              </w:rPr>
            </w:pPr>
          </w:p>
        </w:tc>
        <w:tc>
          <w:tcPr>
            <w:tcW w:w="1080" w:type="dxa"/>
            <w:vAlign w:val="bottom"/>
            <w:tcBorders>
              <w:right w:val="single" w:sz="8" w:color="auto"/>
            </w:tcBorders>
            <w:vMerge w:val="continue"/>
            <w:shd w:val="clear" w:color="auto" w:fill="D0CECE"/>
          </w:tcPr>
          <w:p>
            <w:pPr>
              <w:spacing w:after="0"/>
              <w:rPr>
                <w:sz w:val="9"/>
                <w:szCs w:val="9"/>
                <w:color w:val="auto"/>
              </w:rPr>
            </w:pPr>
          </w:p>
        </w:tc>
        <w:tc>
          <w:tcPr>
            <w:tcW w:w="1220" w:type="dxa"/>
            <w:vAlign w:val="bottom"/>
            <w:tcBorders>
              <w:right w:val="single" w:sz="8" w:color="auto"/>
            </w:tcBorders>
            <w:vMerge w:val="restart"/>
            <w:shd w:val="clear" w:color="auto" w:fill="D0CECE"/>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Currency)</w:t>
            </w:r>
          </w:p>
        </w:tc>
        <w:tc>
          <w:tcPr>
            <w:tcW w:w="1140" w:type="dxa"/>
            <w:vAlign w:val="bottom"/>
            <w:tcBorders>
              <w:right w:val="single" w:sz="8" w:color="auto"/>
            </w:tcBorders>
            <w:vMerge w:val="continue"/>
            <w:shd w:val="clear" w:color="auto" w:fill="D0CECE"/>
          </w:tcPr>
          <w:p>
            <w:pPr>
              <w:spacing w:after="0"/>
              <w:rPr>
                <w:sz w:val="9"/>
                <w:szCs w:val="9"/>
                <w:color w:val="auto"/>
              </w:rPr>
            </w:pPr>
          </w:p>
        </w:tc>
        <w:tc>
          <w:tcPr>
            <w:tcW w:w="1160" w:type="dxa"/>
            <w:vAlign w:val="bottom"/>
            <w:tcBorders>
              <w:right w:val="single" w:sz="8" w:color="auto"/>
            </w:tcBorders>
            <w:vMerge w:val="continue"/>
            <w:shd w:val="clear" w:color="auto" w:fill="D0CECE"/>
          </w:tcPr>
          <w:p>
            <w:pPr>
              <w:spacing w:after="0"/>
              <w:rPr>
                <w:sz w:val="9"/>
                <w:szCs w:val="9"/>
                <w:color w:val="auto"/>
              </w:rPr>
            </w:pPr>
          </w:p>
        </w:tc>
        <w:tc>
          <w:tcPr>
            <w:tcW w:w="1120" w:type="dxa"/>
            <w:vAlign w:val="bottom"/>
            <w:tcBorders>
              <w:right w:val="single" w:sz="8" w:color="auto"/>
            </w:tcBorders>
            <w:vMerge w:val="continue"/>
            <w:shd w:val="clear" w:color="auto" w:fill="D0CECE"/>
          </w:tcPr>
          <w:p>
            <w:pPr>
              <w:spacing w:after="0"/>
              <w:rPr>
                <w:sz w:val="9"/>
                <w:szCs w:val="9"/>
                <w:color w:val="auto"/>
              </w:rPr>
            </w:pPr>
          </w:p>
        </w:tc>
        <w:tc>
          <w:tcPr>
            <w:tcW w:w="1380" w:type="dxa"/>
            <w:vAlign w:val="bottom"/>
            <w:tcBorders>
              <w:right w:val="single" w:sz="8" w:color="auto"/>
            </w:tcBorders>
            <w:vMerge w:val="continue"/>
            <w:shd w:val="clear" w:color="auto" w:fill="D0CEC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940" w:type="dxa"/>
            <w:vAlign w:val="bottom"/>
            <w:tcBorders>
              <w:left w:val="single" w:sz="8" w:color="auto"/>
              <w:right w:val="single" w:sz="8" w:color="auto"/>
            </w:tcBorders>
            <w:shd w:val="clear" w:color="auto" w:fill="D0CECE"/>
          </w:tcPr>
          <w:p>
            <w:pPr>
              <w:spacing w:after="0"/>
              <w:rPr>
                <w:sz w:val="9"/>
                <w:szCs w:val="9"/>
                <w:color w:val="auto"/>
              </w:rPr>
            </w:pPr>
          </w:p>
        </w:tc>
        <w:tc>
          <w:tcPr>
            <w:tcW w:w="600" w:type="dxa"/>
            <w:vAlign w:val="bottom"/>
            <w:tcBorders>
              <w:right w:val="single" w:sz="8" w:color="auto"/>
            </w:tcBorders>
            <w:vMerge w:val="continue"/>
            <w:shd w:val="clear" w:color="auto" w:fill="D0CECE"/>
          </w:tcPr>
          <w:p>
            <w:pPr>
              <w:spacing w:after="0"/>
              <w:rPr>
                <w:sz w:val="9"/>
                <w:szCs w:val="9"/>
                <w:color w:val="auto"/>
              </w:rPr>
            </w:pPr>
          </w:p>
        </w:tc>
        <w:tc>
          <w:tcPr>
            <w:tcW w:w="600" w:type="dxa"/>
            <w:vAlign w:val="bottom"/>
            <w:tcBorders>
              <w:right w:val="single" w:sz="8" w:color="auto"/>
            </w:tcBorders>
            <w:shd w:val="clear" w:color="auto" w:fill="D0CECE"/>
          </w:tcPr>
          <w:p>
            <w:pPr>
              <w:spacing w:after="0"/>
              <w:rPr>
                <w:sz w:val="9"/>
                <w:szCs w:val="9"/>
                <w:color w:val="auto"/>
              </w:rPr>
            </w:pPr>
          </w:p>
        </w:tc>
        <w:tc>
          <w:tcPr>
            <w:tcW w:w="1080" w:type="dxa"/>
            <w:vAlign w:val="bottom"/>
            <w:tcBorders>
              <w:right w:val="single" w:sz="8" w:color="auto"/>
            </w:tcBorders>
            <w:vMerge w:val="restart"/>
            <w:shd w:val="clear" w:color="auto" w:fill="D0CECE"/>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Fund) to</w:t>
            </w:r>
          </w:p>
        </w:tc>
        <w:tc>
          <w:tcPr>
            <w:tcW w:w="1220" w:type="dxa"/>
            <w:vAlign w:val="bottom"/>
            <w:tcBorders>
              <w:right w:val="single" w:sz="8" w:color="auto"/>
            </w:tcBorders>
            <w:vMerge w:val="continue"/>
            <w:shd w:val="clear" w:color="auto" w:fill="D0CECE"/>
          </w:tcPr>
          <w:p>
            <w:pPr>
              <w:spacing w:after="0"/>
              <w:rPr>
                <w:sz w:val="9"/>
                <w:szCs w:val="9"/>
                <w:color w:val="auto"/>
              </w:rPr>
            </w:pPr>
          </w:p>
        </w:tc>
        <w:tc>
          <w:tcPr>
            <w:tcW w:w="1140" w:type="dxa"/>
            <w:vAlign w:val="bottom"/>
            <w:tcBorders>
              <w:right w:val="single" w:sz="8" w:color="auto"/>
            </w:tcBorders>
            <w:vMerge w:val="restart"/>
            <w:shd w:val="clear" w:color="auto" w:fill="D0CECE"/>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Fund</w:t>
            </w:r>
          </w:p>
        </w:tc>
        <w:tc>
          <w:tcPr>
            <w:tcW w:w="1160" w:type="dxa"/>
            <w:vAlign w:val="bottom"/>
            <w:tcBorders>
              <w:right w:val="single" w:sz="8" w:color="auto"/>
            </w:tcBorders>
            <w:vMerge w:val="restart"/>
            <w:shd w:val="clear" w:color="auto" w:fill="D0CECE"/>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Currency)</w:t>
            </w:r>
          </w:p>
        </w:tc>
        <w:tc>
          <w:tcPr>
            <w:tcW w:w="1120" w:type="dxa"/>
            <w:vAlign w:val="bottom"/>
            <w:tcBorders>
              <w:right w:val="single" w:sz="8" w:color="auto"/>
            </w:tcBorders>
            <w:vMerge w:val="restart"/>
            <w:shd w:val="clear" w:color="auto" w:fill="D0CECE"/>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Currency)</w:t>
            </w:r>
          </w:p>
        </w:tc>
        <w:tc>
          <w:tcPr>
            <w:tcW w:w="1380" w:type="dxa"/>
            <w:vAlign w:val="bottom"/>
            <w:tcBorders>
              <w:right w:val="single" w:sz="8" w:color="auto"/>
            </w:tcBorders>
            <w:shd w:val="clear" w:color="auto" w:fill="D0CEC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940" w:type="dxa"/>
            <w:vAlign w:val="bottom"/>
            <w:tcBorders>
              <w:left w:val="single" w:sz="8" w:color="auto"/>
              <w:right w:val="single" w:sz="8" w:color="auto"/>
            </w:tcBorders>
            <w:shd w:val="clear" w:color="auto" w:fill="D0CECE"/>
          </w:tcPr>
          <w:p>
            <w:pPr>
              <w:spacing w:after="0"/>
              <w:rPr>
                <w:sz w:val="9"/>
                <w:szCs w:val="9"/>
                <w:color w:val="auto"/>
              </w:rPr>
            </w:pPr>
          </w:p>
        </w:tc>
        <w:tc>
          <w:tcPr>
            <w:tcW w:w="600" w:type="dxa"/>
            <w:vAlign w:val="bottom"/>
            <w:tcBorders>
              <w:right w:val="single" w:sz="8" w:color="auto"/>
            </w:tcBorders>
            <w:vMerge w:val="restart"/>
            <w:shd w:val="clear" w:color="auto" w:fill="D0CECE"/>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w:t>
            </w:r>
          </w:p>
        </w:tc>
        <w:tc>
          <w:tcPr>
            <w:tcW w:w="600" w:type="dxa"/>
            <w:vAlign w:val="bottom"/>
            <w:tcBorders>
              <w:right w:val="single" w:sz="8" w:color="auto"/>
            </w:tcBorders>
            <w:shd w:val="clear" w:color="auto" w:fill="D0CECE"/>
          </w:tcPr>
          <w:p>
            <w:pPr>
              <w:spacing w:after="0"/>
              <w:rPr>
                <w:sz w:val="9"/>
                <w:szCs w:val="9"/>
                <w:color w:val="auto"/>
              </w:rPr>
            </w:pPr>
          </w:p>
        </w:tc>
        <w:tc>
          <w:tcPr>
            <w:tcW w:w="1080" w:type="dxa"/>
            <w:vAlign w:val="bottom"/>
            <w:tcBorders>
              <w:right w:val="single" w:sz="8" w:color="auto"/>
            </w:tcBorders>
            <w:vMerge w:val="continue"/>
            <w:shd w:val="clear" w:color="auto" w:fill="D0CECE"/>
          </w:tcPr>
          <w:p>
            <w:pPr>
              <w:spacing w:after="0"/>
              <w:rPr>
                <w:sz w:val="9"/>
                <w:szCs w:val="9"/>
                <w:color w:val="auto"/>
              </w:rPr>
            </w:pPr>
          </w:p>
        </w:tc>
        <w:tc>
          <w:tcPr>
            <w:tcW w:w="1220" w:type="dxa"/>
            <w:vAlign w:val="bottom"/>
            <w:tcBorders>
              <w:right w:val="single" w:sz="8" w:color="auto"/>
            </w:tcBorders>
            <w:shd w:val="clear" w:color="auto" w:fill="D0CECE"/>
          </w:tcPr>
          <w:p>
            <w:pPr>
              <w:spacing w:after="0"/>
              <w:rPr>
                <w:sz w:val="9"/>
                <w:szCs w:val="9"/>
                <w:color w:val="auto"/>
              </w:rPr>
            </w:pPr>
          </w:p>
        </w:tc>
        <w:tc>
          <w:tcPr>
            <w:tcW w:w="1140" w:type="dxa"/>
            <w:vAlign w:val="bottom"/>
            <w:tcBorders>
              <w:right w:val="single" w:sz="8" w:color="auto"/>
            </w:tcBorders>
            <w:vMerge w:val="continue"/>
            <w:shd w:val="clear" w:color="auto" w:fill="D0CECE"/>
          </w:tcPr>
          <w:p>
            <w:pPr>
              <w:spacing w:after="0"/>
              <w:rPr>
                <w:sz w:val="9"/>
                <w:szCs w:val="9"/>
                <w:color w:val="auto"/>
              </w:rPr>
            </w:pPr>
          </w:p>
        </w:tc>
        <w:tc>
          <w:tcPr>
            <w:tcW w:w="1160" w:type="dxa"/>
            <w:vAlign w:val="bottom"/>
            <w:tcBorders>
              <w:right w:val="single" w:sz="8" w:color="auto"/>
            </w:tcBorders>
            <w:vMerge w:val="continue"/>
            <w:shd w:val="clear" w:color="auto" w:fill="D0CECE"/>
          </w:tcPr>
          <w:p>
            <w:pPr>
              <w:spacing w:after="0"/>
              <w:rPr>
                <w:sz w:val="9"/>
                <w:szCs w:val="9"/>
                <w:color w:val="auto"/>
              </w:rPr>
            </w:pPr>
          </w:p>
        </w:tc>
        <w:tc>
          <w:tcPr>
            <w:tcW w:w="1120" w:type="dxa"/>
            <w:vAlign w:val="bottom"/>
            <w:tcBorders>
              <w:right w:val="single" w:sz="8" w:color="auto"/>
            </w:tcBorders>
            <w:vMerge w:val="continue"/>
            <w:shd w:val="clear" w:color="auto" w:fill="D0CECE"/>
          </w:tcPr>
          <w:p>
            <w:pPr>
              <w:spacing w:after="0"/>
              <w:rPr>
                <w:sz w:val="9"/>
                <w:szCs w:val="9"/>
                <w:color w:val="auto"/>
              </w:rPr>
            </w:pPr>
          </w:p>
        </w:tc>
        <w:tc>
          <w:tcPr>
            <w:tcW w:w="1380" w:type="dxa"/>
            <w:vAlign w:val="bottom"/>
            <w:tcBorders>
              <w:right w:val="single" w:sz="8" w:color="auto"/>
            </w:tcBorders>
            <w:shd w:val="clear" w:color="auto" w:fill="D0CEC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940" w:type="dxa"/>
            <w:vAlign w:val="bottom"/>
            <w:tcBorders>
              <w:left w:val="single" w:sz="8" w:color="auto"/>
              <w:right w:val="single" w:sz="8" w:color="auto"/>
            </w:tcBorders>
            <w:shd w:val="clear" w:color="auto" w:fill="D0CECE"/>
          </w:tcPr>
          <w:p>
            <w:pPr>
              <w:spacing w:after="0"/>
              <w:rPr>
                <w:sz w:val="11"/>
                <w:szCs w:val="11"/>
                <w:color w:val="auto"/>
              </w:rPr>
            </w:pPr>
          </w:p>
        </w:tc>
        <w:tc>
          <w:tcPr>
            <w:tcW w:w="600" w:type="dxa"/>
            <w:vAlign w:val="bottom"/>
            <w:tcBorders>
              <w:right w:val="single" w:sz="8" w:color="auto"/>
            </w:tcBorders>
            <w:vMerge w:val="continue"/>
            <w:shd w:val="clear" w:color="auto" w:fill="D0CECE"/>
          </w:tcPr>
          <w:p>
            <w:pPr>
              <w:spacing w:after="0"/>
              <w:rPr>
                <w:sz w:val="11"/>
                <w:szCs w:val="11"/>
                <w:color w:val="auto"/>
              </w:rPr>
            </w:pPr>
          </w:p>
        </w:tc>
        <w:tc>
          <w:tcPr>
            <w:tcW w:w="600" w:type="dxa"/>
            <w:vAlign w:val="bottom"/>
            <w:tcBorders>
              <w:right w:val="single" w:sz="8" w:color="auto"/>
            </w:tcBorders>
            <w:shd w:val="clear" w:color="auto" w:fill="D0CECE"/>
          </w:tcPr>
          <w:p>
            <w:pPr>
              <w:spacing w:after="0"/>
              <w:rPr>
                <w:sz w:val="11"/>
                <w:szCs w:val="11"/>
                <w:color w:val="auto"/>
              </w:rPr>
            </w:pPr>
          </w:p>
        </w:tc>
        <w:tc>
          <w:tcPr>
            <w:tcW w:w="1080" w:type="dxa"/>
            <w:vAlign w:val="bottom"/>
            <w:tcBorders>
              <w:right w:val="single" w:sz="8" w:color="auto"/>
            </w:tcBorders>
            <w:vMerge w:val="restart"/>
            <w:shd w:val="clear" w:color="auto" w:fill="D0CECE"/>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w:t>
            </w:r>
          </w:p>
        </w:tc>
        <w:tc>
          <w:tcPr>
            <w:tcW w:w="1220" w:type="dxa"/>
            <w:vAlign w:val="bottom"/>
            <w:tcBorders>
              <w:right w:val="single" w:sz="8" w:color="auto"/>
            </w:tcBorders>
            <w:shd w:val="clear" w:color="auto" w:fill="D0CECE"/>
          </w:tcPr>
          <w:p>
            <w:pPr>
              <w:spacing w:after="0"/>
              <w:rPr>
                <w:sz w:val="11"/>
                <w:szCs w:val="11"/>
                <w:color w:val="auto"/>
              </w:rPr>
            </w:pPr>
          </w:p>
        </w:tc>
        <w:tc>
          <w:tcPr>
            <w:tcW w:w="1140" w:type="dxa"/>
            <w:vAlign w:val="bottom"/>
            <w:tcBorders>
              <w:right w:val="single" w:sz="8" w:color="auto"/>
            </w:tcBorders>
            <w:vMerge w:val="restart"/>
            <w:shd w:val="clear" w:color="auto" w:fill="D0CECE"/>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Currency)</w:t>
            </w:r>
          </w:p>
        </w:tc>
        <w:tc>
          <w:tcPr>
            <w:tcW w:w="1160" w:type="dxa"/>
            <w:vAlign w:val="bottom"/>
            <w:tcBorders>
              <w:right w:val="single" w:sz="8" w:color="auto"/>
            </w:tcBorders>
            <w:shd w:val="clear" w:color="auto" w:fill="D0CECE"/>
          </w:tcPr>
          <w:p>
            <w:pPr>
              <w:spacing w:after="0"/>
              <w:rPr>
                <w:sz w:val="11"/>
                <w:szCs w:val="11"/>
                <w:color w:val="auto"/>
              </w:rPr>
            </w:pPr>
          </w:p>
        </w:tc>
        <w:tc>
          <w:tcPr>
            <w:tcW w:w="1120" w:type="dxa"/>
            <w:vAlign w:val="bottom"/>
            <w:tcBorders>
              <w:right w:val="single" w:sz="8" w:color="auto"/>
            </w:tcBorders>
            <w:shd w:val="clear" w:color="auto" w:fill="D0CECE"/>
          </w:tcPr>
          <w:p>
            <w:pPr>
              <w:spacing w:after="0"/>
              <w:rPr>
                <w:sz w:val="11"/>
                <w:szCs w:val="11"/>
                <w:color w:val="auto"/>
              </w:rPr>
            </w:pPr>
          </w:p>
        </w:tc>
        <w:tc>
          <w:tcPr>
            <w:tcW w:w="1380" w:type="dxa"/>
            <w:vAlign w:val="bottom"/>
            <w:tcBorders>
              <w:right w:val="single" w:sz="8" w:color="auto"/>
            </w:tcBorders>
            <w:shd w:val="clear" w:color="auto" w:fill="D0CECE"/>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2940" w:type="dxa"/>
            <w:vAlign w:val="bottom"/>
            <w:tcBorders>
              <w:left w:val="single" w:sz="8" w:color="auto"/>
              <w:right w:val="single" w:sz="8" w:color="auto"/>
            </w:tcBorders>
            <w:shd w:val="clear" w:color="auto" w:fill="D0CECE"/>
          </w:tcPr>
          <w:p>
            <w:pPr>
              <w:spacing w:after="0"/>
              <w:rPr>
                <w:sz w:val="7"/>
                <w:szCs w:val="7"/>
                <w:color w:val="auto"/>
              </w:rPr>
            </w:pPr>
          </w:p>
        </w:tc>
        <w:tc>
          <w:tcPr>
            <w:tcW w:w="600" w:type="dxa"/>
            <w:vAlign w:val="bottom"/>
            <w:tcBorders>
              <w:right w:val="single" w:sz="8" w:color="auto"/>
            </w:tcBorders>
            <w:shd w:val="clear" w:color="auto" w:fill="D0CECE"/>
          </w:tcPr>
          <w:p>
            <w:pPr>
              <w:spacing w:after="0"/>
              <w:rPr>
                <w:sz w:val="7"/>
                <w:szCs w:val="7"/>
                <w:color w:val="auto"/>
              </w:rPr>
            </w:pPr>
          </w:p>
        </w:tc>
        <w:tc>
          <w:tcPr>
            <w:tcW w:w="600" w:type="dxa"/>
            <w:vAlign w:val="bottom"/>
            <w:tcBorders>
              <w:right w:val="single" w:sz="8" w:color="auto"/>
            </w:tcBorders>
            <w:shd w:val="clear" w:color="auto" w:fill="D0CECE"/>
          </w:tcPr>
          <w:p>
            <w:pPr>
              <w:spacing w:after="0"/>
              <w:rPr>
                <w:sz w:val="7"/>
                <w:szCs w:val="7"/>
                <w:color w:val="auto"/>
              </w:rPr>
            </w:pPr>
          </w:p>
        </w:tc>
        <w:tc>
          <w:tcPr>
            <w:tcW w:w="1080" w:type="dxa"/>
            <w:vAlign w:val="bottom"/>
            <w:tcBorders>
              <w:right w:val="single" w:sz="8" w:color="auto"/>
            </w:tcBorders>
            <w:vMerge w:val="continue"/>
            <w:shd w:val="clear" w:color="auto" w:fill="D0CECE"/>
          </w:tcPr>
          <w:p>
            <w:pPr>
              <w:spacing w:after="0"/>
              <w:rPr>
                <w:sz w:val="7"/>
                <w:szCs w:val="7"/>
                <w:color w:val="auto"/>
              </w:rPr>
            </w:pPr>
          </w:p>
        </w:tc>
        <w:tc>
          <w:tcPr>
            <w:tcW w:w="1220" w:type="dxa"/>
            <w:vAlign w:val="bottom"/>
            <w:tcBorders>
              <w:right w:val="single" w:sz="8" w:color="auto"/>
            </w:tcBorders>
            <w:shd w:val="clear" w:color="auto" w:fill="D0CECE"/>
          </w:tcPr>
          <w:p>
            <w:pPr>
              <w:spacing w:after="0"/>
              <w:rPr>
                <w:sz w:val="7"/>
                <w:szCs w:val="7"/>
                <w:color w:val="auto"/>
              </w:rPr>
            </w:pPr>
          </w:p>
        </w:tc>
        <w:tc>
          <w:tcPr>
            <w:tcW w:w="1140" w:type="dxa"/>
            <w:vAlign w:val="bottom"/>
            <w:tcBorders>
              <w:right w:val="single" w:sz="8" w:color="auto"/>
            </w:tcBorders>
            <w:vMerge w:val="continue"/>
            <w:shd w:val="clear" w:color="auto" w:fill="D0CECE"/>
          </w:tcPr>
          <w:p>
            <w:pPr>
              <w:spacing w:after="0"/>
              <w:rPr>
                <w:sz w:val="7"/>
                <w:szCs w:val="7"/>
                <w:color w:val="auto"/>
              </w:rPr>
            </w:pPr>
          </w:p>
        </w:tc>
        <w:tc>
          <w:tcPr>
            <w:tcW w:w="1160" w:type="dxa"/>
            <w:vAlign w:val="bottom"/>
            <w:tcBorders>
              <w:right w:val="single" w:sz="8" w:color="auto"/>
            </w:tcBorders>
            <w:shd w:val="clear" w:color="auto" w:fill="D0CECE"/>
          </w:tcPr>
          <w:p>
            <w:pPr>
              <w:spacing w:after="0"/>
              <w:rPr>
                <w:sz w:val="7"/>
                <w:szCs w:val="7"/>
                <w:color w:val="auto"/>
              </w:rPr>
            </w:pPr>
          </w:p>
        </w:tc>
        <w:tc>
          <w:tcPr>
            <w:tcW w:w="1120" w:type="dxa"/>
            <w:vAlign w:val="bottom"/>
            <w:tcBorders>
              <w:right w:val="single" w:sz="8" w:color="auto"/>
            </w:tcBorders>
            <w:shd w:val="clear" w:color="auto" w:fill="D0CECE"/>
          </w:tcPr>
          <w:p>
            <w:pPr>
              <w:spacing w:after="0"/>
              <w:rPr>
                <w:sz w:val="7"/>
                <w:szCs w:val="7"/>
                <w:color w:val="auto"/>
              </w:rPr>
            </w:pPr>
          </w:p>
        </w:tc>
        <w:tc>
          <w:tcPr>
            <w:tcW w:w="1380" w:type="dxa"/>
            <w:vAlign w:val="bottom"/>
            <w:tcBorders>
              <w:right w:val="single" w:sz="8" w:color="auto"/>
            </w:tcBorders>
            <w:shd w:val="clear" w:color="auto" w:fill="D0CEC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940" w:type="dxa"/>
            <w:vAlign w:val="bottom"/>
            <w:tcBorders>
              <w:left w:val="single" w:sz="8" w:color="auto"/>
              <w:right w:val="single" w:sz="8" w:color="auto"/>
            </w:tcBorders>
            <w:shd w:val="clear" w:color="auto" w:fill="D0CECE"/>
          </w:tcPr>
          <w:p>
            <w:pPr>
              <w:spacing w:after="0"/>
              <w:rPr>
                <w:sz w:val="18"/>
                <w:szCs w:val="18"/>
                <w:color w:val="auto"/>
              </w:rPr>
            </w:pPr>
          </w:p>
        </w:tc>
        <w:tc>
          <w:tcPr>
            <w:tcW w:w="600" w:type="dxa"/>
            <w:vAlign w:val="bottom"/>
            <w:tcBorders>
              <w:right w:val="single" w:sz="8" w:color="auto"/>
            </w:tcBorders>
            <w:shd w:val="clear" w:color="auto" w:fill="D0CECE"/>
          </w:tcPr>
          <w:p>
            <w:pPr>
              <w:spacing w:after="0"/>
              <w:rPr>
                <w:sz w:val="18"/>
                <w:szCs w:val="18"/>
                <w:color w:val="auto"/>
              </w:rPr>
            </w:pPr>
          </w:p>
        </w:tc>
        <w:tc>
          <w:tcPr>
            <w:tcW w:w="600" w:type="dxa"/>
            <w:vAlign w:val="bottom"/>
            <w:tcBorders>
              <w:right w:val="single" w:sz="8" w:color="auto"/>
            </w:tcBorders>
            <w:shd w:val="clear" w:color="auto" w:fill="D0CECE"/>
          </w:tcPr>
          <w:p>
            <w:pPr>
              <w:spacing w:after="0"/>
              <w:rPr>
                <w:sz w:val="18"/>
                <w:szCs w:val="18"/>
                <w:color w:val="auto"/>
              </w:rPr>
            </w:pPr>
          </w:p>
        </w:tc>
        <w:tc>
          <w:tcPr>
            <w:tcW w:w="1080" w:type="dxa"/>
            <w:vAlign w:val="bottom"/>
            <w:tcBorders>
              <w:right w:val="single" w:sz="8" w:color="auto"/>
            </w:tcBorders>
            <w:shd w:val="clear" w:color="auto" w:fill="D0CECE"/>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Transferre</w:t>
            </w:r>
          </w:p>
        </w:tc>
        <w:tc>
          <w:tcPr>
            <w:tcW w:w="1220" w:type="dxa"/>
            <w:vAlign w:val="bottom"/>
            <w:tcBorders>
              <w:right w:val="single" w:sz="8" w:color="auto"/>
            </w:tcBorders>
            <w:shd w:val="clear" w:color="auto" w:fill="D0CECE"/>
          </w:tcPr>
          <w:p>
            <w:pPr>
              <w:spacing w:after="0"/>
              <w:rPr>
                <w:sz w:val="18"/>
                <w:szCs w:val="18"/>
                <w:color w:val="auto"/>
              </w:rPr>
            </w:pPr>
          </w:p>
        </w:tc>
        <w:tc>
          <w:tcPr>
            <w:tcW w:w="1140" w:type="dxa"/>
            <w:vAlign w:val="bottom"/>
            <w:tcBorders>
              <w:right w:val="single" w:sz="8" w:color="auto"/>
            </w:tcBorders>
            <w:shd w:val="clear" w:color="auto" w:fill="D0CECE"/>
          </w:tcPr>
          <w:p>
            <w:pPr>
              <w:spacing w:after="0"/>
              <w:rPr>
                <w:sz w:val="18"/>
                <w:szCs w:val="18"/>
                <w:color w:val="auto"/>
              </w:rPr>
            </w:pPr>
          </w:p>
        </w:tc>
        <w:tc>
          <w:tcPr>
            <w:tcW w:w="1160" w:type="dxa"/>
            <w:vAlign w:val="bottom"/>
            <w:tcBorders>
              <w:right w:val="single" w:sz="8" w:color="auto"/>
            </w:tcBorders>
            <w:shd w:val="clear" w:color="auto" w:fill="D0CECE"/>
          </w:tcPr>
          <w:p>
            <w:pPr>
              <w:spacing w:after="0"/>
              <w:rPr>
                <w:sz w:val="18"/>
                <w:szCs w:val="18"/>
                <w:color w:val="auto"/>
              </w:rPr>
            </w:pPr>
          </w:p>
        </w:tc>
        <w:tc>
          <w:tcPr>
            <w:tcW w:w="1120" w:type="dxa"/>
            <w:vAlign w:val="bottom"/>
            <w:tcBorders>
              <w:right w:val="single" w:sz="8" w:color="auto"/>
            </w:tcBorders>
            <w:shd w:val="clear" w:color="auto" w:fill="D0CECE"/>
          </w:tcPr>
          <w:p>
            <w:pPr>
              <w:spacing w:after="0"/>
              <w:rPr>
                <w:sz w:val="18"/>
                <w:szCs w:val="18"/>
                <w:color w:val="auto"/>
              </w:rPr>
            </w:pPr>
          </w:p>
        </w:tc>
        <w:tc>
          <w:tcPr>
            <w:tcW w:w="1380" w:type="dxa"/>
            <w:vAlign w:val="bottom"/>
            <w:tcBorders>
              <w:right w:val="single" w:sz="8" w:color="auto"/>
            </w:tcBorders>
            <w:shd w:val="clear" w:color="auto" w:fill="D0CEC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940" w:type="dxa"/>
            <w:vAlign w:val="bottom"/>
            <w:tcBorders>
              <w:left w:val="single" w:sz="8" w:color="auto"/>
              <w:right w:val="single" w:sz="8" w:color="auto"/>
            </w:tcBorders>
            <w:shd w:val="clear" w:color="auto" w:fill="D0CECE"/>
          </w:tcPr>
          <w:p>
            <w:pPr>
              <w:spacing w:after="0"/>
              <w:rPr>
                <w:sz w:val="19"/>
                <w:szCs w:val="19"/>
                <w:color w:val="auto"/>
              </w:rPr>
            </w:pPr>
          </w:p>
        </w:tc>
        <w:tc>
          <w:tcPr>
            <w:tcW w:w="600" w:type="dxa"/>
            <w:vAlign w:val="bottom"/>
            <w:tcBorders>
              <w:right w:val="single" w:sz="8" w:color="auto"/>
            </w:tcBorders>
            <w:shd w:val="clear" w:color="auto" w:fill="D0CECE"/>
          </w:tcPr>
          <w:p>
            <w:pPr>
              <w:spacing w:after="0"/>
              <w:rPr>
                <w:sz w:val="19"/>
                <w:szCs w:val="19"/>
                <w:color w:val="auto"/>
              </w:rPr>
            </w:pPr>
          </w:p>
        </w:tc>
        <w:tc>
          <w:tcPr>
            <w:tcW w:w="600" w:type="dxa"/>
            <w:vAlign w:val="bottom"/>
            <w:tcBorders>
              <w:right w:val="single" w:sz="8" w:color="auto"/>
            </w:tcBorders>
            <w:shd w:val="clear" w:color="auto" w:fill="D0CECE"/>
          </w:tcPr>
          <w:p>
            <w:pPr>
              <w:spacing w:after="0"/>
              <w:rPr>
                <w:sz w:val="19"/>
                <w:szCs w:val="19"/>
                <w:color w:val="auto"/>
              </w:rPr>
            </w:pPr>
          </w:p>
        </w:tc>
        <w:tc>
          <w:tcPr>
            <w:tcW w:w="1080" w:type="dxa"/>
            <w:vAlign w:val="bottom"/>
            <w:tcBorders>
              <w:right w:val="single" w:sz="8" w:color="auto"/>
            </w:tcBorders>
            <w:shd w:val="clear" w:color="auto" w:fill="D0CECE"/>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w:t>
            </w:r>
          </w:p>
        </w:tc>
        <w:tc>
          <w:tcPr>
            <w:tcW w:w="1220" w:type="dxa"/>
            <w:vAlign w:val="bottom"/>
            <w:tcBorders>
              <w:right w:val="single" w:sz="8" w:color="auto"/>
            </w:tcBorders>
            <w:shd w:val="clear" w:color="auto" w:fill="D0CECE"/>
          </w:tcPr>
          <w:p>
            <w:pPr>
              <w:spacing w:after="0"/>
              <w:rPr>
                <w:sz w:val="19"/>
                <w:szCs w:val="19"/>
                <w:color w:val="auto"/>
              </w:rPr>
            </w:pPr>
          </w:p>
        </w:tc>
        <w:tc>
          <w:tcPr>
            <w:tcW w:w="1140" w:type="dxa"/>
            <w:vAlign w:val="bottom"/>
            <w:tcBorders>
              <w:right w:val="single" w:sz="8" w:color="auto"/>
            </w:tcBorders>
            <w:shd w:val="clear" w:color="auto" w:fill="D0CECE"/>
          </w:tcPr>
          <w:p>
            <w:pPr>
              <w:spacing w:after="0"/>
              <w:rPr>
                <w:sz w:val="19"/>
                <w:szCs w:val="19"/>
                <w:color w:val="auto"/>
              </w:rPr>
            </w:pPr>
          </w:p>
        </w:tc>
        <w:tc>
          <w:tcPr>
            <w:tcW w:w="1160" w:type="dxa"/>
            <w:vAlign w:val="bottom"/>
            <w:tcBorders>
              <w:right w:val="single" w:sz="8" w:color="auto"/>
            </w:tcBorders>
            <w:shd w:val="clear" w:color="auto" w:fill="D0CECE"/>
          </w:tcPr>
          <w:p>
            <w:pPr>
              <w:spacing w:after="0"/>
              <w:rPr>
                <w:sz w:val="19"/>
                <w:szCs w:val="19"/>
                <w:color w:val="auto"/>
              </w:rPr>
            </w:pPr>
          </w:p>
        </w:tc>
        <w:tc>
          <w:tcPr>
            <w:tcW w:w="1120" w:type="dxa"/>
            <w:vAlign w:val="bottom"/>
            <w:tcBorders>
              <w:right w:val="single" w:sz="8" w:color="auto"/>
            </w:tcBorders>
            <w:shd w:val="clear" w:color="auto" w:fill="D0CECE"/>
          </w:tcPr>
          <w:p>
            <w:pPr>
              <w:spacing w:after="0"/>
              <w:rPr>
                <w:sz w:val="19"/>
                <w:szCs w:val="19"/>
                <w:color w:val="auto"/>
              </w:rPr>
            </w:pPr>
          </w:p>
        </w:tc>
        <w:tc>
          <w:tcPr>
            <w:tcW w:w="1380" w:type="dxa"/>
            <w:vAlign w:val="bottom"/>
            <w:tcBorders>
              <w:right w:val="single" w:sz="8" w:color="auto"/>
            </w:tcBorders>
            <w:shd w:val="clear" w:color="auto" w:fill="D0CECE"/>
          </w:tcPr>
          <w:p>
            <w:pPr>
              <w:spacing w:after="0"/>
              <w:rPr>
                <w:sz w:val="19"/>
                <w:szCs w:val="19"/>
                <w:color w:val="auto"/>
              </w:rPr>
            </w:pPr>
          </w:p>
        </w:tc>
        <w:tc>
          <w:tcPr>
            <w:tcW w:w="0" w:type="dxa"/>
            <w:vAlign w:val="bottom"/>
          </w:tcPr>
          <w:p>
            <w:pPr>
              <w:spacing w:after="0"/>
              <w:rPr>
                <w:sz w:val="1"/>
                <w:szCs w:val="1"/>
                <w:color w:val="auto"/>
              </w:rPr>
            </w:pPr>
          </w:p>
        </w:tc>
      </w:tr>
      <w:tr>
        <w:trPr>
          <w:trHeight w:val="500"/>
        </w:trPr>
        <w:tc>
          <w:tcPr>
            <w:tcW w:w="2940" w:type="dxa"/>
            <w:vAlign w:val="bottom"/>
            <w:tcBorders>
              <w:left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 * *]</w:t>
            </w: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9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Purchase Price (EUR):</w:t>
            </w: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940" w:type="dxa"/>
            <w:vAlign w:val="bottom"/>
            <w:tcBorders>
              <w:lef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Purchase Price (GBP)</w:t>
            </w: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17,400,000.0</w:t>
            </w:r>
          </w:p>
        </w:tc>
        <w:tc>
          <w:tcPr>
            <w:tcW w:w="11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8,160,689.00</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11,962,105.0</w:t>
            </w:r>
          </w:p>
        </w:tc>
        <w:tc>
          <w:tcPr>
            <w:tcW w:w="11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7,374,418.88</w:t>
            </w:r>
          </w:p>
        </w:tc>
        <w:tc>
          <w:tcPr>
            <w:tcW w:w="1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940" w:type="dxa"/>
            <w:vAlign w:val="bottom"/>
            <w:tcBorders>
              <w:left w:val="single" w:sz="8" w:color="auto"/>
            </w:tcBorders>
            <w:vMerge w:val="continue"/>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0</w:t>
            </w:r>
          </w:p>
        </w:tc>
        <w:tc>
          <w:tcPr>
            <w:tcW w:w="1140" w:type="dxa"/>
            <w:vAlign w:val="bottom"/>
            <w:vMerge w:val="continue"/>
          </w:tcPr>
          <w:p>
            <w:pPr>
              <w:spacing w:after="0"/>
              <w:rPr>
                <w:sz w:val="11"/>
                <w:szCs w:val="11"/>
                <w:color w:val="auto"/>
              </w:rPr>
            </w:pPr>
          </w:p>
        </w:tc>
        <w:tc>
          <w:tcPr>
            <w:tcW w:w="116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0</w:t>
            </w:r>
          </w:p>
        </w:tc>
        <w:tc>
          <w:tcPr>
            <w:tcW w:w="1120" w:type="dxa"/>
            <w:vAlign w:val="bottom"/>
            <w:vMerge w:val="continue"/>
          </w:tcPr>
          <w:p>
            <w:pPr>
              <w:spacing w:after="0"/>
              <w:rPr>
                <w:sz w:val="11"/>
                <w:szCs w:val="11"/>
                <w:color w:val="auto"/>
              </w:rPr>
            </w:pPr>
          </w:p>
        </w:tc>
        <w:tc>
          <w:tcPr>
            <w:tcW w:w="13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2940" w:type="dxa"/>
            <w:vAlign w:val="bottom"/>
            <w:tcBorders>
              <w:left w:val="single" w:sz="8" w:color="auto"/>
            </w:tcBorders>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1120" w:type="dxa"/>
            <w:vAlign w:val="bottom"/>
          </w:tcPr>
          <w:p>
            <w:pPr>
              <w:spacing w:after="0"/>
              <w:rPr>
                <w:sz w:val="7"/>
                <w:szCs w:val="7"/>
                <w:color w:val="auto"/>
              </w:rPr>
            </w:pPr>
          </w:p>
        </w:tc>
        <w:tc>
          <w:tcPr>
            <w:tcW w:w="1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940" w:type="dxa"/>
            <w:vAlign w:val="bottom"/>
            <w:tcBorders>
              <w:lef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Purchase Price (USD):</w:t>
            </w: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1,007,015,24</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754,071,263.</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126,442,947.</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541,279,359.</w:t>
            </w: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550,588,087.95</w:t>
            </w:r>
          </w:p>
        </w:tc>
        <w:tc>
          <w:tcPr>
            <w:tcW w:w="0" w:type="dxa"/>
            <w:vAlign w:val="bottom"/>
          </w:tcPr>
          <w:p>
            <w:pPr>
              <w:spacing w:after="0"/>
              <w:rPr>
                <w:sz w:val="1"/>
                <w:szCs w:val="1"/>
                <w:color w:val="auto"/>
              </w:rPr>
            </w:pPr>
          </w:p>
        </w:tc>
      </w:tr>
      <w:tr>
        <w:trPr>
          <w:trHeight w:val="130"/>
        </w:trPr>
        <w:tc>
          <w:tcPr>
            <w:tcW w:w="2940" w:type="dxa"/>
            <w:vAlign w:val="bottom"/>
            <w:tcBorders>
              <w:left w:val="single" w:sz="8" w:color="auto"/>
            </w:tcBorders>
            <w:vMerge w:val="continue"/>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2.00</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73</w:t>
            </w:r>
          </w:p>
        </w:tc>
        <w:tc>
          <w:tcPr>
            <w:tcW w:w="116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59</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w:t>
            </w:r>
          </w:p>
        </w:tc>
        <w:tc>
          <w:tcPr>
            <w:tcW w:w="13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940" w:type="dxa"/>
            <w:vAlign w:val="bottom"/>
            <w:tcBorders>
              <w:left w:val="single" w:sz="8" w:color="auto"/>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vMerge w:val="continue"/>
          </w:tcPr>
          <w:p>
            <w:pPr>
              <w:spacing w:after="0"/>
              <w:rPr>
                <w:sz w:val="9"/>
                <w:szCs w:val="9"/>
                <w:color w:val="auto"/>
              </w:rPr>
            </w:pPr>
          </w:p>
        </w:tc>
        <w:tc>
          <w:tcPr>
            <w:tcW w:w="1140" w:type="dxa"/>
            <w:vAlign w:val="bottom"/>
            <w:tcBorders>
              <w:bottom w:val="single" w:sz="8" w:color="auto"/>
            </w:tcBorders>
            <w:vMerge w:val="continue"/>
          </w:tcPr>
          <w:p>
            <w:pPr>
              <w:spacing w:after="0"/>
              <w:rPr>
                <w:sz w:val="9"/>
                <w:szCs w:val="9"/>
                <w:color w:val="auto"/>
              </w:rPr>
            </w:pPr>
          </w:p>
        </w:tc>
        <w:tc>
          <w:tcPr>
            <w:tcW w:w="1160" w:type="dxa"/>
            <w:vAlign w:val="bottom"/>
            <w:tcBorders>
              <w:bottom w:val="single" w:sz="8" w:color="auto"/>
            </w:tcBorders>
            <w:vMerge w:val="continue"/>
          </w:tcPr>
          <w:p>
            <w:pPr>
              <w:spacing w:after="0"/>
              <w:rPr>
                <w:sz w:val="9"/>
                <w:szCs w:val="9"/>
                <w:color w:val="auto"/>
              </w:rPr>
            </w:pPr>
          </w:p>
        </w:tc>
        <w:tc>
          <w:tcPr>
            <w:tcW w:w="1120" w:type="dxa"/>
            <w:vAlign w:val="bottom"/>
            <w:tcBorders>
              <w:bottom w:val="single" w:sz="8" w:color="auto"/>
            </w:tcBorders>
            <w:vMerge w:val="continue"/>
          </w:tcPr>
          <w:p>
            <w:pPr>
              <w:spacing w:after="0"/>
              <w:rPr>
                <w:sz w:val="9"/>
                <w:szCs w:val="9"/>
                <w:color w:val="auto"/>
              </w:rPr>
            </w:pPr>
          </w:p>
        </w:tc>
        <w:tc>
          <w:tcPr>
            <w:tcW w:w="13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i w:val="1"/>
          <w:iCs w:val="1"/>
          <w:color w:val="auto"/>
        </w:rPr>
        <w:t>Note: Utilizing Exchange Rate as of the Cut Off Date where applicable; GBP to USD of 1.2623 as of March 29th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1111885</wp:posOffset>
            </wp:positionV>
            <wp:extent cx="7157720" cy="4254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8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185" w:name="page186"/>
    <w:bookmarkEnd w:id="185"/>
    <w:p>
      <w:pPr>
        <w:jc w:val="center"/>
        <w:spacing w:after="0"/>
        <w:rPr>
          <w:sz w:val="20"/>
          <w:szCs w:val="20"/>
          <w:color w:val="auto"/>
        </w:rPr>
      </w:pPr>
      <w:r>
        <w:rPr>
          <w:rFonts w:ascii="Times New Roman" w:cs="Times New Roman" w:eastAsia="Times New Roman" w:hAnsi="Times New Roman"/>
          <w:sz w:val="22"/>
          <w:szCs w:val="22"/>
          <w:b w:val="1"/>
          <w:bCs w:val="1"/>
          <w:color w:val="auto"/>
        </w:rPr>
        <w:t>Schedule I Continued</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List of Side Pocket Investments</w:t>
      </w:r>
    </w:p>
    <w:p>
      <w:pPr>
        <w:spacing w:after="0" w:line="200" w:lineRule="exact"/>
        <w:rPr>
          <w:sz w:val="20"/>
          <w:szCs w:val="20"/>
          <w:color w:val="auto"/>
        </w:rPr>
      </w:pPr>
    </w:p>
    <w:p>
      <w:pPr>
        <w:spacing w:after="0" w:line="325" w:lineRule="exact"/>
        <w:rPr>
          <w:sz w:val="20"/>
          <w:szCs w:val="20"/>
          <w:color w:val="auto"/>
        </w:rPr>
      </w:pPr>
    </w:p>
    <w:tbl>
      <w:tblPr>
        <w:tblLayout w:type="fixed"/>
        <w:tblInd w:w="10" w:type="dxa"/>
        <w:tblCellMar>
          <w:top w:w="0" w:type="dxa"/>
          <w:left w:w="0" w:type="dxa"/>
          <w:bottom w:w="0" w:type="dxa"/>
          <w:right w:w="0" w:type="dxa"/>
        </w:tblCellMar>
      </w:tblPr>
      <w:tr>
        <w:trPr>
          <w:trHeight w:val="690"/>
        </w:trPr>
        <w:tc>
          <w:tcPr>
            <w:tcW w:w="4200" w:type="dxa"/>
            <w:vAlign w:val="bottom"/>
            <w:tcBorders>
              <w:top w:val="single" w:sz="8" w:color="auto"/>
              <w:left w:val="single" w:sz="8" w:color="auto"/>
              <w:right w:val="single" w:sz="8" w:color="auto"/>
            </w:tcBorders>
            <w:shd w:val="clear" w:color="auto" w:fill="D0CECE"/>
          </w:tcPr>
          <w:p>
            <w:pPr>
              <w:ind w:left="1120"/>
              <w:spacing w:after="0"/>
              <w:rPr>
                <w:sz w:val="20"/>
                <w:szCs w:val="20"/>
                <w:color w:val="auto"/>
              </w:rPr>
            </w:pPr>
            <w:r>
              <w:rPr>
                <w:rFonts w:ascii="Times New Roman" w:cs="Times New Roman" w:eastAsia="Times New Roman" w:hAnsi="Times New Roman"/>
                <w:sz w:val="22"/>
                <w:szCs w:val="22"/>
                <w:b w:val="1"/>
                <w:bCs w:val="1"/>
                <w:color w:val="auto"/>
              </w:rPr>
              <w:t>Name of Hedge Fund</w:t>
            </w:r>
          </w:p>
        </w:tc>
        <w:tc>
          <w:tcPr>
            <w:tcW w:w="5220" w:type="dxa"/>
            <w:vAlign w:val="bottom"/>
            <w:tcBorders>
              <w:top w:val="single" w:sz="8" w:color="auto"/>
              <w:right w:val="single" w:sz="8" w:color="auto"/>
            </w:tcBorders>
            <w:shd w:val="clear" w:color="auto" w:fill="D0CECE"/>
          </w:tcPr>
          <w:p>
            <w:pPr>
              <w:ind w:left="1100"/>
              <w:spacing w:after="0"/>
              <w:rPr>
                <w:sz w:val="20"/>
                <w:szCs w:val="20"/>
                <w:color w:val="auto"/>
              </w:rPr>
            </w:pPr>
            <w:r>
              <w:rPr>
                <w:rFonts w:ascii="Times New Roman" w:cs="Times New Roman" w:eastAsia="Times New Roman" w:hAnsi="Times New Roman"/>
                <w:sz w:val="22"/>
                <w:szCs w:val="22"/>
                <w:b w:val="1"/>
                <w:bCs w:val="1"/>
                <w:color w:val="auto"/>
              </w:rPr>
              <w:t>Name of Side Pocket Investment</w:t>
            </w:r>
          </w:p>
        </w:tc>
        <w:tc>
          <w:tcPr>
            <w:tcW w:w="1820" w:type="dxa"/>
            <w:vAlign w:val="bottom"/>
            <w:tcBorders>
              <w:top w:val="single" w:sz="8" w:color="auto"/>
            </w:tcBorders>
            <w:shd w:val="clear" w:color="auto" w:fill="D0CECE"/>
          </w:tcPr>
          <w:p>
            <w:pPr>
              <w:ind w:left="300"/>
              <w:spacing w:after="0"/>
              <w:rPr>
                <w:sz w:val="20"/>
                <w:szCs w:val="20"/>
                <w:color w:val="auto"/>
              </w:rPr>
            </w:pPr>
            <w:r>
              <w:rPr>
                <w:rFonts w:ascii="Times New Roman" w:cs="Times New Roman" w:eastAsia="Times New Roman" w:hAnsi="Times New Roman"/>
                <w:sz w:val="22"/>
                <w:szCs w:val="22"/>
                <w:b w:val="1"/>
                <w:bCs w:val="1"/>
                <w:color w:val="auto"/>
              </w:rPr>
              <w:t>Cut Off Date</w:t>
            </w:r>
          </w:p>
        </w:tc>
      </w:tr>
      <w:tr>
        <w:trPr>
          <w:trHeight w:val="430"/>
        </w:trPr>
        <w:tc>
          <w:tcPr>
            <w:tcW w:w="4200" w:type="dxa"/>
            <w:vAlign w:val="bottom"/>
            <w:tcBorders>
              <w:left w:val="single" w:sz="8" w:color="auto"/>
              <w:bottom w:val="single" w:sz="8" w:color="auto"/>
              <w:right w:val="single" w:sz="8" w:color="auto"/>
            </w:tcBorders>
            <w:shd w:val="clear" w:color="auto" w:fill="D0CECE"/>
          </w:tcPr>
          <w:p>
            <w:pPr>
              <w:spacing w:after="0"/>
              <w:rPr>
                <w:sz w:val="24"/>
                <w:szCs w:val="24"/>
                <w:color w:val="auto"/>
              </w:rPr>
            </w:pPr>
          </w:p>
        </w:tc>
        <w:tc>
          <w:tcPr>
            <w:tcW w:w="5220" w:type="dxa"/>
            <w:vAlign w:val="bottom"/>
            <w:tcBorders>
              <w:bottom w:val="single" w:sz="8" w:color="auto"/>
              <w:right w:val="single" w:sz="8" w:color="auto"/>
            </w:tcBorders>
            <w:shd w:val="clear" w:color="auto" w:fill="D0CECE"/>
          </w:tcPr>
          <w:p>
            <w:pPr>
              <w:spacing w:after="0"/>
              <w:rPr>
                <w:sz w:val="24"/>
                <w:szCs w:val="24"/>
                <w:color w:val="auto"/>
              </w:rPr>
            </w:pPr>
          </w:p>
        </w:tc>
        <w:tc>
          <w:tcPr>
            <w:tcW w:w="1820" w:type="dxa"/>
            <w:vAlign w:val="bottom"/>
            <w:tcBorders>
              <w:bottom w:val="single" w:sz="8" w:color="auto"/>
            </w:tcBorders>
            <w:shd w:val="clear" w:color="auto" w:fill="D0CECE"/>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-721360</wp:posOffset>
            </wp:positionV>
            <wp:extent cx="7132320" cy="90043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850">
                      <a:extLst>
                        <a:ext uri="{28A0092B-C50C-407E-A947-70E740481C1C}"/>
                      </a:extLst>
                    </a:blip>
                    <a:srcRect/>
                    <a:stretch>
                      <a:fillRect/>
                    </a:stretch>
                  </pic:blipFill>
                  <pic:spPr bwMode="auto">
                    <a:xfrm>
                      <a:off x="0" y="0"/>
                      <a:ext cx="7132320" cy="90043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2"/>
          <w:szCs w:val="22"/>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827405</wp:posOffset>
            </wp:positionV>
            <wp:extent cx="7157720" cy="4254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8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7" w:right="339" w:bottom="1440" w:gutter="0" w:footer="0" w:header="0"/>
        </w:sectPr>
      </w:pPr>
    </w:p>
    <w:bookmarkStart w:id="186" w:name="page187"/>
    <w:bookmarkEnd w:id="186"/>
    <w:p>
      <w:pPr>
        <w:jc w:val="center"/>
        <w:spacing w:after="0"/>
        <w:rPr>
          <w:sz w:val="20"/>
          <w:szCs w:val="20"/>
          <w:color w:val="auto"/>
        </w:rPr>
      </w:pPr>
      <w:r>
        <w:rPr>
          <w:rFonts w:ascii="Times New Roman" w:cs="Times New Roman" w:eastAsia="Times New Roman" w:hAnsi="Times New Roman"/>
          <w:sz w:val="22"/>
          <w:szCs w:val="22"/>
          <w:b w:val="1"/>
          <w:bCs w:val="1"/>
          <w:color w:val="auto"/>
        </w:rPr>
        <w:t>Schedule II</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Distributions after the Cut Off Date</w:t>
      </w:r>
    </w:p>
    <w:p>
      <w:pPr>
        <w:spacing w:after="0" w:line="3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b w:val="1"/>
          <w:bCs w:val="1"/>
          <w:i w:val="1"/>
          <w:iCs w:val="1"/>
          <w:color w:val="auto"/>
        </w:rPr>
        <w:t>Sorted by date</w:t>
      </w:r>
    </w:p>
    <w:p>
      <w:pPr>
        <w:spacing w:after="0" w:line="17"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4720" w:type="dxa"/>
            <w:vAlign w:val="bottom"/>
            <w:tcBorders>
              <w:top w:val="single" w:sz="8" w:color="auto"/>
              <w:left w:val="single" w:sz="8" w:color="auto"/>
              <w:right w:val="single" w:sz="8" w:color="auto"/>
            </w:tcBorders>
            <w:vMerge w:val="restart"/>
            <w:shd w:val="clear" w:color="auto" w:fill="D0CECE"/>
          </w:tcPr>
          <w:p>
            <w:pPr>
              <w:ind w:left="2000"/>
              <w:spacing w:after="0"/>
              <w:rPr>
                <w:sz w:val="20"/>
                <w:szCs w:val="20"/>
                <w:color w:val="auto"/>
              </w:rPr>
            </w:pPr>
            <w:r>
              <w:rPr>
                <w:rFonts w:ascii="Times New Roman" w:cs="Times New Roman" w:eastAsia="Times New Roman" w:hAnsi="Times New Roman"/>
                <w:sz w:val="22"/>
                <w:szCs w:val="22"/>
                <w:b w:val="1"/>
                <w:bCs w:val="1"/>
                <w:color w:val="auto"/>
              </w:rPr>
              <w:t>Interest</w:t>
            </w:r>
          </w:p>
        </w:tc>
        <w:tc>
          <w:tcPr>
            <w:tcW w:w="1540" w:type="dxa"/>
            <w:vAlign w:val="bottom"/>
            <w:tcBorders>
              <w:top w:val="single" w:sz="8" w:color="auto"/>
              <w:right w:val="single" w:sz="8" w:color="auto"/>
            </w:tcBorders>
            <w:vMerge w:val="restart"/>
            <w:shd w:val="clear" w:color="auto" w:fill="D0CECE"/>
          </w:tcPr>
          <w:p>
            <w:pPr>
              <w:jc w:val="right"/>
              <w:ind w:right="452"/>
              <w:spacing w:after="0"/>
              <w:rPr>
                <w:sz w:val="20"/>
                <w:szCs w:val="20"/>
                <w:color w:val="auto"/>
              </w:rPr>
            </w:pPr>
            <w:r>
              <w:rPr>
                <w:rFonts w:ascii="Times New Roman" w:cs="Times New Roman" w:eastAsia="Times New Roman" w:hAnsi="Times New Roman"/>
                <w:sz w:val="22"/>
                <w:szCs w:val="22"/>
                <w:b w:val="1"/>
                <w:bCs w:val="1"/>
                <w:color w:val="auto"/>
              </w:rPr>
              <w:t>Date</w:t>
            </w:r>
          </w:p>
        </w:tc>
        <w:tc>
          <w:tcPr>
            <w:tcW w:w="2440" w:type="dxa"/>
            <w:vAlign w:val="bottom"/>
            <w:tcBorders>
              <w:top w:val="single" w:sz="8" w:color="auto"/>
              <w:right w:val="single" w:sz="8" w:color="auto"/>
            </w:tcBorders>
            <w:shd w:val="clear" w:color="auto" w:fill="D0CECE"/>
          </w:tcPr>
          <w:p>
            <w:pPr>
              <w:jc w:val="center"/>
              <w:spacing w:after="0" w:line="247" w:lineRule="exact"/>
              <w:rPr>
                <w:sz w:val="20"/>
                <w:szCs w:val="20"/>
                <w:color w:val="auto"/>
              </w:rPr>
            </w:pPr>
            <w:r>
              <w:rPr>
                <w:rFonts w:ascii="Times New Roman" w:cs="Times New Roman" w:eastAsia="Times New Roman" w:hAnsi="Times New Roman"/>
                <w:sz w:val="22"/>
                <w:szCs w:val="22"/>
                <w:b w:val="1"/>
                <w:bCs w:val="1"/>
                <w:color w:val="auto"/>
                <w:w w:val="98"/>
              </w:rPr>
              <w:t>Value (in Fund</w:t>
            </w:r>
          </w:p>
        </w:tc>
        <w:tc>
          <w:tcPr>
            <w:tcW w:w="2560" w:type="dxa"/>
            <w:vAlign w:val="bottom"/>
            <w:tcBorders>
              <w:top w:val="single" w:sz="8" w:color="auto"/>
              <w:right w:val="single" w:sz="8" w:color="auto"/>
            </w:tcBorders>
            <w:vMerge w:val="restart"/>
            <w:shd w:val="clear" w:color="auto" w:fill="D0CECE"/>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Value (in U.S. Dollars)</w:t>
            </w:r>
          </w:p>
        </w:tc>
        <w:tc>
          <w:tcPr>
            <w:tcW w:w="0" w:type="dxa"/>
            <w:vAlign w:val="bottom"/>
          </w:tcPr>
          <w:p>
            <w:pPr>
              <w:spacing w:after="0"/>
              <w:rPr>
                <w:sz w:val="1"/>
                <w:szCs w:val="1"/>
                <w:color w:val="auto"/>
              </w:rPr>
            </w:pPr>
          </w:p>
        </w:tc>
      </w:tr>
      <w:tr>
        <w:trPr>
          <w:trHeight w:val="165"/>
        </w:trPr>
        <w:tc>
          <w:tcPr>
            <w:tcW w:w="4720" w:type="dxa"/>
            <w:vAlign w:val="bottom"/>
            <w:tcBorders>
              <w:left w:val="single" w:sz="8" w:color="auto"/>
              <w:right w:val="single" w:sz="8" w:color="auto"/>
            </w:tcBorders>
            <w:vMerge w:val="continue"/>
            <w:shd w:val="clear" w:color="auto" w:fill="D0CECE"/>
          </w:tcPr>
          <w:p>
            <w:pPr>
              <w:spacing w:after="0"/>
              <w:rPr>
                <w:sz w:val="14"/>
                <w:szCs w:val="14"/>
                <w:color w:val="auto"/>
              </w:rPr>
            </w:pPr>
          </w:p>
        </w:tc>
        <w:tc>
          <w:tcPr>
            <w:tcW w:w="1540" w:type="dxa"/>
            <w:vAlign w:val="bottom"/>
            <w:tcBorders>
              <w:right w:val="single" w:sz="8" w:color="auto"/>
            </w:tcBorders>
            <w:vMerge w:val="continue"/>
            <w:shd w:val="clear" w:color="auto" w:fill="D0CECE"/>
          </w:tcPr>
          <w:p>
            <w:pPr>
              <w:spacing w:after="0"/>
              <w:rPr>
                <w:sz w:val="14"/>
                <w:szCs w:val="14"/>
                <w:color w:val="auto"/>
              </w:rPr>
            </w:pPr>
          </w:p>
        </w:tc>
        <w:tc>
          <w:tcPr>
            <w:tcW w:w="2440" w:type="dxa"/>
            <w:vAlign w:val="bottom"/>
            <w:tcBorders>
              <w:right w:val="single" w:sz="8" w:color="auto"/>
            </w:tcBorders>
            <w:vMerge w:val="restart"/>
            <w:shd w:val="clear" w:color="auto" w:fill="D0CECE"/>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Currency)</w:t>
            </w:r>
          </w:p>
        </w:tc>
        <w:tc>
          <w:tcPr>
            <w:tcW w:w="2560" w:type="dxa"/>
            <w:vAlign w:val="bottom"/>
            <w:tcBorders>
              <w:right w:val="single" w:sz="8" w:color="auto"/>
            </w:tcBorders>
            <w:vMerge w:val="continue"/>
            <w:shd w:val="clear" w:color="auto" w:fill="D0CECE"/>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4720" w:type="dxa"/>
            <w:vAlign w:val="bottom"/>
            <w:tcBorders>
              <w:left w:val="single" w:sz="8" w:color="auto"/>
              <w:bottom w:val="single" w:sz="8" w:color="D0CECE"/>
              <w:right w:val="single" w:sz="8" w:color="auto"/>
            </w:tcBorders>
            <w:shd w:val="clear" w:color="auto" w:fill="D0CECE"/>
          </w:tcPr>
          <w:p>
            <w:pPr>
              <w:spacing w:after="0"/>
              <w:rPr>
                <w:sz w:val="12"/>
                <w:szCs w:val="12"/>
                <w:color w:val="auto"/>
              </w:rPr>
            </w:pPr>
          </w:p>
        </w:tc>
        <w:tc>
          <w:tcPr>
            <w:tcW w:w="1540" w:type="dxa"/>
            <w:vAlign w:val="bottom"/>
            <w:tcBorders>
              <w:bottom w:val="single" w:sz="8" w:color="D0CECE"/>
              <w:right w:val="single" w:sz="8" w:color="auto"/>
            </w:tcBorders>
            <w:shd w:val="clear" w:color="auto" w:fill="D0CECE"/>
          </w:tcPr>
          <w:p>
            <w:pPr>
              <w:spacing w:after="0"/>
              <w:rPr>
                <w:sz w:val="12"/>
                <w:szCs w:val="12"/>
                <w:color w:val="auto"/>
              </w:rPr>
            </w:pPr>
          </w:p>
        </w:tc>
        <w:tc>
          <w:tcPr>
            <w:tcW w:w="2440" w:type="dxa"/>
            <w:vAlign w:val="bottom"/>
            <w:tcBorders>
              <w:bottom w:val="single" w:sz="8" w:color="D0CECE"/>
              <w:right w:val="single" w:sz="8" w:color="auto"/>
            </w:tcBorders>
            <w:vMerge w:val="continue"/>
            <w:shd w:val="clear" w:color="auto" w:fill="D0CECE"/>
          </w:tcPr>
          <w:p>
            <w:pPr>
              <w:spacing w:after="0"/>
              <w:rPr>
                <w:sz w:val="12"/>
                <w:szCs w:val="12"/>
                <w:color w:val="auto"/>
              </w:rPr>
            </w:pPr>
          </w:p>
        </w:tc>
        <w:tc>
          <w:tcPr>
            <w:tcW w:w="2560" w:type="dxa"/>
            <w:vAlign w:val="bottom"/>
            <w:tcBorders>
              <w:bottom w:val="single" w:sz="8" w:color="D0CECE"/>
              <w:right w:val="single" w:sz="8" w:color="auto"/>
            </w:tcBorders>
            <w:shd w:val="clear" w:color="auto" w:fill="D0CECE"/>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4720" w:type="dxa"/>
            <w:vAlign w:val="bottom"/>
            <w:tcBorders>
              <w:top w:val="single" w:sz="8" w:color="auto"/>
              <w:left w:val="single" w:sz="8" w:color="auto"/>
              <w:bottom w:val="single" w:sz="8" w:color="auto"/>
            </w:tcBorders>
          </w:tcPr>
          <w:p>
            <w:pPr>
              <w:spacing w:after="0"/>
              <w:rPr>
                <w:sz w:val="21"/>
                <w:szCs w:val="21"/>
                <w:color w:val="auto"/>
              </w:rPr>
            </w:pPr>
          </w:p>
        </w:tc>
        <w:tc>
          <w:tcPr>
            <w:tcW w:w="1540" w:type="dxa"/>
            <w:vAlign w:val="bottom"/>
            <w:tcBorders>
              <w:top w:val="single" w:sz="8" w:color="auto"/>
              <w:bottom w:val="single" w:sz="8" w:color="auto"/>
            </w:tcBorders>
          </w:tcPr>
          <w:p>
            <w:pPr>
              <w:jc w:val="right"/>
              <w:ind w:right="232"/>
              <w:spacing w:after="0" w:line="250" w:lineRule="exact"/>
              <w:rPr>
                <w:sz w:val="20"/>
                <w:szCs w:val="20"/>
                <w:color w:val="auto"/>
              </w:rPr>
            </w:pPr>
            <w:r>
              <w:rPr>
                <w:rFonts w:ascii="Times New Roman" w:cs="Times New Roman" w:eastAsia="Times New Roman" w:hAnsi="Times New Roman"/>
                <w:sz w:val="22"/>
                <w:szCs w:val="22"/>
                <w:color w:val="auto"/>
              </w:rPr>
              <w:t>[* * *]</w:t>
            </w:r>
          </w:p>
        </w:tc>
        <w:tc>
          <w:tcPr>
            <w:tcW w:w="2440" w:type="dxa"/>
            <w:vAlign w:val="bottom"/>
            <w:tcBorders>
              <w:top w:val="single" w:sz="8" w:color="auto"/>
              <w:bottom w:val="single" w:sz="8" w:color="auto"/>
            </w:tcBorders>
          </w:tcPr>
          <w:p>
            <w:pPr>
              <w:spacing w:after="0"/>
              <w:rPr>
                <w:sz w:val="21"/>
                <w:szCs w:val="21"/>
                <w:color w:val="auto"/>
              </w:rPr>
            </w:pPr>
          </w:p>
        </w:tc>
        <w:tc>
          <w:tcPr>
            <w:tcW w:w="2560" w:type="dxa"/>
            <w:vAlign w:val="bottom"/>
            <w:tcBorders>
              <w:top w:val="single" w:sz="8" w:color="auto"/>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19"/>
        </w:trPr>
        <w:tc>
          <w:tcPr>
            <w:tcW w:w="47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2"/>
                <w:szCs w:val="22"/>
                <w:b w:val="1"/>
                <w:bCs w:val="1"/>
                <w:color w:val="auto"/>
              </w:rPr>
              <w:t>Total (EUR):</w:t>
            </w:r>
          </w:p>
        </w:tc>
        <w:tc>
          <w:tcPr>
            <w:tcW w:w="154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81"/>
              </w:rPr>
              <w:t>-</w:t>
            </w:r>
          </w:p>
        </w:tc>
        <w:tc>
          <w:tcPr>
            <w:tcW w:w="2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rPr>
              <w:t>-</w:t>
            </w:r>
          </w:p>
        </w:tc>
        <w:tc>
          <w:tcPr>
            <w:tcW w:w="0" w:type="dxa"/>
            <w:vAlign w:val="bottom"/>
          </w:tcPr>
          <w:p>
            <w:pPr>
              <w:spacing w:after="0"/>
              <w:rPr>
                <w:sz w:val="1"/>
                <w:szCs w:val="1"/>
                <w:color w:val="auto"/>
              </w:rPr>
            </w:pPr>
          </w:p>
        </w:tc>
      </w:tr>
      <w:tr>
        <w:trPr>
          <w:trHeight w:val="257"/>
        </w:trPr>
        <w:tc>
          <w:tcPr>
            <w:tcW w:w="47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2"/>
                <w:szCs w:val="22"/>
                <w:b w:val="1"/>
                <w:bCs w:val="1"/>
                <w:color w:val="auto"/>
              </w:rPr>
              <w:t>Total (GBP):</w:t>
            </w:r>
          </w:p>
        </w:tc>
        <w:tc>
          <w:tcPr>
            <w:tcW w:w="1540" w:type="dxa"/>
            <w:vAlign w:val="bottom"/>
          </w:tcPr>
          <w:p>
            <w:pPr>
              <w:spacing w:after="0"/>
              <w:rPr>
                <w:sz w:val="22"/>
                <w:szCs w:val="22"/>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81"/>
              </w:rPr>
              <w:t>-</w:t>
            </w:r>
          </w:p>
        </w:tc>
        <w:tc>
          <w:tcPr>
            <w:tcW w:w="2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rPr>
              <w:t>-</w:t>
            </w:r>
          </w:p>
        </w:tc>
        <w:tc>
          <w:tcPr>
            <w:tcW w:w="0" w:type="dxa"/>
            <w:vAlign w:val="bottom"/>
          </w:tcPr>
          <w:p>
            <w:pPr>
              <w:spacing w:after="0"/>
              <w:rPr>
                <w:sz w:val="1"/>
                <w:szCs w:val="1"/>
                <w:color w:val="auto"/>
              </w:rPr>
            </w:pPr>
          </w:p>
        </w:tc>
      </w:tr>
      <w:tr>
        <w:trPr>
          <w:trHeight w:val="287"/>
        </w:trPr>
        <w:tc>
          <w:tcPr>
            <w:tcW w:w="472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22"/>
                <w:szCs w:val="22"/>
                <w:b w:val="1"/>
                <w:bCs w:val="1"/>
                <w:color w:val="auto"/>
              </w:rPr>
              <w:t>Total (USD):</w:t>
            </w:r>
          </w:p>
        </w:tc>
        <w:tc>
          <w:tcPr>
            <w:tcW w:w="15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32,460,940.10</w:t>
            </w:r>
          </w:p>
        </w:tc>
        <w:tc>
          <w:tcPr>
            <w:tcW w:w="2560" w:type="dxa"/>
            <w:vAlign w:val="bottom"/>
            <w:tcBorders>
              <w:bottom w:val="single" w:sz="8" w:color="auto"/>
              <w:right w:val="single" w:sz="8" w:color="auto"/>
            </w:tcBorders>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7"/>
              </w:rPr>
              <w:t>32,460,940.10</w:t>
            </w:r>
          </w:p>
        </w:tc>
        <w:tc>
          <w:tcPr>
            <w:tcW w:w="0" w:type="dxa"/>
            <w:vAlign w:val="bottom"/>
          </w:tcPr>
          <w:p>
            <w:pPr>
              <w:spacing w:after="0"/>
              <w:rPr>
                <w:sz w:val="1"/>
                <w:szCs w:val="1"/>
                <w:color w:val="auto"/>
              </w:rPr>
            </w:pPr>
          </w:p>
        </w:tc>
      </w:tr>
      <w:tr>
        <w:trPr>
          <w:trHeight w:val="1297"/>
        </w:trPr>
        <w:tc>
          <w:tcPr>
            <w:tcW w:w="472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8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8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4" w:right="339" w:bottom="1440" w:gutter="0" w:footer="0" w:header="0"/>
        </w:sectPr>
      </w:pPr>
    </w:p>
    <w:bookmarkStart w:id="187" w:name="page188"/>
    <w:bookmarkEnd w:id="187"/>
    <w:p>
      <w:pPr>
        <w:jc w:val="center"/>
        <w:spacing w:after="0"/>
        <w:rPr>
          <w:sz w:val="20"/>
          <w:szCs w:val="20"/>
          <w:color w:val="auto"/>
        </w:rPr>
      </w:pPr>
      <w:r>
        <w:rPr>
          <w:rFonts w:ascii="Times New Roman" w:cs="Times New Roman" w:eastAsia="Times New Roman" w:hAnsi="Times New Roman"/>
          <w:sz w:val="22"/>
          <w:szCs w:val="22"/>
          <w:b w:val="1"/>
          <w:bCs w:val="1"/>
          <w:color w:val="auto"/>
        </w:rPr>
        <w:t>Schedule II Continued</w:t>
      </w:r>
    </w:p>
    <w:p>
      <w:pPr>
        <w:spacing w:after="0" w:line="2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Capital Contributions after the Cut Off Date</w:t>
      </w:r>
    </w:p>
    <w:p>
      <w:pPr>
        <w:spacing w:after="0" w:line="3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b w:val="1"/>
          <w:bCs w:val="1"/>
          <w:i w:val="1"/>
          <w:iCs w:val="1"/>
          <w:color w:val="auto"/>
        </w:rPr>
        <w:t>Sorted by date</w:t>
      </w:r>
    </w:p>
    <w:p>
      <w:pPr>
        <w:spacing w:after="0" w:line="17" w:lineRule="exact"/>
        <w:rPr>
          <w:sz w:val="20"/>
          <w:szCs w:val="20"/>
          <w:color w:val="auto"/>
        </w:rPr>
      </w:pPr>
    </w:p>
    <w:tbl>
      <w:tblPr>
        <w:tblLayout w:type="fixed"/>
        <w:tblInd w:w="10" w:type="dxa"/>
        <w:tblCellMar>
          <w:top w:w="0" w:type="dxa"/>
          <w:left w:w="0" w:type="dxa"/>
          <w:bottom w:w="0" w:type="dxa"/>
          <w:right w:w="0" w:type="dxa"/>
        </w:tblCellMar>
      </w:tblPr>
      <w:tr>
        <w:trPr>
          <w:trHeight w:val="220"/>
        </w:trPr>
        <w:tc>
          <w:tcPr>
            <w:tcW w:w="4800" w:type="dxa"/>
            <w:vAlign w:val="bottom"/>
            <w:tcBorders>
              <w:top w:val="single" w:sz="8" w:color="auto"/>
              <w:left w:val="single" w:sz="8" w:color="auto"/>
              <w:right w:val="single" w:sz="8" w:color="auto"/>
            </w:tcBorders>
            <w:vMerge w:val="restart"/>
            <w:shd w:val="clear" w:color="auto" w:fill="D0CECE"/>
          </w:tcPr>
          <w:p>
            <w:pPr>
              <w:ind w:left="2040"/>
              <w:spacing w:after="0"/>
              <w:rPr>
                <w:sz w:val="20"/>
                <w:szCs w:val="20"/>
                <w:color w:val="auto"/>
              </w:rPr>
            </w:pPr>
            <w:r>
              <w:rPr>
                <w:rFonts w:ascii="Times New Roman" w:cs="Times New Roman" w:eastAsia="Times New Roman" w:hAnsi="Times New Roman"/>
                <w:sz w:val="22"/>
                <w:szCs w:val="22"/>
                <w:b w:val="1"/>
                <w:bCs w:val="1"/>
                <w:color w:val="auto"/>
              </w:rPr>
              <w:t>Interest</w:t>
            </w:r>
          </w:p>
        </w:tc>
        <w:tc>
          <w:tcPr>
            <w:tcW w:w="1920" w:type="dxa"/>
            <w:vAlign w:val="bottom"/>
            <w:tcBorders>
              <w:top w:val="single" w:sz="8" w:color="auto"/>
              <w:right w:val="single" w:sz="8" w:color="auto"/>
            </w:tcBorders>
            <w:vMerge w:val="restart"/>
            <w:shd w:val="clear" w:color="auto" w:fill="D0CECE"/>
          </w:tcPr>
          <w:p>
            <w:pPr>
              <w:jc w:val="right"/>
              <w:ind w:right="652"/>
              <w:spacing w:after="0"/>
              <w:rPr>
                <w:sz w:val="20"/>
                <w:szCs w:val="20"/>
                <w:color w:val="auto"/>
              </w:rPr>
            </w:pPr>
            <w:r>
              <w:rPr>
                <w:rFonts w:ascii="Times New Roman" w:cs="Times New Roman" w:eastAsia="Times New Roman" w:hAnsi="Times New Roman"/>
                <w:sz w:val="22"/>
                <w:szCs w:val="22"/>
                <w:b w:val="1"/>
                <w:bCs w:val="1"/>
                <w:color w:val="auto"/>
              </w:rPr>
              <w:t>Date</w:t>
            </w:r>
          </w:p>
        </w:tc>
        <w:tc>
          <w:tcPr>
            <w:tcW w:w="2720" w:type="dxa"/>
            <w:vAlign w:val="bottom"/>
            <w:tcBorders>
              <w:top w:val="single" w:sz="8" w:color="auto"/>
              <w:right w:val="single" w:sz="8" w:color="auto"/>
            </w:tcBorders>
            <w:vMerge w:val="restart"/>
            <w:shd w:val="clear" w:color="auto" w:fill="D0CECE"/>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Value (in Fund Currency)</w:t>
            </w:r>
          </w:p>
        </w:tc>
        <w:tc>
          <w:tcPr>
            <w:tcW w:w="1820" w:type="dxa"/>
            <w:vAlign w:val="bottom"/>
            <w:tcBorders>
              <w:top w:val="single" w:sz="8" w:color="auto"/>
              <w:right w:val="single" w:sz="8" w:color="auto"/>
            </w:tcBorders>
            <w:shd w:val="clear" w:color="auto" w:fill="D0CECE"/>
          </w:tcPr>
          <w:p>
            <w:pPr>
              <w:jc w:val="center"/>
              <w:spacing w:after="0" w:line="220" w:lineRule="exact"/>
              <w:rPr>
                <w:sz w:val="20"/>
                <w:szCs w:val="20"/>
                <w:color w:val="auto"/>
              </w:rPr>
            </w:pPr>
            <w:r>
              <w:rPr>
                <w:rFonts w:ascii="Times New Roman" w:cs="Times New Roman" w:eastAsia="Times New Roman" w:hAnsi="Times New Roman"/>
                <w:sz w:val="22"/>
                <w:szCs w:val="22"/>
                <w:b w:val="1"/>
                <w:bCs w:val="1"/>
                <w:color w:val="auto"/>
                <w:w w:val="97"/>
              </w:rPr>
              <w:t>Value (in U.S.</w:t>
            </w:r>
          </w:p>
        </w:tc>
        <w:tc>
          <w:tcPr>
            <w:tcW w:w="0" w:type="dxa"/>
            <w:vAlign w:val="bottom"/>
          </w:tcPr>
          <w:p>
            <w:pPr>
              <w:spacing w:after="0"/>
              <w:rPr>
                <w:sz w:val="1"/>
                <w:szCs w:val="1"/>
                <w:color w:val="auto"/>
              </w:rPr>
            </w:pPr>
          </w:p>
        </w:tc>
      </w:tr>
      <w:tr>
        <w:trPr>
          <w:trHeight w:val="165"/>
        </w:trPr>
        <w:tc>
          <w:tcPr>
            <w:tcW w:w="4800" w:type="dxa"/>
            <w:vAlign w:val="bottom"/>
            <w:tcBorders>
              <w:left w:val="single" w:sz="8" w:color="auto"/>
              <w:right w:val="single" w:sz="8" w:color="auto"/>
            </w:tcBorders>
            <w:vMerge w:val="continue"/>
            <w:shd w:val="clear" w:color="auto" w:fill="D0CECE"/>
          </w:tcPr>
          <w:p>
            <w:pPr>
              <w:spacing w:after="0"/>
              <w:rPr>
                <w:sz w:val="14"/>
                <w:szCs w:val="14"/>
                <w:color w:val="auto"/>
              </w:rPr>
            </w:pPr>
          </w:p>
        </w:tc>
        <w:tc>
          <w:tcPr>
            <w:tcW w:w="1920" w:type="dxa"/>
            <w:vAlign w:val="bottom"/>
            <w:tcBorders>
              <w:right w:val="single" w:sz="8" w:color="auto"/>
            </w:tcBorders>
            <w:vMerge w:val="continue"/>
            <w:shd w:val="clear" w:color="auto" w:fill="D0CECE"/>
          </w:tcPr>
          <w:p>
            <w:pPr>
              <w:spacing w:after="0"/>
              <w:rPr>
                <w:sz w:val="14"/>
                <w:szCs w:val="14"/>
                <w:color w:val="auto"/>
              </w:rPr>
            </w:pPr>
          </w:p>
        </w:tc>
        <w:tc>
          <w:tcPr>
            <w:tcW w:w="2720" w:type="dxa"/>
            <w:vAlign w:val="bottom"/>
            <w:tcBorders>
              <w:right w:val="single" w:sz="8" w:color="auto"/>
            </w:tcBorders>
            <w:vMerge w:val="continue"/>
            <w:shd w:val="clear" w:color="auto" w:fill="D0CECE"/>
          </w:tcPr>
          <w:p>
            <w:pPr>
              <w:spacing w:after="0"/>
              <w:rPr>
                <w:sz w:val="14"/>
                <w:szCs w:val="14"/>
                <w:color w:val="auto"/>
              </w:rPr>
            </w:pPr>
          </w:p>
        </w:tc>
        <w:tc>
          <w:tcPr>
            <w:tcW w:w="1820" w:type="dxa"/>
            <w:vAlign w:val="bottom"/>
            <w:tcBorders>
              <w:right w:val="single" w:sz="8" w:color="auto"/>
            </w:tcBorders>
            <w:vMerge w:val="restart"/>
            <w:shd w:val="clear" w:color="auto" w:fill="D0CECE"/>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Dollars)</w:t>
            </w:r>
          </w:p>
        </w:tc>
        <w:tc>
          <w:tcPr>
            <w:tcW w:w="0" w:type="dxa"/>
            <w:vAlign w:val="bottom"/>
          </w:tcPr>
          <w:p>
            <w:pPr>
              <w:spacing w:after="0"/>
              <w:rPr>
                <w:sz w:val="1"/>
                <w:szCs w:val="1"/>
                <w:color w:val="auto"/>
              </w:rPr>
            </w:pPr>
          </w:p>
        </w:tc>
      </w:tr>
      <w:tr>
        <w:trPr>
          <w:trHeight w:val="133"/>
        </w:trPr>
        <w:tc>
          <w:tcPr>
            <w:tcW w:w="4800" w:type="dxa"/>
            <w:vAlign w:val="bottom"/>
            <w:tcBorders>
              <w:left w:val="single" w:sz="8" w:color="auto"/>
              <w:bottom w:val="single" w:sz="8" w:color="auto"/>
              <w:right w:val="single" w:sz="8" w:color="auto"/>
            </w:tcBorders>
            <w:shd w:val="clear" w:color="auto" w:fill="D0CECE"/>
          </w:tcPr>
          <w:p>
            <w:pPr>
              <w:spacing w:after="0"/>
              <w:rPr>
                <w:sz w:val="11"/>
                <w:szCs w:val="11"/>
                <w:color w:val="auto"/>
              </w:rPr>
            </w:pPr>
          </w:p>
        </w:tc>
        <w:tc>
          <w:tcPr>
            <w:tcW w:w="1920" w:type="dxa"/>
            <w:vAlign w:val="bottom"/>
            <w:tcBorders>
              <w:bottom w:val="single" w:sz="8" w:color="auto"/>
              <w:right w:val="single" w:sz="8" w:color="auto"/>
            </w:tcBorders>
            <w:shd w:val="clear" w:color="auto" w:fill="D0CECE"/>
          </w:tcPr>
          <w:p>
            <w:pPr>
              <w:spacing w:after="0"/>
              <w:rPr>
                <w:sz w:val="11"/>
                <w:szCs w:val="11"/>
                <w:color w:val="auto"/>
              </w:rPr>
            </w:pPr>
          </w:p>
        </w:tc>
        <w:tc>
          <w:tcPr>
            <w:tcW w:w="2720" w:type="dxa"/>
            <w:vAlign w:val="bottom"/>
            <w:tcBorders>
              <w:bottom w:val="single" w:sz="8" w:color="auto"/>
              <w:right w:val="single" w:sz="8" w:color="auto"/>
            </w:tcBorders>
            <w:shd w:val="clear" w:color="auto" w:fill="D0CECE"/>
          </w:tcPr>
          <w:p>
            <w:pPr>
              <w:spacing w:after="0"/>
              <w:rPr>
                <w:sz w:val="11"/>
                <w:szCs w:val="11"/>
                <w:color w:val="auto"/>
              </w:rPr>
            </w:pPr>
          </w:p>
        </w:tc>
        <w:tc>
          <w:tcPr>
            <w:tcW w:w="1820" w:type="dxa"/>
            <w:vAlign w:val="bottom"/>
            <w:tcBorders>
              <w:bottom w:val="single" w:sz="8" w:color="auto"/>
              <w:right w:val="single" w:sz="8" w:color="auto"/>
            </w:tcBorders>
            <w:vMerge w:val="continue"/>
            <w:shd w:val="clear" w:color="auto" w:fill="D0CECE"/>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4800" w:type="dxa"/>
            <w:vAlign w:val="bottom"/>
            <w:tcBorders>
              <w:left w:val="single" w:sz="8" w:color="auto"/>
              <w:bottom w:val="single" w:sz="8" w:color="auto"/>
            </w:tcBorders>
          </w:tcPr>
          <w:p>
            <w:pPr>
              <w:spacing w:after="0"/>
              <w:rPr>
                <w:sz w:val="21"/>
                <w:szCs w:val="21"/>
                <w:color w:val="auto"/>
              </w:rPr>
            </w:pPr>
          </w:p>
        </w:tc>
        <w:tc>
          <w:tcPr>
            <w:tcW w:w="1920" w:type="dxa"/>
            <w:vAlign w:val="bottom"/>
            <w:tcBorders>
              <w:bottom w:val="single" w:sz="8" w:color="auto"/>
            </w:tcBorders>
          </w:tcPr>
          <w:p>
            <w:pPr>
              <w:jc w:val="right"/>
              <w:ind w:right="692"/>
              <w:spacing w:after="0" w:line="250" w:lineRule="exact"/>
              <w:rPr>
                <w:sz w:val="20"/>
                <w:szCs w:val="20"/>
                <w:color w:val="auto"/>
              </w:rPr>
            </w:pPr>
            <w:r>
              <w:rPr>
                <w:rFonts w:ascii="Times New Roman" w:cs="Times New Roman" w:eastAsia="Times New Roman" w:hAnsi="Times New Roman"/>
                <w:sz w:val="22"/>
                <w:szCs w:val="22"/>
                <w:color w:val="auto"/>
              </w:rPr>
              <w:t>[* * *]</w:t>
            </w:r>
          </w:p>
        </w:tc>
        <w:tc>
          <w:tcPr>
            <w:tcW w:w="2720" w:type="dxa"/>
            <w:vAlign w:val="bottom"/>
            <w:tcBorders>
              <w:bottom w:val="single" w:sz="8" w:color="auto"/>
            </w:tcBorders>
          </w:tcPr>
          <w:p>
            <w:pPr>
              <w:spacing w:after="0"/>
              <w:rPr>
                <w:sz w:val="21"/>
                <w:szCs w:val="21"/>
                <w:color w:val="auto"/>
              </w:rPr>
            </w:pPr>
          </w:p>
        </w:tc>
        <w:tc>
          <w:tcPr>
            <w:tcW w:w="18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19"/>
        </w:trPr>
        <w:tc>
          <w:tcPr>
            <w:tcW w:w="48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2"/>
                <w:szCs w:val="22"/>
                <w:b w:val="1"/>
                <w:bCs w:val="1"/>
                <w:color w:val="auto"/>
              </w:rPr>
              <w:t>Total (EUR):</w:t>
            </w:r>
          </w:p>
        </w:tc>
        <w:tc>
          <w:tcPr>
            <w:tcW w:w="1920" w:type="dxa"/>
            <w:vAlign w:val="bottom"/>
          </w:tcPr>
          <w:p>
            <w:pPr>
              <w:spacing w:after="0"/>
              <w:rPr>
                <w:sz w:val="24"/>
                <w:szCs w:val="24"/>
                <w:color w:val="auto"/>
              </w:rPr>
            </w:pPr>
          </w:p>
        </w:tc>
        <w:tc>
          <w:tcPr>
            <w:tcW w:w="2720" w:type="dxa"/>
            <w:vAlign w:val="bottom"/>
          </w:tcPr>
          <w:p>
            <w:pPr>
              <w:jc w:val="right"/>
              <w:ind w:right="1232"/>
              <w:spacing w:after="0"/>
              <w:rPr>
                <w:sz w:val="20"/>
                <w:szCs w:val="20"/>
                <w:color w:val="auto"/>
              </w:rPr>
            </w:pPr>
            <w:r>
              <w:rPr>
                <w:rFonts w:ascii="Times New Roman" w:cs="Times New Roman" w:eastAsia="Times New Roman" w:hAnsi="Times New Roman"/>
                <w:sz w:val="22"/>
                <w:szCs w:val="22"/>
                <w:b w:val="1"/>
                <w:bCs w:val="1"/>
                <w:color w:val="auto"/>
              </w:rPr>
              <w:t>-</w:t>
            </w:r>
          </w:p>
        </w:tc>
        <w:tc>
          <w:tcPr>
            <w:tcW w:w="1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8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2"/>
                <w:szCs w:val="22"/>
                <w:b w:val="1"/>
                <w:bCs w:val="1"/>
                <w:color w:val="auto"/>
              </w:rPr>
              <w:t>Total (GBP):</w:t>
            </w:r>
          </w:p>
        </w:tc>
        <w:tc>
          <w:tcPr>
            <w:tcW w:w="1920" w:type="dxa"/>
            <w:vAlign w:val="bottom"/>
          </w:tcPr>
          <w:p>
            <w:pPr>
              <w:spacing w:after="0"/>
              <w:rPr>
                <w:sz w:val="22"/>
                <w:szCs w:val="22"/>
                <w:color w:val="auto"/>
              </w:rPr>
            </w:pPr>
          </w:p>
        </w:tc>
        <w:tc>
          <w:tcPr>
            <w:tcW w:w="2720" w:type="dxa"/>
            <w:vAlign w:val="bottom"/>
          </w:tcPr>
          <w:p>
            <w:pPr>
              <w:jc w:val="right"/>
              <w:ind w:right="692"/>
              <w:spacing w:after="0"/>
              <w:rPr>
                <w:sz w:val="20"/>
                <w:szCs w:val="20"/>
                <w:color w:val="auto"/>
              </w:rPr>
            </w:pPr>
            <w:r>
              <w:rPr>
                <w:rFonts w:ascii="Times New Roman" w:cs="Times New Roman" w:eastAsia="Times New Roman" w:hAnsi="Times New Roman"/>
                <w:sz w:val="22"/>
                <w:szCs w:val="22"/>
                <w:b w:val="1"/>
                <w:bCs w:val="1"/>
                <w:color w:val="auto"/>
              </w:rPr>
              <w:t>1,473,684.21</w:t>
            </w:r>
          </w:p>
        </w:tc>
        <w:tc>
          <w:tcPr>
            <w:tcW w:w="18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7"/>
        </w:trPr>
        <w:tc>
          <w:tcPr>
            <w:tcW w:w="480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22"/>
                <w:szCs w:val="22"/>
                <w:b w:val="1"/>
                <w:bCs w:val="1"/>
                <w:color w:val="auto"/>
              </w:rPr>
              <w:t>Total (USD):</w:t>
            </w:r>
          </w:p>
        </w:tc>
        <w:tc>
          <w:tcPr>
            <w:tcW w:w="19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22"/>
                <w:szCs w:val="22"/>
                <w:b w:val="1"/>
                <w:bCs w:val="1"/>
                <w:color w:val="auto"/>
              </w:rPr>
              <w:t>18,391,008.79</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20,252,419.32</w:t>
            </w:r>
          </w:p>
        </w:tc>
        <w:tc>
          <w:tcPr>
            <w:tcW w:w="0" w:type="dxa"/>
            <w:vAlign w:val="bottom"/>
          </w:tcPr>
          <w:p>
            <w:pPr>
              <w:spacing w:after="0"/>
              <w:rPr>
                <w:sz w:val="1"/>
                <w:szCs w:val="1"/>
                <w:color w:val="auto"/>
              </w:rPr>
            </w:pPr>
          </w:p>
        </w:tc>
      </w:tr>
    </w:tbl>
    <w:p>
      <w:pPr>
        <w:ind w:left="100" w:right="120"/>
        <w:spacing w:after="0" w:line="276" w:lineRule="auto"/>
        <w:rPr>
          <w:sz w:val="20"/>
          <w:szCs w:val="20"/>
          <w:color w:val="auto"/>
        </w:rPr>
      </w:pPr>
      <w:r>
        <w:rPr>
          <w:rFonts w:ascii="Times New Roman" w:cs="Times New Roman" w:eastAsia="Times New Roman" w:hAnsi="Times New Roman"/>
          <w:sz w:val="18"/>
          <w:szCs w:val="18"/>
          <w:i w:val="1"/>
          <w:iCs w:val="1"/>
          <w:color w:val="auto"/>
        </w:rPr>
        <w:t>Note: Utilizing Exchange Rates as of respective contribution dates where applicable; GBP to USD of 1.2454 on April 17th 2024; GBP to USD of 1.2867 on July 26th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790575</wp:posOffset>
            </wp:positionV>
            <wp:extent cx="7157720" cy="4254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4" w:right="339" w:bottom="1440" w:gutter="0" w:footer="0" w:header="0"/>
        </w:sectPr>
      </w:pPr>
    </w:p>
    <w:bookmarkStart w:id="188" w:name="page189"/>
    <w:bookmarkEnd w:id="188"/>
    <w:p>
      <w:pPr>
        <w:jc w:val="center"/>
        <w:spacing w:after="0"/>
        <w:rPr>
          <w:sz w:val="20"/>
          <w:szCs w:val="20"/>
          <w:color w:val="auto"/>
        </w:rPr>
      </w:pPr>
      <w:r>
        <w:rPr>
          <w:rFonts w:ascii="Times New Roman" w:cs="Times New Roman" w:eastAsia="Times New Roman" w:hAnsi="Times New Roman"/>
          <w:sz w:val="22"/>
          <w:szCs w:val="22"/>
          <w:u w:val="single" w:color="auto"/>
          <w:color w:val="auto"/>
        </w:rPr>
        <w:t>Schedule III</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Delivery and Wire Transfer Instructions</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821055</wp:posOffset>
            </wp:positionV>
            <wp:extent cx="7157720" cy="4254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084" w:right="1440" w:bottom="1440" w:gutter="0" w:footer="0" w:header="0"/>
        </w:sectPr>
      </w:pPr>
    </w:p>
    <w:bookmarkStart w:id="189" w:name="page190"/>
    <w:bookmarkEnd w:id="189"/>
    <w:p>
      <w:pPr>
        <w:jc w:val="center"/>
        <w:spacing w:after="0"/>
        <w:rPr>
          <w:sz w:val="20"/>
          <w:szCs w:val="20"/>
          <w:color w:val="auto"/>
        </w:rPr>
      </w:pPr>
      <w:r>
        <w:rPr>
          <w:rFonts w:ascii="Times New Roman" w:cs="Times New Roman" w:eastAsia="Times New Roman" w:hAnsi="Times New Roman"/>
          <w:sz w:val="21"/>
          <w:szCs w:val="21"/>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828675</wp:posOffset>
            </wp:positionV>
            <wp:extent cx="7157720" cy="4254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084" w:right="1440" w:bottom="1440" w:gutter="0" w:footer="0" w:header="0"/>
        </w:sectPr>
      </w:pPr>
    </w:p>
    <w:bookmarkStart w:id="190" w:name="page191"/>
    <w:bookmarkEnd w:id="190"/>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Buyer’s Closing Certificate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 (the “</w:t>
      </w:r>
      <w:r>
        <w:rPr>
          <w:rFonts w:ascii="Times New Roman" w:cs="Times New Roman" w:eastAsia="Times New Roman" w:hAnsi="Times New Roman"/>
          <w:sz w:val="21"/>
          <w:szCs w:val="21"/>
          <w:u w:val="single" w:color="auto"/>
          <w:color w:val="auto"/>
        </w:rPr>
        <w:t>Buyer</w:t>
      </w:r>
      <w:r>
        <w:rPr>
          <w:rFonts w:ascii="Times New Roman" w:cs="Times New Roman" w:eastAsia="Times New Roman" w:hAnsi="Times New Roman"/>
          <w:sz w:val="21"/>
          <w:szCs w:val="21"/>
          <w:color w:val="auto"/>
        </w:rPr>
        <w:t>”), pursuant to Section 8 of the Agreement of Purchase and Sale dated as of _________, 2024 (the</w:t>
      </w:r>
    </w:p>
    <w:p>
      <w:pPr>
        <w:spacing w:after="0" w:line="26"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 Agreement</w:t>
      </w:r>
      <w:r>
        <w:rPr>
          <w:rFonts w:ascii="Times New Roman" w:cs="Times New Roman" w:eastAsia="Times New Roman" w:hAnsi="Times New Roman"/>
          <w:sz w:val="22"/>
          <w:szCs w:val="22"/>
          <w:color w:val="auto"/>
        </w:rPr>
        <w:t>”) by and between Buyer, on the one hand, and [</w:t>
      </w:r>
      <w:r>
        <w:rPr>
          <w:rFonts w:ascii="Times New Roman" w:cs="Times New Roman" w:eastAsia="Times New Roman" w:hAnsi="Times New Roman"/>
          <w:sz w:val="22"/>
          <w:szCs w:val="22"/>
          <w:color w:val="FF0000"/>
        </w:rPr>
        <w:t>INSERT NAME</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Seller</w:t>
      </w:r>
      <w:r>
        <w:rPr>
          <w:rFonts w:ascii="Times New Roman" w:cs="Times New Roman" w:eastAsia="Times New Roman" w:hAnsi="Times New Roman"/>
          <w:sz w:val="22"/>
          <w:szCs w:val="22"/>
          <w:color w:val="auto"/>
        </w:rPr>
        <w:t>”), on the other hand, hereby certifies to the Seller as follows:</w:t>
      </w:r>
    </w:p>
    <w:p>
      <w:pPr>
        <w:spacing w:after="0" w:line="286" w:lineRule="exact"/>
        <w:rPr>
          <w:sz w:val="20"/>
          <w:szCs w:val="20"/>
          <w:color w:val="auto"/>
        </w:rPr>
      </w:pPr>
    </w:p>
    <w:p>
      <w:pPr>
        <w:jc w:val="both"/>
        <w:ind w:firstLine="757"/>
        <w:spacing w:after="0" w:line="236" w:lineRule="auto"/>
        <w:tabs>
          <w:tab w:leader="none" w:pos="1181"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Warranties</w:t>
      </w:r>
      <w:r>
        <w:rPr>
          <w:rFonts w:ascii="Times New Roman" w:cs="Times New Roman" w:eastAsia="Times New Roman" w:hAnsi="Times New Roman"/>
          <w:sz w:val="22"/>
          <w:szCs w:val="22"/>
          <w:color w:val="auto"/>
        </w:rPr>
        <w:t>. The representations and warranties of Buyer contained in the Purchase Agreement and in the Additional Buyer’s Documents to which Buyer is a party with respect to the Interest(s) being transferred by the Seller to Buyer as of the date hereof are true and accurate in all material respects (disregarding any “materiality”, “material adverse effect” or words of similar import), in each case as of the date when made and at and as of the date hereof as though such representations and warranties were made at and as of the date hereof, except in each case to the extent that they expressly refer to an earlier or specific time, in which case they were true and correct in all material respects as of such time.</w:t>
      </w:r>
    </w:p>
    <w:p>
      <w:pPr>
        <w:spacing w:after="0" w:line="181" w:lineRule="exact"/>
        <w:rPr>
          <w:rFonts w:ascii="Times New Roman" w:cs="Times New Roman" w:eastAsia="Times New Roman" w:hAnsi="Times New Roman"/>
          <w:sz w:val="22"/>
          <w:szCs w:val="22"/>
          <w:color w:val="auto"/>
        </w:rPr>
      </w:pPr>
    </w:p>
    <w:p>
      <w:pPr>
        <w:jc w:val="both"/>
        <w:ind w:firstLine="757"/>
        <w:spacing w:after="0" w:line="244" w:lineRule="auto"/>
        <w:tabs>
          <w:tab w:leader="none" w:pos="1194"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Performance</w:t>
      </w:r>
      <w:r>
        <w:rPr>
          <w:rFonts w:ascii="Times New Roman" w:cs="Times New Roman" w:eastAsia="Times New Roman" w:hAnsi="Times New Roman"/>
          <w:sz w:val="22"/>
          <w:szCs w:val="22"/>
          <w:color w:val="auto"/>
        </w:rPr>
        <w:t>. Buyer has performed in all material respects all agreements and obligations and complied with all conditions required by the Purchase Agreement and any Additional Buyer’s Documents to which it is a party to be performed or complied with by Buyer at or prior to the date hereof.</w:t>
      </w:r>
    </w:p>
    <w:p>
      <w:pPr>
        <w:spacing w:after="0" w:line="173"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22"/>
          <w:szCs w:val="22"/>
          <w:color w:val="auto"/>
        </w:rPr>
        <w:t>Capitalized terms used in this certificate which are not otherwise defined have the meanings given to them in the Purchase Agreement.</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IN WITNESS WHEREOF, the undersigned has executed this Buyer’s Closing Certificate this ___ day of ________,</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2024.</w:t>
      </w:r>
    </w:p>
    <w:p>
      <w:pPr>
        <w:spacing w:after="0" w:line="200" w:lineRule="exact"/>
        <w:rPr>
          <w:sz w:val="20"/>
          <w:szCs w:val="20"/>
          <w:color w:val="auto"/>
        </w:rPr>
      </w:pPr>
    </w:p>
    <w:p>
      <w:pPr>
        <w:spacing w:after="0" w:line="221"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22"/>
          <w:szCs w:val="22"/>
          <w:b w:val="1"/>
          <w:bCs w:val="1"/>
          <w:color w:val="auto"/>
        </w:rPr>
        <w:t>BUYER:</w:t>
      </w:r>
    </w:p>
    <w:p>
      <w:pPr>
        <w:spacing w:after="0" w:line="206"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22"/>
          <w:szCs w:val="22"/>
          <w:b w:val="1"/>
          <w:bCs w:val="1"/>
          <w:color w:val="auto"/>
        </w:rPr>
        <w:t>[NAME OF BUYER]</w:t>
      </w:r>
    </w:p>
    <w:p>
      <w:pPr>
        <w:spacing w:after="0" w:line="200" w:lineRule="exact"/>
        <w:rPr>
          <w:sz w:val="20"/>
          <w:szCs w:val="20"/>
          <w:color w:val="auto"/>
        </w:rPr>
      </w:pPr>
    </w:p>
    <w:p>
      <w:pPr>
        <w:spacing w:after="0" w:line="22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3056255</wp:posOffset>
            </wp:positionH>
            <wp:positionV relativeFrom="paragraph">
              <wp:posOffset>-13970</wp:posOffset>
            </wp:positionV>
            <wp:extent cx="76200" cy="889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57">
                      <a:extLst>
                        <a:ext uri="{28A0092B-C50C-407E-A947-70E740481C1C}"/>
                      </a:extLst>
                    </a:blip>
                    <a:srcRect/>
                    <a:stretch>
                      <a:fillRect/>
                    </a:stretch>
                  </pic:blipFill>
                  <pic:spPr bwMode="auto">
                    <a:xfrm>
                      <a:off x="0" y="0"/>
                      <a:ext cx="76200" cy="8890"/>
                    </a:xfrm>
                    <a:prstGeom prst="rect">
                      <a:avLst/>
                    </a:prstGeom>
                    <a:noFill/>
                  </pic:spPr>
                </pic:pic>
              </a:graphicData>
            </a:graphic>
          </wp:anchor>
        </w:drawing>
      </w:r>
    </w:p>
    <w:p>
      <w:pPr>
        <w:ind w:left="5240"/>
        <w:spacing w:after="0"/>
        <w:rPr>
          <w:sz w:val="20"/>
          <w:szCs w:val="20"/>
          <w:color w:val="auto"/>
        </w:rPr>
      </w:pPr>
      <w:r>
        <w:rPr>
          <w:rFonts w:ascii="Times New Roman" w:cs="Times New Roman" w:eastAsia="Times New Roman" w:hAnsi="Times New Roman"/>
          <w:sz w:val="22"/>
          <w:szCs w:val="22"/>
          <w:color w:val="auto"/>
        </w:rPr>
        <w:t>Name:</w:t>
      </w:r>
    </w:p>
    <w:p>
      <w:pPr>
        <w:jc w:val="center"/>
        <w:ind w:right="28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805815</wp:posOffset>
            </wp:positionV>
            <wp:extent cx="7157720" cy="4254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6" w:right="339" w:bottom="1440" w:gutter="0" w:footer="0" w:header="0"/>
        </w:sectPr>
      </w:pPr>
    </w:p>
    <w:bookmarkStart w:id="191" w:name="page192"/>
    <w:bookmarkEnd w:id="191"/>
    <w:p>
      <w:pPr>
        <w:ind w:left="10360"/>
        <w:spacing w:after="0"/>
        <w:rPr>
          <w:sz w:val="20"/>
          <w:szCs w:val="20"/>
          <w:color w:val="auto"/>
        </w:rPr>
      </w:pPr>
      <w:r>
        <w:rPr>
          <w:rFonts w:ascii="Times New Roman" w:cs="Times New Roman" w:eastAsia="Times New Roman" w:hAnsi="Times New Roman"/>
          <w:sz w:val="21"/>
          <w:szCs w:val="21"/>
          <w:b w:val="1"/>
          <w:bCs w:val="1"/>
          <w:u w:val="single" w:color="auto"/>
          <w:color w:val="auto"/>
        </w:rPr>
        <w:t>Exhibit B</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Seller’s Closing Certificate</w:t>
      </w:r>
    </w:p>
    <w:p>
      <w:pPr>
        <w:spacing w:after="0" w:line="2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color w:val="FF0000"/>
        </w:rPr>
        <w:t>INSERT NAME</w:t>
      </w:r>
      <w:r>
        <w:rPr>
          <w:rFonts w:ascii="Times New Roman" w:cs="Times New Roman" w:eastAsia="Times New Roman" w:hAnsi="Times New Roman"/>
          <w:sz w:val="21"/>
          <w:szCs w:val="21"/>
          <w:color w:val="auto"/>
        </w:rPr>
        <w:t>] (the “</w:t>
      </w:r>
      <w:r>
        <w:rPr>
          <w:rFonts w:ascii="Times New Roman" w:cs="Times New Roman" w:eastAsia="Times New Roman" w:hAnsi="Times New Roman"/>
          <w:sz w:val="21"/>
          <w:szCs w:val="21"/>
          <w:u w:val="single" w:color="auto"/>
          <w:color w:val="auto"/>
        </w:rPr>
        <w:t>Seller</w:t>
      </w:r>
      <w:r>
        <w:rPr>
          <w:rFonts w:ascii="Times New Roman" w:cs="Times New Roman" w:eastAsia="Times New Roman" w:hAnsi="Times New Roman"/>
          <w:sz w:val="21"/>
          <w:szCs w:val="21"/>
          <w:color w:val="auto"/>
        </w:rPr>
        <w:t>”) pursuant to Section 9 of the Agreement of Purchase and Sale dated as of _________, 2024</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w:t>
      </w:r>
      <w:r>
        <w:rPr>
          <w:rFonts w:ascii="Times New Roman" w:cs="Times New Roman" w:eastAsia="Times New Roman" w:hAnsi="Times New Roman"/>
          <w:sz w:val="21"/>
          <w:szCs w:val="21"/>
          <w:u w:val="single" w:color="auto"/>
          <w:color w:val="auto"/>
        </w:rPr>
        <w:t>Purchase Agreement</w:t>
      </w:r>
      <w:r>
        <w:rPr>
          <w:rFonts w:ascii="Times New Roman" w:cs="Times New Roman" w:eastAsia="Times New Roman" w:hAnsi="Times New Roman"/>
          <w:sz w:val="21"/>
          <w:szCs w:val="21"/>
          <w:color w:val="auto"/>
        </w:rPr>
        <w:t>”) by and between Seller, on the one hand, and ____________ (the “</w:t>
      </w:r>
      <w:r>
        <w:rPr>
          <w:rFonts w:ascii="Times New Roman" w:cs="Times New Roman" w:eastAsia="Times New Roman" w:hAnsi="Times New Roman"/>
          <w:sz w:val="21"/>
          <w:szCs w:val="21"/>
          <w:u w:val="single" w:color="auto"/>
          <w:color w:val="auto"/>
        </w:rPr>
        <w:t>Buyer</w:t>
      </w:r>
      <w:r>
        <w:rPr>
          <w:rFonts w:ascii="Times New Roman" w:cs="Times New Roman" w:eastAsia="Times New Roman" w:hAnsi="Times New Roman"/>
          <w:sz w:val="21"/>
          <w:szCs w:val="21"/>
          <w:color w:val="auto"/>
        </w:rPr>
        <w:t>”), on the other hand, hereby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certifies to Buyer as follows with respect to Seller:</w:t>
      </w:r>
    </w:p>
    <w:p>
      <w:pPr>
        <w:spacing w:after="0" w:line="290" w:lineRule="exact"/>
        <w:rPr>
          <w:sz w:val="20"/>
          <w:szCs w:val="20"/>
          <w:color w:val="auto"/>
        </w:rPr>
      </w:pPr>
    </w:p>
    <w:p>
      <w:pPr>
        <w:jc w:val="both"/>
        <w:ind w:firstLine="757"/>
        <w:spacing w:after="0" w:line="235" w:lineRule="auto"/>
        <w:tabs>
          <w:tab w:leader="none" w:pos="1181"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Warranties</w:t>
      </w:r>
      <w:r>
        <w:rPr>
          <w:rFonts w:ascii="Times New Roman" w:cs="Times New Roman" w:eastAsia="Times New Roman" w:hAnsi="Times New Roman"/>
          <w:sz w:val="22"/>
          <w:szCs w:val="22"/>
          <w:color w:val="auto"/>
        </w:rPr>
        <w:t xml:space="preserve">. The representations and warranties of Seller contained in the Purchase Agreement and in the Additional Seller’s Documents to which it is a party with respect to the Interest(s) being transferred by Seller to Buyer as of the date hereof are true and accurate in all material respects (disregarding any “materiality”, “material adverse effect” or words of similar import), in each case as of the date when made and at and as of the date hereof (as modified in terms of the amount and timing of any Distributions and Capital Contributions by the latest delivered Pre-Closing Notice and amended </w:t>
      </w:r>
      <w:r>
        <w:rPr>
          <w:rFonts w:ascii="Times New Roman" w:cs="Times New Roman" w:eastAsia="Times New Roman" w:hAnsi="Times New Roman"/>
          <w:sz w:val="22"/>
          <w:szCs w:val="22"/>
          <w:u w:val="single" w:color="auto"/>
          <w:color w:val="auto"/>
        </w:rPr>
        <w:t>Schedule II</w:t>
      </w:r>
      <w:r>
        <w:rPr>
          <w:rFonts w:ascii="Times New Roman" w:cs="Times New Roman" w:eastAsia="Times New Roman" w:hAnsi="Times New Roman"/>
          <w:sz w:val="22"/>
          <w:szCs w:val="22"/>
          <w:color w:val="auto"/>
        </w:rPr>
        <w:t xml:space="preserve"> in each case in accordance with the terms of the Purchase Agreement) as though such representations and warranties were made at and as of the date hereof, except in each case to the extent that they expressly refer to an earlier or specific time, in which case they were true and correct in all material respects as of such time.</w:t>
      </w:r>
    </w:p>
    <w:p>
      <w:pPr>
        <w:spacing w:after="0" w:line="178" w:lineRule="exact"/>
        <w:rPr>
          <w:rFonts w:ascii="Times New Roman" w:cs="Times New Roman" w:eastAsia="Times New Roman" w:hAnsi="Times New Roman"/>
          <w:sz w:val="22"/>
          <w:szCs w:val="22"/>
          <w:color w:val="auto"/>
        </w:rPr>
      </w:pPr>
    </w:p>
    <w:p>
      <w:pPr>
        <w:jc w:val="both"/>
        <w:ind w:firstLine="757"/>
        <w:spacing w:after="0" w:line="244" w:lineRule="auto"/>
        <w:tabs>
          <w:tab w:leader="none" w:pos="1194"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Performance</w:t>
      </w:r>
      <w:r>
        <w:rPr>
          <w:rFonts w:ascii="Times New Roman" w:cs="Times New Roman" w:eastAsia="Times New Roman" w:hAnsi="Times New Roman"/>
          <w:sz w:val="22"/>
          <w:szCs w:val="22"/>
          <w:color w:val="auto"/>
        </w:rPr>
        <w:t>. Seller has performed in all material respects all agreements and obligations and complied with all conditions required by the Purchase Agreement and any Additional Seller’s Documents to which it is a party to be performed or complied with by Seller at or prior to the date hereof.</w:t>
      </w:r>
    </w:p>
    <w:p>
      <w:pPr>
        <w:spacing w:after="0" w:line="173"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22"/>
          <w:szCs w:val="22"/>
          <w:color w:val="auto"/>
        </w:rPr>
        <w:t>Capitalized terms used in this certificate which are not otherwise defined have the meanings given to them in the Purchase Agreement.</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IN WITNESS WHEREOF, the undersigned has executed this Seller’s Closing Certificate this ___ day of ________,</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2024.</w:t>
      </w:r>
    </w:p>
    <w:p>
      <w:pPr>
        <w:spacing w:after="0" w:line="178"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22"/>
          <w:szCs w:val="22"/>
          <w:b w:val="1"/>
          <w:bCs w:val="1"/>
          <w:color w:val="auto"/>
        </w:rPr>
        <w:t>SELLER:</w:t>
      </w:r>
    </w:p>
    <w:p>
      <w:pPr>
        <w:spacing w:after="0" w:line="21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color w:val="FF0000"/>
        </w:rPr>
        <w:t>INSERT NAME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35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3056255</wp:posOffset>
            </wp:positionH>
            <wp:positionV relativeFrom="paragraph">
              <wp:posOffset>-13970</wp:posOffset>
            </wp:positionV>
            <wp:extent cx="76200" cy="889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59">
                      <a:extLst>
                        <a:ext uri="{28A0092B-C50C-407E-A947-70E740481C1C}"/>
                      </a:extLst>
                    </a:blip>
                    <a:srcRect/>
                    <a:stretch>
                      <a:fillRect/>
                    </a:stretch>
                  </pic:blipFill>
                  <pic:spPr bwMode="auto">
                    <a:xfrm>
                      <a:off x="0" y="0"/>
                      <a:ext cx="76200" cy="8890"/>
                    </a:xfrm>
                    <a:prstGeom prst="rect">
                      <a:avLst/>
                    </a:prstGeom>
                    <a:noFill/>
                  </pic:spPr>
                </pic:pic>
              </a:graphicData>
            </a:graphic>
          </wp:anchor>
        </w:drawing>
      </w:r>
    </w:p>
    <w:p>
      <w:pPr>
        <w:ind w:left="5240"/>
        <w:spacing w:after="0"/>
        <w:rPr>
          <w:sz w:val="20"/>
          <w:szCs w:val="20"/>
          <w:color w:val="auto"/>
        </w:rPr>
      </w:pPr>
      <w:r>
        <w:rPr>
          <w:rFonts w:ascii="Times New Roman" w:cs="Times New Roman" w:eastAsia="Times New Roman" w:hAnsi="Times New Roman"/>
          <w:sz w:val="22"/>
          <w:szCs w:val="22"/>
          <w:color w:val="auto"/>
        </w:rPr>
        <w:t>Name:</w:t>
      </w:r>
    </w:p>
    <w:p>
      <w:pPr>
        <w:jc w:val="center"/>
        <w:ind w:right="28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1080135</wp:posOffset>
            </wp:positionV>
            <wp:extent cx="7157720" cy="4254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6" w:right="339" w:bottom="1440" w:gutter="0" w:footer="0" w:header="0"/>
        </w:sectPr>
      </w:pPr>
    </w:p>
    <w:bookmarkStart w:id="192" w:name="page193"/>
    <w:bookmarkEnd w:id="192"/>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Exhibit 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[LETTERHEAD]</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[INSERT DATE]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[INSERT BUYER CONTACT DETAILS]</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Pre-Closing Notice</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This Pre-Closing Notice is delivered pursuant to the Agreement of Purchase and Sale, dated [INSERT DATE] (the “</w:t>
      </w:r>
      <w:r>
        <w:rPr>
          <w:rFonts w:ascii="Times New Roman" w:cs="Times New Roman" w:eastAsia="Times New Roman" w:hAnsi="Times New Roman"/>
          <w:sz w:val="22"/>
          <w:szCs w:val="22"/>
          <w:u w:val="single" w:color="auto"/>
          <w:color w:val="auto"/>
        </w:rPr>
        <w:t>Purchase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by and between [SELLER] (the “</w:t>
      </w:r>
      <w:r>
        <w:rPr>
          <w:rFonts w:ascii="Times New Roman" w:cs="Times New Roman" w:eastAsia="Times New Roman" w:hAnsi="Times New Roman"/>
          <w:sz w:val="22"/>
          <w:szCs w:val="22"/>
          <w:u w:val="single" w:color="auto"/>
          <w:color w:val="auto"/>
        </w:rPr>
        <w:t>Seller</w:t>
      </w:r>
      <w:r>
        <w:rPr>
          <w:rFonts w:ascii="Times New Roman" w:cs="Times New Roman" w:eastAsia="Times New Roman" w:hAnsi="Times New Roman"/>
          <w:sz w:val="22"/>
          <w:szCs w:val="22"/>
          <w:color w:val="auto"/>
        </w:rPr>
        <w:t>”) and [BUYER] (the “</w:t>
      </w:r>
      <w:r>
        <w:rPr>
          <w:rFonts w:ascii="Times New Roman" w:cs="Times New Roman" w:eastAsia="Times New Roman" w:hAnsi="Times New Roman"/>
          <w:sz w:val="22"/>
          <w:szCs w:val="22"/>
          <w:u w:val="single" w:color="auto"/>
          <w:color w:val="auto"/>
        </w:rPr>
        <w:t>Buyer</w:t>
      </w:r>
      <w:r>
        <w:rPr>
          <w:rFonts w:ascii="Times New Roman" w:cs="Times New Roman" w:eastAsia="Times New Roman" w:hAnsi="Times New Roman"/>
          <w:sz w:val="22"/>
          <w:szCs w:val="22"/>
          <w:color w:val="auto"/>
        </w:rPr>
        <w:t>”). Capitalized terms used herein, but not defined herein, shall have the respective meanings given to such terms in the Purchase Agreement.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accordance with Section 3(b) of the Purchase Agreement, we hereby notify you that:</w:t>
      </w:r>
    </w:p>
    <w:p>
      <w:pPr>
        <w:spacing w:after="0" w:line="206" w:lineRule="exact"/>
        <w:rPr>
          <w:sz w:val="20"/>
          <w:szCs w:val="20"/>
          <w:color w:val="auto"/>
        </w:rPr>
      </w:pPr>
    </w:p>
    <w:p>
      <w:pPr>
        <w:ind w:left="620" w:hanging="425"/>
        <w:spacing w:after="0"/>
        <w:tabs>
          <w:tab w:leader="none" w:pos="620"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Closing Date for the Interests set forth on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 xml:space="preserve"> hereto shall be on [INSERT DATE].</w:t>
      </w:r>
    </w:p>
    <w:p>
      <w:pPr>
        <w:spacing w:after="0" w:line="206" w:lineRule="exact"/>
        <w:rPr>
          <w:rFonts w:ascii="Times New Roman" w:cs="Times New Roman" w:eastAsia="Times New Roman" w:hAnsi="Times New Roman"/>
          <w:sz w:val="22"/>
          <w:szCs w:val="22"/>
          <w:color w:val="auto"/>
        </w:rPr>
      </w:pPr>
    </w:p>
    <w:p>
      <w:pPr>
        <w:ind w:left="760" w:hanging="565"/>
        <w:spacing w:after="0" w:line="244" w:lineRule="auto"/>
        <w:tabs>
          <w:tab w:leader="none" w:pos="631"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corresponding Interest Purchase Price as of the date hereof for each such Interest has been calculated in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 attached hereto, in the manner described in Section 4 of the Purchase Agreement on the basis of the information available to us at the time of calculation.</w:t>
      </w:r>
    </w:p>
    <w:p>
      <w:pPr>
        <w:spacing w:after="0" w:line="173" w:lineRule="exact"/>
        <w:rPr>
          <w:rFonts w:ascii="Times New Roman" w:cs="Times New Roman" w:eastAsia="Times New Roman" w:hAnsi="Times New Roman"/>
          <w:sz w:val="22"/>
          <w:szCs w:val="22"/>
          <w:color w:val="auto"/>
        </w:rPr>
      </w:pPr>
    </w:p>
    <w:p>
      <w:pPr>
        <w:ind w:left="760" w:hanging="565"/>
        <w:spacing w:after="0" w:line="244" w:lineRule="auto"/>
        <w:tabs>
          <w:tab w:leader="none" w:pos="671"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Appendix B</w:t>
      </w:r>
      <w:r>
        <w:rPr>
          <w:rFonts w:ascii="Times New Roman" w:cs="Times New Roman" w:eastAsia="Times New Roman" w:hAnsi="Times New Roman"/>
          <w:sz w:val="22"/>
          <w:szCs w:val="22"/>
          <w:color w:val="auto"/>
        </w:rPr>
        <w:t xml:space="preserve"> sets forth a list, for each Interest to be sold on the anticipated Closing Date, of each of the Capital Contributions after the Cut Off Date through the anticipated Closing Date and each of the Distributions received after the Cut Off Date through the anticipated Closing Date for which we are aware.</w:t>
      </w:r>
    </w:p>
    <w:p>
      <w:pPr>
        <w:spacing w:after="0" w:line="173" w:lineRule="exact"/>
        <w:rPr>
          <w:rFonts w:ascii="Times New Roman" w:cs="Times New Roman" w:eastAsia="Times New Roman" w:hAnsi="Times New Roman"/>
          <w:sz w:val="22"/>
          <w:szCs w:val="22"/>
          <w:color w:val="auto"/>
        </w:rPr>
      </w:pPr>
    </w:p>
    <w:p>
      <w:pPr>
        <w:ind w:left="760" w:right="40" w:hanging="565"/>
        <w:spacing w:after="0" w:line="258" w:lineRule="auto"/>
        <w:tabs>
          <w:tab w:leader="none" w:pos="631"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Wiring instructions for the account designated by the Seller to which the Interest Purchase Price for each such Interest shall be paid are set forth on </w:t>
      </w:r>
      <w:r>
        <w:rPr>
          <w:rFonts w:ascii="Times New Roman" w:cs="Times New Roman" w:eastAsia="Times New Roman" w:hAnsi="Times New Roman"/>
          <w:sz w:val="22"/>
          <w:szCs w:val="22"/>
          <w:u w:val="single" w:color="auto"/>
          <w:color w:val="auto"/>
        </w:rPr>
        <w:t>Appendix C</w:t>
      </w:r>
      <w:r>
        <w:rPr>
          <w:rFonts w:ascii="Times New Roman" w:cs="Times New Roman" w:eastAsia="Times New Roman" w:hAnsi="Times New Roman"/>
          <w:sz w:val="22"/>
          <w:szCs w:val="22"/>
          <w:color w:val="auto"/>
        </w:rPr>
        <w:t xml:space="preserve"> attached hereto.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Sincerely,</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color w:val="FF0000"/>
        </w:rPr>
        <w:t>INSERT NAME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___________________________</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942975</wp:posOffset>
            </wp:positionV>
            <wp:extent cx="7157720" cy="4254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6" w:right="339" w:bottom="1440" w:gutter="0" w:footer="0" w:header="0"/>
        </w:sectPr>
      </w:pPr>
    </w:p>
    <w:bookmarkStart w:id="193" w:name="page194"/>
    <w:bookmarkEnd w:id="193"/>
    <w:p>
      <w:pPr>
        <w:jc w:val="center"/>
        <w:spacing w:after="0"/>
        <w:rPr>
          <w:sz w:val="20"/>
          <w:szCs w:val="20"/>
          <w:color w:val="auto"/>
        </w:rPr>
      </w:pPr>
      <w:r>
        <w:rPr>
          <w:rFonts w:ascii="Times New Roman" w:cs="Times New Roman" w:eastAsia="Times New Roman" w:hAnsi="Times New Roman"/>
          <w:sz w:val="20"/>
          <w:szCs w:val="20"/>
          <w:u w:val="single" w:color="auto"/>
          <w:color w:val="auto"/>
        </w:rPr>
        <w:t>Appendix A</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[Note: only list Interests to be transferred at Closing]</w:t>
      </w:r>
    </w:p>
    <w:p>
      <w:pPr>
        <w:spacing w:after="0" w:line="237" w:lineRule="exact"/>
        <w:rPr>
          <w:sz w:val="20"/>
          <w:szCs w:val="20"/>
          <w:color w:val="auto"/>
        </w:rPr>
      </w:pPr>
    </w:p>
    <w:tbl>
      <w:tblPr>
        <w:tblLayout w:type="fixed"/>
        <w:tblInd w:w="10" w:type="dxa"/>
        <w:tblCellMar>
          <w:top w:w="0" w:type="dxa"/>
          <w:left w:w="0" w:type="dxa"/>
          <w:bottom w:w="0" w:type="dxa"/>
          <w:right w:w="0" w:type="dxa"/>
        </w:tblCellMar>
      </w:tblPr>
      <w:tr>
        <w:trPr>
          <w:trHeight w:val="141"/>
        </w:trPr>
        <w:tc>
          <w:tcPr>
            <w:tcW w:w="700" w:type="dxa"/>
            <w:vAlign w:val="bottom"/>
            <w:tcBorders>
              <w:top w:val="single" w:sz="8" w:color="auto"/>
              <w:left w:val="single" w:sz="8" w:color="auto"/>
              <w:right w:val="single" w:sz="8" w:color="auto"/>
            </w:tcBorders>
            <w:shd w:val="clear" w:color="auto" w:fill="C0C0C0"/>
          </w:tcPr>
          <w:p>
            <w:pPr>
              <w:spacing w:after="0"/>
              <w:rPr>
                <w:sz w:val="12"/>
                <w:szCs w:val="12"/>
                <w:color w:val="auto"/>
              </w:rPr>
            </w:pPr>
          </w:p>
        </w:tc>
        <w:tc>
          <w:tcPr>
            <w:tcW w:w="420" w:type="dxa"/>
            <w:vAlign w:val="bottom"/>
            <w:tcBorders>
              <w:top w:val="single" w:sz="8" w:color="auto"/>
            </w:tcBorders>
            <w:shd w:val="clear" w:color="auto" w:fill="C0C0C0"/>
          </w:tcPr>
          <w:p>
            <w:pPr>
              <w:spacing w:after="0"/>
              <w:rPr>
                <w:sz w:val="12"/>
                <w:szCs w:val="12"/>
                <w:color w:val="auto"/>
              </w:rPr>
            </w:pPr>
          </w:p>
        </w:tc>
        <w:tc>
          <w:tcPr>
            <w:tcW w:w="420" w:type="dxa"/>
            <w:vAlign w:val="bottom"/>
            <w:tcBorders>
              <w:top w:val="single" w:sz="8" w:color="auto"/>
            </w:tcBorders>
            <w:shd w:val="clear" w:color="auto" w:fill="C0C0C0"/>
          </w:tcPr>
          <w:p>
            <w:pPr>
              <w:spacing w:after="0"/>
              <w:rPr>
                <w:sz w:val="12"/>
                <w:szCs w:val="12"/>
                <w:color w:val="auto"/>
              </w:rPr>
            </w:pPr>
          </w:p>
        </w:tc>
        <w:tc>
          <w:tcPr>
            <w:tcW w:w="360" w:type="dxa"/>
            <w:vAlign w:val="bottom"/>
            <w:tcBorders>
              <w:top w:val="single" w:sz="8" w:color="auto"/>
            </w:tcBorders>
            <w:shd w:val="clear" w:color="auto" w:fill="C0C0C0"/>
          </w:tcPr>
          <w:p>
            <w:pPr>
              <w:spacing w:after="0"/>
              <w:rPr>
                <w:sz w:val="12"/>
                <w:szCs w:val="12"/>
                <w:color w:val="auto"/>
              </w:rPr>
            </w:pPr>
          </w:p>
        </w:tc>
        <w:tc>
          <w:tcPr>
            <w:tcW w:w="920" w:type="dxa"/>
            <w:vAlign w:val="bottom"/>
            <w:tcBorders>
              <w:top w:val="single" w:sz="8" w:color="auto"/>
            </w:tcBorders>
            <w:vMerge w:val="restart"/>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880" w:type="dxa"/>
            <w:vAlign w:val="bottom"/>
            <w:tcBorders>
              <w:top w:val="single" w:sz="8" w:color="auto"/>
            </w:tcBorders>
            <w:shd w:val="clear" w:color="auto" w:fill="C0C0C0"/>
          </w:tcPr>
          <w:p>
            <w:pPr>
              <w:spacing w:after="0"/>
              <w:rPr>
                <w:sz w:val="12"/>
                <w:szCs w:val="12"/>
                <w:color w:val="auto"/>
              </w:rPr>
            </w:pPr>
          </w:p>
        </w:tc>
        <w:tc>
          <w:tcPr>
            <w:tcW w:w="620" w:type="dxa"/>
            <w:vAlign w:val="bottom"/>
            <w:tcBorders>
              <w:top w:val="single" w:sz="8" w:color="auto"/>
            </w:tcBorders>
            <w:shd w:val="clear" w:color="auto" w:fill="C0C0C0"/>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780" w:type="dxa"/>
            <w:vAlign w:val="bottom"/>
            <w:tcBorders>
              <w:top w:val="single" w:sz="8" w:color="auto"/>
            </w:tcBorders>
            <w:shd w:val="clear" w:color="auto" w:fill="C0C0C0"/>
          </w:tcPr>
          <w:p>
            <w:pPr>
              <w:spacing w:after="0"/>
              <w:rPr>
                <w:sz w:val="12"/>
                <w:szCs w:val="12"/>
                <w:color w:val="auto"/>
              </w:rPr>
            </w:pPr>
          </w:p>
        </w:tc>
        <w:tc>
          <w:tcPr>
            <w:tcW w:w="660" w:type="dxa"/>
            <w:vAlign w:val="bottom"/>
            <w:tcBorders>
              <w:top w:val="single" w:sz="8" w:color="auto"/>
            </w:tcBorders>
            <w:shd w:val="clear" w:color="auto" w:fill="C0C0C0"/>
          </w:tcPr>
          <w:p>
            <w:pPr>
              <w:spacing w:after="0"/>
              <w:rPr>
                <w:sz w:val="12"/>
                <w:szCs w:val="12"/>
                <w:color w:val="auto"/>
              </w:rPr>
            </w:pPr>
          </w:p>
        </w:tc>
        <w:tc>
          <w:tcPr>
            <w:tcW w:w="720" w:type="dxa"/>
            <w:vAlign w:val="bottom"/>
            <w:tcBorders>
              <w:top w:val="single" w:sz="8" w:color="auto"/>
            </w:tcBorders>
            <w:shd w:val="clear" w:color="auto" w:fill="C0C0C0"/>
          </w:tcPr>
          <w:p>
            <w:pPr>
              <w:spacing w:after="0"/>
              <w:rPr>
                <w:sz w:val="12"/>
                <w:szCs w:val="12"/>
                <w:color w:val="auto"/>
              </w:rPr>
            </w:pPr>
          </w:p>
        </w:tc>
        <w:tc>
          <w:tcPr>
            <w:tcW w:w="920" w:type="dxa"/>
            <w:vAlign w:val="bottom"/>
            <w:tcBorders>
              <w:top w:val="single" w:sz="8" w:color="auto"/>
            </w:tcBorders>
            <w:shd w:val="clear" w:color="auto" w:fill="C0C0C0"/>
          </w:tcPr>
          <w:p>
            <w:pPr>
              <w:spacing w:after="0"/>
              <w:rPr>
                <w:sz w:val="12"/>
                <w:szCs w:val="12"/>
                <w:color w:val="auto"/>
              </w:rPr>
            </w:pPr>
          </w:p>
        </w:tc>
        <w:tc>
          <w:tcPr>
            <w:tcW w:w="820" w:type="dxa"/>
            <w:vAlign w:val="bottom"/>
            <w:tcBorders>
              <w:top w:val="single" w:sz="8" w:color="auto"/>
            </w:tcBorders>
            <w:shd w:val="clear" w:color="auto" w:fill="C0C0C0"/>
          </w:tcPr>
          <w:p>
            <w:pPr>
              <w:spacing w:after="0"/>
              <w:rPr>
                <w:sz w:val="12"/>
                <w:szCs w:val="12"/>
                <w:color w:val="auto"/>
              </w:rPr>
            </w:pPr>
          </w:p>
        </w:tc>
        <w:tc>
          <w:tcPr>
            <w:tcW w:w="940" w:type="dxa"/>
            <w:vAlign w:val="bottom"/>
            <w:tcBorders>
              <w:top w:val="single" w:sz="8" w:color="auto"/>
            </w:tcBorders>
            <w:shd w:val="clear" w:color="auto" w:fill="C0C0C0"/>
          </w:tcPr>
          <w:p>
            <w:pPr>
              <w:spacing w:after="0"/>
              <w:rPr>
                <w:sz w:val="12"/>
                <w:szCs w:val="12"/>
                <w:color w:val="auto"/>
              </w:rPr>
            </w:pPr>
          </w:p>
        </w:tc>
        <w:tc>
          <w:tcPr>
            <w:tcW w:w="740" w:type="dxa"/>
            <w:vAlign w:val="bottom"/>
            <w:tcBorders>
              <w:top w:val="single" w:sz="8" w:color="auto"/>
            </w:tcBorders>
            <w:shd w:val="clear" w:color="auto" w:fill="C0C0C0"/>
          </w:tcPr>
          <w:p>
            <w:pPr>
              <w:spacing w:after="0"/>
              <w:rPr>
                <w:sz w:val="12"/>
                <w:szCs w:val="12"/>
                <w:color w:val="auto"/>
              </w:rPr>
            </w:pPr>
          </w:p>
        </w:tc>
        <w:tc>
          <w:tcPr>
            <w:tcW w:w="700" w:type="dxa"/>
            <w:vAlign w:val="bottom"/>
            <w:tcBorders>
              <w:top w:val="single" w:sz="8" w:color="auto"/>
            </w:tcBorders>
            <w:shd w:val="clear" w:color="auto" w:fill="C0C0C0"/>
          </w:tcPr>
          <w:p>
            <w:pPr>
              <w:spacing w:after="0"/>
              <w:rPr>
                <w:sz w:val="12"/>
                <w:szCs w:val="12"/>
                <w:color w:val="auto"/>
              </w:rPr>
            </w:pPr>
          </w:p>
        </w:tc>
        <w:tc>
          <w:tcPr>
            <w:tcW w:w="640" w:type="dxa"/>
            <w:vAlign w:val="bottom"/>
            <w:tcBorders>
              <w:top w:val="single" w:sz="8" w:color="auto"/>
            </w:tcBorders>
            <w:shd w:val="clear" w:color="auto" w:fill="C0C0C0"/>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 w:type="dxa"/>
            <w:vAlign w:val="bottom"/>
            <w:tcBorders>
              <w:left w:val="single" w:sz="8" w:color="auto"/>
              <w:right w:val="single" w:sz="8" w:color="auto"/>
            </w:tcBorders>
            <w:shd w:val="clear" w:color="auto" w:fill="C0C0C0"/>
          </w:tcPr>
          <w:p>
            <w:pPr>
              <w:spacing w:after="0"/>
              <w:rPr>
                <w:sz w:val="12"/>
                <w:szCs w:val="12"/>
                <w:color w:val="auto"/>
              </w:rPr>
            </w:pPr>
          </w:p>
        </w:tc>
        <w:tc>
          <w:tcPr>
            <w:tcW w:w="420" w:type="dxa"/>
            <w:vAlign w:val="bottom"/>
            <w:shd w:val="clear" w:color="auto" w:fill="C0C0C0"/>
          </w:tcPr>
          <w:p>
            <w:pPr>
              <w:spacing w:after="0"/>
              <w:rPr>
                <w:sz w:val="12"/>
                <w:szCs w:val="12"/>
                <w:color w:val="auto"/>
              </w:rPr>
            </w:pPr>
          </w:p>
        </w:tc>
        <w:tc>
          <w:tcPr>
            <w:tcW w:w="420" w:type="dxa"/>
            <w:vAlign w:val="bottom"/>
            <w:shd w:val="clear" w:color="auto" w:fill="C0C0C0"/>
          </w:tcPr>
          <w:p>
            <w:pPr>
              <w:spacing w:after="0"/>
              <w:rPr>
                <w:sz w:val="12"/>
                <w:szCs w:val="12"/>
                <w:color w:val="auto"/>
              </w:rPr>
            </w:pPr>
          </w:p>
        </w:tc>
        <w:tc>
          <w:tcPr>
            <w:tcW w:w="360" w:type="dxa"/>
            <w:vAlign w:val="bottom"/>
            <w:shd w:val="clear" w:color="auto" w:fill="C0C0C0"/>
          </w:tcPr>
          <w:p>
            <w:pPr>
              <w:spacing w:after="0"/>
              <w:rPr>
                <w:sz w:val="12"/>
                <w:szCs w:val="12"/>
                <w:color w:val="auto"/>
              </w:rPr>
            </w:pPr>
          </w:p>
        </w:tc>
        <w:tc>
          <w:tcPr>
            <w:tcW w:w="920" w:type="dxa"/>
            <w:vAlign w:val="bottom"/>
            <w:vMerge w:val="continue"/>
            <w:shd w:val="clear" w:color="auto" w:fill="C0C0C0"/>
          </w:tcPr>
          <w:p>
            <w:pPr>
              <w:spacing w:after="0"/>
              <w:rPr>
                <w:sz w:val="12"/>
                <w:szCs w:val="12"/>
                <w:color w:val="auto"/>
              </w:rPr>
            </w:pPr>
          </w:p>
        </w:tc>
        <w:tc>
          <w:tcPr>
            <w:tcW w:w="880" w:type="dxa"/>
            <w:vAlign w:val="bottom"/>
            <w:shd w:val="clear" w:color="auto" w:fill="C0C0C0"/>
          </w:tcPr>
          <w:p>
            <w:pPr>
              <w:spacing w:after="0"/>
              <w:rPr>
                <w:sz w:val="12"/>
                <w:szCs w:val="12"/>
                <w:color w:val="auto"/>
              </w:rPr>
            </w:pPr>
          </w:p>
        </w:tc>
        <w:tc>
          <w:tcPr>
            <w:tcW w:w="620" w:type="dxa"/>
            <w:vAlign w:val="bottom"/>
            <w:shd w:val="clear" w:color="auto" w:fill="C0C0C0"/>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Account</w:t>
            </w:r>
          </w:p>
        </w:tc>
        <w:tc>
          <w:tcPr>
            <w:tcW w:w="780" w:type="dxa"/>
            <w:vAlign w:val="bottom"/>
            <w:shd w:val="clear" w:color="auto" w:fill="C0C0C0"/>
          </w:tcPr>
          <w:p>
            <w:pPr>
              <w:spacing w:after="0"/>
              <w:rPr>
                <w:sz w:val="12"/>
                <w:szCs w:val="12"/>
                <w:color w:val="auto"/>
              </w:rPr>
            </w:pPr>
          </w:p>
        </w:tc>
        <w:tc>
          <w:tcPr>
            <w:tcW w:w="660" w:type="dxa"/>
            <w:vAlign w:val="bottom"/>
            <w:vMerge w:val="restart"/>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w:t>
            </w:r>
          </w:p>
        </w:tc>
        <w:tc>
          <w:tcPr>
            <w:tcW w:w="720" w:type="dxa"/>
            <w:vAlign w:val="bottom"/>
            <w:shd w:val="clear" w:color="auto" w:fill="C0C0C0"/>
          </w:tcPr>
          <w:p>
            <w:pPr>
              <w:spacing w:after="0"/>
              <w:rPr>
                <w:sz w:val="12"/>
                <w:szCs w:val="12"/>
                <w:color w:val="auto"/>
              </w:rPr>
            </w:pPr>
          </w:p>
        </w:tc>
        <w:tc>
          <w:tcPr>
            <w:tcW w:w="920" w:type="dxa"/>
            <w:vAlign w:val="bottom"/>
            <w:shd w:val="clear" w:color="auto" w:fill="C0C0C0"/>
          </w:tcPr>
          <w:p>
            <w:pPr>
              <w:spacing w:after="0"/>
              <w:rPr>
                <w:sz w:val="12"/>
                <w:szCs w:val="12"/>
                <w:color w:val="auto"/>
              </w:rPr>
            </w:pPr>
          </w:p>
        </w:tc>
        <w:tc>
          <w:tcPr>
            <w:tcW w:w="820" w:type="dxa"/>
            <w:vAlign w:val="bottom"/>
            <w:shd w:val="clear" w:color="auto" w:fill="C0C0C0"/>
          </w:tcPr>
          <w:p>
            <w:pPr>
              <w:spacing w:after="0"/>
              <w:rPr>
                <w:sz w:val="12"/>
                <w:szCs w:val="12"/>
                <w:color w:val="auto"/>
              </w:rPr>
            </w:pPr>
          </w:p>
        </w:tc>
        <w:tc>
          <w:tcPr>
            <w:tcW w:w="940" w:type="dxa"/>
            <w:vAlign w:val="bottom"/>
            <w:shd w:val="clear" w:color="auto" w:fill="C0C0C0"/>
          </w:tcPr>
          <w:p>
            <w:pPr>
              <w:spacing w:after="0"/>
              <w:rPr>
                <w:sz w:val="12"/>
                <w:szCs w:val="12"/>
                <w:color w:val="auto"/>
              </w:rPr>
            </w:pPr>
          </w:p>
        </w:tc>
        <w:tc>
          <w:tcPr>
            <w:tcW w:w="740" w:type="dxa"/>
            <w:vAlign w:val="bottom"/>
            <w:shd w:val="clear" w:color="auto" w:fill="C0C0C0"/>
          </w:tcPr>
          <w:p>
            <w:pPr>
              <w:spacing w:after="0"/>
              <w:rPr>
                <w:sz w:val="12"/>
                <w:szCs w:val="12"/>
                <w:color w:val="auto"/>
              </w:rPr>
            </w:pPr>
          </w:p>
        </w:tc>
        <w:tc>
          <w:tcPr>
            <w:tcW w:w="700" w:type="dxa"/>
            <w:vAlign w:val="bottom"/>
            <w:vMerge w:val="restart"/>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640" w:type="dxa"/>
            <w:vAlign w:val="bottom"/>
            <w:shd w:val="clear" w:color="auto" w:fill="C0C0C0"/>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 w:type="dxa"/>
            <w:vAlign w:val="bottom"/>
            <w:tcBorders>
              <w:left w:val="single" w:sz="8" w:color="auto"/>
              <w:right w:val="single" w:sz="8" w:color="auto"/>
            </w:tcBorders>
            <w:shd w:val="clear" w:color="auto" w:fill="C0C0C0"/>
          </w:tcPr>
          <w:p>
            <w:pPr>
              <w:spacing w:after="0"/>
              <w:rPr>
                <w:sz w:val="12"/>
                <w:szCs w:val="12"/>
                <w:color w:val="auto"/>
              </w:rPr>
            </w:pPr>
          </w:p>
        </w:tc>
        <w:tc>
          <w:tcPr>
            <w:tcW w:w="420" w:type="dxa"/>
            <w:vAlign w:val="bottom"/>
            <w:shd w:val="clear" w:color="auto" w:fill="C0C0C0"/>
          </w:tcPr>
          <w:p>
            <w:pPr>
              <w:spacing w:after="0"/>
              <w:rPr>
                <w:sz w:val="12"/>
                <w:szCs w:val="12"/>
                <w:color w:val="auto"/>
              </w:rPr>
            </w:pPr>
          </w:p>
        </w:tc>
        <w:tc>
          <w:tcPr>
            <w:tcW w:w="420" w:type="dxa"/>
            <w:vAlign w:val="bottom"/>
            <w:shd w:val="clear" w:color="auto" w:fill="C0C0C0"/>
          </w:tcPr>
          <w:p>
            <w:pPr>
              <w:spacing w:after="0"/>
              <w:rPr>
                <w:sz w:val="12"/>
                <w:szCs w:val="12"/>
                <w:color w:val="auto"/>
              </w:rPr>
            </w:pPr>
          </w:p>
        </w:tc>
        <w:tc>
          <w:tcPr>
            <w:tcW w:w="360" w:type="dxa"/>
            <w:vAlign w:val="bottom"/>
            <w:shd w:val="clear" w:color="auto" w:fill="C0C0C0"/>
          </w:tcPr>
          <w:p>
            <w:pPr>
              <w:spacing w:after="0"/>
              <w:rPr>
                <w:sz w:val="12"/>
                <w:szCs w:val="12"/>
                <w:color w:val="auto"/>
              </w:rPr>
            </w:pPr>
          </w:p>
        </w:tc>
        <w:tc>
          <w:tcPr>
            <w:tcW w:w="920" w:type="dxa"/>
            <w:vAlign w:val="bottom"/>
            <w:shd w:val="clear" w:color="auto" w:fill="C0C0C0"/>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Seller’s Total</w:t>
            </w:r>
          </w:p>
        </w:tc>
        <w:tc>
          <w:tcPr>
            <w:tcW w:w="880" w:type="dxa"/>
            <w:vAlign w:val="bottom"/>
            <w:shd w:val="clear" w:color="auto" w:fill="C0C0C0"/>
          </w:tcPr>
          <w:p>
            <w:pPr>
              <w:spacing w:after="0"/>
              <w:rPr>
                <w:sz w:val="12"/>
                <w:szCs w:val="12"/>
                <w:color w:val="auto"/>
              </w:rPr>
            </w:pPr>
          </w:p>
        </w:tc>
        <w:tc>
          <w:tcPr>
            <w:tcW w:w="620" w:type="dxa"/>
            <w:vAlign w:val="bottom"/>
            <w:shd w:val="clear" w:color="auto" w:fill="C0C0C0"/>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Balance</w:t>
            </w:r>
          </w:p>
        </w:tc>
        <w:tc>
          <w:tcPr>
            <w:tcW w:w="780" w:type="dxa"/>
            <w:vAlign w:val="bottom"/>
            <w:shd w:val="clear" w:color="auto" w:fill="C0C0C0"/>
          </w:tcPr>
          <w:p>
            <w:pPr>
              <w:spacing w:after="0"/>
              <w:rPr>
                <w:sz w:val="12"/>
                <w:szCs w:val="12"/>
                <w:color w:val="auto"/>
              </w:rPr>
            </w:pPr>
          </w:p>
        </w:tc>
        <w:tc>
          <w:tcPr>
            <w:tcW w:w="660" w:type="dxa"/>
            <w:vAlign w:val="bottom"/>
            <w:vMerge w:val="continue"/>
            <w:shd w:val="clear" w:color="auto" w:fill="C0C0C0"/>
          </w:tcPr>
          <w:p>
            <w:pPr>
              <w:spacing w:after="0"/>
              <w:rPr>
                <w:sz w:val="12"/>
                <w:szCs w:val="12"/>
                <w:color w:val="auto"/>
              </w:rPr>
            </w:pPr>
          </w:p>
        </w:tc>
        <w:tc>
          <w:tcPr>
            <w:tcW w:w="720" w:type="dxa"/>
            <w:vAlign w:val="bottom"/>
            <w:shd w:val="clear" w:color="auto" w:fill="C0C0C0"/>
          </w:tcPr>
          <w:p>
            <w:pPr>
              <w:spacing w:after="0"/>
              <w:rPr>
                <w:sz w:val="12"/>
                <w:szCs w:val="12"/>
                <w:color w:val="auto"/>
              </w:rPr>
            </w:pPr>
          </w:p>
        </w:tc>
        <w:tc>
          <w:tcPr>
            <w:tcW w:w="920" w:type="dxa"/>
            <w:vAlign w:val="bottom"/>
            <w:shd w:val="clear" w:color="auto" w:fill="C0C0C0"/>
          </w:tcPr>
          <w:p>
            <w:pPr>
              <w:spacing w:after="0"/>
              <w:rPr>
                <w:sz w:val="12"/>
                <w:szCs w:val="12"/>
                <w:color w:val="auto"/>
              </w:rPr>
            </w:pPr>
          </w:p>
        </w:tc>
        <w:tc>
          <w:tcPr>
            <w:tcW w:w="820" w:type="dxa"/>
            <w:vAlign w:val="bottom"/>
            <w:shd w:val="clear" w:color="auto" w:fill="C0C0C0"/>
          </w:tcPr>
          <w:p>
            <w:pPr>
              <w:spacing w:after="0"/>
              <w:rPr>
                <w:sz w:val="12"/>
                <w:szCs w:val="12"/>
                <w:color w:val="auto"/>
              </w:rPr>
            </w:pPr>
          </w:p>
        </w:tc>
        <w:tc>
          <w:tcPr>
            <w:tcW w:w="940" w:type="dxa"/>
            <w:vAlign w:val="bottom"/>
            <w:shd w:val="clear" w:color="auto" w:fill="C0C0C0"/>
          </w:tcPr>
          <w:p>
            <w:pPr>
              <w:spacing w:after="0"/>
              <w:rPr>
                <w:sz w:val="12"/>
                <w:szCs w:val="12"/>
                <w:color w:val="auto"/>
              </w:rPr>
            </w:pPr>
          </w:p>
        </w:tc>
        <w:tc>
          <w:tcPr>
            <w:tcW w:w="740" w:type="dxa"/>
            <w:vAlign w:val="bottom"/>
            <w:shd w:val="clear" w:color="auto" w:fill="C0C0C0"/>
          </w:tcPr>
          <w:p>
            <w:pPr>
              <w:spacing w:after="0"/>
              <w:rPr>
                <w:sz w:val="12"/>
                <w:szCs w:val="12"/>
                <w:color w:val="auto"/>
              </w:rPr>
            </w:pPr>
          </w:p>
        </w:tc>
        <w:tc>
          <w:tcPr>
            <w:tcW w:w="700" w:type="dxa"/>
            <w:vAlign w:val="bottom"/>
            <w:vMerge w:val="continue"/>
            <w:shd w:val="clear" w:color="auto" w:fill="C0C0C0"/>
          </w:tcPr>
          <w:p>
            <w:pPr>
              <w:spacing w:after="0"/>
              <w:rPr>
                <w:sz w:val="12"/>
                <w:szCs w:val="12"/>
                <w:color w:val="auto"/>
              </w:rPr>
            </w:pPr>
          </w:p>
        </w:tc>
        <w:tc>
          <w:tcPr>
            <w:tcW w:w="640" w:type="dxa"/>
            <w:vAlign w:val="bottom"/>
            <w:vMerge w:val="restart"/>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0" w:type="dxa"/>
            <w:vAlign w:val="bottom"/>
          </w:tcPr>
          <w:p>
            <w:pPr>
              <w:spacing w:after="0"/>
              <w:rPr>
                <w:sz w:val="1"/>
                <w:szCs w:val="1"/>
                <w:color w:val="auto"/>
              </w:rPr>
            </w:pPr>
          </w:p>
        </w:tc>
      </w:tr>
      <w:tr>
        <w:trPr>
          <w:trHeight w:val="148"/>
        </w:trPr>
        <w:tc>
          <w:tcPr>
            <w:tcW w:w="700" w:type="dxa"/>
            <w:vAlign w:val="bottom"/>
            <w:tcBorders>
              <w:left w:val="single" w:sz="8" w:color="auto"/>
              <w:right w:val="single" w:sz="8" w:color="auto"/>
            </w:tcBorders>
            <w:shd w:val="clear" w:color="auto" w:fill="C0C0C0"/>
          </w:tcPr>
          <w:p>
            <w:pPr>
              <w:spacing w:after="0"/>
              <w:rPr>
                <w:sz w:val="12"/>
                <w:szCs w:val="12"/>
                <w:color w:val="auto"/>
              </w:rPr>
            </w:pPr>
          </w:p>
        </w:tc>
        <w:tc>
          <w:tcPr>
            <w:tcW w:w="420" w:type="dxa"/>
            <w:vAlign w:val="bottom"/>
            <w:shd w:val="clear" w:color="auto" w:fill="C0C0C0"/>
          </w:tcPr>
          <w:p>
            <w:pPr>
              <w:spacing w:after="0"/>
              <w:rPr>
                <w:sz w:val="12"/>
                <w:szCs w:val="12"/>
                <w:color w:val="auto"/>
              </w:rPr>
            </w:pPr>
          </w:p>
        </w:tc>
        <w:tc>
          <w:tcPr>
            <w:tcW w:w="420" w:type="dxa"/>
            <w:vAlign w:val="bottom"/>
            <w:vMerge w:val="restart"/>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Hedg</w:t>
            </w:r>
          </w:p>
        </w:tc>
        <w:tc>
          <w:tcPr>
            <w:tcW w:w="360" w:type="dxa"/>
            <w:vAlign w:val="bottom"/>
            <w:shd w:val="clear" w:color="auto" w:fill="C0C0C0"/>
          </w:tcPr>
          <w:p>
            <w:pPr>
              <w:spacing w:after="0"/>
              <w:rPr>
                <w:sz w:val="12"/>
                <w:szCs w:val="12"/>
                <w:color w:val="auto"/>
              </w:rPr>
            </w:pPr>
          </w:p>
        </w:tc>
        <w:tc>
          <w:tcPr>
            <w:tcW w:w="920" w:type="dxa"/>
            <w:vAlign w:val="bottom"/>
            <w:shd w:val="clear" w:color="auto" w:fill="C0C0C0"/>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Interest in the</w:t>
            </w:r>
          </w:p>
        </w:tc>
        <w:tc>
          <w:tcPr>
            <w:tcW w:w="880" w:type="dxa"/>
            <w:vAlign w:val="bottom"/>
            <w:shd w:val="clear" w:color="auto" w:fill="C0C0C0"/>
          </w:tcPr>
          <w:p>
            <w:pPr>
              <w:spacing w:after="0"/>
              <w:rPr>
                <w:sz w:val="12"/>
                <w:szCs w:val="12"/>
                <w:color w:val="auto"/>
              </w:rPr>
            </w:pPr>
          </w:p>
        </w:tc>
        <w:tc>
          <w:tcPr>
            <w:tcW w:w="620" w:type="dxa"/>
            <w:vAlign w:val="bottom"/>
            <w:shd w:val="clear" w:color="auto" w:fill="C0C0C0"/>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 of the</w:t>
            </w:r>
          </w:p>
        </w:tc>
        <w:tc>
          <w:tcPr>
            <w:tcW w:w="780" w:type="dxa"/>
            <w:vAlign w:val="bottom"/>
            <w:vMerge w:val="restart"/>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660" w:type="dxa"/>
            <w:vAlign w:val="bottom"/>
            <w:shd w:val="clear" w:color="auto" w:fill="C0C0C0"/>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720" w:type="dxa"/>
            <w:vAlign w:val="bottom"/>
            <w:vMerge w:val="restart"/>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w:t>
            </w:r>
          </w:p>
        </w:tc>
        <w:tc>
          <w:tcPr>
            <w:tcW w:w="920" w:type="dxa"/>
            <w:vAlign w:val="bottom"/>
            <w:shd w:val="clear" w:color="auto" w:fill="C0C0C0"/>
          </w:tcPr>
          <w:p>
            <w:pPr>
              <w:spacing w:after="0"/>
              <w:rPr>
                <w:sz w:val="12"/>
                <w:szCs w:val="12"/>
                <w:color w:val="auto"/>
              </w:rPr>
            </w:pPr>
          </w:p>
        </w:tc>
        <w:tc>
          <w:tcPr>
            <w:tcW w:w="820" w:type="dxa"/>
            <w:vAlign w:val="bottom"/>
            <w:shd w:val="clear" w:color="auto" w:fill="C0C0C0"/>
          </w:tcPr>
          <w:p>
            <w:pPr>
              <w:spacing w:after="0"/>
              <w:rPr>
                <w:sz w:val="12"/>
                <w:szCs w:val="12"/>
                <w:color w:val="auto"/>
              </w:rPr>
            </w:pPr>
          </w:p>
        </w:tc>
        <w:tc>
          <w:tcPr>
            <w:tcW w:w="940" w:type="dxa"/>
            <w:vAlign w:val="bottom"/>
            <w:shd w:val="clear" w:color="auto" w:fill="C0C0C0"/>
          </w:tcPr>
          <w:p>
            <w:pPr>
              <w:spacing w:after="0"/>
              <w:rPr>
                <w:sz w:val="12"/>
                <w:szCs w:val="12"/>
                <w:color w:val="auto"/>
              </w:rPr>
            </w:pPr>
          </w:p>
        </w:tc>
        <w:tc>
          <w:tcPr>
            <w:tcW w:w="740" w:type="dxa"/>
            <w:vAlign w:val="bottom"/>
            <w:shd w:val="clear" w:color="auto" w:fill="C0C0C0"/>
          </w:tcPr>
          <w:p>
            <w:pPr>
              <w:spacing w:after="0"/>
              <w:rPr>
                <w:sz w:val="12"/>
                <w:szCs w:val="12"/>
                <w:color w:val="auto"/>
              </w:rPr>
            </w:pPr>
          </w:p>
        </w:tc>
        <w:tc>
          <w:tcPr>
            <w:tcW w:w="700" w:type="dxa"/>
            <w:vAlign w:val="bottom"/>
            <w:shd w:val="clear" w:color="auto" w:fill="C0C0C0"/>
          </w:tcPr>
          <w:p>
            <w:pPr>
              <w:jc w:val="center"/>
              <w:ind w:left="28"/>
              <w:spacing w:after="0" w:line="149" w:lineRule="exact"/>
              <w:rPr>
                <w:sz w:val="20"/>
                <w:szCs w:val="20"/>
                <w:color w:val="auto"/>
              </w:rPr>
            </w:pPr>
            <w:r>
              <w:rPr>
                <w:rFonts w:ascii="Times New Roman" w:cs="Times New Roman" w:eastAsia="Times New Roman" w:hAnsi="Times New Roman"/>
                <w:sz w:val="14"/>
                <w:szCs w:val="14"/>
                <w:b w:val="1"/>
                <w:bCs w:val="1"/>
                <w:color w:val="auto"/>
              </w:rPr>
              <w:t>Purchase</w:t>
            </w:r>
          </w:p>
        </w:tc>
        <w:tc>
          <w:tcPr>
            <w:tcW w:w="640" w:type="dxa"/>
            <w:vAlign w:val="bottom"/>
            <w:vMerge w:val="continue"/>
            <w:shd w:val="clear" w:color="auto" w:fill="C0C0C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tcBorders>
              <w:left w:val="single" w:sz="8" w:color="auto"/>
              <w:right w:val="single" w:sz="8" w:color="auto"/>
            </w:tcBorders>
            <w:vMerge w:val="restart"/>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Fund</w:t>
            </w:r>
          </w:p>
        </w:tc>
        <w:tc>
          <w:tcPr>
            <w:tcW w:w="420" w:type="dxa"/>
            <w:vAlign w:val="bottom"/>
            <w:shd w:val="clear" w:color="auto" w:fill="C0C0C0"/>
          </w:tcPr>
          <w:p>
            <w:pPr>
              <w:spacing w:after="0"/>
              <w:rPr>
                <w:sz w:val="12"/>
                <w:szCs w:val="12"/>
                <w:color w:val="auto"/>
              </w:rPr>
            </w:pPr>
          </w:p>
        </w:tc>
        <w:tc>
          <w:tcPr>
            <w:tcW w:w="420" w:type="dxa"/>
            <w:vAlign w:val="bottom"/>
            <w:vMerge w:val="continue"/>
            <w:shd w:val="clear" w:color="auto" w:fill="C0C0C0"/>
          </w:tcPr>
          <w:p>
            <w:pPr>
              <w:spacing w:after="0"/>
              <w:rPr>
                <w:sz w:val="12"/>
                <w:szCs w:val="12"/>
                <w:color w:val="auto"/>
              </w:rPr>
            </w:pPr>
          </w:p>
        </w:tc>
        <w:tc>
          <w:tcPr>
            <w:tcW w:w="360" w:type="dxa"/>
            <w:vAlign w:val="bottom"/>
            <w:shd w:val="clear" w:color="auto" w:fill="C0C0C0"/>
          </w:tcPr>
          <w:p>
            <w:pPr>
              <w:spacing w:after="0"/>
              <w:rPr>
                <w:sz w:val="12"/>
                <w:szCs w:val="12"/>
                <w:color w:val="auto"/>
              </w:rPr>
            </w:pPr>
          </w:p>
        </w:tc>
        <w:tc>
          <w:tcPr>
            <w:tcW w:w="920" w:type="dxa"/>
            <w:vAlign w:val="bottom"/>
            <w:shd w:val="clear" w:color="auto" w:fill="C0C0C0"/>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Fund (other</w:t>
            </w:r>
          </w:p>
        </w:tc>
        <w:tc>
          <w:tcPr>
            <w:tcW w:w="880" w:type="dxa"/>
            <w:vAlign w:val="bottom"/>
            <w:vMerge w:val="restart"/>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620" w:type="dxa"/>
            <w:vAlign w:val="bottom"/>
            <w:shd w:val="clear" w:color="auto" w:fill="C0C0C0"/>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Cut Off</w:t>
            </w:r>
          </w:p>
        </w:tc>
        <w:tc>
          <w:tcPr>
            <w:tcW w:w="780" w:type="dxa"/>
            <w:vAlign w:val="bottom"/>
            <w:vMerge w:val="continue"/>
            <w:shd w:val="clear" w:color="auto" w:fill="C0C0C0"/>
          </w:tcPr>
          <w:p>
            <w:pPr>
              <w:spacing w:after="0"/>
              <w:rPr>
                <w:sz w:val="12"/>
                <w:szCs w:val="12"/>
                <w:color w:val="auto"/>
              </w:rPr>
            </w:pPr>
          </w:p>
        </w:tc>
        <w:tc>
          <w:tcPr>
            <w:tcW w:w="660" w:type="dxa"/>
            <w:vAlign w:val="bottom"/>
            <w:shd w:val="clear" w:color="auto" w:fill="C0C0C0"/>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Allocatio</w:t>
            </w:r>
          </w:p>
        </w:tc>
        <w:tc>
          <w:tcPr>
            <w:tcW w:w="720" w:type="dxa"/>
            <w:vAlign w:val="bottom"/>
            <w:vMerge w:val="continue"/>
            <w:shd w:val="clear" w:color="auto" w:fill="C0C0C0"/>
          </w:tcPr>
          <w:p>
            <w:pPr>
              <w:spacing w:after="0"/>
              <w:rPr>
                <w:sz w:val="12"/>
                <w:szCs w:val="12"/>
                <w:color w:val="auto"/>
              </w:rPr>
            </w:pPr>
          </w:p>
        </w:tc>
        <w:tc>
          <w:tcPr>
            <w:tcW w:w="920" w:type="dxa"/>
            <w:vAlign w:val="bottom"/>
            <w:vMerge w:val="restart"/>
            <w:shd w:val="clear" w:color="auto" w:fill="C0C0C0"/>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820" w:type="dxa"/>
            <w:vAlign w:val="bottom"/>
            <w:vMerge w:val="restart"/>
            <w:shd w:val="clear" w:color="auto" w:fill="C0C0C0"/>
          </w:tcPr>
          <w:p>
            <w:pPr>
              <w:ind w:left="1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940" w:type="dxa"/>
            <w:vAlign w:val="bottom"/>
            <w:shd w:val="clear" w:color="auto" w:fill="C0C0C0"/>
          </w:tcPr>
          <w:p>
            <w:pPr>
              <w:spacing w:after="0"/>
              <w:rPr>
                <w:sz w:val="12"/>
                <w:szCs w:val="12"/>
                <w:color w:val="auto"/>
              </w:rPr>
            </w:pPr>
          </w:p>
        </w:tc>
        <w:tc>
          <w:tcPr>
            <w:tcW w:w="740" w:type="dxa"/>
            <w:vAlign w:val="bottom"/>
            <w:shd w:val="clear" w:color="auto" w:fill="C0C0C0"/>
          </w:tcPr>
          <w:p>
            <w:pPr>
              <w:spacing w:after="0"/>
              <w:rPr>
                <w:sz w:val="12"/>
                <w:szCs w:val="12"/>
                <w:color w:val="auto"/>
              </w:rPr>
            </w:pPr>
          </w:p>
        </w:tc>
        <w:tc>
          <w:tcPr>
            <w:tcW w:w="700" w:type="dxa"/>
            <w:vAlign w:val="bottom"/>
            <w:shd w:val="clear" w:color="auto" w:fill="C0C0C0"/>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 (as</w:t>
            </w:r>
          </w:p>
        </w:tc>
        <w:tc>
          <w:tcPr>
            <w:tcW w:w="640" w:type="dxa"/>
            <w:vAlign w:val="bottom"/>
            <w:shd w:val="clear" w:color="auto" w:fill="C0C0C0"/>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w:t>
            </w:r>
          </w:p>
        </w:tc>
        <w:tc>
          <w:tcPr>
            <w:tcW w:w="0" w:type="dxa"/>
            <w:vAlign w:val="bottom"/>
          </w:tcPr>
          <w:p>
            <w:pPr>
              <w:spacing w:after="0"/>
              <w:rPr>
                <w:sz w:val="1"/>
                <w:szCs w:val="1"/>
                <w:color w:val="auto"/>
              </w:rPr>
            </w:pPr>
          </w:p>
        </w:tc>
      </w:tr>
      <w:tr>
        <w:trPr>
          <w:trHeight w:val="148"/>
        </w:trPr>
        <w:tc>
          <w:tcPr>
            <w:tcW w:w="700" w:type="dxa"/>
            <w:vAlign w:val="bottom"/>
            <w:tcBorders>
              <w:left w:val="single" w:sz="8" w:color="auto"/>
              <w:right w:val="single" w:sz="8" w:color="auto"/>
            </w:tcBorders>
            <w:vMerge w:val="continue"/>
            <w:shd w:val="clear" w:color="auto" w:fill="C0C0C0"/>
          </w:tcPr>
          <w:p>
            <w:pPr>
              <w:spacing w:after="0"/>
              <w:rPr>
                <w:sz w:val="12"/>
                <w:szCs w:val="12"/>
                <w:color w:val="auto"/>
              </w:rPr>
            </w:pPr>
          </w:p>
        </w:tc>
        <w:tc>
          <w:tcPr>
            <w:tcW w:w="420" w:type="dxa"/>
            <w:vAlign w:val="bottom"/>
            <w:shd w:val="clear" w:color="auto" w:fill="C0C0C0"/>
          </w:tcPr>
          <w:p>
            <w:pPr>
              <w:spacing w:after="0"/>
              <w:rPr>
                <w:sz w:val="12"/>
                <w:szCs w:val="12"/>
                <w:color w:val="auto"/>
              </w:rPr>
            </w:pPr>
          </w:p>
        </w:tc>
        <w:tc>
          <w:tcPr>
            <w:tcW w:w="420" w:type="dxa"/>
            <w:vAlign w:val="bottom"/>
            <w:shd w:val="clear" w:color="auto" w:fill="C0C0C0"/>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e</w:t>
            </w:r>
          </w:p>
        </w:tc>
        <w:tc>
          <w:tcPr>
            <w:tcW w:w="360" w:type="dxa"/>
            <w:vAlign w:val="bottom"/>
            <w:vMerge w:val="restart"/>
            <w:shd w:val="clear" w:color="auto" w:fill="C0C0C0"/>
          </w:tcPr>
          <w:p>
            <w:pPr>
              <w:ind w:left="60"/>
              <w:spacing w:after="0"/>
              <w:rPr>
                <w:sz w:val="20"/>
                <w:szCs w:val="20"/>
                <w:color w:val="auto"/>
              </w:rPr>
            </w:pPr>
            <w:r>
              <w:rPr>
                <w:rFonts w:ascii="Times New Roman" w:cs="Times New Roman" w:eastAsia="Times New Roman" w:hAnsi="Times New Roman"/>
                <w:sz w:val="14"/>
                <w:szCs w:val="14"/>
                <w:b w:val="1"/>
                <w:bCs w:val="1"/>
                <w:color w:val="auto"/>
              </w:rPr>
              <w:t>Cut</w:t>
            </w:r>
          </w:p>
        </w:tc>
        <w:tc>
          <w:tcPr>
            <w:tcW w:w="920" w:type="dxa"/>
            <w:vAlign w:val="bottom"/>
            <w:shd w:val="clear" w:color="auto" w:fill="C0C0C0"/>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than any</w:t>
            </w:r>
          </w:p>
        </w:tc>
        <w:tc>
          <w:tcPr>
            <w:tcW w:w="880" w:type="dxa"/>
            <w:vAlign w:val="bottom"/>
            <w:vMerge w:val="continue"/>
            <w:shd w:val="clear" w:color="auto" w:fill="C0C0C0"/>
          </w:tcPr>
          <w:p>
            <w:pPr>
              <w:spacing w:after="0"/>
              <w:rPr>
                <w:sz w:val="12"/>
                <w:szCs w:val="12"/>
                <w:color w:val="auto"/>
              </w:rPr>
            </w:pPr>
          </w:p>
        </w:tc>
        <w:tc>
          <w:tcPr>
            <w:tcW w:w="620" w:type="dxa"/>
            <w:vAlign w:val="bottom"/>
            <w:shd w:val="clear" w:color="auto" w:fill="C0C0C0"/>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Date (in</w:t>
            </w:r>
          </w:p>
        </w:tc>
        <w:tc>
          <w:tcPr>
            <w:tcW w:w="780" w:type="dxa"/>
            <w:vAlign w:val="bottom"/>
            <w:shd w:val="clear" w:color="auto" w:fill="C0C0C0"/>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660" w:type="dxa"/>
            <w:vAlign w:val="bottom"/>
            <w:shd w:val="clear" w:color="auto" w:fill="C0C0C0"/>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 (in</w:t>
            </w:r>
          </w:p>
        </w:tc>
        <w:tc>
          <w:tcPr>
            <w:tcW w:w="720" w:type="dxa"/>
            <w:vAlign w:val="bottom"/>
            <w:shd w:val="clear" w:color="auto" w:fill="C0C0C0"/>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920" w:type="dxa"/>
            <w:vAlign w:val="bottom"/>
            <w:vMerge w:val="continue"/>
            <w:shd w:val="clear" w:color="auto" w:fill="C0C0C0"/>
          </w:tcPr>
          <w:p>
            <w:pPr>
              <w:spacing w:after="0"/>
              <w:rPr>
                <w:sz w:val="12"/>
                <w:szCs w:val="12"/>
                <w:color w:val="auto"/>
              </w:rPr>
            </w:pPr>
          </w:p>
        </w:tc>
        <w:tc>
          <w:tcPr>
            <w:tcW w:w="820" w:type="dxa"/>
            <w:vAlign w:val="bottom"/>
            <w:vMerge w:val="continue"/>
            <w:shd w:val="clear" w:color="auto" w:fill="C0C0C0"/>
          </w:tcPr>
          <w:p>
            <w:pPr>
              <w:spacing w:after="0"/>
              <w:rPr>
                <w:sz w:val="12"/>
                <w:szCs w:val="12"/>
                <w:color w:val="auto"/>
              </w:rPr>
            </w:pPr>
          </w:p>
        </w:tc>
        <w:tc>
          <w:tcPr>
            <w:tcW w:w="940" w:type="dxa"/>
            <w:vAlign w:val="bottom"/>
            <w:shd w:val="clear" w:color="auto" w:fill="C0C0C0"/>
          </w:tcPr>
          <w:p>
            <w:pPr>
              <w:spacing w:after="0"/>
              <w:rPr>
                <w:sz w:val="12"/>
                <w:szCs w:val="12"/>
                <w:color w:val="auto"/>
              </w:rPr>
            </w:pPr>
          </w:p>
        </w:tc>
        <w:tc>
          <w:tcPr>
            <w:tcW w:w="740" w:type="dxa"/>
            <w:vAlign w:val="bottom"/>
            <w:shd w:val="clear" w:color="auto" w:fill="C0C0C0"/>
          </w:tcPr>
          <w:p>
            <w:pPr>
              <w:spacing w:after="0"/>
              <w:rPr>
                <w:sz w:val="12"/>
                <w:szCs w:val="12"/>
                <w:color w:val="auto"/>
              </w:rPr>
            </w:pPr>
          </w:p>
        </w:tc>
        <w:tc>
          <w:tcPr>
            <w:tcW w:w="1340" w:type="dxa"/>
            <w:vAlign w:val="bottom"/>
            <w:gridSpan w:val="2"/>
            <w:shd w:val="clear" w:color="auto" w:fill="C0C0C0"/>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adjusted) Price (as</w:t>
            </w:r>
          </w:p>
        </w:tc>
        <w:tc>
          <w:tcPr>
            <w:tcW w:w="0" w:type="dxa"/>
            <w:vAlign w:val="bottom"/>
          </w:tcPr>
          <w:p>
            <w:pPr>
              <w:spacing w:after="0"/>
              <w:rPr>
                <w:sz w:val="1"/>
                <w:szCs w:val="1"/>
                <w:color w:val="auto"/>
              </w:rPr>
            </w:pPr>
          </w:p>
        </w:tc>
      </w:tr>
      <w:tr>
        <w:trPr>
          <w:trHeight w:val="148"/>
        </w:trPr>
        <w:tc>
          <w:tcPr>
            <w:tcW w:w="700" w:type="dxa"/>
            <w:vAlign w:val="bottom"/>
            <w:tcBorders>
              <w:left w:val="single" w:sz="8" w:color="auto"/>
              <w:right w:val="single" w:sz="8" w:color="auto"/>
            </w:tcBorders>
            <w:shd w:val="clear" w:color="auto" w:fill="C0C0C0"/>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420" w:type="dxa"/>
            <w:vAlign w:val="bottom"/>
            <w:vMerge w:val="restart"/>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Fund</w:t>
            </w:r>
          </w:p>
        </w:tc>
        <w:tc>
          <w:tcPr>
            <w:tcW w:w="420" w:type="dxa"/>
            <w:vAlign w:val="bottom"/>
            <w:shd w:val="clear" w:color="auto" w:fill="C0C0C0"/>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Fund</w:t>
            </w:r>
          </w:p>
        </w:tc>
        <w:tc>
          <w:tcPr>
            <w:tcW w:w="360" w:type="dxa"/>
            <w:vAlign w:val="bottom"/>
            <w:vMerge w:val="continue"/>
            <w:shd w:val="clear" w:color="auto" w:fill="C0C0C0"/>
          </w:tcPr>
          <w:p>
            <w:pPr>
              <w:spacing w:after="0"/>
              <w:rPr>
                <w:sz w:val="12"/>
                <w:szCs w:val="12"/>
                <w:color w:val="auto"/>
              </w:rPr>
            </w:pPr>
          </w:p>
        </w:tc>
        <w:tc>
          <w:tcPr>
            <w:tcW w:w="920" w:type="dxa"/>
            <w:vAlign w:val="bottom"/>
            <w:shd w:val="clear" w:color="auto" w:fill="C0C0C0"/>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Hedge Fund)</w:t>
            </w:r>
          </w:p>
        </w:tc>
        <w:tc>
          <w:tcPr>
            <w:tcW w:w="880" w:type="dxa"/>
            <w:vAlign w:val="bottom"/>
            <w:shd w:val="clear" w:color="auto" w:fill="C0C0C0"/>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Commitment</w:t>
            </w:r>
          </w:p>
        </w:tc>
        <w:tc>
          <w:tcPr>
            <w:tcW w:w="620" w:type="dxa"/>
            <w:vAlign w:val="bottom"/>
            <w:shd w:val="clear" w:color="auto" w:fill="C0C0C0"/>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Fund</w:t>
            </w:r>
          </w:p>
        </w:tc>
        <w:tc>
          <w:tcPr>
            <w:tcW w:w="780" w:type="dxa"/>
            <w:vAlign w:val="bottom"/>
            <w:shd w:val="clear" w:color="auto" w:fill="C0C0C0"/>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Commitme</w:t>
            </w:r>
          </w:p>
        </w:tc>
        <w:tc>
          <w:tcPr>
            <w:tcW w:w="660" w:type="dxa"/>
            <w:vAlign w:val="bottom"/>
            <w:shd w:val="clear" w:color="auto" w:fill="C0C0C0"/>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Fund</w:t>
            </w:r>
          </w:p>
        </w:tc>
        <w:tc>
          <w:tcPr>
            <w:tcW w:w="4840" w:type="dxa"/>
            <w:vAlign w:val="bottom"/>
            <w:gridSpan w:val="6"/>
            <w:shd w:val="clear" w:color="auto" w:fill="C0C0C0"/>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Allocatio Contributions Contributions Distributions Distributions (in Fund</w:t>
            </w:r>
          </w:p>
        </w:tc>
        <w:tc>
          <w:tcPr>
            <w:tcW w:w="640" w:type="dxa"/>
            <w:vAlign w:val="bottom"/>
            <w:shd w:val="clear" w:color="auto" w:fill="C0C0C0"/>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adjusted)</w:t>
            </w:r>
          </w:p>
        </w:tc>
        <w:tc>
          <w:tcPr>
            <w:tcW w:w="0" w:type="dxa"/>
            <w:vAlign w:val="bottom"/>
          </w:tcPr>
          <w:p>
            <w:pPr>
              <w:spacing w:after="0"/>
              <w:rPr>
                <w:sz w:val="1"/>
                <w:szCs w:val="1"/>
                <w:color w:val="auto"/>
              </w:rPr>
            </w:pPr>
          </w:p>
        </w:tc>
      </w:tr>
      <w:tr>
        <w:trPr>
          <w:trHeight w:val="148"/>
        </w:trPr>
        <w:tc>
          <w:tcPr>
            <w:tcW w:w="700" w:type="dxa"/>
            <w:vAlign w:val="bottom"/>
            <w:tcBorders>
              <w:left w:val="single" w:sz="8" w:color="auto"/>
              <w:right w:val="single" w:sz="8" w:color="auto"/>
            </w:tcBorders>
            <w:shd w:val="clear" w:color="auto" w:fill="C0C0C0"/>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related</w:t>
            </w:r>
          </w:p>
        </w:tc>
        <w:tc>
          <w:tcPr>
            <w:tcW w:w="420" w:type="dxa"/>
            <w:vAlign w:val="bottom"/>
            <w:vMerge w:val="continue"/>
            <w:shd w:val="clear" w:color="auto" w:fill="C0C0C0"/>
          </w:tcPr>
          <w:p>
            <w:pPr>
              <w:spacing w:after="0"/>
              <w:rPr>
                <w:sz w:val="12"/>
                <w:szCs w:val="12"/>
                <w:color w:val="auto"/>
              </w:rPr>
            </w:pPr>
          </w:p>
        </w:tc>
        <w:tc>
          <w:tcPr>
            <w:tcW w:w="420" w:type="dxa"/>
            <w:vAlign w:val="bottom"/>
            <w:shd w:val="clear" w:color="auto" w:fill="C0C0C0"/>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(Yes/</w:t>
            </w:r>
          </w:p>
        </w:tc>
        <w:tc>
          <w:tcPr>
            <w:tcW w:w="360" w:type="dxa"/>
            <w:vAlign w:val="bottom"/>
            <w:shd w:val="clear" w:color="auto" w:fill="C0C0C0"/>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Off</w:t>
            </w:r>
          </w:p>
        </w:tc>
        <w:tc>
          <w:tcPr>
            <w:tcW w:w="920" w:type="dxa"/>
            <w:vAlign w:val="bottom"/>
            <w:shd w:val="clear" w:color="auto" w:fill="C0C0C0"/>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 be</w:t>
            </w:r>
          </w:p>
        </w:tc>
        <w:tc>
          <w:tcPr>
            <w:tcW w:w="880" w:type="dxa"/>
            <w:vAlign w:val="bottom"/>
            <w:shd w:val="clear" w:color="auto" w:fill="C0C0C0"/>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 Fund</w:t>
            </w:r>
          </w:p>
        </w:tc>
        <w:tc>
          <w:tcPr>
            <w:tcW w:w="1400" w:type="dxa"/>
            <w:vAlign w:val="bottom"/>
            <w:gridSpan w:val="2"/>
            <w:shd w:val="clear" w:color="auto" w:fill="C0C0C0"/>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Currenc nt (in Fund</w:t>
            </w:r>
          </w:p>
        </w:tc>
        <w:tc>
          <w:tcPr>
            <w:tcW w:w="1380" w:type="dxa"/>
            <w:vAlign w:val="bottom"/>
            <w:gridSpan w:val="2"/>
            <w:shd w:val="clear" w:color="auto" w:fill="C0C0C0"/>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Currency n (in U.S.</w:t>
            </w:r>
          </w:p>
        </w:tc>
        <w:tc>
          <w:tcPr>
            <w:tcW w:w="920" w:type="dxa"/>
            <w:vAlign w:val="bottom"/>
            <w:shd w:val="clear" w:color="auto" w:fill="C0C0C0"/>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(in Fund</w:t>
            </w:r>
          </w:p>
        </w:tc>
        <w:tc>
          <w:tcPr>
            <w:tcW w:w="820" w:type="dxa"/>
            <w:vAlign w:val="bottom"/>
            <w:shd w:val="clear" w:color="auto" w:fill="C0C0C0"/>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(in U.S.</w:t>
            </w:r>
          </w:p>
        </w:tc>
        <w:tc>
          <w:tcPr>
            <w:tcW w:w="940" w:type="dxa"/>
            <w:vAlign w:val="bottom"/>
            <w:shd w:val="clear" w:color="auto" w:fill="C0C0C0"/>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 Fund</w:t>
            </w:r>
          </w:p>
        </w:tc>
        <w:tc>
          <w:tcPr>
            <w:tcW w:w="740" w:type="dxa"/>
            <w:vAlign w:val="bottom"/>
            <w:shd w:val="clear" w:color="auto" w:fill="C0C0C0"/>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(in U.S.</w:t>
            </w:r>
          </w:p>
        </w:tc>
        <w:tc>
          <w:tcPr>
            <w:tcW w:w="700" w:type="dxa"/>
            <w:vAlign w:val="bottom"/>
            <w:shd w:val="clear" w:color="auto" w:fill="C0C0C0"/>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Currenc</w:t>
            </w:r>
          </w:p>
        </w:tc>
        <w:tc>
          <w:tcPr>
            <w:tcW w:w="640" w:type="dxa"/>
            <w:vAlign w:val="bottom"/>
            <w:shd w:val="clear" w:color="auto" w:fill="C0C0C0"/>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 U.S.</w:t>
            </w:r>
          </w:p>
        </w:tc>
        <w:tc>
          <w:tcPr>
            <w:tcW w:w="0" w:type="dxa"/>
            <w:vAlign w:val="bottom"/>
          </w:tcPr>
          <w:p>
            <w:pPr>
              <w:spacing w:after="0"/>
              <w:rPr>
                <w:sz w:val="1"/>
                <w:szCs w:val="1"/>
                <w:color w:val="auto"/>
              </w:rPr>
            </w:pPr>
          </w:p>
        </w:tc>
      </w:tr>
      <w:tr>
        <w:trPr>
          <w:trHeight w:val="170"/>
        </w:trPr>
        <w:tc>
          <w:tcPr>
            <w:tcW w:w="700" w:type="dxa"/>
            <w:vAlign w:val="bottom"/>
            <w:tcBorders>
              <w:left w:val="single" w:sz="8" w:color="auto"/>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420" w:type="dxa"/>
            <w:vAlign w:val="bottom"/>
            <w:tcBorders>
              <w:bottom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Type</w:t>
            </w:r>
          </w:p>
        </w:tc>
        <w:tc>
          <w:tcPr>
            <w:tcW w:w="420" w:type="dxa"/>
            <w:vAlign w:val="bottom"/>
            <w:tcBorders>
              <w:bottom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360" w:type="dxa"/>
            <w:vAlign w:val="bottom"/>
            <w:tcBorders>
              <w:bottom w:val="single" w:sz="8" w:color="auto"/>
            </w:tcBorders>
            <w:shd w:val="clear" w:color="auto" w:fill="C0C0C0"/>
          </w:tcPr>
          <w:p>
            <w:pPr>
              <w:ind w:left="40"/>
              <w:spacing w:after="0"/>
              <w:rPr>
                <w:sz w:val="20"/>
                <w:szCs w:val="20"/>
                <w:color w:val="auto"/>
              </w:rPr>
            </w:pPr>
            <w:r>
              <w:rPr>
                <w:rFonts w:ascii="Times New Roman" w:cs="Times New Roman" w:eastAsia="Times New Roman" w:hAnsi="Times New Roman"/>
                <w:sz w:val="14"/>
                <w:szCs w:val="14"/>
                <w:b w:val="1"/>
                <w:bCs w:val="1"/>
                <w:color w:val="auto"/>
              </w:rPr>
              <w:t>Date</w:t>
            </w:r>
          </w:p>
        </w:tc>
        <w:tc>
          <w:tcPr>
            <w:tcW w:w="920" w:type="dxa"/>
            <w:vAlign w:val="bottom"/>
            <w:tcBorders>
              <w:bottom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Transferred</w:t>
            </w:r>
          </w:p>
        </w:tc>
        <w:tc>
          <w:tcPr>
            <w:tcW w:w="880" w:type="dxa"/>
            <w:vAlign w:val="bottom"/>
            <w:tcBorders>
              <w:bottom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620" w:type="dxa"/>
            <w:vAlign w:val="bottom"/>
            <w:tcBorders>
              <w:bottom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y)</w:t>
            </w:r>
          </w:p>
        </w:tc>
        <w:tc>
          <w:tcPr>
            <w:tcW w:w="780" w:type="dxa"/>
            <w:vAlign w:val="bottom"/>
            <w:tcBorders>
              <w:bottom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660" w:type="dxa"/>
            <w:vAlign w:val="bottom"/>
            <w:tcBorders>
              <w:bottom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bottom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920" w:type="dxa"/>
            <w:vAlign w:val="bottom"/>
            <w:tcBorders>
              <w:bottom w:val="single" w:sz="8" w:color="auto"/>
            </w:tcBorders>
            <w:shd w:val="clear" w:color="auto" w:fill="C0C0C0"/>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820" w:type="dxa"/>
            <w:vAlign w:val="bottom"/>
            <w:tcBorders>
              <w:bottom w:val="single" w:sz="8" w:color="auto"/>
            </w:tcBorders>
            <w:shd w:val="clear" w:color="auto" w:fill="C0C0C0"/>
          </w:tcPr>
          <w:p>
            <w:pPr>
              <w:ind w:left="180"/>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940" w:type="dxa"/>
            <w:vAlign w:val="bottom"/>
            <w:tcBorders>
              <w:bottom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740" w:type="dxa"/>
            <w:vAlign w:val="bottom"/>
            <w:tcBorders>
              <w:bottom w:val="single" w:sz="8" w:color="auto"/>
            </w:tcBorders>
            <w:shd w:val="clear" w:color="auto" w:fill="C0C0C0"/>
          </w:tcPr>
          <w:p>
            <w:pPr>
              <w:ind w:left="160"/>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700" w:type="dxa"/>
            <w:vAlign w:val="bottom"/>
            <w:tcBorders>
              <w:bottom w:val="single" w:sz="8" w:color="auto"/>
            </w:tcBorders>
            <w:shd w:val="clear" w:color="auto" w:fill="C0C0C0"/>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y)</w:t>
            </w:r>
          </w:p>
        </w:tc>
        <w:tc>
          <w:tcPr>
            <w:tcW w:w="640" w:type="dxa"/>
            <w:vAlign w:val="bottom"/>
            <w:tcBorders>
              <w:bottom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-867410</wp:posOffset>
            </wp:positionV>
            <wp:extent cx="7132320" cy="331724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62">
                      <a:extLst>
                        <a:ext uri="{28A0092B-C50C-407E-A947-70E740481C1C}"/>
                      </a:extLst>
                    </a:blip>
                    <a:srcRect/>
                    <a:stretch>
                      <a:fillRect/>
                    </a:stretch>
                  </pic:blipFill>
                  <pic:spPr bwMode="auto">
                    <a:xfrm>
                      <a:off x="0" y="0"/>
                      <a:ext cx="7132320" cy="3317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TOTALS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1101090</wp:posOffset>
            </wp:positionV>
            <wp:extent cx="7157720" cy="4254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94" w:name="page195"/>
    <w:bookmarkEnd w:id="194"/>
    <w:p>
      <w:pPr>
        <w:jc w:val="center"/>
        <w:spacing w:after="0"/>
        <w:rPr>
          <w:sz w:val="20"/>
          <w:szCs w:val="20"/>
          <w:color w:val="auto"/>
        </w:rPr>
      </w:pPr>
      <w:r>
        <w:rPr>
          <w:rFonts w:ascii="Times New Roman" w:cs="Times New Roman" w:eastAsia="Times New Roman" w:hAnsi="Times New Roman"/>
          <w:sz w:val="22"/>
          <w:szCs w:val="22"/>
          <w:u w:val="single" w:color="auto"/>
          <w:color w:val="auto"/>
        </w:rPr>
        <w:t>Appendix A Continued</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List of Side Pocket Investments</w:t>
      </w:r>
    </w:p>
    <w:p>
      <w:pPr>
        <w:spacing w:after="0" w:line="237" w:lineRule="exact"/>
        <w:rPr>
          <w:sz w:val="20"/>
          <w:szCs w:val="20"/>
          <w:color w:val="auto"/>
        </w:rPr>
      </w:pPr>
    </w:p>
    <w:tbl>
      <w:tblPr>
        <w:tblLayout w:type="fixed"/>
        <w:tblInd w:w="10" w:type="dxa"/>
        <w:tblCellMar>
          <w:top w:w="0" w:type="dxa"/>
          <w:left w:w="0" w:type="dxa"/>
          <w:bottom w:w="0" w:type="dxa"/>
          <w:right w:w="0" w:type="dxa"/>
        </w:tblCellMar>
      </w:tblPr>
      <w:tr>
        <w:trPr>
          <w:trHeight w:val="516"/>
        </w:trPr>
        <w:tc>
          <w:tcPr>
            <w:tcW w:w="120" w:type="dxa"/>
            <w:vAlign w:val="bottom"/>
            <w:tcBorders>
              <w:top w:val="single" w:sz="8" w:color="auto"/>
              <w:left w:val="single" w:sz="8" w:color="auto"/>
            </w:tcBorders>
          </w:tcPr>
          <w:p>
            <w:pPr>
              <w:spacing w:after="0"/>
              <w:rPr>
                <w:sz w:val="24"/>
                <w:szCs w:val="24"/>
                <w:color w:val="auto"/>
              </w:rPr>
            </w:pPr>
          </w:p>
        </w:tc>
        <w:tc>
          <w:tcPr>
            <w:tcW w:w="3640" w:type="dxa"/>
            <w:vAlign w:val="bottom"/>
            <w:tcBorders>
              <w:top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Name of Hedge Fund</w:t>
            </w:r>
          </w:p>
        </w:tc>
        <w:tc>
          <w:tcPr>
            <w:tcW w:w="3740" w:type="dxa"/>
            <w:vAlign w:val="bottom"/>
            <w:tcBorders>
              <w:top w:val="single" w:sz="8" w:color="auto"/>
              <w:right w:val="single" w:sz="8" w:color="auto"/>
            </w:tcBorders>
            <w:gridSpan w:val="3"/>
            <w:vMerge w:val="restart"/>
          </w:tcPr>
          <w:p>
            <w:pPr>
              <w:ind w:left="100"/>
              <w:spacing w:after="0"/>
              <w:rPr>
                <w:sz w:val="20"/>
                <w:szCs w:val="20"/>
                <w:color w:val="auto"/>
              </w:rPr>
            </w:pPr>
            <w:r>
              <w:rPr>
                <w:rFonts w:ascii="Times New Roman" w:cs="Times New Roman" w:eastAsia="Times New Roman" w:hAnsi="Times New Roman"/>
                <w:sz w:val="22"/>
                <w:szCs w:val="22"/>
                <w:color w:val="auto"/>
              </w:rPr>
              <w:t>Name of Side Pocket Investment</w:t>
            </w:r>
          </w:p>
        </w:tc>
        <w:tc>
          <w:tcPr>
            <w:tcW w:w="100" w:type="dxa"/>
            <w:vAlign w:val="bottom"/>
            <w:tcBorders>
              <w:top w:val="single" w:sz="8" w:color="auto"/>
            </w:tcBorders>
          </w:tcPr>
          <w:p>
            <w:pPr>
              <w:spacing w:after="0"/>
              <w:rPr>
                <w:sz w:val="24"/>
                <w:szCs w:val="24"/>
                <w:color w:val="auto"/>
              </w:rPr>
            </w:pPr>
          </w:p>
        </w:tc>
        <w:tc>
          <w:tcPr>
            <w:tcW w:w="3640" w:type="dxa"/>
            <w:vAlign w:val="bottom"/>
            <w:tcBorders>
              <w:top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Cut Off Date</w:t>
            </w:r>
          </w:p>
        </w:tc>
        <w:tc>
          <w:tcPr>
            <w:tcW w:w="0" w:type="dxa"/>
            <w:vAlign w:val="bottom"/>
          </w:tcPr>
          <w:p>
            <w:pPr>
              <w:spacing w:after="0"/>
              <w:rPr>
                <w:sz w:val="1"/>
                <w:szCs w:val="1"/>
                <w:color w:val="auto"/>
              </w:rPr>
            </w:pPr>
          </w:p>
        </w:tc>
      </w:tr>
      <w:tr>
        <w:trPr>
          <w:trHeight w:val="196"/>
        </w:trPr>
        <w:tc>
          <w:tcPr>
            <w:tcW w:w="120" w:type="dxa"/>
            <w:vAlign w:val="bottom"/>
            <w:tcBorders>
              <w:left w:val="single" w:sz="8" w:color="auto"/>
            </w:tcBorders>
          </w:tcPr>
          <w:p>
            <w:pPr>
              <w:spacing w:after="0"/>
              <w:rPr>
                <w:sz w:val="17"/>
                <w:szCs w:val="17"/>
                <w:color w:val="auto"/>
              </w:rPr>
            </w:pPr>
          </w:p>
        </w:tc>
        <w:tc>
          <w:tcPr>
            <w:tcW w:w="1860" w:type="dxa"/>
            <w:vAlign w:val="bottom"/>
            <w:tcBorders>
              <w:top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3740" w:type="dxa"/>
            <w:vAlign w:val="bottom"/>
            <w:tcBorders>
              <w:top w:val="single" w:sz="8" w:color="auto"/>
              <w:right w:val="single" w:sz="8" w:color="auto"/>
            </w:tcBorders>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5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71"/>
        </w:trPr>
        <w:tc>
          <w:tcPr>
            <w:tcW w:w="120" w:type="dxa"/>
            <w:vAlign w:val="bottom"/>
            <w:tcBorders>
              <w:left w:val="single" w:sz="8" w:color="auto"/>
              <w:bottom w:val="single" w:sz="8" w:color="auto"/>
            </w:tcBorders>
          </w:tcPr>
          <w:p>
            <w:pPr>
              <w:spacing w:after="0"/>
              <w:rPr>
                <w:sz w:val="6"/>
                <w:szCs w:val="6"/>
                <w:color w:val="auto"/>
              </w:rPr>
            </w:pPr>
          </w:p>
        </w:tc>
        <w:tc>
          <w:tcPr>
            <w:tcW w:w="1860" w:type="dxa"/>
            <w:vAlign w:val="bottom"/>
            <w:tcBorders>
              <w:bottom w:val="single" w:sz="8" w:color="auto"/>
            </w:tcBorders>
          </w:tcPr>
          <w:p>
            <w:pPr>
              <w:spacing w:after="0"/>
              <w:rPr>
                <w:sz w:val="6"/>
                <w:szCs w:val="6"/>
                <w:color w:val="auto"/>
              </w:rPr>
            </w:pPr>
          </w:p>
        </w:tc>
        <w:tc>
          <w:tcPr>
            <w:tcW w:w="1780" w:type="dxa"/>
            <w:vAlign w:val="bottom"/>
            <w:tcBorders>
              <w:bottom w:val="single" w:sz="8" w:color="auto"/>
              <w:right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840" w:type="dxa"/>
            <w:vAlign w:val="bottom"/>
            <w:tcBorders>
              <w:top w:val="single" w:sz="8" w:color="auto"/>
              <w:bottom w:val="single" w:sz="8" w:color="auto"/>
            </w:tcBorders>
          </w:tcPr>
          <w:p>
            <w:pPr>
              <w:spacing w:after="0"/>
              <w:rPr>
                <w:sz w:val="6"/>
                <w:szCs w:val="6"/>
                <w:color w:val="auto"/>
              </w:rPr>
            </w:pPr>
          </w:p>
        </w:tc>
        <w:tc>
          <w:tcPr>
            <w:tcW w:w="800" w:type="dxa"/>
            <w:vAlign w:val="bottom"/>
            <w:tcBorders>
              <w:bottom w:val="single" w:sz="8" w:color="auto"/>
              <w:right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25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94"/>
        </w:trPr>
        <w:tc>
          <w:tcPr>
            <w:tcW w:w="120" w:type="dxa"/>
            <w:vAlign w:val="bottom"/>
            <w:tcBorders>
              <w:left w:val="single" w:sz="8" w:color="auto"/>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20" w:type="dxa"/>
            <w:vAlign w:val="bottom"/>
            <w:tcBorders>
              <w:left w:val="single" w:sz="8" w:color="auto"/>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20" w:type="dxa"/>
            <w:vAlign w:val="bottom"/>
            <w:tcBorders>
              <w:left w:val="single" w:sz="8" w:color="auto"/>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120" w:type="dxa"/>
            <w:vAlign w:val="bottom"/>
            <w:tcBorders>
              <w:left w:val="single" w:sz="8" w:color="auto"/>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20" w:type="dxa"/>
            <w:vAlign w:val="bottom"/>
            <w:tcBorders>
              <w:left w:val="single" w:sz="8" w:color="auto"/>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120" w:type="dxa"/>
            <w:vAlign w:val="bottom"/>
            <w:tcBorders>
              <w:left w:val="single" w:sz="8" w:color="auto"/>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20" w:type="dxa"/>
            <w:vAlign w:val="bottom"/>
            <w:tcBorders>
              <w:left w:val="single" w:sz="8" w:color="auto"/>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120" w:type="dxa"/>
            <w:vAlign w:val="bottom"/>
            <w:tcBorders>
              <w:left w:val="single" w:sz="8" w:color="auto"/>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20" w:type="dxa"/>
            <w:vAlign w:val="bottom"/>
            <w:tcBorders>
              <w:left w:val="single" w:sz="8" w:color="auto"/>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20" w:type="dxa"/>
            <w:vAlign w:val="bottom"/>
            <w:tcBorders>
              <w:left w:val="single" w:sz="8" w:color="auto"/>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120" w:type="dxa"/>
            <w:vAlign w:val="bottom"/>
            <w:tcBorders>
              <w:left w:val="single" w:sz="8" w:color="auto"/>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120" w:type="dxa"/>
            <w:vAlign w:val="bottom"/>
            <w:tcBorders>
              <w:left w:val="single" w:sz="8" w:color="auto"/>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5"/>
        </w:trPr>
        <w:tc>
          <w:tcPr>
            <w:tcW w:w="12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95" w:name="page196"/>
    <w:bookmarkEnd w:id="195"/>
    <w:p>
      <w:pPr>
        <w:jc w:val="center"/>
        <w:spacing w:after="0"/>
        <w:rPr>
          <w:sz w:val="20"/>
          <w:szCs w:val="20"/>
          <w:color w:val="auto"/>
        </w:rPr>
      </w:pPr>
      <w:r>
        <w:rPr>
          <w:rFonts w:ascii="Times New Roman" w:cs="Times New Roman" w:eastAsia="Times New Roman" w:hAnsi="Times New Roman"/>
          <w:sz w:val="22"/>
          <w:szCs w:val="22"/>
          <w:u w:val="single" w:color="auto"/>
          <w:color w:val="auto"/>
        </w:rPr>
        <w:t>Appendix B</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Distributions after the Cut Off Date (sorted by Fund)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516"/>
        </w:trPr>
        <w:tc>
          <w:tcPr>
            <w:tcW w:w="1560" w:type="dxa"/>
            <w:vAlign w:val="bottom"/>
            <w:tcBorders>
              <w:right w:val="single" w:sz="8" w:color="auto"/>
            </w:tcBorders>
          </w:tcPr>
          <w:p>
            <w:pPr>
              <w:spacing w:after="0"/>
              <w:rPr>
                <w:sz w:val="24"/>
                <w:szCs w:val="24"/>
                <w:color w:val="auto"/>
              </w:rPr>
            </w:pPr>
          </w:p>
        </w:tc>
        <w:tc>
          <w:tcPr>
            <w:tcW w:w="2460" w:type="dxa"/>
            <w:vAlign w:val="bottom"/>
            <w:tcBorders>
              <w:top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22"/>
                <w:szCs w:val="22"/>
                <w:color w:val="auto"/>
              </w:rPr>
              <w:t>Interest</w:t>
            </w:r>
          </w:p>
        </w:tc>
        <w:tc>
          <w:tcPr>
            <w:tcW w:w="80" w:type="dxa"/>
            <w:vAlign w:val="bottom"/>
            <w:tcBorders>
              <w:top w:val="single" w:sz="8" w:color="auto"/>
            </w:tcBorders>
          </w:tcPr>
          <w:p>
            <w:pPr>
              <w:spacing w:after="0"/>
              <w:rPr>
                <w:sz w:val="24"/>
                <w:szCs w:val="24"/>
                <w:color w:val="auto"/>
              </w:rPr>
            </w:pPr>
          </w:p>
        </w:tc>
        <w:tc>
          <w:tcPr>
            <w:tcW w:w="1080" w:type="dxa"/>
            <w:vAlign w:val="bottom"/>
            <w:tcBorders>
              <w:top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Date</w:t>
            </w:r>
          </w:p>
        </w:tc>
        <w:tc>
          <w:tcPr>
            <w:tcW w:w="80" w:type="dxa"/>
            <w:vAlign w:val="bottom"/>
            <w:tcBorders>
              <w:top w:val="single" w:sz="8" w:color="auto"/>
            </w:tcBorders>
          </w:tcPr>
          <w:p>
            <w:pPr>
              <w:spacing w:after="0"/>
              <w:rPr>
                <w:sz w:val="24"/>
                <w:szCs w:val="24"/>
                <w:color w:val="auto"/>
              </w:rPr>
            </w:pPr>
          </w:p>
        </w:tc>
        <w:tc>
          <w:tcPr>
            <w:tcW w:w="2200" w:type="dxa"/>
            <w:vAlign w:val="bottom"/>
            <w:tcBorders>
              <w:top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22"/>
                <w:szCs w:val="22"/>
                <w:color w:val="auto"/>
              </w:rPr>
              <w:t>Value (in Fund</w:t>
            </w:r>
          </w:p>
        </w:tc>
        <w:tc>
          <w:tcPr>
            <w:tcW w:w="2280" w:type="dxa"/>
            <w:vAlign w:val="bottom"/>
            <w:tcBorders>
              <w:top w:val="single" w:sz="8" w:color="auto"/>
              <w:right w:val="single" w:sz="8" w:color="auto"/>
            </w:tcBorders>
            <w:gridSpan w:val="3"/>
            <w:vMerge w:val="restart"/>
          </w:tcPr>
          <w:p>
            <w:pPr>
              <w:ind w:left="100"/>
              <w:spacing w:after="0"/>
              <w:rPr>
                <w:sz w:val="20"/>
                <w:szCs w:val="20"/>
                <w:color w:val="auto"/>
              </w:rPr>
            </w:pPr>
            <w:r>
              <w:rPr>
                <w:rFonts w:ascii="Times New Roman" w:cs="Times New Roman" w:eastAsia="Times New Roman" w:hAnsi="Times New Roman"/>
                <w:sz w:val="22"/>
                <w:szCs w:val="22"/>
                <w:color w:val="auto"/>
              </w:rPr>
              <w:t>Value (in U.S. Dollars)</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56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tcBorders>
              <w:top w:val="single" w:sz="8" w:color="auto"/>
            </w:tcBorders>
            <w:gridSpan w:val="2"/>
          </w:tcPr>
          <w:p>
            <w:pPr>
              <w:spacing w:after="0" w:line="223" w:lineRule="exact"/>
              <w:rPr>
                <w:sz w:val="20"/>
                <w:szCs w:val="20"/>
                <w:color w:val="auto"/>
              </w:rPr>
            </w:pPr>
            <w:r>
              <w:rPr>
                <w:rFonts w:ascii="Times New Roman" w:cs="Times New Roman" w:eastAsia="Times New Roman" w:hAnsi="Times New Roman"/>
                <w:sz w:val="22"/>
                <w:szCs w:val="22"/>
                <w:color w:val="auto"/>
              </w:rPr>
              <w:t>Currency)</w:t>
            </w:r>
          </w:p>
        </w:tc>
        <w:tc>
          <w:tcPr>
            <w:tcW w:w="820" w:type="dxa"/>
            <w:vAlign w:val="bottom"/>
            <w:tcBorders>
              <w:right w:val="single" w:sz="8" w:color="auto"/>
            </w:tcBorders>
          </w:tcPr>
          <w:p>
            <w:pPr>
              <w:spacing w:after="0"/>
              <w:rPr>
                <w:sz w:val="19"/>
                <w:szCs w:val="19"/>
                <w:color w:val="auto"/>
              </w:rPr>
            </w:pPr>
          </w:p>
        </w:tc>
        <w:tc>
          <w:tcPr>
            <w:tcW w:w="2280" w:type="dxa"/>
            <w:vAlign w:val="bottom"/>
            <w:tcBorders>
              <w:top w:val="single" w:sz="8" w:color="auto"/>
              <w:right w:val="single" w:sz="8" w:color="auto"/>
            </w:tcBorders>
            <w:gridSpan w:val="3"/>
            <w:vMerge w:val="continue"/>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1"/>
        </w:trPr>
        <w:tc>
          <w:tcPr>
            <w:tcW w:w="1560" w:type="dxa"/>
            <w:vAlign w:val="bottom"/>
            <w:tcBorders>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74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66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80" w:type="dxa"/>
            <w:vAlign w:val="bottom"/>
            <w:tcBorders>
              <w:top w:val="single" w:sz="8" w:color="auto"/>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820" w:type="dxa"/>
            <w:vAlign w:val="bottom"/>
            <w:tcBorders>
              <w:bottom w:val="single" w:sz="8" w:color="auto"/>
              <w:right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00" w:type="dxa"/>
            <w:vAlign w:val="bottom"/>
            <w:tcBorders>
              <w:top w:val="single" w:sz="8" w:color="auto"/>
              <w:bottom w:val="single" w:sz="8" w:color="auto"/>
            </w:tcBorders>
          </w:tcPr>
          <w:p>
            <w:pPr>
              <w:spacing w:after="0"/>
              <w:rPr>
                <w:sz w:val="6"/>
                <w:szCs w:val="6"/>
                <w:color w:val="auto"/>
              </w:rPr>
            </w:pPr>
          </w:p>
        </w:tc>
        <w:tc>
          <w:tcPr>
            <w:tcW w:w="180" w:type="dxa"/>
            <w:vAlign w:val="bottom"/>
            <w:tcBorders>
              <w:bottom w:val="single" w:sz="8" w:color="auto"/>
              <w:right w:val="single" w:sz="8" w:color="auto"/>
            </w:tcBorders>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4"/>
        </w:trPr>
        <w:tc>
          <w:tcPr>
            <w:tcW w:w="1560" w:type="dxa"/>
            <w:vAlign w:val="bottom"/>
            <w:tcBorders>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1560" w:type="dxa"/>
            <w:vAlign w:val="bottom"/>
            <w:tcBorders>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560" w:type="dxa"/>
            <w:vAlign w:val="bottom"/>
            <w:tcBorders>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5"/>
        </w:trPr>
        <w:tc>
          <w:tcPr>
            <w:tcW w:w="15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96" w:name="page197"/>
    <w:bookmarkEnd w:id="196"/>
    <w:p>
      <w:pPr>
        <w:jc w:val="center"/>
        <w:spacing w:after="0"/>
        <w:rPr>
          <w:sz w:val="20"/>
          <w:szCs w:val="20"/>
          <w:color w:val="auto"/>
        </w:rPr>
      </w:pPr>
      <w:r>
        <w:rPr>
          <w:rFonts w:ascii="Times New Roman" w:cs="Times New Roman" w:eastAsia="Times New Roman" w:hAnsi="Times New Roman"/>
          <w:sz w:val="22"/>
          <w:szCs w:val="22"/>
          <w:u w:val="single" w:color="auto"/>
          <w:color w:val="auto"/>
        </w:rPr>
        <w:t>Appendix B Continued</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Capital Contributions after the Cut Off Date (sorted by Fund)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368"/>
        </w:trPr>
        <w:tc>
          <w:tcPr>
            <w:tcW w:w="420" w:type="dxa"/>
            <w:vAlign w:val="bottom"/>
            <w:tcBorders>
              <w:right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920" w:type="dxa"/>
            <w:vAlign w:val="bottom"/>
            <w:tcBorders>
              <w:top w:val="single" w:sz="8" w:color="auto"/>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22"/>
                <w:szCs w:val="22"/>
                <w:color w:val="auto"/>
              </w:rPr>
              <w:t>Interest</w:t>
            </w:r>
          </w:p>
        </w:tc>
        <w:tc>
          <w:tcPr>
            <w:tcW w:w="1400" w:type="dxa"/>
            <w:vAlign w:val="bottom"/>
            <w:tcBorders>
              <w:top w:val="single" w:sz="8" w:color="auto"/>
              <w:right w:val="single" w:sz="8" w:color="auto"/>
            </w:tcBorders>
            <w:gridSpan w:val="3"/>
            <w:vMerge w:val="restart"/>
          </w:tcPr>
          <w:p>
            <w:pPr>
              <w:ind w:left="80"/>
              <w:spacing w:after="0"/>
              <w:rPr>
                <w:sz w:val="20"/>
                <w:szCs w:val="20"/>
                <w:color w:val="auto"/>
              </w:rPr>
            </w:pPr>
            <w:r>
              <w:rPr>
                <w:rFonts w:ascii="Times New Roman" w:cs="Times New Roman" w:eastAsia="Times New Roman" w:hAnsi="Times New Roman"/>
                <w:sz w:val="22"/>
                <w:szCs w:val="22"/>
                <w:color w:val="auto"/>
              </w:rPr>
              <w:t>Date</w:t>
            </w:r>
          </w:p>
        </w:tc>
        <w:tc>
          <w:tcPr>
            <w:tcW w:w="80" w:type="dxa"/>
            <w:vAlign w:val="bottom"/>
            <w:tcBorders>
              <w:top w:val="single" w:sz="8" w:color="auto"/>
            </w:tcBorders>
          </w:tcPr>
          <w:p>
            <w:pPr>
              <w:spacing w:after="0"/>
              <w:rPr>
                <w:sz w:val="24"/>
                <w:szCs w:val="24"/>
                <w:color w:val="auto"/>
              </w:rPr>
            </w:pPr>
          </w:p>
        </w:tc>
        <w:tc>
          <w:tcPr>
            <w:tcW w:w="2920" w:type="dxa"/>
            <w:vAlign w:val="bottom"/>
            <w:tcBorders>
              <w:top w:val="single" w:sz="8" w:color="auto"/>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22"/>
                <w:szCs w:val="22"/>
                <w:color w:val="auto"/>
              </w:rPr>
              <w:t>Value (in Fund Currency)</w:t>
            </w:r>
          </w:p>
        </w:tc>
        <w:tc>
          <w:tcPr>
            <w:tcW w:w="3020" w:type="dxa"/>
            <w:vAlign w:val="bottom"/>
            <w:tcBorders>
              <w:top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22"/>
                <w:szCs w:val="22"/>
                <w:color w:val="auto"/>
              </w:rPr>
              <w:t>Value (in U.S. Dollars)</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4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920" w:type="dxa"/>
            <w:vAlign w:val="bottom"/>
            <w:tcBorders>
              <w:top w:val="single" w:sz="8" w:color="auto"/>
              <w:right w:val="single" w:sz="8" w:color="auto"/>
            </w:tcBorders>
            <w:gridSpan w:val="2"/>
            <w:vMerge w:val="continue"/>
          </w:tcPr>
          <w:p>
            <w:pPr>
              <w:spacing w:after="0"/>
              <w:rPr>
                <w:sz w:val="11"/>
                <w:szCs w:val="11"/>
                <w:color w:val="auto"/>
              </w:rPr>
            </w:pPr>
          </w:p>
        </w:tc>
        <w:tc>
          <w:tcPr>
            <w:tcW w:w="1400" w:type="dxa"/>
            <w:vAlign w:val="bottom"/>
            <w:tcBorders>
              <w:top w:val="single" w:sz="8" w:color="auto"/>
              <w:right w:val="single" w:sz="8" w:color="auto"/>
            </w:tcBorders>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2920" w:type="dxa"/>
            <w:vAlign w:val="bottom"/>
            <w:tcBorders>
              <w:top w:val="single" w:sz="8" w:color="auto"/>
              <w:right w:val="single" w:sz="8" w:color="auto"/>
            </w:tcBorders>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2020" w:type="dxa"/>
            <w:vAlign w:val="bottom"/>
            <w:tcBorders>
              <w:top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420" w:type="dxa"/>
            <w:vAlign w:val="bottom"/>
            <w:tcBorders>
              <w:right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40" w:type="dxa"/>
            <w:vAlign w:val="bottom"/>
            <w:tcBorders>
              <w:top w:val="single" w:sz="8" w:color="auto"/>
              <w:bottom w:val="single" w:sz="8" w:color="auto"/>
            </w:tcBorders>
          </w:tcPr>
          <w:p>
            <w:pPr>
              <w:spacing w:after="0"/>
              <w:rPr>
                <w:sz w:val="6"/>
                <w:szCs w:val="6"/>
                <w:color w:val="auto"/>
              </w:rPr>
            </w:pPr>
          </w:p>
        </w:tc>
        <w:tc>
          <w:tcPr>
            <w:tcW w:w="228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20" w:type="dxa"/>
            <w:vAlign w:val="bottom"/>
            <w:tcBorders>
              <w:top w:val="single" w:sz="8" w:color="auto"/>
              <w:bottom w:val="single" w:sz="8" w:color="auto"/>
            </w:tcBorders>
          </w:tcPr>
          <w:p>
            <w:pPr>
              <w:spacing w:after="0"/>
              <w:rPr>
                <w:sz w:val="6"/>
                <w:szCs w:val="6"/>
                <w:color w:val="auto"/>
              </w:rPr>
            </w:pPr>
          </w:p>
        </w:tc>
        <w:tc>
          <w:tcPr>
            <w:tcW w:w="90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240" w:type="dxa"/>
            <w:vAlign w:val="bottom"/>
            <w:tcBorders>
              <w:top w:val="single" w:sz="8" w:color="auto"/>
              <w:bottom w:val="single" w:sz="8" w:color="auto"/>
            </w:tcBorders>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20" w:type="dxa"/>
            <w:vAlign w:val="bottom"/>
            <w:tcBorders>
              <w:bottom w:val="single" w:sz="8" w:color="auto"/>
            </w:tcBorders>
          </w:tcPr>
          <w:p>
            <w:pPr>
              <w:spacing w:after="0"/>
              <w:rPr>
                <w:sz w:val="6"/>
                <w:szCs w:val="6"/>
                <w:color w:val="auto"/>
              </w:rPr>
            </w:pPr>
          </w:p>
        </w:tc>
        <w:tc>
          <w:tcPr>
            <w:tcW w:w="920" w:type="dxa"/>
            <w:vAlign w:val="bottom"/>
            <w:tcBorders>
              <w:bottom w:val="single" w:sz="8" w:color="auto"/>
              <w:right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4"/>
        </w:trPr>
        <w:tc>
          <w:tcPr>
            <w:tcW w:w="420" w:type="dxa"/>
            <w:vAlign w:val="bottom"/>
            <w:tcBorders>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20" w:type="dxa"/>
            <w:vAlign w:val="bottom"/>
            <w:tcBorders>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420" w:type="dxa"/>
            <w:vAlign w:val="bottom"/>
            <w:tcBorders>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20" w:type="dxa"/>
            <w:vAlign w:val="bottom"/>
            <w:tcBorders>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20" w:type="dxa"/>
            <w:vAlign w:val="bottom"/>
            <w:tcBorders>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420" w:type="dxa"/>
            <w:vAlign w:val="bottom"/>
            <w:tcBorders>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20" w:type="dxa"/>
            <w:vAlign w:val="bottom"/>
            <w:tcBorders>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420" w:type="dxa"/>
            <w:vAlign w:val="bottom"/>
            <w:tcBorders>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20" w:type="dxa"/>
            <w:vAlign w:val="bottom"/>
            <w:tcBorders>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420" w:type="dxa"/>
            <w:vAlign w:val="bottom"/>
            <w:tcBorders>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20" w:type="dxa"/>
            <w:vAlign w:val="bottom"/>
            <w:tcBorders>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420" w:type="dxa"/>
            <w:vAlign w:val="bottom"/>
            <w:tcBorders>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3"/>
        </w:trPr>
        <w:tc>
          <w:tcPr>
            <w:tcW w:w="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97" w:name="page198"/>
    <w:bookmarkEnd w:id="197"/>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Appendix C</w:t>
      </w:r>
    </w:p>
    <w:p>
      <w:pPr>
        <w:spacing w:after="0" w:line="233"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b w:val="1"/>
          <w:bCs w:val="1"/>
          <w:color w:val="auto"/>
        </w:rPr>
        <w:t>Wiring Instructions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Set forth below are the wiring instructions on behalf of the Seller in connection with the sale of the Interest[s].</w:t>
      </w:r>
    </w:p>
    <w:p>
      <w:pPr>
        <w:spacing w:after="0" w:line="218"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2"/>
          <w:szCs w:val="22"/>
          <w:color w:val="auto"/>
        </w:rPr>
        <w:t>Bank:</w:t>
      </w:r>
    </w:p>
    <w:p>
      <w:pPr>
        <w:spacing w:after="0" w:line="1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2"/>
          <w:szCs w:val="22"/>
          <w:color w:val="auto"/>
        </w:rPr>
        <w:t>Address:</w:t>
      </w:r>
    </w:p>
    <w:p>
      <w:pPr>
        <w:spacing w:after="0" w:line="20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2"/>
          <w:szCs w:val="22"/>
          <w:color w:val="auto"/>
        </w:rPr>
        <w:t>ABA</w:t>
      </w:r>
    </w:p>
    <w:p>
      <w:pPr>
        <w:spacing w:after="0" w:line="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2"/>
          <w:szCs w:val="22"/>
          <w:color w:val="auto"/>
        </w:rPr>
        <w:t>SWIFT:</w:t>
      </w:r>
    </w:p>
    <w:p>
      <w:pPr>
        <w:ind w:left="1600"/>
        <w:spacing w:after="0" w:line="230" w:lineRule="auto"/>
        <w:rPr>
          <w:sz w:val="20"/>
          <w:szCs w:val="20"/>
          <w:color w:val="auto"/>
        </w:rPr>
      </w:pPr>
      <w:r>
        <w:rPr>
          <w:rFonts w:ascii="Times New Roman" w:cs="Times New Roman" w:eastAsia="Times New Roman" w:hAnsi="Times New Roman"/>
          <w:sz w:val="22"/>
          <w:szCs w:val="22"/>
          <w:color w:val="auto"/>
        </w:rPr>
        <w:t>Credit Name:</w:t>
      </w:r>
    </w:p>
    <w:p>
      <w:pPr>
        <w:ind w:left="1600"/>
        <w:spacing w:after="0" w:line="231" w:lineRule="auto"/>
        <w:rPr>
          <w:sz w:val="20"/>
          <w:szCs w:val="20"/>
          <w:color w:val="auto"/>
        </w:rPr>
      </w:pPr>
      <w:r>
        <w:rPr>
          <w:rFonts w:ascii="Times New Roman" w:cs="Times New Roman" w:eastAsia="Times New Roman" w:hAnsi="Times New Roman"/>
          <w:sz w:val="22"/>
          <w:szCs w:val="22"/>
          <w:color w:val="auto"/>
        </w:rPr>
        <w:t>Credit Account#</w:t>
      </w:r>
    </w:p>
    <w:p>
      <w:pPr>
        <w:ind w:left="1600"/>
        <w:spacing w:after="0"/>
        <w:rPr>
          <w:sz w:val="20"/>
          <w:szCs w:val="20"/>
          <w:color w:val="auto"/>
        </w:rPr>
      </w:pPr>
      <w:r>
        <w:rPr>
          <w:rFonts w:ascii="Times New Roman" w:cs="Times New Roman" w:eastAsia="Times New Roman" w:hAnsi="Times New Roman"/>
          <w:sz w:val="22"/>
          <w:szCs w:val="22"/>
          <w:color w:val="auto"/>
        </w:rPr>
        <w:t>Further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1097280</wp:posOffset>
            </wp:positionV>
            <wp:extent cx="7157720" cy="4254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4" w:right="1440" w:bottom="1440" w:gutter="0" w:footer="0" w:header="0"/>
        </w:sectPr>
      </w:pPr>
    </w:p>
    <w:bookmarkStart w:id="198" w:name="page199"/>
    <w:bookmarkEnd w:id="198"/>
    <w:p>
      <w:pPr>
        <w:jc w:val="right"/>
        <w:spacing w:after="0"/>
        <w:rPr>
          <w:sz w:val="20"/>
          <w:szCs w:val="20"/>
          <w:color w:val="auto"/>
        </w:rPr>
      </w:pPr>
      <w:r>
        <w:rPr>
          <w:rFonts w:ascii="Times New Roman" w:cs="Times New Roman" w:eastAsia="Times New Roman" w:hAnsi="Times New Roman"/>
          <w:sz w:val="18"/>
          <w:szCs w:val="18"/>
          <w:b w:val="1"/>
          <w:bCs w:val="1"/>
          <w:color w:val="auto"/>
        </w:rPr>
        <w:t>Exhibit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6125845</wp:posOffset>
            </wp:positionH>
            <wp:positionV relativeFrom="paragraph">
              <wp:posOffset>294005</wp:posOffset>
            </wp:positionV>
            <wp:extent cx="1011555" cy="92583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71">
                      <a:extLst>
                        <a:ext uri="{28A0092B-C50C-407E-A947-70E740481C1C}"/>
                      </a:extLst>
                    </a:blip>
                    <a:srcRect/>
                    <a:stretch>
                      <a:fillRect/>
                    </a:stretch>
                  </pic:blipFill>
                  <pic:spPr bwMode="auto">
                    <a:xfrm>
                      <a:off x="0" y="0"/>
                      <a:ext cx="1011555" cy="925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9"/>
          <w:szCs w:val="29"/>
          <w:b w:val="1"/>
          <w:bCs w:val="1"/>
          <w:color w:val="404040"/>
        </w:rPr>
        <w:t>EASTMAN KODAK COMPANY</w:t>
      </w:r>
    </w:p>
    <w:p>
      <w:pPr>
        <w:spacing w:after="0" w:line="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9"/>
          <w:szCs w:val="29"/>
          <w:b w:val="1"/>
          <w:bCs w:val="1"/>
          <w:color w:val="404040"/>
        </w:rPr>
        <w:t>POLICY ON INSIDER TRADING</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i w:val="1"/>
          <w:iCs w:val="1"/>
          <w:color w:val="auto"/>
        </w:rPr>
        <w:t>This policy supersedes all previous insider trading policies and any addenda or supplements adopted by the Board of Directors of Eastman Kodak Company (including its direct and indirect subsidiaries,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i w:val="1"/>
          <w:iCs w:val="1"/>
          <w:color w:val="auto"/>
        </w:rPr>
        <w:t>”). This policy is administered by the Company’s General Counsel or his or her designee (the “</w:t>
      </w:r>
      <w:r>
        <w:rPr>
          <w:rFonts w:ascii="Times New Roman" w:cs="Times New Roman" w:eastAsia="Times New Roman" w:hAnsi="Times New Roman"/>
          <w:sz w:val="22"/>
          <w:szCs w:val="22"/>
          <w:b w:val="1"/>
          <w:bCs w:val="1"/>
          <w:i w:val="1"/>
          <w:iCs w:val="1"/>
          <w:color w:val="auto"/>
        </w:rPr>
        <w:t>Securities Trading Compliance Officer</w:t>
      </w:r>
      <w:r>
        <w:rPr>
          <w:rFonts w:ascii="Times New Roman" w:cs="Times New Roman" w:eastAsia="Times New Roman" w:hAnsi="Times New Roman"/>
          <w:sz w:val="22"/>
          <w:szCs w:val="22"/>
          <w:i w:val="1"/>
          <w:iCs w:val="1"/>
          <w:color w:val="auto"/>
        </w:rPr>
        <w: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Introduction</w:t>
      </w:r>
    </w:p>
    <w:p>
      <w:pPr>
        <w:spacing w:after="0" w:line="21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Federal and state securities laws generally prohibit any person who is aware of material non-public information about a company or its securities from purchasing or selling or making other transfers of the securities of that company in violation of duty. These laws also prohibit such person from disclosing material non-public information to other persons who then trade on the basis of that information.</w:t>
      </w:r>
    </w:p>
    <w:p>
      <w:pPr>
        <w:spacing w:after="0" w:line="174"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The purpose of this Policy on Insider Trading (this “</w:t>
      </w:r>
      <w:r>
        <w:rPr>
          <w:rFonts w:ascii="Times New Roman" w:cs="Times New Roman" w:eastAsia="Times New Roman" w:hAnsi="Times New Roman"/>
          <w:sz w:val="22"/>
          <w:szCs w:val="22"/>
          <w:b w:val="1"/>
          <w:bCs w:val="1"/>
          <w:i w:val="1"/>
          <w:iCs w:val="1"/>
          <w:color w:val="auto"/>
        </w:rPr>
        <w:t>Policy</w:t>
      </w:r>
      <w:r>
        <w:rPr>
          <w:rFonts w:ascii="Times New Roman" w:cs="Times New Roman" w:eastAsia="Times New Roman" w:hAnsi="Times New Roman"/>
          <w:sz w:val="22"/>
          <w:szCs w:val="22"/>
          <w:color w:val="auto"/>
        </w:rPr>
        <w:t>”) is to help the Company and the Company Insiders (as defined below) comply with the insider trading laws and to avoid circumstances where the Company and the Company Insiders could be perceived to have violated those laws. Violations of the insider trading laws can result in serious liabilities and both civil and criminal penalties.</w:t>
      </w:r>
    </w:p>
    <w:p>
      <w:pPr>
        <w:spacing w:after="0" w:line="178"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1"/>
          <w:szCs w:val="21"/>
          <w:color w:val="auto"/>
        </w:rPr>
        <w:t>It is your responsibility to comply with the insider trading laws and this Policy. If you have questions about this Policy, please contact our Securities Trading Compliance Officer. Information on how to contact the Securities Trading Compliance Officer is set forth under the heading “Company Assistance – Information about the Securities Trading Compliance Officer.”</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Persons Subject to This Policy</w:t>
      </w:r>
    </w:p>
    <w:p>
      <w:pPr>
        <w:spacing w:after="0" w:line="21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If you are a director, officer, or employee of the Company or a contractor or consultant who has access to material non-public information concerning the Company and/or other publicly traded companies conducting business with the Company whom the Company has notified as such (collectively, “</w:t>
      </w:r>
      <w:r>
        <w:rPr>
          <w:rFonts w:ascii="Times New Roman" w:cs="Times New Roman" w:eastAsia="Times New Roman" w:hAnsi="Times New Roman"/>
          <w:sz w:val="22"/>
          <w:szCs w:val="22"/>
          <w:b w:val="1"/>
          <w:bCs w:val="1"/>
          <w:i w:val="1"/>
          <w:iCs w:val="1"/>
          <w:color w:val="auto"/>
        </w:rPr>
        <w:t>Company Insiders</w:t>
      </w:r>
      <w:r>
        <w:rPr>
          <w:rFonts w:ascii="Times New Roman" w:cs="Times New Roman" w:eastAsia="Times New Roman" w:hAnsi="Times New Roman"/>
          <w:sz w:val="22"/>
          <w:szCs w:val="22"/>
          <w:color w:val="auto"/>
        </w:rPr>
        <w:t>”), then this Policy applies to you. Unless otherwise indicated, the use of “you” throughout this Policy refers to Company Insiders.</w:t>
      </w:r>
    </w:p>
    <w:p>
      <w:pPr>
        <w:spacing w:after="0" w:line="18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This Policy also applies to your family members who reside with you, anyone else who lives with you, any family members who do not live with you but whose transactions in Company Securities (defined below) are subject to your influence or control (such as parents or children who consult with you before they trade in Company Securities) (collectively, “</w:t>
      </w:r>
      <w:r>
        <w:rPr>
          <w:rFonts w:ascii="Times New Roman" w:cs="Times New Roman" w:eastAsia="Times New Roman" w:hAnsi="Times New Roman"/>
          <w:sz w:val="22"/>
          <w:szCs w:val="22"/>
          <w:b w:val="1"/>
          <w:bCs w:val="1"/>
          <w:i w:val="1"/>
          <w:iCs w:val="1"/>
          <w:color w:val="auto"/>
        </w:rPr>
        <w:t>your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household</w:t>
      </w:r>
      <w:r>
        <w:rPr>
          <w:rFonts w:ascii="Times New Roman" w:cs="Times New Roman" w:eastAsia="Times New Roman" w:hAnsi="Times New Roman"/>
          <w:sz w:val="22"/>
          <w:szCs w:val="22"/>
          <w:color w:val="auto"/>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1010920</wp:posOffset>
            </wp:positionV>
            <wp:extent cx="7157720" cy="4254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9" w:name="page200"/>
    <w:bookmarkEnd w:id="199"/>
    <w:p>
      <w:pPr>
        <w:jc w:val="both"/>
        <w:spacing w:after="0" w:line="244" w:lineRule="auto"/>
        <w:rPr>
          <w:sz w:val="20"/>
          <w:szCs w:val="20"/>
          <w:color w:val="auto"/>
        </w:rPr>
      </w:pPr>
      <w:r>
        <w:rPr>
          <w:rFonts w:ascii="Times New Roman" w:cs="Times New Roman" w:eastAsia="Times New Roman" w:hAnsi="Times New Roman"/>
          <w:sz w:val="22"/>
          <w:szCs w:val="22"/>
          <w:color w:val="auto"/>
        </w:rPr>
        <w:t>any entity whose transactions in Company Securities are controlled by you or any member of your household (such persons and entities collectively referred to as “</w:t>
      </w:r>
      <w:r>
        <w:rPr>
          <w:rFonts w:ascii="Times New Roman" w:cs="Times New Roman" w:eastAsia="Times New Roman" w:hAnsi="Times New Roman"/>
          <w:sz w:val="22"/>
          <w:szCs w:val="22"/>
          <w:b w:val="1"/>
          <w:bCs w:val="1"/>
          <w:i w:val="1"/>
          <w:iCs w:val="1"/>
          <w:color w:val="auto"/>
        </w:rPr>
        <w:t>Related Persons</w:t>
      </w:r>
      <w:r>
        <w:rPr>
          <w:rFonts w:ascii="Times New Roman" w:cs="Times New Roman" w:eastAsia="Times New Roman" w:hAnsi="Times New Roman"/>
          <w:sz w:val="22"/>
          <w:szCs w:val="22"/>
          <w:color w:val="auto"/>
        </w:rPr>
        <w:t>”). You are responsible for making sure that your Related Persons comply with this Policy.</w:t>
      </w:r>
    </w:p>
    <w:p>
      <w:pPr>
        <w:spacing w:after="0" w:line="17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Additionally, because of their access to confidential information on a regular basis, this Policy subjects directors and certain designated officers and employees of the Company (the “</w:t>
      </w:r>
      <w:r>
        <w:rPr>
          <w:rFonts w:ascii="Times New Roman" w:cs="Times New Roman" w:eastAsia="Times New Roman" w:hAnsi="Times New Roman"/>
          <w:sz w:val="22"/>
          <w:szCs w:val="22"/>
          <w:b w:val="1"/>
          <w:bCs w:val="1"/>
          <w:i w:val="1"/>
          <w:iCs w:val="1"/>
          <w:color w:val="auto"/>
        </w:rPr>
        <w:t>Covered Persons</w:t>
      </w:r>
      <w:r>
        <w:rPr>
          <w:rFonts w:ascii="Times New Roman" w:cs="Times New Roman" w:eastAsia="Times New Roman" w:hAnsi="Times New Roman"/>
          <w:sz w:val="22"/>
          <w:szCs w:val="22"/>
          <w:color w:val="auto"/>
        </w:rPr>
        <w:t>”) to additional restrictions on trading in Company Securities. The restrictions for the Covered Persons are set forth below under the heading “Additional Trading Restrictions for Covered Persons.”</w:t>
      </w:r>
    </w:p>
    <w:p>
      <w:pPr>
        <w:spacing w:after="0" w:line="180" w:lineRule="exact"/>
        <w:rPr>
          <w:sz w:val="20"/>
          <w:szCs w:val="20"/>
          <w:color w:val="auto"/>
        </w:rPr>
      </w:pPr>
    </w:p>
    <w:p>
      <w:pPr>
        <w:jc w:val="both"/>
        <w:ind w:firstLine="749"/>
        <w:spacing w:after="0" w:line="251" w:lineRule="auto"/>
        <w:rPr>
          <w:sz w:val="20"/>
          <w:szCs w:val="20"/>
          <w:color w:val="auto"/>
        </w:rPr>
      </w:pPr>
      <w:r>
        <w:rPr>
          <w:rFonts w:ascii="Times New Roman" w:cs="Times New Roman" w:eastAsia="Times New Roman" w:hAnsi="Times New Roman"/>
          <w:sz w:val="21"/>
          <w:szCs w:val="21"/>
          <w:color w:val="auto"/>
        </w:rPr>
        <w:t>Finally, individuals who are cleared for special “coded” projects that are deemed material non-public information by the Securities Trading Compliance Officer and individuals who are involved in significant technological developments or projects that are material to the Company, in each case who are not Covered Persons (each, a “</w:t>
      </w:r>
      <w:r>
        <w:rPr>
          <w:rFonts w:ascii="Times New Roman" w:cs="Times New Roman" w:eastAsia="Times New Roman" w:hAnsi="Times New Roman"/>
          <w:sz w:val="21"/>
          <w:szCs w:val="21"/>
          <w:b w:val="1"/>
          <w:bCs w:val="1"/>
          <w:i w:val="1"/>
          <w:iCs w:val="1"/>
          <w:color w:val="auto"/>
        </w:rPr>
        <w:t>Project Insider</w:t>
      </w:r>
      <w:r>
        <w:rPr>
          <w:rFonts w:ascii="Times New Roman" w:cs="Times New Roman" w:eastAsia="Times New Roman" w:hAnsi="Times New Roman"/>
          <w:sz w:val="21"/>
          <w:szCs w:val="21"/>
          <w:color w:val="auto"/>
        </w:rPr>
        <w:t>”), will be notified by email by the Securities Trading Compliance Officer and will be subject to additional restrictions on trading in Company Securities. The restrictions for Project Insiders are set forth below under the heading “Requirements Applicable to Project Insiders.”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Transactions Covered by This Policy</w:t>
      </w:r>
    </w:p>
    <w:p>
      <w:pPr>
        <w:spacing w:after="0" w:line="21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Except as specifically set forth in this Policy, this Policy applies to any transactions in the Company’s securities, including common stock, preferred stock, options to purchase stock, warrants, debt securities (debentures, bonds, notes and debentures), derivative securities (such as exchange-traded put and call options, swaps, and convertible instruments), calls and short sales involving Company securities, whether or not issued by the Company, or other similar instruments, and includes any securities held in your personal accounts or securities awarded by the Company or held in Company sponsored plans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Securities</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This Policy also applies to transactions in the securities of another company if you become aware of material non-public information about that company in the course of your work or service for the Company (such other companies, “</w:t>
      </w:r>
      <w:r>
        <w:rPr>
          <w:rFonts w:ascii="Times New Roman" w:cs="Times New Roman" w:eastAsia="Times New Roman" w:hAnsi="Times New Roman"/>
          <w:sz w:val="22"/>
          <w:szCs w:val="22"/>
          <w:b w:val="1"/>
          <w:bCs w:val="1"/>
          <w:i w:val="1"/>
          <w:iCs w:val="1"/>
          <w:color w:val="auto"/>
        </w:rPr>
        <w:t>Covered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Companies</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color w:val="auto"/>
        </w:rPr>
        <w:t>For purposes of this Policy, the term “</w:t>
      </w:r>
      <w:r>
        <w:rPr>
          <w:rFonts w:ascii="Times New Roman" w:cs="Times New Roman" w:eastAsia="Times New Roman" w:hAnsi="Times New Roman"/>
          <w:sz w:val="22"/>
          <w:szCs w:val="22"/>
          <w:b w:val="1"/>
          <w:bCs w:val="1"/>
          <w:i w:val="1"/>
          <w:iCs w:val="1"/>
          <w:color w:val="auto"/>
        </w:rPr>
        <w:t>transact</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i w:val="1"/>
          <w:iCs w:val="1"/>
          <w:color w:val="auto"/>
        </w:rPr>
        <w:t>transactions,</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i w:val="1"/>
          <w:iCs w:val="1"/>
          <w:color w:val="auto"/>
        </w:rPr>
        <w:t>trade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i w:val="1"/>
          <w:iCs w:val="1"/>
          <w:color w:val="auto"/>
        </w:rPr>
        <w:t>trading</w:t>
      </w:r>
      <w:r>
        <w:rPr>
          <w:rFonts w:ascii="Times New Roman" w:cs="Times New Roman" w:eastAsia="Times New Roman" w:hAnsi="Times New Roman"/>
          <w:sz w:val="22"/>
          <w:szCs w:val="22"/>
          <w:color w:val="auto"/>
        </w:rPr>
        <w:t>” means broadly any purchase, sale or other transaction to acquire, transfer or dispose of securities or an interest therein, including gifts, pledges or loans of securities, exercises of stock options, or contributions to a trust.</w:t>
      </w:r>
    </w:p>
    <w:p>
      <w:pPr>
        <w:spacing w:after="0" w:line="17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Notwithstanding this general rule, this Policy contains certain exceptions that are discussed in more detail below under the heading “Exceptions to this Policy.”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Definition of Material Non-public Information</w:t>
      </w:r>
    </w:p>
    <w:p>
      <w:pPr>
        <w:spacing w:after="0" w:line="204"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b w:val="1"/>
          <w:bCs w:val="1"/>
          <w:i w:val="1"/>
          <w:iCs w:val="1"/>
          <w:color w:val="auto"/>
        </w:rPr>
        <w:t xml:space="preserve">Material information. </w:t>
      </w:r>
      <w:r>
        <w:rPr>
          <w:rFonts w:ascii="Times New Roman" w:cs="Times New Roman" w:eastAsia="Times New Roman" w:hAnsi="Times New Roman"/>
          <w:sz w:val="22"/>
          <w:szCs w:val="22"/>
          <w:color w:val="auto"/>
        </w:rPr>
        <w:t>Information is generally considered “material” if there is a substantial likelihood that a</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reasonable investor would consider it important in making a decision to buy, sell or hold a security, or if the disclosure of the information would be expected to significantly alter the total mix of the information available in the marketplace. In simple terms, material information is any type of information that could reasonably be expected to affect the market price of a company’s securities. The information may concern the Company or another</w:t>
      </w:r>
    </w:p>
    <w:p>
      <w:pPr>
        <w:spacing w:after="0" w:line="200" w:lineRule="exact"/>
        <w:rPr>
          <w:sz w:val="20"/>
          <w:szCs w:val="20"/>
          <w:color w:val="auto"/>
        </w:rPr>
      </w:pPr>
    </w:p>
    <w:p>
      <w:pPr>
        <w:spacing w:after="0" w:line="2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00" w:name="page201"/>
    <w:bookmarkEnd w:id="200"/>
    <w:p>
      <w:pPr>
        <w:jc w:val="both"/>
        <w:spacing w:after="0" w:line="239" w:lineRule="auto"/>
        <w:rPr>
          <w:sz w:val="20"/>
          <w:szCs w:val="20"/>
          <w:color w:val="auto"/>
        </w:rPr>
      </w:pPr>
      <w:r>
        <w:rPr>
          <w:rFonts w:ascii="Times New Roman" w:cs="Times New Roman" w:eastAsia="Times New Roman" w:hAnsi="Times New Roman"/>
          <w:sz w:val="22"/>
          <w:szCs w:val="22"/>
          <w:color w:val="auto"/>
        </w:rPr>
        <w:t>company and may be positive or negative. In addition, it should be emphasized that material information does not have to relate to a company’s business; information about the contents of a forthcoming publication in the financial press that is expected to affect the market price of a security could well be material. Examples of information which may be material include, but are not limited to:</w:t>
      </w:r>
    </w:p>
    <w:p>
      <w:pPr>
        <w:spacing w:after="0" w:line="180" w:lineRule="exact"/>
        <w:rPr>
          <w:sz w:val="20"/>
          <w:szCs w:val="20"/>
          <w:color w:val="auto"/>
        </w:rPr>
      </w:pPr>
    </w:p>
    <w:p>
      <w:pPr>
        <w:ind w:left="1140" w:hanging="383"/>
        <w:spacing w:after="0"/>
        <w:tabs>
          <w:tab w:leader="none" w:pos="1140"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quarterly or annual financial results;</w:t>
      </w:r>
    </w:p>
    <w:p>
      <w:pPr>
        <w:spacing w:after="0" w:line="98" w:lineRule="exact"/>
        <w:rPr>
          <w:rFonts w:ascii="Times New Roman" w:cs="Times New Roman" w:eastAsia="Times New Roman" w:hAnsi="Times New Roman"/>
          <w:sz w:val="22"/>
          <w:szCs w:val="22"/>
          <w:color w:val="auto"/>
        </w:rPr>
      </w:pPr>
    </w:p>
    <w:p>
      <w:pPr>
        <w:ind w:left="1140" w:hanging="383"/>
        <w:spacing w:after="0" w:line="258" w:lineRule="auto"/>
        <w:tabs>
          <w:tab w:leader="none" w:pos="1140"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earnings estimates (including changes of previously announced estimates, if any) and related financial performance information;</w:t>
      </w:r>
    </w:p>
    <w:p>
      <w:pPr>
        <w:spacing w:after="0" w:line="50"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performance against or changes to externally communicated financial, sales or other performance targets;</w:t>
      </w:r>
    </w:p>
    <w:p>
      <w:pPr>
        <w:spacing w:after="0" w:line="98" w:lineRule="exact"/>
        <w:rPr>
          <w:rFonts w:ascii="Times New Roman" w:cs="Times New Roman" w:eastAsia="Times New Roman" w:hAnsi="Times New Roman"/>
          <w:sz w:val="22"/>
          <w:szCs w:val="22"/>
          <w:color w:val="auto"/>
        </w:rPr>
      </w:pPr>
    </w:p>
    <w:p>
      <w:pPr>
        <w:ind w:left="1140" w:hanging="383"/>
        <w:spacing w:after="0" w:line="258" w:lineRule="auto"/>
        <w:tabs>
          <w:tab w:leader="none" w:pos="1140"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potential restatements of the company’s financial statements, changes in auditors, or a notification that the issuer may no longer rely on an audit report;</w:t>
      </w:r>
    </w:p>
    <w:p>
      <w:pPr>
        <w:spacing w:after="0" w:line="50"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pending or proposed merger, acquisition or tender offer or an acquisition or disposition of significant assets;</w:t>
      </w:r>
    </w:p>
    <w:p>
      <w:pPr>
        <w:spacing w:after="0" w:line="98"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executive management;</w:t>
      </w:r>
    </w:p>
    <w:p>
      <w:pPr>
        <w:spacing w:after="0" w:line="98" w:lineRule="exact"/>
        <w:rPr>
          <w:rFonts w:ascii="Times New Roman" w:cs="Times New Roman" w:eastAsia="Times New Roman" w:hAnsi="Times New Roman"/>
          <w:sz w:val="22"/>
          <w:szCs w:val="22"/>
          <w:color w:val="auto"/>
        </w:rPr>
      </w:pPr>
    </w:p>
    <w:p>
      <w:pPr>
        <w:jc w:val="both"/>
        <w:ind w:left="1140" w:hanging="383"/>
        <w:spacing w:after="0" w:line="244" w:lineRule="auto"/>
        <w:tabs>
          <w:tab w:leader="none" w:pos="1140"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major events regarding the company’s securities or debt financings, including defaults on securities, calls of securities for redemption, share repurchase plans, the declaration of a stock split, the offering of additional securities or a change in dividends;</w:t>
      </w:r>
    </w:p>
    <w:p>
      <w:pPr>
        <w:spacing w:after="0" w:line="65"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severe financial liquidity problems;</w:t>
      </w:r>
    </w:p>
    <w:p>
      <w:pPr>
        <w:spacing w:after="0" w:line="98"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new product developments or initiatives;</w:t>
      </w:r>
    </w:p>
    <w:p>
      <w:pPr>
        <w:spacing w:after="0" w:line="98" w:lineRule="exact"/>
        <w:rPr>
          <w:rFonts w:ascii="Times New Roman" w:cs="Times New Roman" w:eastAsia="Times New Roman" w:hAnsi="Times New Roman"/>
          <w:sz w:val="22"/>
          <w:szCs w:val="22"/>
          <w:color w:val="auto"/>
        </w:rPr>
      </w:pPr>
    </w:p>
    <w:p>
      <w:pPr>
        <w:ind w:left="1140" w:hanging="383"/>
        <w:spacing w:after="0" w:line="258" w:lineRule="auto"/>
        <w:tabs>
          <w:tab w:leader="none" w:pos="1140"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actual or threatened significant litigation or government agency investigation, or any material developments related thereto;</w:t>
      </w:r>
    </w:p>
    <w:p>
      <w:pPr>
        <w:spacing w:after="0" w:line="50"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new major contracts, orders, suppliers, customers or finance sources, or the loss thereof;</w:t>
      </w:r>
    </w:p>
    <w:p>
      <w:pPr>
        <w:spacing w:after="0" w:line="98"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broad-based restructuring plan or initiative;</w:t>
      </w:r>
    </w:p>
    <w:p>
      <w:pPr>
        <w:spacing w:after="0" w:line="98"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significant change in our operations, projections or strategic plans;</w:t>
      </w:r>
    </w:p>
    <w:p>
      <w:pPr>
        <w:spacing w:after="0" w:line="98"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debt ratings or analyst upgrades or downgrades of the company or one of its securities;</w:t>
      </w:r>
    </w:p>
    <w:p>
      <w:pPr>
        <w:spacing w:after="0" w:line="98"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changes in accounting treatment, write-offs or effective tax rate; or</w:t>
      </w:r>
    </w:p>
    <w:p>
      <w:pPr>
        <w:spacing w:after="0" w:line="98"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significant cybersecurity incident.</w:t>
      </w:r>
    </w:p>
    <w:p>
      <w:pPr>
        <w:spacing w:after="0" w:line="200"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i w:val="1"/>
          <w:iCs w:val="1"/>
          <w:color w:val="auto"/>
        </w:rPr>
        <w:t xml:space="preserve">Non-public information. </w:t>
      </w:r>
      <w:r>
        <w:rPr>
          <w:rFonts w:ascii="Times New Roman" w:cs="Times New Roman" w:eastAsia="Times New Roman" w:hAnsi="Times New Roman"/>
          <w:sz w:val="22"/>
          <w:szCs w:val="22"/>
          <w:color w:val="auto"/>
        </w:rPr>
        <w:t>Non-public information is information that is not generally known or available to the public.</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One common misconception is that material information loses its “non-public” status as soon as a press release is issued disclosing the information. In fact, information is considered to be available to the pubic only when it has been released broadly to the marketplace (such as by a press release over the wire and/or a filing with the Securities and Exchange Commission or by means of a Regulation FD-compliant webcast), and the investing public has had enough time to absorb the information fully. For purposes of this policy,</w:t>
      </w:r>
    </w:p>
    <w:p>
      <w:pPr>
        <w:spacing w:after="0" w:line="200" w:lineRule="exact"/>
        <w:rPr>
          <w:sz w:val="20"/>
          <w:szCs w:val="20"/>
          <w:color w:val="auto"/>
        </w:rPr>
      </w:pPr>
    </w:p>
    <w:p>
      <w:pPr>
        <w:spacing w:after="0" w:line="2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01" w:name="page202"/>
    <w:bookmarkEnd w:id="201"/>
    <w:p>
      <w:pPr>
        <w:jc w:val="both"/>
        <w:spacing w:after="0" w:line="236" w:lineRule="auto"/>
        <w:rPr>
          <w:sz w:val="20"/>
          <w:szCs w:val="20"/>
          <w:color w:val="auto"/>
        </w:rPr>
      </w:pPr>
      <w:r>
        <w:rPr>
          <w:rFonts w:ascii="Times New Roman" w:cs="Times New Roman" w:eastAsia="Times New Roman" w:hAnsi="Times New Roman"/>
          <w:sz w:val="22"/>
          <w:szCs w:val="22"/>
          <w:color w:val="auto"/>
        </w:rPr>
        <w:t>information is considered non-public until after the second full trading day after the information is released. A “trading day” is a day on which the New York Stock Exchange is open for business. For example, if the Company announces financial earnings after the close of the market on a Tuesday, the first time you can buy or sell Company Securities is the opening of the market on Friday (assuming you are not in possession of other material non-public information at that time). If, however, the Company announces earnings before the opening of the market on a Tuesday, the first time you can buy or sell the Company Securities is the opening of the market on Thursday.</w:t>
      </w:r>
    </w:p>
    <w:p>
      <w:pPr>
        <w:spacing w:after="0" w:line="181"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If securities transactions ever become the subject of scrutiny by regulators, they are likely to be viewed after-the-fact with the benefit of hindsight. If you are not sure whether information is material or non-public, err on the side of caution and do not trade or consult with the Securities Trading Compliance Officer for guidance before engaging in any transaction in Company Securities or securities of any Covered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Trading and Disclosure Restrictions</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 following trading and disclosure restrictions apply to all Company Insiders and Related Persons:</w:t>
      </w:r>
    </w:p>
    <w:p>
      <w:pPr>
        <w:spacing w:after="0" w:line="206" w:lineRule="exact"/>
        <w:rPr>
          <w:sz w:val="20"/>
          <w:szCs w:val="20"/>
          <w:color w:val="auto"/>
        </w:rPr>
      </w:pPr>
    </w:p>
    <w:p>
      <w:pPr>
        <w:ind w:left="1140" w:right="20" w:hanging="383"/>
        <w:spacing w:after="0" w:line="258" w:lineRule="auto"/>
        <w:tabs>
          <w:tab w:leader="none" w:pos="1140"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may not transact (directly or indirectly through your Related Persons) in Company Securities while you are aware of material non-public information about the Company or Company Securities.</w:t>
      </w:r>
    </w:p>
    <w:p>
      <w:pPr>
        <w:spacing w:after="0" w:line="158" w:lineRule="exact"/>
        <w:rPr>
          <w:rFonts w:ascii="Times New Roman" w:cs="Times New Roman" w:eastAsia="Times New Roman" w:hAnsi="Times New Roman"/>
          <w:sz w:val="22"/>
          <w:szCs w:val="22"/>
          <w:color w:val="auto"/>
        </w:rPr>
      </w:pPr>
    </w:p>
    <w:p>
      <w:pPr>
        <w:jc w:val="both"/>
        <w:ind w:left="1140" w:hanging="383"/>
        <w:spacing w:after="0" w:line="236" w:lineRule="auto"/>
        <w:tabs>
          <w:tab w:leader="none" w:pos="1140"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Policy prohibition on insider trading is not limited to trading in Company Securities. You may not transact (directly or indirectly through your Related Persons) in the securities of another Covered Company, such as customers or suppliers of the Company and those with which the Company may be negotiating major transactions, such as an acquisition, investment or sale, while you are aware of material non-public information about that Covered Company or its securities that was obtained in the course of your work or service for the Company. Information that is not material to the Company may nevertheless be material to a Covered Company.</w:t>
      </w:r>
    </w:p>
    <w:p>
      <w:pPr>
        <w:spacing w:after="0" w:line="181" w:lineRule="exact"/>
        <w:rPr>
          <w:rFonts w:ascii="Times New Roman" w:cs="Times New Roman" w:eastAsia="Times New Roman" w:hAnsi="Times New Roman"/>
          <w:sz w:val="22"/>
          <w:szCs w:val="22"/>
          <w:color w:val="auto"/>
        </w:rPr>
      </w:pPr>
    </w:p>
    <w:p>
      <w:pPr>
        <w:jc w:val="both"/>
        <w:ind w:left="1140" w:hanging="383"/>
        <w:spacing w:after="0" w:line="235" w:lineRule="auto"/>
        <w:tabs>
          <w:tab w:leader="none" w:pos="1140"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may not disclose material non-public information about the Company or Company Securities or any other Covered Company or that Covered Company’s securities to any other person including those inside the Company whose job does not require the person to have that information or outside the Company unless the disclosure is made in accordance with the Company’s disclosure and external communications policies, or recommend to anyone the purchase or sale of any securities of the Company or any other Covered Company while aware of such information. This practice, known as “tipping,” also violates the insider trading laws and can result in the same civil and criminal penalties that apply to insider trading, even though you did not trade and did not gain any benefit from another’s trading.</w:t>
      </w:r>
    </w:p>
    <w:p>
      <w:pPr>
        <w:spacing w:after="0" w:line="17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In certain situations, U.S. or other securities laws may also prohibit trading (or recommending or suggesting that anyone else trade) in the securities of any other company while the person has material non-public information obtained in the course of the person’s employment</w:t>
      </w:r>
    </w:p>
    <w:p>
      <w:pPr>
        <w:spacing w:after="0" w:line="200" w:lineRule="exact"/>
        <w:rPr>
          <w:sz w:val="20"/>
          <w:szCs w:val="20"/>
          <w:color w:val="auto"/>
        </w:rPr>
      </w:pPr>
    </w:p>
    <w:p>
      <w:pPr>
        <w:spacing w:after="0" w:line="24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02" w:name="page203"/>
    <w:bookmarkEnd w:id="202"/>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or service with the Company that, even if not directly about the other company, could materially affect the market price for securities of that other company.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Additional Trading Restrictions for Covered Persons</w:t>
      </w:r>
    </w:p>
    <w:p>
      <w:pPr>
        <w:spacing w:after="0" w:line="210"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 xml:space="preserve">In addition to the requirements set forth above, Covered Persons and their Related Persons are subject to the additional restrictions enumerated below and must sign the </w:t>
      </w:r>
      <w:r>
        <w:rPr>
          <w:rFonts w:ascii="Times New Roman" w:cs="Times New Roman" w:eastAsia="Times New Roman" w:hAnsi="Times New Roman"/>
          <w:sz w:val="22"/>
          <w:szCs w:val="22"/>
          <w:b w:val="1"/>
          <w:bCs w:val="1"/>
          <w:u w:val="single" w:color="auto"/>
          <w:color w:val="auto"/>
        </w:rPr>
        <w:t>Certification</w:t>
      </w:r>
      <w:r>
        <w:rPr>
          <w:rFonts w:ascii="Times New Roman" w:cs="Times New Roman" w:eastAsia="Times New Roman" w:hAnsi="Times New Roman"/>
          <w:sz w:val="22"/>
          <w:szCs w:val="22"/>
          <w:color w:val="auto"/>
        </w:rPr>
        <w:t xml:space="preserve"> attached to this policy as Exhibit A and return it to the Securities Trading Compliance Officer at the electronic mail address indicated on the </w:t>
      </w:r>
      <w:r>
        <w:rPr>
          <w:rFonts w:ascii="Times New Roman" w:cs="Times New Roman" w:eastAsia="Times New Roman" w:hAnsi="Times New Roman"/>
          <w:sz w:val="22"/>
          <w:szCs w:val="22"/>
          <w:b w:val="1"/>
          <w:bCs w:val="1"/>
          <w:u w:val="single" w:color="auto"/>
          <w:color w:val="auto"/>
        </w:rPr>
        <w:t>Certification</w:t>
      </w:r>
      <w:r>
        <w:rPr>
          <w:rFonts w:ascii="Times New Roman" w:cs="Times New Roman" w:eastAsia="Times New Roman" w:hAnsi="Times New Roman"/>
          <w:sz w:val="22"/>
          <w:szCs w:val="22"/>
          <w:color w:val="auto"/>
        </w:rPr>
        <w:t>. Covered Persons include: (i) Executive Officers (who are “officers” as defined by Rule 16a-1 of the Securities Exchange Act of 1934, as amended); (ii) members of the Executive Leadership Team; (iii) members of the Company’s Board of Directors; (iv) the Company’s Investor Relations Staff; (v) additional individuals who have access to and substantive knowledge of the material non-public information regarding Company financials with respect to the Company on a consolidated basis, a critical reporting division, or a critical region which, under the current configuration, includes the Americas and EAMER regions, the Print Segment, or the Advanced Materials &amp; Chemicals segment; and (vi) such other persons the Securities Trading Compliance Officer may designate from time to time. If you are identified as a Covered Person, you will be notified by email by the Securities Trading Compliance Officer and added to the list of Covered Persons (the “</w:t>
      </w:r>
      <w:r>
        <w:rPr>
          <w:rFonts w:ascii="Times New Roman" w:cs="Times New Roman" w:eastAsia="Times New Roman" w:hAnsi="Times New Roman"/>
          <w:sz w:val="22"/>
          <w:szCs w:val="22"/>
          <w:b w:val="1"/>
          <w:bCs w:val="1"/>
          <w:i w:val="1"/>
          <w:iCs w:val="1"/>
          <w:color w:val="auto"/>
        </w:rPr>
        <w:t>Insiders List</w:t>
      </w:r>
      <w:r>
        <w:rPr>
          <w:rFonts w:ascii="Times New Roman" w:cs="Times New Roman" w:eastAsia="Times New Roman" w:hAnsi="Times New Roman"/>
          <w:sz w:val="22"/>
          <w:szCs w:val="22"/>
          <w:color w:val="auto"/>
        </w:rPr>
        <w:t>”). If you are no longer a Covered Person, you will be notified by email by the Securities Trading Compliance Officer and removed from the Insiders List.</w:t>
      </w:r>
    </w:p>
    <w:p>
      <w:pPr>
        <w:spacing w:after="0" w:line="181" w:lineRule="exact"/>
        <w:rPr>
          <w:sz w:val="20"/>
          <w:szCs w:val="20"/>
          <w:color w:val="auto"/>
        </w:rPr>
      </w:pPr>
    </w:p>
    <w:p>
      <w:pPr>
        <w:jc w:val="both"/>
        <w:ind w:left="1140" w:hanging="383"/>
        <w:spacing w:after="0" w:line="233" w:lineRule="auto"/>
        <w:tabs>
          <w:tab w:leader="none" w:pos="1140" w:val="left"/>
        </w:tabs>
        <w:numPr>
          <w:ilvl w:val="1"/>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Covered Persons may only transact (directly or indirectly through Related Persons), in Company Securities during a trading window. </w:t>
      </w:r>
      <w:r>
        <w:rPr>
          <w:rFonts w:ascii="Times New Roman" w:cs="Times New Roman" w:eastAsia="Times New Roman" w:hAnsi="Times New Roman"/>
          <w:sz w:val="22"/>
          <w:szCs w:val="22"/>
          <w:color w:val="auto"/>
        </w:rPr>
        <w:t>There are generally four quarterly trading windows during the year. For purposes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this policy, a “trading window” will generally open after the second trading day following the Company’s widespread public release of sales and earnings information for the prior quarter and close at the close of trading on the NYSE on the date that is one week before the quarter ends (or if such date is a non-trading day, the trading day immediately preceding that date). Covered Persons will be advised via email of the start and end dates of each quarterly window period by the Securities Trading Compliance Officer. Covered Persons should not assume that a trading window has been opened unless they have received notification of the opening of the window via email. As described below, there are circumstances where the Securities Trading Compliance Officer may make a determination that the trading window will not be opened at the regular scheduled time or at all and instead impose a special blackout period. </w:t>
      </w:r>
      <w:r>
        <w:rPr>
          <w:rFonts w:ascii="Times New Roman" w:cs="Times New Roman" w:eastAsia="Times New Roman" w:hAnsi="Times New Roman"/>
          <w:sz w:val="22"/>
          <w:szCs w:val="22"/>
          <w:i w:val="1"/>
          <w:iCs w:val="1"/>
          <w:color w:val="auto"/>
        </w:rPr>
        <w:t>To reiterate, if a Covered Person is in possession of material non-public information about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the Company or Company Securities, neither the Covered Person nor any Related Person may transact in Company Securities, even during a trading window.</w:t>
      </w:r>
    </w:p>
    <w:p>
      <w:pPr>
        <w:spacing w:after="0" w:line="182" w:lineRule="exact"/>
        <w:rPr>
          <w:rFonts w:ascii="Times New Roman" w:cs="Times New Roman" w:eastAsia="Times New Roman" w:hAnsi="Times New Roman"/>
          <w:sz w:val="22"/>
          <w:szCs w:val="22"/>
          <w:color w:val="auto"/>
        </w:rPr>
      </w:pPr>
    </w:p>
    <w:p>
      <w:pPr>
        <w:jc w:val="both"/>
        <w:ind w:left="1040" w:hanging="373"/>
        <w:spacing w:after="0" w:line="237" w:lineRule="auto"/>
        <w:tabs>
          <w:tab w:leader="none" w:pos="1040"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From time to time, the Securities Trading Compliance Officer may suspend trading during a trading window because of significant events or developments involving the Company that have not yet been disclosed to the public. If the Securities Trading Compliance Officer does not open the trading window or suspends trading during an open trading window for all or certain of the Company Insiders (referred to as a “special blackout period”), then all those affected may not transact in Company Securities directly or indirectly during the special</w:t>
      </w:r>
    </w:p>
    <w:p>
      <w:pPr>
        <w:spacing w:after="0" w:line="200" w:lineRule="exact"/>
        <w:rPr>
          <w:sz w:val="20"/>
          <w:szCs w:val="20"/>
          <w:color w:val="auto"/>
        </w:rPr>
      </w:pPr>
    </w:p>
    <w:p>
      <w:pPr>
        <w:spacing w:after="0" w:line="24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03" w:name="page204"/>
    <w:bookmarkEnd w:id="203"/>
    <w:p>
      <w:pPr>
        <w:jc w:val="both"/>
        <w:ind w:left="1040"/>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blackout period and shall not disclose the existence of the special blackout period to anyone else inside or outside the Company. </w:t>
      </w:r>
      <w:r>
        <w:rPr>
          <w:rFonts w:ascii="Times New Roman" w:cs="Times New Roman" w:eastAsia="Times New Roman" w:hAnsi="Times New Roman"/>
          <w:sz w:val="22"/>
          <w:szCs w:val="22"/>
          <w:color w:val="auto"/>
        </w:rPr>
        <w:t>Although these special blackout periods generally will arise because the Company is involved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a highly-sensitive transaction, they may be declared for any reason. If the Company imposes a special blackout period on you, you will be advised via email by the Securities Trading Compliance Officer.</w:t>
      </w:r>
    </w:p>
    <w:p>
      <w:pPr>
        <w:spacing w:after="0" w:line="172" w:lineRule="exact"/>
        <w:rPr>
          <w:sz w:val="20"/>
          <w:szCs w:val="20"/>
          <w:color w:val="auto"/>
        </w:rPr>
      </w:pPr>
    </w:p>
    <w:p>
      <w:pPr>
        <w:jc w:val="both"/>
        <w:ind w:left="1040" w:hanging="373"/>
        <w:spacing w:after="0" w:line="232" w:lineRule="auto"/>
        <w:tabs>
          <w:tab w:leader="none" w:pos="1040"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Covered Persons may not transact (directly or indirectly through Related Persons) during a trading window without obtaining prior, written approval of the Securities Trading Compliance Officer</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If a Covered Person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 xml:space="preserve">or any Related Person decides to engage in a transaction involving Company Securities during a trading window, the person must notify the Securities Trading Compliance Officer in writing of the amount and nature of the proposed trade(s) and certify in writing that the person is not in possession of material non-public information concerning the Company or its securities. </w:t>
      </w:r>
      <w:r>
        <w:rPr>
          <w:rFonts w:ascii="Times New Roman" w:cs="Times New Roman" w:eastAsia="Times New Roman" w:hAnsi="Times New Roman"/>
          <w:sz w:val="22"/>
          <w:szCs w:val="22"/>
          <w:color w:val="auto"/>
        </w:rPr>
        <w:t>All requests to trade Company Securities must be submitted to stocktrading@kodak.com,</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using a </w:t>
      </w:r>
      <w:r>
        <w:rPr>
          <w:rFonts w:ascii="Times New Roman" w:cs="Times New Roman" w:eastAsia="Times New Roman" w:hAnsi="Times New Roman"/>
          <w:sz w:val="22"/>
          <w:szCs w:val="22"/>
          <w:b w:val="1"/>
          <w:bCs w:val="1"/>
          <w:u w:val="single" w:color="auto"/>
          <w:color w:val="auto"/>
        </w:rPr>
        <w:t>Trading Approval Form</w:t>
      </w:r>
      <w:r>
        <w:rPr>
          <w:rFonts w:ascii="Times New Roman" w:cs="Times New Roman" w:eastAsia="Times New Roman" w:hAnsi="Times New Roman"/>
          <w:sz w:val="22"/>
          <w:szCs w:val="22"/>
          <w:color w:val="auto"/>
        </w:rPr>
        <w:t xml:space="preserve"> which may be requested through stocktrading@kodak.com. This electronic address will be monitored to ensure timely responses to trading and form requests. The Securities Trading Compliance Officer may take up to two trading days to approve any trading request, and the Company will not be liable to you for any potential losses that may result from any denial of a trading request or any increase or decrease in the value of Company Securities between the time of your request and the time of the approval. You must not engage in the transaction unless and until the Securities Trading Compliance Officer provides his or her approval in writing. Unless revoked, a grant of approval will normally remain valid until the close of trading five trading days following the day on which it was granted. If the Covered Person becomes aware of material non-public information about the Company or its securities before the transaction is executed, the prior approval shall be void and the transaction must not be completed. If the transaction does not occur during the five-day period, the transaction must be approved again before it may be executed. The foregoing functions of the Securities Trading Compliance Officer will be undertaken by the Chief Financial Officer in the case of proposed trades by the Securities Trading Compliance Officer. The existence of these approval procedures does not in any way obligate the Securities Trading Compliance Officer to approve any transaction or to inform the requesting person of the reasons for any request approval or denial.</w:t>
      </w:r>
    </w:p>
    <w:p>
      <w:pPr>
        <w:spacing w:after="0" w:line="18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The trading restrictions under this section “Additional Trading Restrictions for Covered Persons” do not apply to those transactions discussed under the heading “Exceptions to This Policy” below.</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Prohibited and Special Transactions</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 addition to the other restrictions and prohibitions contained in this Policy, directors, officers and employees of the Company may not engage in the following types of transactions because of a</w:t>
      </w:r>
    </w:p>
    <w:p>
      <w:pPr>
        <w:spacing w:after="0" w:line="200" w:lineRule="exact"/>
        <w:rPr>
          <w:sz w:val="20"/>
          <w:szCs w:val="20"/>
          <w:color w:val="auto"/>
        </w:rPr>
      </w:pPr>
    </w:p>
    <w:p>
      <w:pPr>
        <w:spacing w:after="0" w:line="22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22"/>
          <w:szCs w:val="22"/>
          <w:color w:val="auto"/>
        </w:rPr>
        <w:t>heightened legal risk and/or the appearance of improper or inappropriate conduct in certain types of transactions.</w:t>
      </w:r>
    </w:p>
    <w:p>
      <w:pPr>
        <w:spacing w:after="0" w:line="202" w:lineRule="exact"/>
        <w:rPr>
          <w:sz w:val="20"/>
          <w:szCs w:val="20"/>
          <w:color w:val="auto"/>
        </w:rPr>
      </w:pPr>
    </w:p>
    <w:p>
      <w:pPr>
        <w:jc w:val="both"/>
        <w:ind w:left="1140" w:hanging="383"/>
        <w:spacing w:after="0" w:line="237" w:lineRule="auto"/>
        <w:tabs>
          <w:tab w:leader="none" w:pos="1140"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You may not trade in puts or calls with respect to Company Securities. </w:t>
      </w:r>
      <w:r>
        <w:rPr>
          <w:rFonts w:ascii="Times New Roman" w:cs="Times New Roman" w:eastAsia="Times New Roman" w:hAnsi="Times New Roman"/>
          <w:sz w:val="22"/>
          <w:szCs w:val="22"/>
          <w:color w:val="auto"/>
        </w:rPr>
        <w:t>Trading in “puts” and “calls” (publicly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traded options to sell or buy stock at a specific price before a set date) is, in effect, a bet on the short-term movement of a company’s stock and is often perceived as involving trading based on inside information and they may focus your attention on the Company’s short-term performance rather than its long-term objectives. Therefore, transactions in puts, calls and other derivative securities with respect to Company Securities on an exchange or in any other organized market are prohibited by this Policy.</w:t>
      </w:r>
    </w:p>
    <w:p>
      <w:pPr>
        <w:spacing w:after="0" w:line="175" w:lineRule="exact"/>
        <w:rPr>
          <w:rFonts w:ascii="Times New Roman" w:cs="Times New Roman" w:eastAsia="Times New Roman" w:hAnsi="Times New Roman"/>
          <w:sz w:val="22"/>
          <w:szCs w:val="22"/>
          <w:color w:val="auto"/>
        </w:rPr>
      </w:pPr>
    </w:p>
    <w:p>
      <w:pPr>
        <w:jc w:val="both"/>
        <w:ind w:left="1140" w:hanging="383"/>
        <w:spacing w:after="0" w:line="236" w:lineRule="auto"/>
        <w:tabs>
          <w:tab w:leader="none" w:pos="1140"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You may not engage in short sales with respect to Company Securities</w:t>
      </w:r>
      <w:r>
        <w:rPr>
          <w:rFonts w:ascii="Times New Roman" w:cs="Times New Roman" w:eastAsia="Times New Roman" w:hAnsi="Times New Roman"/>
          <w:sz w:val="22"/>
          <w:szCs w:val="22"/>
          <w:color w:val="auto"/>
        </w:rPr>
        <w:t>. Short sales usually involve agreeing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sell securities you do not currently own. These include “sales against the box” (sales with delayed delivery). Short sales of Company Securities evidence an expectation on the part of the seller that the securities will decline in value and therefore signal to the market that the seller has no confidence in the Company or its short-term prospects. In addition, short sales may reduce the seller’s incentive to improve the Company’s performance. For these and other reasons, short sales of Company Securities are prohibited by this Policy. In addition, Section 16(c) of the Exchange Act prohibits Executive Officers and directors from engaging in short sales.</w:t>
      </w:r>
    </w:p>
    <w:p>
      <w:pPr>
        <w:spacing w:after="0" w:line="175" w:lineRule="exact"/>
        <w:rPr>
          <w:rFonts w:ascii="Times New Roman" w:cs="Times New Roman" w:eastAsia="Times New Roman" w:hAnsi="Times New Roman"/>
          <w:sz w:val="22"/>
          <w:szCs w:val="22"/>
          <w:color w:val="auto"/>
        </w:rPr>
      </w:pPr>
    </w:p>
    <w:p>
      <w:pPr>
        <w:jc w:val="both"/>
        <w:ind w:left="1140" w:hanging="383"/>
        <w:spacing w:after="0" w:line="234" w:lineRule="auto"/>
        <w:tabs>
          <w:tab w:leader="none" w:pos="1140"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You may not purchase Company Securities on margin, and you may not, without prior approval, pledge Company Securities as collateral for any other loan. </w:t>
      </w:r>
      <w:r>
        <w:rPr>
          <w:rFonts w:ascii="Times New Roman" w:cs="Times New Roman" w:eastAsia="Times New Roman" w:hAnsi="Times New Roman"/>
          <w:sz w:val="22"/>
          <w:szCs w:val="22"/>
          <w:color w:val="auto"/>
        </w:rPr>
        <w:t>Because a broker is permitted to sell securities in a margin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account if the customer fails to meet a margin call, the securities can be sold at a time when the customer is aware of material non-public information about the Company. Also, a foreclosure sale under any other loan could also occur at a time when the borrower has material non-public information about the Company. Therefore, you may not purchase Company Securities on margin, borrow against Company Securities or pledge Company Securities as collateral for a loan. An exception to this prohibition may be granted in the case of a non-margin loan where you are able to clearly demonstrate the financial ability to repay the loan without resorting to the pledged securities. A request for any such exception must be made to the Securities Trading Compliance Officer at least 10 days in advance of entering into the pledge agreement.</w:t>
      </w:r>
    </w:p>
    <w:p>
      <w:pPr>
        <w:spacing w:after="0" w:line="179" w:lineRule="exact"/>
        <w:rPr>
          <w:rFonts w:ascii="Times New Roman" w:cs="Times New Roman" w:eastAsia="Times New Roman" w:hAnsi="Times New Roman"/>
          <w:sz w:val="22"/>
          <w:szCs w:val="22"/>
          <w:color w:val="auto"/>
        </w:rPr>
      </w:pPr>
    </w:p>
    <w:p>
      <w:pPr>
        <w:jc w:val="both"/>
        <w:ind w:left="1140" w:hanging="383"/>
        <w:spacing w:after="0" w:line="236" w:lineRule="auto"/>
        <w:tabs>
          <w:tab w:leader="none" w:pos="1140"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You may not engage in any hedging or monetization transactions involving Company Securities, including, but not limited to, forward sale or purchase contracts, equity swaps, collars or exchange funds</w:t>
      </w:r>
      <w:r>
        <w:rPr>
          <w:rFonts w:ascii="Times New Roman" w:cs="Times New Roman" w:eastAsia="Times New Roman" w:hAnsi="Times New Roman"/>
          <w:sz w:val="22"/>
          <w:szCs w:val="22"/>
          <w:color w:val="auto"/>
        </w:rPr>
        <w:t>, that 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designed to hedge or offset any decrease in the market value of Company Securities. These transactions generally limit or eliminate both the risks and rewards of holding the Company Securities and may lead to a misalignment of the interests of the directors, officers and employees of the Company and the interests of the Company. Such transactions are speculative in nature and may also create the appearance that the transaction is based on non-public information.</w:t>
      </w:r>
    </w:p>
    <w:p>
      <w:pPr>
        <w:spacing w:after="0" w:line="200" w:lineRule="exact"/>
        <w:rPr>
          <w:sz w:val="20"/>
          <w:szCs w:val="20"/>
          <w:color w:val="auto"/>
        </w:rPr>
      </w:pPr>
    </w:p>
    <w:p>
      <w:pPr>
        <w:spacing w:after="0" w:line="2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05" w:name="page206"/>
    <w:bookmarkEnd w:id="205"/>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Although this Policy does not prohibit standing or limit orders, directors, officers and employees of the Company should use extreme caution when placing standing or limit orders with a broker (other than under an approved Rule 10b5-1 Plan as described below). Such open orders may result in the execution of a trade by a broker at a time when you are aware of material non-public information or otherwise are not permitted to trade in Company Securities (e.g., during a closed trading window), which may result in inadvertent insider trading violations, violations of Section 16 (in the case of directors and Executive Officers) and violations of this Policy. If a standing order or limit order must be placed (outside of an approved Rule 10b5-1 Plan), the order should be used only for a brief period of time and must be terminated prior to the end of an open trading window (if applicable) or if you subsequently obtain material non-public information and must otherwise comply with the restrictions and procedures in this Policy.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Requirements Applicable to Project Insiders</w:t>
      </w:r>
    </w:p>
    <w:p>
      <w:pPr>
        <w:spacing w:after="0" w:line="210"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 xml:space="preserve">Project Insiders may not transact (directly or indirectly through Related Persons) in any Company Securities without prior approval. Project Insiders will be given notice of any pre-approval requirement at the time such person is designated as a Project Insider with respect to the relevant project or development and, in connection with such notice, shall acknowledge his or her receipt of, and compliance with, this Policy. </w:t>
      </w:r>
      <w:r>
        <w:rPr>
          <w:rFonts w:ascii="Times New Roman" w:cs="Times New Roman" w:eastAsia="Times New Roman" w:hAnsi="Times New Roman"/>
          <w:sz w:val="22"/>
          <w:szCs w:val="22"/>
          <w:i w:val="1"/>
          <w:iCs w:val="1"/>
          <w:color w:val="auto"/>
        </w:rPr>
        <w:t>If a Project Insider decides to engage in a transaction involving Company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Securities while the relevant project or development is ongoing, the Project Insider must notify the Securities Trading Compliance Officer in writing of the amount and nature of the proposed trade(s), certify in writing that the Project Insider is not in possession of material non-public information concerning the Company and otherwise comply with the procedures regarding preclearance applicable to Covered Persons set forth above under the heading “Additional Trading Restrictions for Covered Persons.”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Exceptions to This Policy</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The restriction on trading in Company Securities under the heading “Trading and Disclosure Restrictions” and the restriction applicable to Covered Persons under the heading “Additional Trading Restrictions for Covered Persons” do not apply to the transactions described below, except as specifically noted.</w:t>
      </w:r>
    </w:p>
    <w:p>
      <w:pPr>
        <w:spacing w:after="0" w:line="169"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Transactions under Company Plans</w:t>
      </w:r>
      <w:r>
        <w:rPr>
          <w:rFonts w:ascii="Times New Roman" w:cs="Times New Roman" w:eastAsia="Times New Roman" w:hAnsi="Times New Roman"/>
          <w:sz w:val="22"/>
          <w:szCs w:val="22"/>
          <w:color w:val="auto"/>
        </w:rPr>
        <w:t>. Certain transactions in Company Securities pursuant to certain employee benefit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plans that the Company has or adopts hereafter are not prohibited by this Policy. These are:</w:t>
      </w:r>
    </w:p>
    <w:p>
      <w:pPr>
        <w:spacing w:after="0" w:line="148" w:lineRule="exact"/>
        <w:rPr>
          <w:sz w:val="20"/>
          <w:szCs w:val="20"/>
          <w:color w:val="auto"/>
        </w:rPr>
      </w:pPr>
    </w:p>
    <w:p>
      <w:pPr>
        <w:jc w:val="both"/>
        <w:ind w:left="1140" w:hanging="383"/>
        <w:spacing w:after="0" w:line="237" w:lineRule="auto"/>
        <w:tabs>
          <w:tab w:leader="none" w:pos="1140"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Stock Option Exercises. </w:t>
      </w:r>
      <w:r>
        <w:rPr>
          <w:rFonts w:ascii="Times New Roman" w:cs="Times New Roman" w:eastAsia="Times New Roman" w:hAnsi="Times New Roman"/>
          <w:sz w:val="22"/>
          <w:szCs w:val="22"/>
          <w:color w:val="auto"/>
        </w:rPr>
        <w:t>This Policy does not apply to your exercise of an employee stock option if no shares are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sold. However, the sale of any stock acquired upon such exercise, including as part of a broker-assisted cashless exercise of an option or any other market sale for the purpose of generating the cash needed to pay the exercise price of an option or to satisfy tax withholding requirements, is subject to this Policy. The surrender of shares to, or the withholding of shares by, the Company to satisfy the exercise price or tax withholding requirements do not constitute a transaction for purposes of this Policy.</w:t>
      </w:r>
    </w:p>
    <w:p>
      <w:pPr>
        <w:spacing w:after="0" w:line="200" w:lineRule="exact"/>
        <w:rPr>
          <w:sz w:val="20"/>
          <w:szCs w:val="20"/>
          <w:color w:val="auto"/>
        </w:rPr>
      </w:pPr>
    </w:p>
    <w:p>
      <w:pPr>
        <w:spacing w:after="0" w:line="2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06" w:name="page207"/>
    <w:bookmarkEnd w:id="206"/>
    <w:p>
      <w:pPr>
        <w:jc w:val="both"/>
        <w:ind w:left="1140" w:hanging="383"/>
        <w:spacing w:after="0" w:line="239" w:lineRule="auto"/>
        <w:tabs>
          <w:tab w:leader="none" w:pos="1140"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Restricted Stock or Restricted Stock Unit Awards. </w:t>
      </w:r>
      <w:r>
        <w:rPr>
          <w:rFonts w:ascii="Times New Roman" w:cs="Times New Roman" w:eastAsia="Times New Roman" w:hAnsi="Times New Roman"/>
          <w:sz w:val="22"/>
          <w:szCs w:val="22"/>
          <w:color w:val="auto"/>
        </w:rPr>
        <w:t>This Policy does not apply to the vesting of restricted stock,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vesting or settlement of restricted stock units or the withholding of shares to satisfy a tax withholding obligation upon the vesting of restricted stock or restricted stock units. This exception does not apply to the market sale of restricted stock or shares underlying restricted stock units, including the sale of any stock for the purpose of generating cash needed to satisfy tax withholding requirements.</w:t>
      </w:r>
    </w:p>
    <w:p>
      <w:pPr>
        <w:spacing w:after="0" w:line="173"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21"/>
          <w:szCs w:val="21"/>
          <w:b w:val="1"/>
          <w:bCs w:val="1"/>
          <w:color w:val="auto"/>
        </w:rPr>
        <w:t>Rule 10b5-1 Trading Plans</w:t>
      </w:r>
      <w:r>
        <w:rPr>
          <w:rFonts w:ascii="Times New Roman" w:cs="Times New Roman" w:eastAsia="Times New Roman" w:hAnsi="Times New Roman"/>
          <w:sz w:val="21"/>
          <w:szCs w:val="21"/>
          <w:color w:val="auto"/>
        </w:rPr>
        <w:t>. This Policy does not apply to the execution of transactions pursuant to a Rule 10b5-1 Plan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that has been adopted and administered in accordance with the Company’s 10b5-1 Policy which is attached hereto as Exhibit B.</w:t>
      </w:r>
    </w:p>
    <w:p>
      <w:pPr>
        <w:spacing w:after="0" w:line="12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Certain Transfers</w:t>
      </w:r>
      <w:r>
        <w:rPr>
          <w:rFonts w:ascii="Times New Roman" w:cs="Times New Roman" w:eastAsia="Times New Roman" w:hAnsi="Times New Roman"/>
          <w:sz w:val="22"/>
          <w:szCs w:val="22"/>
          <w:color w:val="auto"/>
        </w:rPr>
        <w:t>. This Policy does not apply to transferring securities to an entity that does not involve a change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beneficial ownership of the securities (for example, transferring shares from one brokerage account to another brokerage account controlled by you).</w:t>
      </w:r>
    </w:p>
    <w:p>
      <w:pPr>
        <w:spacing w:after="0" w:line="167"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Transactions with the Company</w:t>
      </w:r>
      <w:r>
        <w:rPr>
          <w:rFonts w:ascii="Times New Roman" w:cs="Times New Roman" w:eastAsia="Times New Roman" w:hAnsi="Times New Roman"/>
          <w:sz w:val="22"/>
          <w:szCs w:val="22"/>
          <w:color w:val="auto"/>
        </w:rPr>
        <w:t>. This Policy does not apply to any other purchase of Company Securities from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or sales of Company Securities to the Company in accordance with applicable securities and state laws.</w:t>
      </w:r>
    </w:p>
    <w:p>
      <w:pPr>
        <w:spacing w:after="0" w:line="15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Mutual Funds</w:t>
      </w:r>
      <w:r>
        <w:rPr>
          <w:rFonts w:ascii="Times New Roman" w:cs="Times New Roman" w:eastAsia="Times New Roman" w:hAnsi="Times New Roman"/>
          <w:sz w:val="22"/>
          <w:szCs w:val="22"/>
          <w:color w:val="auto"/>
        </w:rPr>
        <w:t>. This Policy does not apply to transactions in mutual funds or exchange-traded funds that are invested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Securities so long as (a) you do not control the investment decisions on individual stocks within the fund, and (b) Company Securities do not represent a substantial portion of the assets of the fund.</w:t>
      </w:r>
    </w:p>
    <w:p>
      <w:pPr>
        <w:spacing w:after="0" w:line="171"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In addition, specific exceptions to this Policy may be made when the person requesting approval does not possess material non-public information, personal circumstances warrant the exception and the exception would not otherwise contravene the law or the purposes of this Policy. Any request for an exception should be directed in writing to the Securities Trading Compliance Officer.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Company Transactions</w:t>
      </w:r>
    </w:p>
    <w:p>
      <w:pPr>
        <w:spacing w:after="0" w:line="21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From time to time, the Company may engage in transactions in its own securities. It is the Company’s policy to comply with all applicable securities and state laws (including appropriate approvals by the Board of Directors or appropriate committee, if required) when engaging in transactions in Company securities (and/or in compliance with the Company’s equity plans and award agreements, if applicable).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Post-Termination Transactions</w:t>
      </w:r>
    </w:p>
    <w:p>
      <w:pPr>
        <w:spacing w:after="0" w:line="21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This Policy may continue to apply to your transactions in Company Securities or securities of any Covered Company even after you have terminated your employment or service with the Company. If you are in possession of material non-public information about the Company or Company Securities or any Covered Company or its securities when your employment or service terminates, you may not trade in Company Securities and/or securities of such Covered Company until that information has become public or is no longer material.</w:t>
      </w:r>
    </w:p>
    <w:p>
      <w:pPr>
        <w:spacing w:after="0" w:line="200" w:lineRule="exact"/>
        <w:rPr>
          <w:sz w:val="20"/>
          <w:szCs w:val="20"/>
          <w:color w:val="auto"/>
        </w:rPr>
      </w:pPr>
    </w:p>
    <w:p>
      <w:pPr>
        <w:spacing w:after="0" w:line="2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2" w:right="33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22"/>
          <w:szCs w:val="22"/>
          <w:b w:val="1"/>
          <w:bCs w:val="1"/>
          <w:color w:val="auto"/>
        </w:rPr>
        <w:t>Consequences of Violating Insider Trading Laws or This Policy</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 consequences of violating the insider trading laws or this Policy can be severe. They include the following:</w:t>
      </w:r>
    </w:p>
    <w:p>
      <w:pPr>
        <w:spacing w:after="0" w:line="20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Civil and criminal penalties. </w:t>
      </w:r>
      <w:r>
        <w:rPr>
          <w:rFonts w:ascii="Times New Roman" w:cs="Times New Roman" w:eastAsia="Times New Roman" w:hAnsi="Times New Roman"/>
          <w:sz w:val="22"/>
          <w:szCs w:val="22"/>
          <w:color w:val="auto"/>
        </w:rPr>
        <w:t>Potential penalties for insider trading violations include:</w:t>
      </w:r>
    </w:p>
    <w:p>
      <w:pPr>
        <w:spacing w:after="0" w:line="212" w:lineRule="exact"/>
        <w:rPr>
          <w:sz w:val="20"/>
          <w:szCs w:val="20"/>
          <w:color w:val="auto"/>
        </w:rPr>
      </w:pPr>
    </w:p>
    <w:p>
      <w:pPr>
        <w:ind w:left="1140" w:hanging="383"/>
        <w:spacing w:after="0"/>
        <w:tabs>
          <w:tab w:leader="none" w:pos="1140"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imprisonment for up to 20 years;</w:t>
      </w:r>
    </w:p>
    <w:p>
      <w:pPr>
        <w:spacing w:after="0" w:line="98"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criminal fines of up to $5 million; and</w:t>
      </w:r>
    </w:p>
    <w:p>
      <w:pPr>
        <w:spacing w:after="0" w:line="98"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civil fines up to three times the profit made or loss avoided.</w:t>
      </w:r>
    </w:p>
    <w:p>
      <w:pPr>
        <w:spacing w:after="0" w:line="20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b w:val="1"/>
          <w:bCs w:val="1"/>
          <w:i w:val="1"/>
          <w:iCs w:val="1"/>
          <w:color w:val="auto"/>
        </w:rPr>
        <w:t xml:space="preserve">Company Discipline. </w:t>
      </w:r>
      <w:r>
        <w:rPr>
          <w:rFonts w:ascii="Times New Roman" w:cs="Times New Roman" w:eastAsia="Times New Roman" w:hAnsi="Times New Roman"/>
          <w:sz w:val="22"/>
          <w:szCs w:val="22"/>
          <w:color w:val="auto"/>
        </w:rPr>
        <w:t>If you violate this Policy or insider trading laws, you may be subject to disciplinary action by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Company, up to and including termination. A violation of our Company policy is not necessarily the same as a violation of law and we may determine that specific conduct violates this Policy whether or not the conduct also violates the insider trading laws. We are not required to await the filing or conclusion of a civil or criminal action against an alleged violator before taking disciplinary action.</w:t>
      </w:r>
    </w:p>
    <w:p>
      <w:pPr>
        <w:spacing w:after="0" w:line="171"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b w:val="1"/>
          <w:bCs w:val="1"/>
          <w:i w:val="1"/>
          <w:iCs w:val="1"/>
          <w:color w:val="auto"/>
        </w:rPr>
        <w:t xml:space="preserve">Reporting of Violations. </w:t>
      </w:r>
      <w:r>
        <w:rPr>
          <w:rFonts w:ascii="Times New Roman" w:cs="Times New Roman" w:eastAsia="Times New Roman" w:hAnsi="Times New Roman"/>
          <w:sz w:val="22"/>
          <w:szCs w:val="22"/>
          <w:color w:val="auto"/>
        </w:rPr>
        <w:t>Any employee, officer or director who violates this Policy or any federal or state laws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governing insider trading or tipping, or knows of any such violation by any other employee, officer or director, must report the violation immediately to the Securities Trading Compliance Officer.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Company Assistance – Information about the Securities Trading Compliance Officer</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We have designated the General Counsel of the Company as the Securities Trading Compliance Officer for this Policy. If you have a question about this Policy or whether it applies to a particular transaction, contact our Securities Trading Compliance Officer for additional guidance.</w:t>
      </w:r>
    </w:p>
    <w:p>
      <w:pPr>
        <w:spacing w:after="0" w:line="169" w:lineRule="exact"/>
        <w:rPr>
          <w:sz w:val="20"/>
          <w:szCs w:val="20"/>
          <w:color w:val="auto"/>
        </w:rPr>
      </w:pPr>
    </w:p>
    <w:p>
      <w:pPr>
        <w:jc w:val="center"/>
        <w:ind w:right="-19"/>
        <w:spacing w:after="0"/>
        <w:tabs>
          <w:tab w:leader="none" w:pos="320" w:val="left"/>
          <w:tab w:leader="none" w:pos="300" w:val="left"/>
        </w:tabs>
        <w:rPr>
          <w:sz w:val="20"/>
          <w:szCs w:val="20"/>
          <w:color w:val="auto"/>
        </w:rPr>
      </w:pPr>
      <w:r>
        <w:rPr>
          <w:rFonts w:ascii="Times New Roman" w:cs="Times New Roman" w:eastAsia="Times New Roman" w:hAnsi="Times New Roman"/>
          <w:sz w:val="22"/>
          <w:szCs w:val="22"/>
          <w:b w:val="1"/>
          <w:bCs w:val="1"/>
          <w:color w:val="auto"/>
        </w:rPr>
        <w:t>*</w:t>
        <w:tab/>
        <w:t>*</w:t>
        <w:tab/>
        <w: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Adopted and approved by the Board of Directors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March 14, 2025</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08" w:name="page209"/>
    <w:bookmarkEnd w:id="208"/>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CERTIFICATION</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I hereby acknowledge receipt of the Eastman Kodak Company Policy on Insider Trading (the “Policy”), and I certify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that:</w:t>
      </w:r>
    </w:p>
    <w:p>
      <w:pPr>
        <w:spacing w:after="0" w:line="182" w:lineRule="exact"/>
        <w:rPr>
          <w:sz w:val="20"/>
          <w:szCs w:val="20"/>
          <w:color w:val="auto"/>
        </w:rPr>
      </w:pPr>
    </w:p>
    <w:p>
      <w:pPr>
        <w:ind w:left="1500" w:hanging="369"/>
        <w:spacing w:after="0" w:line="258" w:lineRule="auto"/>
        <w:tabs>
          <w:tab w:leader="none" w:pos="1500"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have read and understand the Policy. I understand that the Company’s Securities Trading Compliance Officer is available to answer any questions I have regarding the Policy.</w:t>
      </w:r>
    </w:p>
    <w:p>
      <w:pPr>
        <w:spacing w:after="0" w:line="158"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agree to comply with the Policy so long as I am subject to the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3333750</wp:posOffset>
            </wp:positionH>
            <wp:positionV relativeFrom="paragraph">
              <wp:posOffset>568325</wp:posOffset>
            </wp:positionV>
            <wp:extent cx="274320" cy="825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82">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3333750</wp:posOffset>
            </wp:positionH>
            <wp:positionV relativeFrom="paragraph">
              <wp:posOffset>276860</wp:posOffset>
            </wp:positionV>
            <wp:extent cx="274320" cy="825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83">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3333750</wp:posOffset>
            </wp:positionH>
            <wp:positionV relativeFrom="paragraph">
              <wp:posOffset>276860</wp:posOffset>
            </wp:positionV>
            <wp:extent cx="274320" cy="825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84">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[Title and Department /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3333750</wp:posOffset>
            </wp:positionH>
            <wp:positionV relativeFrom="paragraph">
              <wp:posOffset>568325</wp:posOffset>
            </wp:positionV>
            <wp:extent cx="274320" cy="825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85">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Date of Signature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Return this </w:t>
      </w:r>
      <w:r>
        <w:rPr>
          <w:rFonts w:ascii="Times New Roman" w:cs="Times New Roman" w:eastAsia="Times New Roman" w:hAnsi="Times New Roman"/>
          <w:sz w:val="22"/>
          <w:szCs w:val="22"/>
          <w:b w:val="1"/>
          <w:bCs w:val="1"/>
          <w:u w:val="single" w:color="auto"/>
          <w:color w:val="auto"/>
        </w:rPr>
        <w:t>Certification</w:t>
      </w:r>
      <w:r>
        <w:rPr>
          <w:rFonts w:ascii="Times New Roman" w:cs="Times New Roman" w:eastAsia="Times New Roman" w:hAnsi="Times New Roman"/>
          <w:sz w:val="22"/>
          <w:szCs w:val="22"/>
          <w:color w:val="auto"/>
        </w:rPr>
        <w:t xml:space="preserve"> to: stocktrading@kodak.com.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892175</wp:posOffset>
            </wp:positionV>
            <wp:extent cx="7157720" cy="4254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209" w:name="page210"/>
    <w:bookmarkEnd w:id="209"/>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EASTMAN KODAK COMPANY</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10b5-1 Policy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POLICY PURPOSE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General</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To help prevent inadvertent violations of the federal securities laws and avoid even the appearance of trading on inside information, the Board of Directors of the Company has adopted this 10b5-1 Policy. This Policy applies to Directors, Officers, and other Employees of the Company and its subsidiaries (including their Family Members and Controlled Entities) who hold Company Securities.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Policy Purpose</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Rule 10b5-1 under the Exchange Act provides an affirmative defense from insider trading liability under Rule 10b-5. In order to be eligibile to rely on this defense, a person subject to this Policy must enter into a Rule 10b5-1 Plan (“Plan”) for transactions in Company Securities that meets certain conditions specified in Rule 10b5-1 and the requirements set forth in this 10b5-1 Policy. If the plan meets the requirements of Rule 10b5-1 and this 10b5-1 Policy, Company Securities may be purchased or sold without regard to certain insider trading restrictions. Insider trading restrictions are documented in the Company’s Insider Trading Policy.</w:t>
      </w:r>
    </w:p>
    <w:p>
      <w:pPr>
        <w:spacing w:after="0" w:line="18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 Rule 10b5-1 Plan must be entered into at a time when the person entering into the Plan is not aware of material nonpublic information. Once the Plan is adopted, the person must not subsequently exercise any influence over the amount of securities to be traded, the price at which they are to be traded or the date of the trade. The Plan must either specify the amount, pricing and timing of transactions in advance or delegate discretion on these matters to an independent third party or broker without any material nonpublic information about the Company or Company Securities.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POLICY DEFINITIONS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Administrator </w:t>
      </w:r>
      <w:r>
        <w:rPr>
          <w:rFonts w:ascii="Times New Roman" w:cs="Times New Roman" w:eastAsia="Times New Roman" w:hAnsi="Times New Roman"/>
          <w:sz w:val="22"/>
          <w:szCs w:val="22"/>
          <w:color w:val="auto"/>
        </w:rPr>
        <w:t>means the individual appointed by the Company to administer this 10b5-1 Policy.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Company or Kodak </w:t>
      </w:r>
      <w:r>
        <w:rPr>
          <w:rFonts w:ascii="Times New Roman" w:cs="Times New Roman" w:eastAsia="Times New Roman" w:hAnsi="Times New Roman"/>
          <w:sz w:val="22"/>
          <w:szCs w:val="22"/>
          <w:color w:val="auto"/>
        </w:rPr>
        <w:t>means Eastman Kodak Company.</w:t>
      </w:r>
    </w:p>
    <w:p>
      <w:pPr>
        <w:spacing w:after="0" w:line="206"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Company Securities </w:t>
      </w:r>
      <w:r>
        <w:rPr>
          <w:rFonts w:ascii="Times New Roman" w:cs="Times New Roman" w:eastAsia="Times New Roman" w:hAnsi="Times New Roman"/>
          <w:sz w:val="22"/>
          <w:szCs w:val="22"/>
          <w:color w:val="auto"/>
        </w:rPr>
        <w:t>includes common stock, preferred stock, warrants, debt securities, derivative securities, a stock option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exercise, gift, loan, pledge or hedge, contribution to a trust, or any other transfer.</w:t>
      </w:r>
    </w:p>
    <w:p>
      <w:pPr>
        <w:spacing w:after="0" w:line="15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Controlled Entity </w:t>
      </w:r>
      <w:r>
        <w:rPr>
          <w:rFonts w:ascii="Times New Roman" w:cs="Times New Roman" w:eastAsia="Times New Roman" w:hAnsi="Times New Roman"/>
          <w:sz w:val="22"/>
          <w:szCs w:val="22"/>
          <w:color w:val="auto"/>
        </w:rPr>
        <w:t>means, with respect to any Officer, Director or Employee, any entity whose transactions in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Securities are directly or indirectly controlled by such person.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Director </w:t>
      </w:r>
      <w:r>
        <w:rPr>
          <w:rFonts w:ascii="Times New Roman" w:cs="Times New Roman" w:eastAsia="Times New Roman" w:hAnsi="Times New Roman"/>
          <w:sz w:val="22"/>
          <w:szCs w:val="22"/>
          <w:color w:val="auto"/>
        </w:rPr>
        <w:t>means an individual serving as a member of the Board of Directors of the Company.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Employee </w:t>
      </w:r>
      <w:r>
        <w:rPr>
          <w:rFonts w:ascii="Times New Roman" w:cs="Times New Roman" w:eastAsia="Times New Roman" w:hAnsi="Times New Roman"/>
          <w:sz w:val="22"/>
          <w:szCs w:val="22"/>
          <w:color w:val="auto"/>
        </w:rPr>
        <w:t>means a regular full-time or part-time employee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1029335</wp:posOffset>
            </wp:positionV>
            <wp:extent cx="7157720" cy="4254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22"/>
          <w:szCs w:val="22"/>
          <w:b w:val="1"/>
          <w:bCs w:val="1"/>
          <w:color w:val="auto"/>
        </w:rPr>
        <w:t xml:space="preserve">Exchange Act </w:t>
      </w:r>
      <w:r>
        <w:rPr>
          <w:rFonts w:ascii="Times New Roman" w:cs="Times New Roman" w:eastAsia="Times New Roman" w:hAnsi="Times New Roman"/>
          <w:sz w:val="22"/>
          <w:szCs w:val="22"/>
          <w:color w:val="auto"/>
        </w:rPr>
        <w:t>means the Securities Exchange Act of 1934, as amended from time to time.</w:t>
      </w:r>
    </w:p>
    <w:p>
      <w:pPr>
        <w:spacing w:after="0" w:line="20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Family Member </w:t>
      </w:r>
      <w:r>
        <w:rPr>
          <w:rFonts w:ascii="Times New Roman" w:cs="Times New Roman" w:eastAsia="Times New Roman" w:hAnsi="Times New Roman"/>
          <w:sz w:val="22"/>
          <w:szCs w:val="22"/>
          <w:color w:val="auto"/>
        </w:rPr>
        <w:t>means, with respect to any Officer, Director or Employee, any family member who reside with such person,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anyone else who lives with such person, any family members who do not live with such person but whose transactions in Company Securities are subject to such person’s influence or control (such as parents or children who consult with such person before they trade in Company Securities).</w:t>
      </w:r>
    </w:p>
    <w:p>
      <w:pPr>
        <w:spacing w:after="0" w:line="17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Insider Trading Policy </w:t>
      </w:r>
      <w:r>
        <w:rPr>
          <w:rFonts w:ascii="Times New Roman" w:cs="Times New Roman" w:eastAsia="Times New Roman" w:hAnsi="Times New Roman"/>
          <w:sz w:val="22"/>
          <w:szCs w:val="22"/>
          <w:color w:val="auto"/>
        </w:rPr>
        <w:t>prohibits all employees from trading in Kodak securities on the basis of material nonpublic information,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transmitting material nonpublic information to another person, including family members, who may trade, or advise others to trade, Kodak stock on the basis of such information. The full content of the Insider Trading Policy is available on the Company’s policies and procedures website.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Officer </w:t>
      </w:r>
      <w:r>
        <w:rPr>
          <w:rFonts w:ascii="Times New Roman" w:cs="Times New Roman" w:eastAsia="Times New Roman" w:hAnsi="Times New Roman"/>
          <w:sz w:val="22"/>
          <w:szCs w:val="22"/>
          <w:color w:val="auto"/>
        </w:rPr>
        <w:t>means “officer” of the Company as defined in Rule 16a-1(f) under the Exchange Act.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Participants </w:t>
      </w:r>
      <w:r>
        <w:rPr>
          <w:rFonts w:ascii="Times New Roman" w:cs="Times New Roman" w:eastAsia="Times New Roman" w:hAnsi="Times New Roman"/>
          <w:sz w:val="22"/>
          <w:szCs w:val="22"/>
          <w:color w:val="auto"/>
        </w:rPr>
        <w:t>means Directors, Officers and Employees (and their Family Members and Controlled Entities).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Plan </w:t>
      </w:r>
      <w:r>
        <w:rPr>
          <w:rFonts w:ascii="Times New Roman" w:cs="Times New Roman" w:eastAsia="Times New Roman" w:hAnsi="Times New Roman"/>
          <w:sz w:val="22"/>
          <w:szCs w:val="22"/>
          <w:color w:val="auto"/>
        </w:rPr>
        <w:t>refers to a 10b5-1 plan.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Trading Window </w:t>
      </w:r>
      <w:r>
        <w:rPr>
          <w:rFonts w:ascii="Times New Roman" w:cs="Times New Roman" w:eastAsia="Times New Roman" w:hAnsi="Times New Roman"/>
          <w:sz w:val="22"/>
          <w:szCs w:val="22"/>
          <w:color w:val="auto"/>
        </w:rPr>
        <w:t>means a trading window applicable to Covered Persons as described in the Insider Trading Policy.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Rule 10b5-1 </w:t>
      </w:r>
      <w:r>
        <w:rPr>
          <w:rFonts w:ascii="Times New Roman" w:cs="Times New Roman" w:eastAsia="Times New Roman" w:hAnsi="Times New Roman"/>
          <w:sz w:val="22"/>
          <w:szCs w:val="22"/>
          <w:color w:val="auto"/>
        </w:rPr>
        <w:t>means Rule 10b5-1 promulgated under the Exchange Act, as amended from time to time.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PARTICIPATION</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All Directors, Officers and other Employees (including their Family Members and Controlled Entities) who currently hold Company Securities will be eligible to enter into a Plan.</w:t>
      </w:r>
    </w:p>
    <w:p>
      <w:pPr>
        <w:spacing w:after="0" w:line="15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All Plans must be approved in writing in advance by the General Counsel of the Company and meet the requirements of Rule 10b5-1 and the guidelines set forth in this policy document. In the event the General Counsel desires to enter into a Plan, such Plan may be approved in writing in advance by the Chief Financial Officer of the Company.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POLICY ADMINISTRATION</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General Counsel of the Company shall be the Administrator of this 10b5-1 Policy. The Administrator shall have such authority as may be necessary or helpful to enable him or her to discharge the obligations required by this 10b5-1 Policy. Without limiting the generality of the foregoing, the Administrator shall have the exclusive right at any time to construe, implement, prescribe, amend, terminate and administer this 10b5-1 Policy and to make any other determinations necessary, appropriate, or advisable for this 10b5-1 Policy's administration. The Administrator will have full discretion with respect to determining all questions of Policy interpretation and all such decisions shall be final, binding, and conclusive upon all Participants. The Administrator may delegate ministerial administrative functions, and with appropriate</w:t>
      </w:r>
    </w:p>
    <w:p>
      <w:pPr>
        <w:spacing w:after="0" w:line="200" w:lineRule="exact"/>
        <w:rPr>
          <w:sz w:val="20"/>
          <w:szCs w:val="20"/>
          <w:color w:val="auto"/>
        </w:rPr>
      </w:pPr>
    </w:p>
    <w:p>
      <w:pPr>
        <w:spacing w:after="0" w:line="25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11" w:name="page212"/>
    <w:bookmarkEnd w:id="211"/>
    <w:p>
      <w:pPr>
        <w:jc w:val="both"/>
        <w:spacing w:after="0" w:line="238" w:lineRule="auto"/>
        <w:rPr>
          <w:sz w:val="20"/>
          <w:szCs w:val="20"/>
          <w:color w:val="auto"/>
        </w:rPr>
      </w:pPr>
      <w:r>
        <w:rPr>
          <w:rFonts w:ascii="Times New Roman" w:cs="Times New Roman" w:eastAsia="Times New Roman" w:hAnsi="Times New Roman"/>
          <w:sz w:val="22"/>
          <w:szCs w:val="22"/>
          <w:color w:val="auto"/>
        </w:rPr>
        <w:t>guidance may delegate discretionary administrative functions, to designated members of Kodak's Human Resources organization from time to time as the Administrator may consider necessary or convenient. No personal legal or financial advice is being provided by the Administrator regarding any Plan or proposed trades. Participants remain ultimately responsible for ensuring that their Plans and contemplated transactions fully comply with applicable securities laws. It is recommended that Participants consult with their own attorneys, brokers, or other advisors about any contemplated Plan.</w:t>
      </w:r>
    </w:p>
    <w:p>
      <w:pPr>
        <w:spacing w:after="0" w:line="17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Administrator, acting in good faith, is authorized by the Company to modify or delete any part of this 10b5-1 Policy for any reason including, without limiting the generality of the foregoing, because he or she deems such part to be inequitable, unsatisfactory or inconsistent with the business objectives of the Company.</w:t>
      </w:r>
    </w:p>
    <w:p>
      <w:pPr>
        <w:spacing w:after="0" w:line="173"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Note that for any Director or Officer, the Company is required to disclose the material terms of his or her Plan (and may be required to disclose the material terms of Plans of Family Members and Controlled Entities of such persons), other than with respect to price, in its periodic report for the quarter in which the Plan is adopted or terminated or modified.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PLAN GUIDELINES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Plan Adoption</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760" w:right="320" w:hanging="378"/>
        <w:spacing w:after="0" w:line="241" w:lineRule="auto"/>
        <w:tabs>
          <w:tab w:leader="none" w:pos="760"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Plans may only be adopted during an open Trading Window when a Participant does not possess material, non-public information.</w:t>
      </w:r>
    </w:p>
    <w:p>
      <w:pPr>
        <w:spacing w:after="0" w:line="1" w:lineRule="exact"/>
        <w:rPr>
          <w:rFonts w:ascii="Times New Roman" w:cs="Times New Roman" w:eastAsia="Times New Roman" w:hAnsi="Times New Roman"/>
          <w:sz w:val="22"/>
          <w:szCs w:val="22"/>
          <w:color w:val="auto"/>
        </w:rPr>
      </w:pPr>
    </w:p>
    <w:p>
      <w:pPr>
        <w:ind w:left="760" w:hanging="378"/>
        <w:spacing w:after="0" w:line="230" w:lineRule="auto"/>
        <w:tabs>
          <w:tab w:leader="none" w:pos="760"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Plan must be in writing, signed, and either:</w:t>
      </w:r>
    </w:p>
    <w:p>
      <w:pPr>
        <w:ind w:left="1500" w:hanging="369"/>
        <w:spacing w:after="0" w:line="231" w:lineRule="auto"/>
        <w:tabs>
          <w:tab w:leader="none" w:pos="1500" w:val="left"/>
        </w:tabs>
        <w:numPr>
          <w:ilvl w:val="1"/>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specify the amount, price and date of the sales (or purchases) of Company Securities to be effected;</w:t>
      </w:r>
    </w:p>
    <w:p>
      <w:pPr>
        <w:ind w:left="1500" w:right="440" w:hanging="369"/>
        <w:spacing w:after="0" w:line="230" w:lineRule="auto"/>
        <w:tabs>
          <w:tab w:leader="none" w:pos="1500" w:val="left"/>
        </w:tabs>
        <w:numPr>
          <w:ilvl w:val="1"/>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a formula, algorithm or computer program for determining when to sell (or purchase) the Company Securities, the quantity to sell (or purchase) and the price; or</w:t>
      </w:r>
    </w:p>
    <w:p>
      <w:pPr>
        <w:spacing w:after="0" w:line="1" w:lineRule="exact"/>
        <w:rPr>
          <w:rFonts w:ascii="Times New Roman" w:cs="Times New Roman" w:eastAsia="Times New Roman" w:hAnsi="Times New Roman"/>
          <w:sz w:val="22"/>
          <w:szCs w:val="22"/>
          <w:color w:val="auto"/>
        </w:rPr>
      </w:pPr>
    </w:p>
    <w:p>
      <w:pPr>
        <w:ind w:left="1500" w:right="520" w:hanging="369"/>
        <w:spacing w:after="0" w:line="230" w:lineRule="auto"/>
        <w:tabs>
          <w:tab w:leader="none" w:pos="1500" w:val="left"/>
        </w:tabs>
        <w:numPr>
          <w:ilvl w:val="1"/>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delegate decision-making authority with regard to these transactions to a broker or other agent without any material non-public information about the Company or its securities.</w:t>
      </w:r>
    </w:p>
    <w:p>
      <w:pPr>
        <w:spacing w:after="0" w:line="1" w:lineRule="exact"/>
        <w:rPr>
          <w:rFonts w:ascii="Times New Roman" w:cs="Times New Roman" w:eastAsia="Times New Roman" w:hAnsi="Times New Roman"/>
          <w:sz w:val="22"/>
          <w:szCs w:val="22"/>
          <w:color w:val="auto"/>
        </w:rPr>
      </w:pPr>
    </w:p>
    <w:p>
      <w:pPr>
        <w:ind w:left="760" w:right="240" w:hanging="378"/>
        <w:spacing w:after="0" w:line="230" w:lineRule="auto"/>
        <w:tabs>
          <w:tab w:leader="none" w:pos="760"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Participants may not have entered into or altered a corresponding or hedging transaction or position with respect to the securities subject to the Plan and must agree not to enter into any such transaction while the Plan is in effect.</w:t>
      </w:r>
    </w:p>
    <w:p>
      <w:pPr>
        <w:spacing w:after="0" w:line="1" w:lineRule="exact"/>
        <w:rPr>
          <w:rFonts w:ascii="Times New Roman" w:cs="Times New Roman" w:eastAsia="Times New Roman" w:hAnsi="Times New Roman"/>
          <w:sz w:val="22"/>
          <w:szCs w:val="22"/>
          <w:color w:val="auto"/>
        </w:rPr>
      </w:pPr>
    </w:p>
    <w:p>
      <w:pPr>
        <w:ind w:left="760" w:right="160" w:hanging="378"/>
        <w:spacing w:after="0" w:line="230" w:lineRule="auto"/>
        <w:tabs>
          <w:tab w:leader="none" w:pos="760"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Participants must enter into the Plan in good faith and not as part of a plan or scheme to evade the prohibitions of Rules 10b-5 and 10b5-1 under the Exchange Act, and Participants must act in good faith with respect to the Plan for the entirety of its duration.</w:t>
      </w:r>
    </w:p>
    <w:p>
      <w:pPr>
        <w:spacing w:after="0" w:line="1" w:lineRule="exact"/>
        <w:rPr>
          <w:rFonts w:ascii="Times New Roman" w:cs="Times New Roman" w:eastAsia="Times New Roman" w:hAnsi="Times New Roman"/>
          <w:sz w:val="22"/>
          <w:szCs w:val="22"/>
          <w:color w:val="auto"/>
        </w:rPr>
      </w:pPr>
    </w:p>
    <w:p>
      <w:pPr>
        <w:ind w:left="760" w:hanging="378"/>
        <w:spacing w:after="0" w:line="230" w:lineRule="auto"/>
        <w:tabs>
          <w:tab w:leader="none" w:pos="760"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first trade under a Plan may not occur until the expiration of a cooling-off period as follows:</w:t>
      </w:r>
    </w:p>
    <w:p>
      <w:pPr>
        <w:ind w:left="1500" w:right="100" w:hanging="369"/>
        <w:spacing w:after="0" w:line="230" w:lineRule="auto"/>
        <w:tabs>
          <w:tab w:leader="none" w:pos="1500" w:val="left"/>
        </w:tabs>
        <w:numPr>
          <w:ilvl w:val="1"/>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Directors and Officers (as well as their Family Members and Controlled Entities), the later of (1) 90 calendar days after adoption of the Plan, and (2) two business days following the filing of the Company’s Form 10-Q or Form 10-K for the completed fiscal quarter in which the Plan was adopted; provided, however, that the required cooling-off period shall in no event exceed 120 days.</w:t>
      </w:r>
    </w:p>
    <w:p>
      <w:pPr>
        <w:spacing w:after="0" w:line="2"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1"/>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all other persons, 30 days after adoption of the Plan.</w:t>
      </w:r>
    </w:p>
    <w:p>
      <w:pPr>
        <w:spacing w:after="0" w:line="23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12" w:name="page213"/>
    <w:bookmarkEnd w:id="212"/>
    <w:p>
      <w:pPr>
        <w:ind w:left="760" w:right="120" w:hanging="378"/>
        <w:spacing w:after="0" w:line="236" w:lineRule="auto"/>
        <w:tabs>
          <w:tab w:leader="none" w:pos="760"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Directors and Officers (and their Family Members and Controlled Entities) that enter into Plans must certify that they are: (1) not aware of any material nonpublic Information about the Company or the Company Securities; and (2) adopting the Plan in good faith and not as part of a plan or scheme to evade the prohibitions of Rules 10b-5 and 10b5-1 under the Exchange Act.</w:t>
      </w:r>
    </w:p>
    <w:p>
      <w:pPr>
        <w:ind w:left="760" w:right="180" w:hanging="378"/>
        <w:spacing w:after="0" w:line="241" w:lineRule="auto"/>
        <w:tabs>
          <w:tab w:leader="none" w:pos="760" w:val="left"/>
        </w:tabs>
        <w:numPr>
          <w:ilvl w:val="0"/>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Plans must receive advance written approval from the General Counsel before the Plan is adopted; provided, in the event the General Counsel enters into a Plan the Chief Financial Officer may provide such advance written approval.</w:t>
      </w:r>
    </w:p>
    <w:p>
      <w:pPr>
        <w:spacing w:after="0" w:line="1" w:lineRule="exact"/>
        <w:rPr>
          <w:rFonts w:ascii="Times New Roman" w:cs="Times New Roman" w:eastAsia="Times New Roman" w:hAnsi="Times New Roman"/>
          <w:sz w:val="21"/>
          <w:szCs w:val="21"/>
          <w:color w:val="auto"/>
        </w:rPr>
      </w:pPr>
    </w:p>
    <w:p>
      <w:pPr>
        <w:ind w:left="760" w:right="660" w:hanging="378"/>
        <w:spacing w:after="0" w:line="230" w:lineRule="auto"/>
        <w:tabs>
          <w:tab w:leader="none" w:pos="760"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Participants may not enter into overlapping Plans (subject to limited exceptions). Please consult with the General Counsel for any questions regarding overlapping Plans.</w:t>
      </w:r>
    </w:p>
    <w:p>
      <w:pPr>
        <w:spacing w:after="0" w:line="1" w:lineRule="exact"/>
        <w:rPr>
          <w:rFonts w:ascii="Times New Roman" w:cs="Times New Roman" w:eastAsia="Times New Roman" w:hAnsi="Times New Roman"/>
          <w:sz w:val="22"/>
          <w:szCs w:val="22"/>
          <w:color w:val="auto"/>
        </w:rPr>
      </w:pPr>
    </w:p>
    <w:p>
      <w:pPr>
        <w:ind w:left="760" w:hanging="378"/>
        <w:spacing w:after="0" w:line="233" w:lineRule="auto"/>
        <w:tabs>
          <w:tab w:leader="none" w:pos="760"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Participants may not enter into more than one Plan designed to effect the open-market purchase or sale of the total amount of securities as a single transaction (e.g., when the terms of the Plan would, for practical purposes, directly or indirectly require execution in a single transaction) during any rolling 12-month period (subject to certain exceptions). A single-transaction plan is “designed to effect” the purchase or sale of securities as a single transaction when the terms of the plan would, for practical purposes, directly or indirectly require execution in a single transaction.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Plan Modification/Termination:</w:t>
      </w:r>
    </w:p>
    <w:p>
      <w:pPr>
        <w:spacing w:after="0" w:line="210" w:lineRule="exact"/>
        <w:rPr>
          <w:sz w:val="20"/>
          <w:szCs w:val="20"/>
          <w:color w:val="auto"/>
        </w:rPr>
      </w:pPr>
    </w:p>
    <w:p>
      <w:pPr>
        <w:ind w:left="760" w:right="300" w:hanging="378"/>
        <w:spacing w:after="0" w:line="241" w:lineRule="auto"/>
        <w:tabs>
          <w:tab w:leader="none" w:pos="760"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Plans may only be modified during an open Trading Window when a Participant does not possess material nonpublic information, and only with prior written consent of the General Counsel.</w:t>
      </w:r>
    </w:p>
    <w:p>
      <w:pPr>
        <w:spacing w:after="0" w:line="1" w:lineRule="exact"/>
        <w:rPr>
          <w:rFonts w:ascii="Times New Roman" w:cs="Times New Roman" w:eastAsia="Times New Roman" w:hAnsi="Times New Roman"/>
          <w:sz w:val="22"/>
          <w:szCs w:val="22"/>
          <w:color w:val="auto"/>
        </w:rPr>
      </w:pPr>
    </w:p>
    <w:p>
      <w:pPr>
        <w:ind w:left="760" w:right="640" w:hanging="378"/>
        <w:spacing w:after="0" w:line="237" w:lineRule="auto"/>
        <w:tabs>
          <w:tab w:leader="none" w:pos="760"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Plans may only be suspended or terminated during an open Trading Window when a Participant does not possess material non-public information, and upon approval by the General Counsel.</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Plan Administration:</w:t>
      </w:r>
    </w:p>
    <w:p>
      <w:pPr>
        <w:spacing w:after="0" w:line="210" w:lineRule="exact"/>
        <w:rPr>
          <w:sz w:val="20"/>
          <w:szCs w:val="20"/>
          <w:color w:val="auto"/>
        </w:rPr>
      </w:pPr>
    </w:p>
    <w:p>
      <w:pPr>
        <w:ind w:left="760" w:right="120" w:hanging="378"/>
        <w:spacing w:after="0" w:line="241" w:lineRule="auto"/>
        <w:tabs>
          <w:tab w:leader="none" w:pos="760"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Once a Plan has been adopted, communications between the Participant and the administering broker should be limited to:</w:t>
      </w:r>
    </w:p>
    <w:p>
      <w:pPr>
        <w:spacing w:after="0" w:line="1" w:lineRule="exact"/>
        <w:rPr>
          <w:rFonts w:ascii="Times New Roman" w:cs="Times New Roman" w:eastAsia="Times New Roman" w:hAnsi="Times New Roman"/>
          <w:sz w:val="22"/>
          <w:szCs w:val="22"/>
          <w:color w:val="auto"/>
        </w:rPr>
      </w:pPr>
    </w:p>
    <w:p>
      <w:pPr>
        <w:ind w:left="1140"/>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   Notice that specified trades have been executed;</w:t>
      </w:r>
    </w:p>
    <w:p>
      <w:pPr>
        <w:ind w:left="1140" w:right="2160"/>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 Notice of permitted desired Plan modification(s) during an open Trading Window; and o Notice of suspension or termination of the Plan during an open Trading Window.</w:t>
      </w:r>
    </w:p>
    <w:p>
      <w:pPr>
        <w:spacing w:after="0" w:line="1" w:lineRule="exact"/>
        <w:rPr>
          <w:rFonts w:ascii="Times New Roman" w:cs="Times New Roman" w:eastAsia="Times New Roman" w:hAnsi="Times New Roman"/>
          <w:sz w:val="22"/>
          <w:szCs w:val="22"/>
          <w:color w:val="auto"/>
        </w:rPr>
      </w:pPr>
    </w:p>
    <w:p>
      <w:pPr>
        <w:ind w:left="760" w:right="920" w:hanging="378"/>
        <w:spacing w:after="0" w:line="230" w:lineRule="auto"/>
        <w:tabs>
          <w:tab w:leader="none" w:pos="760"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securities that have been designated as “Plan” securities may not be sold or otherwise encumbered by the Participant.</w:t>
      </w:r>
    </w:p>
    <w:p>
      <w:pPr>
        <w:spacing w:after="0" w:line="1"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Participants must adhere to all provisions pertaining to Plans as set forth in Rule 10b5-1 and this 10b5-1 Policy.</w:t>
      </w:r>
    </w:p>
    <w:p>
      <w:pPr>
        <w:spacing w:after="0" w:line="200" w:lineRule="exact"/>
        <w:rPr>
          <w:sz w:val="20"/>
          <w:szCs w:val="20"/>
          <w:color w:val="auto"/>
        </w:rPr>
      </w:pPr>
    </w:p>
    <w:p>
      <w:pPr>
        <w:spacing w:after="0" w:line="2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8" w:right="39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22"/>
          <w:szCs w:val="22"/>
          <w:b w:val="1"/>
          <w:bCs w:val="1"/>
          <w:u w:val="single" w:color="auto"/>
          <w:color w:val="auto"/>
        </w:rPr>
        <w:t>MISCELLANEOUS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Amendment/Termination</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The Administrator may suspend or terminate this 10b5-1 Policy and any Plans pursuant to this 10b5-1 Policy at any time with or without prior notice.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Adopted and approved by the Board of Directors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March 14, 2025</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14" w:name="page215"/>
    <w:bookmarkEnd w:id="214"/>
    <w:p>
      <w:pPr>
        <w:ind w:left="101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654685</wp:posOffset>
            </wp:positionV>
            <wp:extent cx="7136130" cy="732917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92">
                      <a:extLst>
                        <a:ext uri="{28A0092B-C50C-407E-A947-70E740481C1C}"/>
                      </a:extLst>
                    </a:blip>
                    <a:srcRect/>
                    <a:stretch>
                      <a:fillRect/>
                    </a:stretch>
                  </pic:blipFill>
                  <pic:spPr bwMode="auto">
                    <a:xfrm>
                      <a:off x="0" y="0"/>
                      <a:ext cx="7136130" cy="7329170"/>
                    </a:xfrm>
                    <a:prstGeom prst="rect">
                      <a:avLst/>
                    </a:prstGeom>
                    <a:noFill/>
                  </pic:spPr>
                </pic:pic>
              </a:graphicData>
            </a:graphic>
          </wp:anchor>
        </w:drawing>
        <w:t>Exhibit (21)</w:t>
      </w:r>
    </w:p>
    <w:p>
      <w:pPr>
        <w:spacing w:after="0" w:line="50" w:lineRule="exact"/>
        <w:rPr>
          <w:sz w:val="20"/>
          <w:szCs w:val="20"/>
          <w:color w:val="auto"/>
        </w:rPr>
      </w:pPr>
    </w:p>
    <w:p>
      <w:pPr>
        <w:jc w:val="center"/>
        <w:ind w:right="3240"/>
        <w:spacing w:after="0"/>
        <w:rPr>
          <w:sz w:val="20"/>
          <w:szCs w:val="20"/>
          <w:color w:val="auto"/>
        </w:rPr>
      </w:pPr>
      <w:r>
        <w:rPr>
          <w:rFonts w:ascii="Arial" w:cs="Arial" w:eastAsia="Arial" w:hAnsi="Arial"/>
          <w:sz w:val="18"/>
          <w:szCs w:val="18"/>
          <w:color w:val="auto"/>
        </w:rPr>
        <w:t>Eastman Kodak Company and Subsidiary Companies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Subsidiaries of the Registrant as of December 31, 2024 are listed below:</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000" w:type="dxa"/>
            <w:vAlign w:val="bottom"/>
            <w:tcBorders>
              <w:top w:val="single" w:sz="8" w:color="auto"/>
              <w:bottom w:val="single" w:sz="8" w:color="auto"/>
              <w:right w:val="single" w:sz="8" w:color="auto"/>
            </w:tcBorders>
          </w:tcPr>
          <w:p>
            <w:pPr>
              <w:spacing w:after="0"/>
              <w:rPr>
                <w:sz w:val="21"/>
                <w:szCs w:val="21"/>
                <w:color w:val="auto"/>
              </w:rPr>
            </w:pPr>
          </w:p>
        </w:tc>
        <w:tc>
          <w:tcPr>
            <w:tcW w:w="3240" w:type="dxa"/>
            <w:vAlign w:val="bottom"/>
            <w:tcBorders>
              <w:top w:val="single" w:sz="8" w:color="auto"/>
              <w:bottom w:val="single" w:sz="8" w:color="auto"/>
            </w:tcBorders>
          </w:tcPr>
          <w:p>
            <w:pPr>
              <w:spacing w:after="0"/>
              <w:rPr>
                <w:sz w:val="21"/>
                <w:szCs w:val="21"/>
                <w:color w:val="auto"/>
              </w:rPr>
            </w:pPr>
          </w:p>
        </w:tc>
      </w:tr>
      <w:tr>
        <w:trPr>
          <w:trHeight w:val="234"/>
        </w:trPr>
        <w:tc>
          <w:tcPr>
            <w:tcW w:w="8000" w:type="dxa"/>
            <w:vAlign w:val="bottom"/>
            <w:tcBorders>
              <w:bottom w:val="single" w:sz="8" w:color="auto"/>
              <w:right w:val="single" w:sz="8" w:color="auto"/>
            </w:tcBorders>
            <w:shd w:val="clear" w:color="auto" w:fill="D9E2F3"/>
          </w:tcPr>
          <w:p>
            <w:pPr>
              <w:ind w:left="120"/>
              <w:spacing w:after="0"/>
              <w:rPr>
                <w:sz w:val="20"/>
                <w:szCs w:val="20"/>
                <w:color w:val="auto"/>
              </w:rPr>
            </w:pPr>
            <w:r>
              <w:rPr>
                <w:rFonts w:ascii="Arial" w:cs="Arial" w:eastAsia="Arial" w:hAnsi="Arial"/>
                <w:sz w:val="18"/>
                <w:szCs w:val="18"/>
                <w:color w:val="auto"/>
              </w:rPr>
              <w:t>1680382 Ontario Limited</w:t>
            </w:r>
          </w:p>
        </w:tc>
        <w:tc>
          <w:tcPr>
            <w:tcW w:w="3240" w:type="dxa"/>
            <w:vAlign w:val="bottom"/>
            <w:tcBorders>
              <w:bottom w:val="single" w:sz="8" w:color="auto"/>
            </w:tcBorders>
            <w:shd w:val="clear" w:color="auto" w:fill="D9E2F3"/>
          </w:tcPr>
          <w:p>
            <w:pPr>
              <w:ind w:left="100"/>
              <w:spacing w:after="0"/>
              <w:rPr>
                <w:sz w:val="20"/>
                <w:szCs w:val="20"/>
                <w:color w:val="auto"/>
              </w:rPr>
            </w:pPr>
            <w:r>
              <w:rPr>
                <w:rFonts w:ascii="Arial" w:cs="Arial" w:eastAsia="Arial" w:hAnsi="Arial"/>
                <w:sz w:val="18"/>
                <w:szCs w:val="18"/>
                <w:color w:val="auto"/>
              </w:rPr>
              <w:t>Ontario, Canada</w:t>
            </w:r>
          </w:p>
        </w:tc>
      </w:tr>
      <w:tr>
        <w:trPr>
          <w:trHeight w:val="236"/>
        </w:trPr>
        <w:tc>
          <w:tcPr>
            <w:tcW w:w="80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Eastman Kodak Holdings B.V.</w:t>
            </w:r>
          </w:p>
        </w:tc>
        <w:tc>
          <w:tcPr>
            <w:tcW w:w="32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Netherlands</w:t>
            </w:r>
          </w:p>
        </w:tc>
      </w:tr>
      <w:tr>
        <w:trPr>
          <w:trHeight w:val="236"/>
        </w:trPr>
        <w:tc>
          <w:tcPr>
            <w:tcW w:w="80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Eastman Kodak International Capital Company, Inc.</w:t>
            </w:r>
          </w:p>
        </w:tc>
        <w:tc>
          <w:tcPr>
            <w:tcW w:w="32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r>
      <w:tr>
        <w:trPr>
          <w:trHeight w:val="237"/>
        </w:trPr>
        <w:tc>
          <w:tcPr>
            <w:tcW w:w="8000" w:type="dxa"/>
            <w:vAlign w:val="bottom"/>
            <w:tcBorders>
              <w:bottom w:val="single" w:sz="8" w:color="auto"/>
              <w:right w:val="single" w:sz="8" w:color="auto"/>
            </w:tcBorders>
            <w:shd w:val="clear" w:color="auto" w:fill="D9E2F3"/>
          </w:tcPr>
          <w:p>
            <w:pPr>
              <w:ind w:left="120"/>
              <w:spacing w:after="0"/>
              <w:rPr>
                <w:sz w:val="20"/>
                <w:szCs w:val="20"/>
                <w:color w:val="auto"/>
              </w:rPr>
            </w:pPr>
            <w:r>
              <w:rPr>
                <w:rFonts w:ascii="Arial" w:cs="Arial" w:eastAsia="Arial" w:hAnsi="Arial"/>
                <w:sz w:val="18"/>
                <w:szCs w:val="18"/>
                <w:color w:val="auto"/>
              </w:rPr>
              <w:t>Eastman Kodak Sarl</w:t>
            </w:r>
          </w:p>
        </w:tc>
        <w:tc>
          <w:tcPr>
            <w:tcW w:w="3240" w:type="dxa"/>
            <w:vAlign w:val="bottom"/>
            <w:tcBorders>
              <w:bottom w:val="single" w:sz="8" w:color="auto"/>
            </w:tcBorders>
            <w:shd w:val="clear" w:color="auto" w:fill="D9E2F3"/>
          </w:tcPr>
          <w:p>
            <w:pPr>
              <w:ind w:left="100"/>
              <w:spacing w:after="0"/>
              <w:rPr>
                <w:sz w:val="20"/>
                <w:szCs w:val="20"/>
                <w:color w:val="auto"/>
              </w:rPr>
            </w:pPr>
            <w:r>
              <w:rPr>
                <w:rFonts w:ascii="Arial" w:cs="Arial" w:eastAsia="Arial" w:hAnsi="Arial"/>
                <w:sz w:val="18"/>
                <w:szCs w:val="18"/>
                <w:color w:val="auto"/>
              </w:rPr>
              <w:t>Switzerland</w:t>
            </w:r>
          </w:p>
        </w:tc>
      </w:tr>
      <w:tr>
        <w:trPr>
          <w:trHeight w:val="237"/>
        </w:trPr>
        <w:tc>
          <w:tcPr>
            <w:tcW w:w="80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Kodak</w:t>
            </w:r>
          </w:p>
        </w:tc>
        <w:tc>
          <w:tcPr>
            <w:tcW w:w="32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France</w:t>
            </w:r>
          </w:p>
        </w:tc>
      </w:tr>
      <w:tr>
        <w:trPr>
          <w:trHeight w:val="237"/>
        </w:trPr>
        <w:tc>
          <w:tcPr>
            <w:tcW w:w="8000" w:type="dxa"/>
            <w:vAlign w:val="bottom"/>
            <w:tcBorders>
              <w:bottom w:val="single" w:sz="8" w:color="auto"/>
              <w:right w:val="single" w:sz="8" w:color="auto"/>
            </w:tcBorders>
            <w:shd w:val="clear" w:color="auto" w:fill="D9E2F3"/>
          </w:tcPr>
          <w:p>
            <w:pPr>
              <w:ind w:left="120"/>
              <w:spacing w:after="0"/>
              <w:rPr>
                <w:sz w:val="20"/>
                <w:szCs w:val="20"/>
                <w:color w:val="auto"/>
              </w:rPr>
            </w:pPr>
            <w:r>
              <w:rPr>
                <w:rFonts w:ascii="Arial" w:cs="Arial" w:eastAsia="Arial" w:hAnsi="Arial"/>
                <w:sz w:val="18"/>
                <w:szCs w:val="18"/>
                <w:color w:val="auto"/>
              </w:rPr>
              <w:t>Kodak (Australasia) Pty. Ltd.</w:t>
            </w:r>
          </w:p>
        </w:tc>
        <w:tc>
          <w:tcPr>
            <w:tcW w:w="3240" w:type="dxa"/>
            <w:vAlign w:val="bottom"/>
            <w:tcBorders>
              <w:bottom w:val="single" w:sz="8" w:color="auto"/>
            </w:tcBorders>
            <w:shd w:val="clear" w:color="auto" w:fill="D9E2F3"/>
          </w:tcPr>
          <w:p>
            <w:pPr>
              <w:ind w:left="100"/>
              <w:spacing w:after="0"/>
              <w:rPr>
                <w:sz w:val="20"/>
                <w:szCs w:val="20"/>
                <w:color w:val="auto"/>
              </w:rPr>
            </w:pPr>
            <w:r>
              <w:rPr>
                <w:rFonts w:ascii="Arial" w:cs="Arial" w:eastAsia="Arial" w:hAnsi="Arial"/>
                <w:sz w:val="18"/>
                <w:szCs w:val="18"/>
                <w:color w:val="auto"/>
              </w:rPr>
              <w:t>Australia</w:t>
            </w:r>
          </w:p>
        </w:tc>
      </w:tr>
      <w:tr>
        <w:trPr>
          <w:trHeight w:val="236"/>
        </w:trPr>
        <w:tc>
          <w:tcPr>
            <w:tcW w:w="80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Kodak (China) Company Limited</w:t>
            </w:r>
          </w:p>
        </w:tc>
        <w:tc>
          <w:tcPr>
            <w:tcW w:w="32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China</w:t>
            </w:r>
          </w:p>
        </w:tc>
      </w:tr>
      <w:tr>
        <w:trPr>
          <w:trHeight w:val="236"/>
        </w:trPr>
        <w:tc>
          <w:tcPr>
            <w:tcW w:w="8000" w:type="dxa"/>
            <w:vAlign w:val="bottom"/>
            <w:tcBorders>
              <w:bottom w:val="single" w:sz="8" w:color="auto"/>
              <w:right w:val="single" w:sz="8" w:color="auto"/>
            </w:tcBorders>
            <w:shd w:val="clear" w:color="auto" w:fill="D9E2F3"/>
          </w:tcPr>
          <w:p>
            <w:pPr>
              <w:ind w:left="120"/>
              <w:spacing w:after="0"/>
              <w:rPr>
                <w:sz w:val="20"/>
                <w:szCs w:val="20"/>
                <w:color w:val="auto"/>
              </w:rPr>
            </w:pPr>
            <w:r>
              <w:rPr>
                <w:rFonts w:ascii="Arial" w:cs="Arial" w:eastAsia="Arial" w:hAnsi="Arial"/>
                <w:sz w:val="18"/>
                <w:szCs w:val="18"/>
                <w:color w:val="auto"/>
              </w:rPr>
              <w:t>Kodak (China) Investment Company Limited</w:t>
            </w:r>
          </w:p>
        </w:tc>
        <w:tc>
          <w:tcPr>
            <w:tcW w:w="3240" w:type="dxa"/>
            <w:vAlign w:val="bottom"/>
            <w:tcBorders>
              <w:bottom w:val="single" w:sz="8" w:color="auto"/>
            </w:tcBorders>
            <w:shd w:val="clear" w:color="auto" w:fill="D9E2F3"/>
          </w:tcPr>
          <w:p>
            <w:pPr>
              <w:ind w:left="100"/>
              <w:spacing w:after="0"/>
              <w:rPr>
                <w:sz w:val="20"/>
                <w:szCs w:val="20"/>
                <w:color w:val="auto"/>
              </w:rPr>
            </w:pPr>
            <w:r>
              <w:rPr>
                <w:rFonts w:ascii="Arial" w:cs="Arial" w:eastAsia="Arial" w:hAnsi="Arial"/>
                <w:sz w:val="18"/>
                <w:szCs w:val="18"/>
                <w:color w:val="auto"/>
              </w:rPr>
              <w:t>China</w:t>
            </w:r>
          </w:p>
        </w:tc>
      </w:tr>
      <w:tr>
        <w:trPr>
          <w:trHeight w:val="237"/>
        </w:trPr>
        <w:tc>
          <w:tcPr>
            <w:tcW w:w="80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Kodak (China) Limited</w:t>
            </w:r>
          </w:p>
        </w:tc>
        <w:tc>
          <w:tcPr>
            <w:tcW w:w="32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Hong Kong</w:t>
            </w:r>
          </w:p>
        </w:tc>
      </w:tr>
      <w:tr>
        <w:trPr>
          <w:trHeight w:val="237"/>
        </w:trPr>
        <w:tc>
          <w:tcPr>
            <w:tcW w:w="8000" w:type="dxa"/>
            <w:vAlign w:val="bottom"/>
            <w:tcBorders>
              <w:bottom w:val="single" w:sz="8" w:color="auto"/>
              <w:right w:val="single" w:sz="8" w:color="auto"/>
            </w:tcBorders>
            <w:shd w:val="clear" w:color="auto" w:fill="D9E2F3"/>
          </w:tcPr>
          <w:p>
            <w:pPr>
              <w:ind w:left="120"/>
              <w:spacing w:after="0"/>
              <w:rPr>
                <w:sz w:val="20"/>
                <w:szCs w:val="20"/>
                <w:color w:val="auto"/>
              </w:rPr>
            </w:pPr>
            <w:r>
              <w:rPr>
                <w:rFonts w:ascii="Arial" w:cs="Arial" w:eastAsia="Arial" w:hAnsi="Arial"/>
                <w:sz w:val="18"/>
                <w:szCs w:val="18"/>
                <w:color w:val="auto"/>
              </w:rPr>
              <w:t>Kodak (Malaysia) Sdn. Bhd.</w:t>
            </w:r>
          </w:p>
        </w:tc>
        <w:tc>
          <w:tcPr>
            <w:tcW w:w="3240" w:type="dxa"/>
            <w:vAlign w:val="bottom"/>
            <w:tcBorders>
              <w:bottom w:val="single" w:sz="8" w:color="auto"/>
            </w:tcBorders>
            <w:shd w:val="clear" w:color="auto" w:fill="D9E2F3"/>
          </w:tcPr>
          <w:p>
            <w:pPr>
              <w:ind w:left="100"/>
              <w:spacing w:after="0"/>
              <w:rPr>
                <w:sz w:val="20"/>
                <w:szCs w:val="20"/>
                <w:color w:val="auto"/>
              </w:rPr>
            </w:pPr>
            <w:r>
              <w:rPr>
                <w:rFonts w:ascii="Arial" w:cs="Arial" w:eastAsia="Arial" w:hAnsi="Arial"/>
                <w:sz w:val="18"/>
                <w:szCs w:val="18"/>
                <w:color w:val="auto"/>
              </w:rPr>
              <w:t>Malaysia</w:t>
            </w:r>
          </w:p>
        </w:tc>
      </w:tr>
      <w:tr>
        <w:trPr>
          <w:trHeight w:val="236"/>
        </w:trPr>
        <w:tc>
          <w:tcPr>
            <w:tcW w:w="80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Kodak (Near East), Inc.</w:t>
            </w:r>
          </w:p>
        </w:tc>
        <w:tc>
          <w:tcPr>
            <w:tcW w:w="32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New York</w:t>
            </w:r>
          </w:p>
        </w:tc>
      </w:tr>
      <w:tr>
        <w:trPr>
          <w:trHeight w:val="237"/>
        </w:trPr>
        <w:tc>
          <w:tcPr>
            <w:tcW w:w="80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Kodak (Singapore) Pte. Limited</w:t>
            </w:r>
          </w:p>
        </w:tc>
        <w:tc>
          <w:tcPr>
            <w:tcW w:w="32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Singapore</w:t>
            </w:r>
          </w:p>
        </w:tc>
      </w:tr>
      <w:tr>
        <w:trPr>
          <w:trHeight w:val="236"/>
        </w:trPr>
        <w:tc>
          <w:tcPr>
            <w:tcW w:w="8000" w:type="dxa"/>
            <w:vAlign w:val="bottom"/>
            <w:tcBorders>
              <w:bottom w:val="single" w:sz="8" w:color="auto"/>
              <w:right w:val="single" w:sz="8" w:color="auto"/>
            </w:tcBorders>
            <w:shd w:val="clear" w:color="auto" w:fill="D9E2F3"/>
          </w:tcPr>
          <w:p>
            <w:pPr>
              <w:ind w:left="120"/>
              <w:spacing w:after="0"/>
              <w:rPr>
                <w:sz w:val="20"/>
                <w:szCs w:val="20"/>
                <w:color w:val="auto"/>
              </w:rPr>
            </w:pPr>
            <w:r>
              <w:rPr>
                <w:rFonts w:ascii="Arial" w:cs="Arial" w:eastAsia="Arial" w:hAnsi="Arial"/>
                <w:sz w:val="18"/>
                <w:szCs w:val="18"/>
                <w:color w:val="auto"/>
              </w:rPr>
              <w:t>Kodak (Thailand) Limited</w:t>
            </w:r>
          </w:p>
        </w:tc>
        <w:tc>
          <w:tcPr>
            <w:tcW w:w="3240" w:type="dxa"/>
            <w:vAlign w:val="bottom"/>
            <w:tcBorders>
              <w:bottom w:val="single" w:sz="8" w:color="auto"/>
            </w:tcBorders>
            <w:shd w:val="clear" w:color="auto" w:fill="D9E2F3"/>
          </w:tcPr>
          <w:p>
            <w:pPr>
              <w:ind w:left="100"/>
              <w:spacing w:after="0"/>
              <w:rPr>
                <w:sz w:val="20"/>
                <w:szCs w:val="20"/>
                <w:color w:val="auto"/>
              </w:rPr>
            </w:pPr>
            <w:r>
              <w:rPr>
                <w:rFonts w:ascii="Arial" w:cs="Arial" w:eastAsia="Arial" w:hAnsi="Arial"/>
                <w:sz w:val="18"/>
                <w:szCs w:val="18"/>
                <w:color w:val="auto"/>
              </w:rPr>
              <w:t>Thailand</w:t>
            </w:r>
          </w:p>
        </w:tc>
      </w:tr>
      <w:tr>
        <w:trPr>
          <w:trHeight w:val="237"/>
        </w:trPr>
        <w:tc>
          <w:tcPr>
            <w:tcW w:w="80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Kodak (Xiamen) Digital Imaging Products Company</w:t>
            </w:r>
          </w:p>
        </w:tc>
        <w:tc>
          <w:tcPr>
            <w:tcW w:w="32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China</w:t>
            </w:r>
          </w:p>
        </w:tc>
      </w:tr>
      <w:tr>
        <w:trPr>
          <w:trHeight w:val="236"/>
        </w:trPr>
        <w:tc>
          <w:tcPr>
            <w:tcW w:w="8000" w:type="dxa"/>
            <w:vAlign w:val="bottom"/>
            <w:tcBorders>
              <w:bottom w:val="single" w:sz="8" w:color="auto"/>
              <w:right w:val="single" w:sz="8" w:color="auto"/>
            </w:tcBorders>
            <w:shd w:val="clear" w:color="auto" w:fill="D9E2F3"/>
          </w:tcPr>
          <w:p>
            <w:pPr>
              <w:ind w:left="120"/>
              <w:spacing w:after="0"/>
              <w:rPr>
                <w:sz w:val="20"/>
                <w:szCs w:val="20"/>
                <w:color w:val="auto"/>
              </w:rPr>
            </w:pPr>
            <w:r>
              <w:rPr>
                <w:rFonts w:ascii="Arial" w:cs="Arial" w:eastAsia="Arial" w:hAnsi="Arial"/>
                <w:sz w:val="18"/>
                <w:szCs w:val="18"/>
                <w:color w:val="auto"/>
              </w:rPr>
              <w:t>Kodak A/S</w:t>
            </w:r>
          </w:p>
        </w:tc>
        <w:tc>
          <w:tcPr>
            <w:tcW w:w="3240" w:type="dxa"/>
            <w:vAlign w:val="bottom"/>
            <w:tcBorders>
              <w:bottom w:val="single" w:sz="8" w:color="auto"/>
            </w:tcBorders>
            <w:shd w:val="clear" w:color="auto" w:fill="D9E2F3"/>
          </w:tcPr>
          <w:p>
            <w:pPr>
              <w:ind w:left="100"/>
              <w:spacing w:after="0"/>
              <w:rPr>
                <w:sz w:val="20"/>
                <w:szCs w:val="20"/>
                <w:color w:val="auto"/>
              </w:rPr>
            </w:pPr>
            <w:r>
              <w:rPr>
                <w:rFonts w:ascii="Arial" w:cs="Arial" w:eastAsia="Arial" w:hAnsi="Arial"/>
                <w:sz w:val="18"/>
                <w:szCs w:val="18"/>
                <w:color w:val="auto"/>
              </w:rPr>
              <w:t>Denmark</w:t>
            </w:r>
          </w:p>
        </w:tc>
      </w:tr>
      <w:tr>
        <w:trPr>
          <w:trHeight w:val="236"/>
        </w:trPr>
        <w:tc>
          <w:tcPr>
            <w:tcW w:w="80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Kodak Americas, Ltd.</w:t>
            </w:r>
          </w:p>
        </w:tc>
        <w:tc>
          <w:tcPr>
            <w:tcW w:w="32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New York</w:t>
            </w:r>
          </w:p>
        </w:tc>
      </w:tr>
      <w:tr>
        <w:trPr>
          <w:trHeight w:val="237"/>
        </w:trPr>
        <w:tc>
          <w:tcPr>
            <w:tcW w:w="8000" w:type="dxa"/>
            <w:vAlign w:val="bottom"/>
            <w:tcBorders>
              <w:bottom w:val="single" w:sz="8" w:color="auto"/>
              <w:right w:val="single" w:sz="8" w:color="auto"/>
            </w:tcBorders>
            <w:shd w:val="clear" w:color="auto" w:fill="D9E2F3"/>
          </w:tcPr>
          <w:p>
            <w:pPr>
              <w:ind w:left="120"/>
              <w:spacing w:after="0"/>
              <w:rPr>
                <w:sz w:val="20"/>
                <w:szCs w:val="20"/>
                <w:color w:val="auto"/>
              </w:rPr>
            </w:pPr>
            <w:r>
              <w:rPr>
                <w:rFonts w:ascii="Arial" w:cs="Arial" w:eastAsia="Arial" w:hAnsi="Arial"/>
                <w:sz w:val="18"/>
                <w:szCs w:val="18"/>
                <w:color w:val="auto"/>
              </w:rPr>
              <w:t>Kodak Argentina S.A.I.C.</w:t>
            </w:r>
          </w:p>
        </w:tc>
        <w:tc>
          <w:tcPr>
            <w:tcW w:w="3240" w:type="dxa"/>
            <w:vAlign w:val="bottom"/>
            <w:tcBorders>
              <w:bottom w:val="single" w:sz="8" w:color="auto"/>
            </w:tcBorders>
            <w:shd w:val="clear" w:color="auto" w:fill="D9E2F3"/>
          </w:tcPr>
          <w:p>
            <w:pPr>
              <w:ind w:left="100"/>
              <w:spacing w:after="0"/>
              <w:rPr>
                <w:sz w:val="20"/>
                <w:szCs w:val="20"/>
                <w:color w:val="auto"/>
              </w:rPr>
            </w:pPr>
            <w:r>
              <w:rPr>
                <w:rFonts w:ascii="Arial" w:cs="Arial" w:eastAsia="Arial" w:hAnsi="Arial"/>
                <w:sz w:val="18"/>
                <w:szCs w:val="18"/>
                <w:color w:val="auto"/>
              </w:rPr>
              <w:t>Argentina</w:t>
            </w:r>
          </w:p>
        </w:tc>
      </w:tr>
      <w:tr>
        <w:trPr>
          <w:trHeight w:val="237"/>
        </w:trPr>
        <w:tc>
          <w:tcPr>
            <w:tcW w:w="80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Kodak Brasileira Comércio de Produtos para Imagem e Serviços Ltda.</w:t>
            </w:r>
          </w:p>
        </w:tc>
        <w:tc>
          <w:tcPr>
            <w:tcW w:w="32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Brazil</w:t>
            </w:r>
          </w:p>
        </w:tc>
      </w:tr>
      <w:tr>
        <w:trPr>
          <w:trHeight w:val="236"/>
        </w:trPr>
        <w:tc>
          <w:tcPr>
            <w:tcW w:w="8000" w:type="dxa"/>
            <w:vAlign w:val="bottom"/>
            <w:tcBorders>
              <w:bottom w:val="single" w:sz="8" w:color="auto"/>
              <w:right w:val="single" w:sz="8" w:color="auto"/>
            </w:tcBorders>
            <w:shd w:val="clear" w:color="auto" w:fill="D9E2F3"/>
          </w:tcPr>
          <w:p>
            <w:pPr>
              <w:ind w:left="120"/>
              <w:spacing w:after="0"/>
              <w:rPr>
                <w:sz w:val="20"/>
                <w:szCs w:val="20"/>
                <w:color w:val="auto"/>
              </w:rPr>
            </w:pPr>
            <w:r>
              <w:rPr>
                <w:rFonts w:ascii="Arial" w:cs="Arial" w:eastAsia="Arial" w:hAnsi="Arial"/>
                <w:sz w:val="18"/>
                <w:szCs w:val="18"/>
                <w:color w:val="auto"/>
              </w:rPr>
              <w:t>Kodak Canada ULC</w:t>
            </w:r>
          </w:p>
        </w:tc>
        <w:tc>
          <w:tcPr>
            <w:tcW w:w="3240" w:type="dxa"/>
            <w:vAlign w:val="bottom"/>
            <w:tcBorders>
              <w:bottom w:val="single" w:sz="8" w:color="auto"/>
            </w:tcBorders>
            <w:shd w:val="clear" w:color="auto" w:fill="D9E2F3"/>
          </w:tcPr>
          <w:p>
            <w:pPr>
              <w:ind w:left="100"/>
              <w:spacing w:after="0"/>
              <w:rPr>
                <w:sz w:val="20"/>
                <w:szCs w:val="20"/>
                <w:color w:val="auto"/>
              </w:rPr>
            </w:pPr>
            <w:r>
              <w:rPr>
                <w:rFonts w:ascii="Arial" w:cs="Arial" w:eastAsia="Arial" w:hAnsi="Arial"/>
                <w:sz w:val="18"/>
                <w:szCs w:val="18"/>
                <w:color w:val="auto"/>
              </w:rPr>
              <w:t>British Columbia, Canada</w:t>
            </w:r>
          </w:p>
        </w:tc>
      </w:tr>
      <w:tr>
        <w:trPr>
          <w:trHeight w:val="237"/>
        </w:trPr>
        <w:tc>
          <w:tcPr>
            <w:tcW w:w="80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Kodak Chilena S.A.F.</w:t>
            </w:r>
          </w:p>
        </w:tc>
        <w:tc>
          <w:tcPr>
            <w:tcW w:w="32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Chile</w:t>
            </w:r>
          </w:p>
        </w:tc>
      </w:tr>
      <w:tr>
        <w:trPr>
          <w:trHeight w:val="236"/>
        </w:trPr>
        <w:tc>
          <w:tcPr>
            <w:tcW w:w="8000" w:type="dxa"/>
            <w:vAlign w:val="bottom"/>
            <w:tcBorders>
              <w:bottom w:val="single" w:sz="8" w:color="auto"/>
              <w:right w:val="single" w:sz="8" w:color="auto"/>
            </w:tcBorders>
            <w:shd w:val="clear" w:color="auto" w:fill="D9E2F3"/>
          </w:tcPr>
          <w:p>
            <w:pPr>
              <w:ind w:left="120"/>
              <w:spacing w:after="0"/>
              <w:rPr>
                <w:sz w:val="20"/>
                <w:szCs w:val="20"/>
                <w:color w:val="auto"/>
              </w:rPr>
            </w:pPr>
            <w:r>
              <w:rPr>
                <w:rFonts w:ascii="Arial" w:cs="Arial" w:eastAsia="Arial" w:hAnsi="Arial"/>
                <w:sz w:val="18"/>
                <w:szCs w:val="18"/>
                <w:color w:val="auto"/>
              </w:rPr>
              <w:t>Kodak Electronic Products (Shanghai) Company Limited</w:t>
            </w:r>
          </w:p>
        </w:tc>
        <w:tc>
          <w:tcPr>
            <w:tcW w:w="3240" w:type="dxa"/>
            <w:vAlign w:val="bottom"/>
            <w:tcBorders>
              <w:bottom w:val="single" w:sz="8" w:color="auto"/>
            </w:tcBorders>
            <w:shd w:val="clear" w:color="auto" w:fill="D9E2F3"/>
          </w:tcPr>
          <w:p>
            <w:pPr>
              <w:ind w:left="100"/>
              <w:spacing w:after="0"/>
              <w:rPr>
                <w:sz w:val="20"/>
                <w:szCs w:val="20"/>
                <w:color w:val="auto"/>
              </w:rPr>
            </w:pPr>
            <w:r>
              <w:rPr>
                <w:rFonts w:ascii="Arial" w:cs="Arial" w:eastAsia="Arial" w:hAnsi="Arial"/>
                <w:sz w:val="18"/>
                <w:szCs w:val="18"/>
                <w:color w:val="auto"/>
              </w:rPr>
              <w:t>China</w:t>
            </w:r>
          </w:p>
        </w:tc>
      </w:tr>
      <w:tr>
        <w:trPr>
          <w:trHeight w:val="237"/>
        </w:trPr>
        <w:tc>
          <w:tcPr>
            <w:tcW w:w="80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Kodak Film Lab Atlanta, Inc.</w:t>
            </w:r>
          </w:p>
        </w:tc>
        <w:tc>
          <w:tcPr>
            <w:tcW w:w="32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r>
      <w:tr>
        <w:trPr>
          <w:trHeight w:val="236"/>
        </w:trPr>
        <w:tc>
          <w:tcPr>
            <w:tcW w:w="8000" w:type="dxa"/>
            <w:vAlign w:val="bottom"/>
            <w:tcBorders>
              <w:bottom w:val="single" w:sz="8" w:color="auto"/>
              <w:right w:val="single" w:sz="8" w:color="auto"/>
            </w:tcBorders>
            <w:shd w:val="clear" w:color="auto" w:fill="D9E2F3"/>
          </w:tcPr>
          <w:p>
            <w:pPr>
              <w:ind w:left="120"/>
              <w:spacing w:after="0"/>
              <w:rPr>
                <w:sz w:val="20"/>
                <w:szCs w:val="20"/>
                <w:color w:val="auto"/>
              </w:rPr>
            </w:pPr>
            <w:r>
              <w:rPr>
                <w:rFonts w:ascii="Arial" w:cs="Arial" w:eastAsia="Arial" w:hAnsi="Arial"/>
                <w:sz w:val="18"/>
                <w:szCs w:val="18"/>
                <w:color w:val="auto"/>
              </w:rPr>
              <w:t>Kodak GmbH</w:t>
            </w:r>
          </w:p>
        </w:tc>
        <w:tc>
          <w:tcPr>
            <w:tcW w:w="3240" w:type="dxa"/>
            <w:vAlign w:val="bottom"/>
            <w:tcBorders>
              <w:bottom w:val="single" w:sz="8" w:color="auto"/>
            </w:tcBorders>
            <w:shd w:val="clear" w:color="auto" w:fill="D9E2F3"/>
          </w:tcPr>
          <w:p>
            <w:pPr>
              <w:ind w:left="100"/>
              <w:spacing w:after="0"/>
              <w:rPr>
                <w:sz w:val="20"/>
                <w:szCs w:val="20"/>
                <w:color w:val="auto"/>
              </w:rPr>
            </w:pPr>
            <w:r>
              <w:rPr>
                <w:rFonts w:ascii="Arial" w:cs="Arial" w:eastAsia="Arial" w:hAnsi="Arial"/>
                <w:sz w:val="18"/>
                <w:szCs w:val="18"/>
                <w:color w:val="auto"/>
              </w:rPr>
              <w:t>Austria</w:t>
            </w:r>
          </w:p>
        </w:tc>
      </w:tr>
      <w:tr>
        <w:trPr>
          <w:trHeight w:val="237"/>
        </w:trPr>
        <w:tc>
          <w:tcPr>
            <w:tcW w:w="80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Kodak GmbH</w:t>
            </w:r>
          </w:p>
        </w:tc>
        <w:tc>
          <w:tcPr>
            <w:tcW w:w="32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Germany</w:t>
            </w:r>
          </w:p>
        </w:tc>
      </w:tr>
      <w:tr>
        <w:trPr>
          <w:trHeight w:val="236"/>
        </w:trPr>
        <w:tc>
          <w:tcPr>
            <w:tcW w:w="8000" w:type="dxa"/>
            <w:vAlign w:val="bottom"/>
            <w:tcBorders>
              <w:bottom w:val="single" w:sz="8" w:color="auto"/>
              <w:right w:val="single" w:sz="8" w:color="auto"/>
            </w:tcBorders>
            <w:shd w:val="clear" w:color="auto" w:fill="D9E2F3"/>
          </w:tcPr>
          <w:p>
            <w:pPr>
              <w:ind w:left="120"/>
              <w:spacing w:after="0"/>
              <w:rPr>
                <w:sz w:val="20"/>
                <w:szCs w:val="20"/>
                <w:color w:val="auto"/>
              </w:rPr>
            </w:pPr>
            <w:r>
              <w:rPr>
                <w:rFonts w:ascii="Arial" w:cs="Arial" w:eastAsia="Arial" w:hAnsi="Arial"/>
                <w:sz w:val="18"/>
                <w:szCs w:val="18"/>
                <w:color w:val="auto"/>
              </w:rPr>
              <w:t>Kodak Graphic Communications GmbH</w:t>
            </w:r>
          </w:p>
        </w:tc>
        <w:tc>
          <w:tcPr>
            <w:tcW w:w="3240" w:type="dxa"/>
            <w:vAlign w:val="bottom"/>
            <w:tcBorders>
              <w:bottom w:val="single" w:sz="8" w:color="auto"/>
            </w:tcBorders>
            <w:shd w:val="clear" w:color="auto" w:fill="D9E2F3"/>
          </w:tcPr>
          <w:p>
            <w:pPr>
              <w:ind w:left="100"/>
              <w:spacing w:after="0"/>
              <w:rPr>
                <w:sz w:val="20"/>
                <w:szCs w:val="20"/>
                <w:color w:val="auto"/>
              </w:rPr>
            </w:pPr>
            <w:r>
              <w:rPr>
                <w:rFonts w:ascii="Arial" w:cs="Arial" w:eastAsia="Arial" w:hAnsi="Arial"/>
                <w:sz w:val="18"/>
                <w:szCs w:val="18"/>
                <w:color w:val="auto"/>
              </w:rPr>
              <w:t>Germany</w:t>
            </w:r>
          </w:p>
        </w:tc>
      </w:tr>
      <w:tr>
        <w:trPr>
          <w:trHeight w:val="237"/>
        </w:trPr>
        <w:tc>
          <w:tcPr>
            <w:tcW w:w="80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Kodak Graphic Communications Limited</w:t>
            </w:r>
          </w:p>
        </w:tc>
        <w:tc>
          <w:tcPr>
            <w:tcW w:w="32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United Kingdom</w:t>
            </w:r>
          </w:p>
        </w:tc>
      </w:tr>
      <w:tr>
        <w:trPr>
          <w:trHeight w:val="237"/>
        </w:trPr>
        <w:tc>
          <w:tcPr>
            <w:tcW w:w="8000" w:type="dxa"/>
            <w:vAlign w:val="bottom"/>
            <w:tcBorders>
              <w:bottom w:val="single" w:sz="8" w:color="auto"/>
              <w:right w:val="single" w:sz="8" w:color="auto"/>
            </w:tcBorders>
            <w:shd w:val="clear" w:color="auto" w:fill="D9E2F3"/>
          </w:tcPr>
          <w:p>
            <w:pPr>
              <w:ind w:left="120"/>
              <w:spacing w:after="0"/>
              <w:rPr>
                <w:sz w:val="20"/>
                <w:szCs w:val="20"/>
                <w:color w:val="auto"/>
              </w:rPr>
            </w:pPr>
            <w:r>
              <w:rPr>
                <w:rFonts w:ascii="Arial" w:cs="Arial" w:eastAsia="Arial" w:hAnsi="Arial"/>
                <w:sz w:val="18"/>
                <w:szCs w:val="18"/>
                <w:color w:val="auto"/>
              </w:rPr>
              <w:t>Kodak Holding GmbH</w:t>
            </w:r>
          </w:p>
        </w:tc>
        <w:tc>
          <w:tcPr>
            <w:tcW w:w="3240" w:type="dxa"/>
            <w:vAlign w:val="bottom"/>
            <w:tcBorders>
              <w:bottom w:val="single" w:sz="8" w:color="auto"/>
            </w:tcBorders>
            <w:shd w:val="clear" w:color="auto" w:fill="D9E2F3"/>
          </w:tcPr>
          <w:p>
            <w:pPr>
              <w:ind w:left="100"/>
              <w:spacing w:after="0"/>
              <w:rPr>
                <w:sz w:val="20"/>
                <w:szCs w:val="20"/>
                <w:color w:val="auto"/>
              </w:rPr>
            </w:pPr>
            <w:r>
              <w:rPr>
                <w:rFonts w:ascii="Arial" w:cs="Arial" w:eastAsia="Arial" w:hAnsi="Arial"/>
                <w:sz w:val="18"/>
                <w:szCs w:val="18"/>
                <w:color w:val="auto"/>
              </w:rPr>
              <w:t>Germany</w:t>
            </w:r>
          </w:p>
        </w:tc>
      </w:tr>
      <w:tr>
        <w:trPr>
          <w:trHeight w:val="236"/>
        </w:trPr>
        <w:tc>
          <w:tcPr>
            <w:tcW w:w="80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Kodak IL Ltd.</w:t>
            </w:r>
          </w:p>
        </w:tc>
        <w:tc>
          <w:tcPr>
            <w:tcW w:w="32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Israel</w:t>
            </w:r>
          </w:p>
        </w:tc>
      </w:tr>
      <w:tr>
        <w:trPr>
          <w:trHeight w:val="237"/>
        </w:trPr>
        <w:tc>
          <w:tcPr>
            <w:tcW w:w="8000" w:type="dxa"/>
            <w:vAlign w:val="bottom"/>
            <w:tcBorders>
              <w:bottom w:val="single" w:sz="8" w:color="auto"/>
              <w:right w:val="single" w:sz="8" w:color="auto"/>
            </w:tcBorders>
            <w:shd w:val="clear" w:color="auto" w:fill="D9E2F3"/>
          </w:tcPr>
          <w:p>
            <w:pPr>
              <w:ind w:left="120"/>
              <w:spacing w:after="0"/>
              <w:rPr>
                <w:sz w:val="20"/>
                <w:szCs w:val="20"/>
                <w:color w:val="auto"/>
              </w:rPr>
            </w:pPr>
            <w:r>
              <w:rPr>
                <w:rFonts w:ascii="Arial" w:cs="Arial" w:eastAsia="Arial" w:hAnsi="Arial"/>
                <w:sz w:val="18"/>
                <w:szCs w:val="18"/>
                <w:color w:val="auto"/>
              </w:rPr>
              <w:t>Kodak India Private Limited</w:t>
            </w:r>
          </w:p>
        </w:tc>
        <w:tc>
          <w:tcPr>
            <w:tcW w:w="3240" w:type="dxa"/>
            <w:vAlign w:val="bottom"/>
            <w:tcBorders>
              <w:bottom w:val="single" w:sz="8" w:color="auto"/>
            </w:tcBorders>
            <w:shd w:val="clear" w:color="auto" w:fill="D9E2F3"/>
          </w:tcPr>
          <w:p>
            <w:pPr>
              <w:ind w:left="100"/>
              <w:spacing w:after="0"/>
              <w:rPr>
                <w:sz w:val="20"/>
                <w:szCs w:val="20"/>
                <w:color w:val="auto"/>
              </w:rPr>
            </w:pPr>
            <w:r>
              <w:rPr>
                <w:rFonts w:ascii="Arial" w:cs="Arial" w:eastAsia="Arial" w:hAnsi="Arial"/>
                <w:sz w:val="18"/>
                <w:szCs w:val="18"/>
                <w:color w:val="auto"/>
              </w:rPr>
              <w:t>India</w:t>
            </w:r>
          </w:p>
        </w:tc>
      </w:tr>
      <w:tr>
        <w:trPr>
          <w:trHeight w:val="236"/>
        </w:trPr>
        <w:tc>
          <w:tcPr>
            <w:tcW w:w="80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Kodak International Finance Limited</w:t>
            </w:r>
          </w:p>
        </w:tc>
        <w:tc>
          <w:tcPr>
            <w:tcW w:w="32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United Kingdom</w:t>
            </w:r>
          </w:p>
        </w:tc>
      </w:tr>
      <w:tr>
        <w:trPr>
          <w:trHeight w:val="237"/>
        </w:trPr>
        <w:tc>
          <w:tcPr>
            <w:tcW w:w="8000" w:type="dxa"/>
            <w:vAlign w:val="bottom"/>
            <w:tcBorders>
              <w:bottom w:val="single" w:sz="8" w:color="auto"/>
              <w:right w:val="single" w:sz="8" w:color="auto"/>
            </w:tcBorders>
            <w:shd w:val="clear" w:color="auto" w:fill="D9E2F3"/>
          </w:tcPr>
          <w:p>
            <w:pPr>
              <w:ind w:left="120"/>
              <w:spacing w:after="0"/>
              <w:rPr>
                <w:sz w:val="20"/>
                <w:szCs w:val="20"/>
                <w:color w:val="auto"/>
              </w:rPr>
            </w:pPr>
            <w:r>
              <w:rPr>
                <w:rFonts w:ascii="Arial" w:cs="Arial" w:eastAsia="Arial" w:hAnsi="Arial"/>
                <w:sz w:val="18"/>
                <w:szCs w:val="18"/>
                <w:color w:val="auto"/>
              </w:rPr>
              <w:t>Kodak Japan Ltd.</w:t>
            </w:r>
          </w:p>
        </w:tc>
        <w:tc>
          <w:tcPr>
            <w:tcW w:w="3240" w:type="dxa"/>
            <w:vAlign w:val="bottom"/>
            <w:tcBorders>
              <w:bottom w:val="single" w:sz="8" w:color="auto"/>
            </w:tcBorders>
            <w:shd w:val="clear" w:color="auto" w:fill="D9E2F3"/>
          </w:tcPr>
          <w:p>
            <w:pPr>
              <w:ind w:left="100"/>
              <w:spacing w:after="0"/>
              <w:rPr>
                <w:sz w:val="20"/>
                <w:szCs w:val="20"/>
                <w:color w:val="auto"/>
              </w:rPr>
            </w:pPr>
            <w:r>
              <w:rPr>
                <w:rFonts w:ascii="Arial" w:cs="Arial" w:eastAsia="Arial" w:hAnsi="Arial"/>
                <w:sz w:val="18"/>
                <w:szCs w:val="18"/>
                <w:color w:val="auto"/>
              </w:rPr>
              <w:t>Japan</w:t>
            </w:r>
          </w:p>
        </w:tc>
      </w:tr>
      <w:tr>
        <w:trPr>
          <w:trHeight w:val="236"/>
        </w:trPr>
        <w:tc>
          <w:tcPr>
            <w:tcW w:w="80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Kodak Korea Limited</w:t>
            </w:r>
          </w:p>
        </w:tc>
        <w:tc>
          <w:tcPr>
            <w:tcW w:w="32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South Korea</w:t>
            </w:r>
          </w:p>
        </w:tc>
      </w:tr>
      <w:tr>
        <w:trPr>
          <w:trHeight w:val="237"/>
        </w:trPr>
        <w:tc>
          <w:tcPr>
            <w:tcW w:w="8000" w:type="dxa"/>
            <w:vAlign w:val="bottom"/>
            <w:tcBorders>
              <w:bottom w:val="single" w:sz="8" w:color="auto"/>
              <w:right w:val="single" w:sz="8" w:color="auto"/>
            </w:tcBorders>
            <w:shd w:val="clear" w:color="auto" w:fill="D9E2F3"/>
          </w:tcPr>
          <w:p>
            <w:pPr>
              <w:ind w:left="120"/>
              <w:spacing w:after="0"/>
              <w:rPr>
                <w:sz w:val="20"/>
                <w:szCs w:val="20"/>
                <w:color w:val="auto"/>
              </w:rPr>
            </w:pPr>
            <w:r>
              <w:rPr>
                <w:rFonts w:ascii="Arial" w:cs="Arial" w:eastAsia="Arial" w:hAnsi="Arial"/>
                <w:sz w:val="18"/>
                <w:szCs w:val="18"/>
                <w:color w:val="auto"/>
              </w:rPr>
              <w:t>Kodak Light Blocking New Materials LLC</w:t>
            </w:r>
          </w:p>
        </w:tc>
        <w:tc>
          <w:tcPr>
            <w:tcW w:w="3240" w:type="dxa"/>
            <w:vAlign w:val="bottom"/>
            <w:tcBorders>
              <w:bottom w:val="single" w:sz="8" w:color="auto"/>
            </w:tcBorders>
            <w:shd w:val="clear" w:color="auto" w:fill="D9E2F3"/>
          </w:tcPr>
          <w:p>
            <w:pPr>
              <w:ind w:left="100"/>
              <w:spacing w:after="0"/>
              <w:rPr>
                <w:sz w:val="20"/>
                <w:szCs w:val="20"/>
                <w:color w:val="auto"/>
              </w:rPr>
            </w:pPr>
            <w:r>
              <w:rPr>
                <w:rFonts w:ascii="Arial" w:cs="Arial" w:eastAsia="Arial" w:hAnsi="Arial"/>
                <w:sz w:val="18"/>
                <w:szCs w:val="18"/>
                <w:color w:val="auto"/>
              </w:rPr>
              <w:t>Delaware</w:t>
            </w:r>
          </w:p>
        </w:tc>
      </w:tr>
      <w:tr>
        <w:trPr>
          <w:trHeight w:val="236"/>
        </w:trPr>
        <w:tc>
          <w:tcPr>
            <w:tcW w:w="80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Kodak Limited</w:t>
            </w:r>
          </w:p>
        </w:tc>
        <w:tc>
          <w:tcPr>
            <w:tcW w:w="32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United Kingdom</w:t>
            </w:r>
          </w:p>
        </w:tc>
      </w:tr>
      <w:tr>
        <w:trPr>
          <w:trHeight w:val="237"/>
        </w:trPr>
        <w:tc>
          <w:tcPr>
            <w:tcW w:w="80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Kodak Mexicana S.A.de C.V.</w:t>
            </w:r>
          </w:p>
        </w:tc>
        <w:tc>
          <w:tcPr>
            <w:tcW w:w="32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Mexico</w:t>
            </w:r>
          </w:p>
        </w:tc>
      </w:tr>
      <w:tr>
        <w:trPr>
          <w:trHeight w:val="237"/>
        </w:trPr>
        <w:tc>
          <w:tcPr>
            <w:tcW w:w="80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Kodak Nederland B.V.</w:t>
            </w:r>
          </w:p>
        </w:tc>
        <w:tc>
          <w:tcPr>
            <w:tcW w:w="32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Netherlands</w:t>
            </w:r>
          </w:p>
        </w:tc>
      </w:tr>
      <w:tr>
        <w:trPr>
          <w:trHeight w:val="236"/>
        </w:trPr>
        <w:tc>
          <w:tcPr>
            <w:tcW w:w="8000" w:type="dxa"/>
            <w:vAlign w:val="bottom"/>
            <w:tcBorders>
              <w:bottom w:val="single" w:sz="8" w:color="auto"/>
              <w:right w:val="single" w:sz="8" w:color="auto"/>
            </w:tcBorders>
            <w:shd w:val="clear" w:color="auto" w:fill="D9E2F3"/>
          </w:tcPr>
          <w:p>
            <w:pPr>
              <w:ind w:left="120"/>
              <w:spacing w:after="0"/>
              <w:rPr>
                <w:sz w:val="20"/>
                <w:szCs w:val="20"/>
                <w:color w:val="auto"/>
              </w:rPr>
            </w:pPr>
            <w:r>
              <w:rPr>
                <w:rFonts w:ascii="Arial" w:cs="Arial" w:eastAsia="Arial" w:hAnsi="Arial"/>
                <w:sz w:val="18"/>
                <w:szCs w:val="18"/>
                <w:color w:val="auto"/>
              </w:rPr>
              <w:t>Kodak New Zealand Limited</w:t>
            </w:r>
          </w:p>
        </w:tc>
        <w:tc>
          <w:tcPr>
            <w:tcW w:w="3240" w:type="dxa"/>
            <w:vAlign w:val="bottom"/>
            <w:tcBorders>
              <w:bottom w:val="single" w:sz="8" w:color="auto"/>
            </w:tcBorders>
            <w:shd w:val="clear" w:color="auto" w:fill="D9E2F3"/>
          </w:tcPr>
          <w:p>
            <w:pPr>
              <w:ind w:left="100"/>
              <w:spacing w:after="0"/>
              <w:rPr>
                <w:sz w:val="20"/>
                <w:szCs w:val="20"/>
                <w:color w:val="auto"/>
              </w:rPr>
            </w:pPr>
            <w:r>
              <w:rPr>
                <w:rFonts w:ascii="Arial" w:cs="Arial" w:eastAsia="Arial" w:hAnsi="Arial"/>
                <w:sz w:val="18"/>
                <w:szCs w:val="18"/>
                <w:color w:val="auto"/>
              </w:rPr>
              <w:t>New Zealand</w:t>
            </w:r>
          </w:p>
        </w:tc>
      </w:tr>
      <w:tr>
        <w:trPr>
          <w:trHeight w:val="236"/>
        </w:trPr>
        <w:tc>
          <w:tcPr>
            <w:tcW w:w="80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Kodak Nordic AB</w:t>
            </w:r>
          </w:p>
        </w:tc>
        <w:tc>
          <w:tcPr>
            <w:tcW w:w="32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Sweden</w:t>
            </w:r>
          </w:p>
        </w:tc>
      </w:tr>
      <w:tr>
        <w:trPr>
          <w:trHeight w:val="237"/>
        </w:trPr>
        <w:tc>
          <w:tcPr>
            <w:tcW w:w="8000" w:type="dxa"/>
            <w:vAlign w:val="bottom"/>
            <w:tcBorders>
              <w:bottom w:val="single" w:sz="8" w:color="auto"/>
              <w:right w:val="single" w:sz="8" w:color="auto"/>
            </w:tcBorders>
            <w:shd w:val="clear" w:color="auto" w:fill="D9E2F3"/>
          </w:tcPr>
          <w:p>
            <w:pPr>
              <w:ind w:left="120"/>
              <w:spacing w:after="0"/>
              <w:rPr>
                <w:sz w:val="20"/>
                <w:szCs w:val="20"/>
                <w:color w:val="auto"/>
              </w:rPr>
            </w:pPr>
            <w:r>
              <w:rPr>
                <w:rFonts w:ascii="Arial" w:cs="Arial" w:eastAsia="Arial" w:hAnsi="Arial"/>
                <w:sz w:val="18"/>
                <w:szCs w:val="18"/>
                <w:color w:val="auto"/>
              </w:rPr>
              <w:t>Kodak OOO</w:t>
            </w:r>
          </w:p>
        </w:tc>
        <w:tc>
          <w:tcPr>
            <w:tcW w:w="3240" w:type="dxa"/>
            <w:vAlign w:val="bottom"/>
            <w:tcBorders>
              <w:bottom w:val="single" w:sz="8" w:color="auto"/>
            </w:tcBorders>
            <w:shd w:val="clear" w:color="auto" w:fill="D9E2F3"/>
          </w:tcPr>
          <w:p>
            <w:pPr>
              <w:ind w:left="100"/>
              <w:spacing w:after="0"/>
              <w:rPr>
                <w:sz w:val="20"/>
                <w:szCs w:val="20"/>
                <w:color w:val="auto"/>
              </w:rPr>
            </w:pPr>
            <w:r>
              <w:rPr>
                <w:rFonts w:ascii="Arial" w:cs="Arial" w:eastAsia="Arial" w:hAnsi="Arial"/>
                <w:sz w:val="18"/>
                <w:szCs w:val="18"/>
                <w:color w:val="auto"/>
              </w:rPr>
              <w:t>Russia</w:t>
            </w:r>
          </w:p>
        </w:tc>
      </w:tr>
      <w:tr>
        <w:trPr>
          <w:trHeight w:val="237"/>
        </w:trPr>
        <w:tc>
          <w:tcPr>
            <w:tcW w:w="80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Kodak Oy</w:t>
            </w:r>
          </w:p>
        </w:tc>
        <w:tc>
          <w:tcPr>
            <w:tcW w:w="32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Finland</w:t>
            </w:r>
          </w:p>
        </w:tc>
      </w:tr>
      <w:tr>
        <w:trPr>
          <w:trHeight w:val="412"/>
        </w:trPr>
        <w:tc>
          <w:tcPr>
            <w:tcW w:w="8000" w:type="dxa"/>
            <w:vAlign w:val="bottom"/>
          </w:tcPr>
          <w:p>
            <w:pPr>
              <w:ind w:left="5480"/>
              <w:spacing w:after="0"/>
              <w:rPr>
                <w:sz w:val="20"/>
                <w:szCs w:val="20"/>
                <w:color w:val="auto"/>
              </w:rPr>
            </w:pPr>
            <w:r>
              <w:rPr>
                <w:rFonts w:ascii="Arial" w:cs="Arial" w:eastAsia="Arial" w:hAnsi="Arial"/>
                <w:sz w:val="16"/>
                <w:szCs w:val="16"/>
                <w:color w:val="auto"/>
              </w:rPr>
              <w:t>- 1 -</w:t>
            </w:r>
          </w:p>
        </w:tc>
        <w:tc>
          <w:tcPr>
            <w:tcW w:w="3240" w:type="dxa"/>
            <w:vAlign w:val="bottom"/>
          </w:tcPr>
          <w:p>
            <w:pPr>
              <w:spacing w:after="0"/>
              <w:rPr>
                <w:sz w:val="24"/>
                <w:szCs w:val="24"/>
                <w:color w:val="auto"/>
              </w:rPr>
            </w:pPr>
          </w:p>
        </w:tc>
      </w:tr>
      <w:tr>
        <w:trPr>
          <w:trHeight w:val="994"/>
        </w:trPr>
        <w:tc>
          <w:tcPr>
            <w:tcW w:w="800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15" w:name="page216"/>
    <w:bookmarkEnd w:id="215"/>
    <w:tbl>
      <w:tblPr>
        <w:tblLayout w:type="fixed"/>
        <w:tblInd w:w="10" w:type="dxa"/>
        <w:tblCellMar>
          <w:top w:w="0" w:type="dxa"/>
          <w:left w:w="0" w:type="dxa"/>
          <w:bottom w:w="0" w:type="dxa"/>
          <w:right w:w="0" w:type="dxa"/>
        </w:tblCellMar>
      </w:tblPr>
      <w:tr>
        <w:trPr>
          <w:trHeight w:val="263"/>
        </w:trPr>
        <w:tc>
          <w:tcPr>
            <w:tcW w:w="8020" w:type="dxa"/>
            <w:vAlign w:val="bottom"/>
            <w:tcBorders>
              <w:top w:val="single" w:sz="8" w:color="auto"/>
              <w:left w:val="single" w:sz="8" w:color="auto"/>
              <w:bottom w:val="single" w:sz="8" w:color="auto"/>
              <w:right w:val="single" w:sz="8" w:color="auto"/>
            </w:tcBorders>
            <w:shd w:val="clear" w:color="auto" w:fill="D9E2F3"/>
          </w:tcPr>
          <w:p>
            <w:pPr>
              <w:ind w:left="120"/>
              <w:spacing w:after="0"/>
              <w:rPr>
                <w:sz w:val="20"/>
                <w:szCs w:val="20"/>
                <w:color w:val="auto"/>
              </w:rPr>
            </w:pPr>
            <w:r>
              <w:rPr>
                <w:rFonts w:ascii="Arial" w:cs="Arial" w:eastAsia="Arial" w:hAnsi="Arial"/>
                <w:sz w:val="18"/>
                <w:szCs w:val="18"/>
                <w:color w:val="auto"/>
              </w:rPr>
              <w:t>Kodak Philippines, Ltd.</w:t>
            </w:r>
          </w:p>
        </w:tc>
        <w:tc>
          <w:tcPr>
            <w:tcW w:w="3220" w:type="dxa"/>
            <w:vAlign w:val="bottom"/>
            <w:tcBorders>
              <w:top w:val="single" w:sz="8" w:color="auto"/>
              <w:bottom w:val="single" w:sz="8" w:color="auto"/>
              <w:right w:val="single" w:sz="8" w:color="auto"/>
            </w:tcBorders>
            <w:shd w:val="clear" w:color="auto" w:fill="D9E2F3"/>
          </w:tcPr>
          <w:p>
            <w:pPr>
              <w:ind w:left="80"/>
              <w:spacing w:after="0"/>
              <w:rPr>
                <w:sz w:val="20"/>
                <w:szCs w:val="20"/>
                <w:color w:val="auto"/>
              </w:rPr>
            </w:pPr>
            <w:r>
              <w:rPr>
                <w:rFonts w:ascii="Arial" w:cs="Arial" w:eastAsia="Arial" w:hAnsi="Arial"/>
                <w:sz w:val="18"/>
                <w:szCs w:val="18"/>
                <w:color w:val="auto"/>
              </w:rPr>
              <w:t>New York</w:t>
            </w:r>
          </w:p>
        </w:tc>
      </w:tr>
      <w:tr>
        <w:trPr>
          <w:trHeight w:val="219"/>
        </w:trPr>
        <w:tc>
          <w:tcPr>
            <w:tcW w:w="80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Kodak Polska Sp.zo.o</w:t>
            </w:r>
          </w:p>
        </w:tc>
        <w:tc>
          <w:tcPr>
            <w:tcW w:w="32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Poland</w:t>
            </w:r>
          </w:p>
        </w:tc>
      </w:tr>
      <w:tr>
        <w:trPr>
          <w:trHeight w:val="235"/>
        </w:trPr>
        <w:tc>
          <w:tcPr>
            <w:tcW w:w="8020" w:type="dxa"/>
            <w:vAlign w:val="bottom"/>
            <w:tcBorders>
              <w:left w:val="single" w:sz="8" w:color="auto"/>
              <w:bottom w:val="single" w:sz="8" w:color="auto"/>
              <w:right w:val="single" w:sz="8" w:color="auto"/>
            </w:tcBorders>
            <w:shd w:val="clear" w:color="auto" w:fill="D9E2F3"/>
          </w:tcPr>
          <w:p>
            <w:pPr>
              <w:ind w:left="120"/>
              <w:spacing w:after="0"/>
              <w:rPr>
                <w:sz w:val="20"/>
                <w:szCs w:val="20"/>
                <w:color w:val="auto"/>
              </w:rPr>
            </w:pPr>
            <w:r>
              <w:rPr>
                <w:rFonts w:ascii="Arial" w:cs="Arial" w:eastAsia="Arial" w:hAnsi="Arial"/>
                <w:sz w:val="18"/>
                <w:szCs w:val="18"/>
                <w:color w:val="auto"/>
              </w:rPr>
              <w:t>Kodak Polychrome Graphics Company Ltd.</w:t>
            </w:r>
          </w:p>
        </w:tc>
        <w:tc>
          <w:tcPr>
            <w:tcW w:w="3220" w:type="dxa"/>
            <w:vAlign w:val="bottom"/>
            <w:tcBorders>
              <w:bottom w:val="single" w:sz="8" w:color="auto"/>
              <w:right w:val="single" w:sz="8" w:color="auto"/>
            </w:tcBorders>
            <w:shd w:val="clear" w:color="auto" w:fill="D9E2F3"/>
          </w:tcPr>
          <w:p>
            <w:pPr>
              <w:ind w:left="80"/>
              <w:spacing w:after="0"/>
              <w:rPr>
                <w:sz w:val="20"/>
                <w:szCs w:val="20"/>
                <w:color w:val="auto"/>
              </w:rPr>
            </w:pPr>
            <w:r>
              <w:rPr>
                <w:rFonts w:ascii="Arial" w:cs="Arial" w:eastAsia="Arial" w:hAnsi="Arial"/>
                <w:sz w:val="18"/>
                <w:szCs w:val="18"/>
                <w:color w:val="auto"/>
              </w:rPr>
              <w:t>Barbados</w:t>
            </w:r>
          </w:p>
        </w:tc>
      </w:tr>
      <w:tr>
        <w:trPr>
          <w:trHeight w:val="236"/>
        </w:trPr>
        <w:tc>
          <w:tcPr>
            <w:tcW w:w="80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Kodak SA/NV</w:t>
            </w:r>
          </w:p>
        </w:tc>
        <w:tc>
          <w:tcPr>
            <w:tcW w:w="32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Belgium</w:t>
            </w:r>
          </w:p>
        </w:tc>
      </w:tr>
      <w:tr>
        <w:trPr>
          <w:trHeight w:val="237"/>
        </w:trPr>
        <w:tc>
          <w:tcPr>
            <w:tcW w:w="8020" w:type="dxa"/>
            <w:vAlign w:val="bottom"/>
            <w:tcBorders>
              <w:left w:val="single" w:sz="8" w:color="auto"/>
              <w:bottom w:val="single" w:sz="8" w:color="auto"/>
              <w:right w:val="single" w:sz="8" w:color="auto"/>
            </w:tcBorders>
            <w:shd w:val="clear" w:color="auto" w:fill="D9E2F3"/>
          </w:tcPr>
          <w:p>
            <w:pPr>
              <w:ind w:left="120"/>
              <w:spacing w:after="0"/>
              <w:rPr>
                <w:sz w:val="20"/>
                <w:szCs w:val="20"/>
                <w:color w:val="auto"/>
              </w:rPr>
            </w:pPr>
            <w:r>
              <w:rPr>
                <w:rFonts w:ascii="Arial" w:cs="Arial" w:eastAsia="Arial" w:hAnsi="Arial"/>
                <w:sz w:val="18"/>
                <w:szCs w:val="18"/>
                <w:color w:val="auto"/>
              </w:rPr>
              <w:t>Kodak Societa per Azioni</w:t>
            </w:r>
          </w:p>
        </w:tc>
        <w:tc>
          <w:tcPr>
            <w:tcW w:w="3220" w:type="dxa"/>
            <w:vAlign w:val="bottom"/>
            <w:tcBorders>
              <w:bottom w:val="single" w:sz="8" w:color="auto"/>
              <w:right w:val="single" w:sz="8" w:color="auto"/>
            </w:tcBorders>
            <w:shd w:val="clear" w:color="auto" w:fill="D9E2F3"/>
          </w:tcPr>
          <w:p>
            <w:pPr>
              <w:ind w:left="80"/>
              <w:spacing w:after="0"/>
              <w:rPr>
                <w:sz w:val="20"/>
                <w:szCs w:val="20"/>
                <w:color w:val="auto"/>
              </w:rPr>
            </w:pPr>
            <w:r>
              <w:rPr>
                <w:rFonts w:ascii="Arial" w:cs="Arial" w:eastAsia="Arial" w:hAnsi="Arial"/>
                <w:sz w:val="18"/>
                <w:szCs w:val="18"/>
                <w:color w:val="auto"/>
              </w:rPr>
              <w:t>Italy</w:t>
            </w:r>
          </w:p>
        </w:tc>
      </w:tr>
      <w:tr>
        <w:trPr>
          <w:trHeight w:val="237"/>
        </w:trPr>
        <w:tc>
          <w:tcPr>
            <w:tcW w:w="80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Kodak Societe Anonyme</w:t>
            </w:r>
          </w:p>
        </w:tc>
        <w:tc>
          <w:tcPr>
            <w:tcW w:w="32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Switzerland</w:t>
            </w:r>
          </w:p>
        </w:tc>
      </w:tr>
      <w:tr>
        <w:trPr>
          <w:trHeight w:val="236"/>
        </w:trPr>
        <w:tc>
          <w:tcPr>
            <w:tcW w:w="8020" w:type="dxa"/>
            <w:vAlign w:val="bottom"/>
            <w:tcBorders>
              <w:left w:val="single" w:sz="8" w:color="auto"/>
              <w:bottom w:val="single" w:sz="8" w:color="auto"/>
              <w:right w:val="single" w:sz="8" w:color="auto"/>
            </w:tcBorders>
            <w:shd w:val="clear" w:color="auto" w:fill="D9E2F3"/>
          </w:tcPr>
          <w:p>
            <w:pPr>
              <w:ind w:left="120"/>
              <w:spacing w:after="0"/>
              <w:rPr>
                <w:sz w:val="20"/>
                <w:szCs w:val="20"/>
                <w:color w:val="auto"/>
              </w:rPr>
            </w:pPr>
            <w:r>
              <w:rPr>
                <w:rFonts w:ascii="Arial" w:cs="Arial" w:eastAsia="Arial" w:hAnsi="Arial"/>
                <w:sz w:val="18"/>
                <w:szCs w:val="18"/>
                <w:color w:val="auto"/>
              </w:rPr>
              <w:t>Kodak Unterstützungsgesellschaft GmbH</w:t>
            </w:r>
          </w:p>
        </w:tc>
        <w:tc>
          <w:tcPr>
            <w:tcW w:w="3220" w:type="dxa"/>
            <w:vAlign w:val="bottom"/>
            <w:tcBorders>
              <w:bottom w:val="single" w:sz="8" w:color="auto"/>
              <w:right w:val="single" w:sz="8" w:color="auto"/>
            </w:tcBorders>
            <w:shd w:val="clear" w:color="auto" w:fill="D9E2F3"/>
          </w:tcPr>
          <w:p>
            <w:pPr>
              <w:ind w:left="80"/>
              <w:spacing w:after="0"/>
              <w:rPr>
                <w:sz w:val="20"/>
                <w:szCs w:val="20"/>
                <w:color w:val="auto"/>
              </w:rPr>
            </w:pPr>
            <w:r>
              <w:rPr>
                <w:rFonts w:ascii="Arial" w:cs="Arial" w:eastAsia="Arial" w:hAnsi="Arial"/>
                <w:sz w:val="18"/>
                <w:szCs w:val="18"/>
                <w:color w:val="auto"/>
              </w:rPr>
              <w:t>Germany</w:t>
            </w:r>
          </w:p>
        </w:tc>
      </w:tr>
      <w:tr>
        <w:trPr>
          <w:trHeight w:val="237"/>
        </w:trPr>
        <w:tc>
          <w:tcPr>
            <w:tcW w:w="80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Kodak, Sociedad Anonima</w:t>
            </w:r>
          </w:p>
        </w:tc>
        <w:tc>
          <w:tcPr>
            <w:tcW w:w="32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Spain</w:t>
            </w:r>
          </w:p>
        </w:tc>
      </w:tr>
      <w:tr>
        <w:trPr>
          <w:trHeight w:val="236"/>
        </w:trPr>
        <w:tc>
          <w:tcPr>
            <w:tcW w:w="8020" w:type="dxa"/>
            <w:vAlign w:val="bottom"/>
            <w:tcBorders>
              <w:left w:val="single" w:sz="8" w:color="auto"/>
              <w:bottom w:val="single" w:sz="8" w:color="auto"/>
              <w:right w:val="single" w:sz="8" w:color="auto"/>
            </w:tcBorders>
            <w:shd w:val="clear" w:color="auto" w:fill="D9E2F3"/>
          </w:tcPr>
          <w:p>
            <w:pPr>
              <w:ind w:left="120"/>
              <w:spacing w:after="0"/>
              <w:rPr>
                <w:sz w:val="20"/>
                <w:szCs w:val="20"/>
                <w:color w:val="auto"/>
              </w:rPr>
            </w:pPr>
            <w:r>
              <w:rPr>
                <w:rFonts w:ascii="Arial" w:cs="Arial" w:eastAsia="Arial" w:hAnsi="Arial"/>
                <w:sz w:val="18"/>
                <w:szCs w:val="18"/>
                <w:color w:val="auto"/>
              </w:rPr>
              <w:t>KPG Finance (Barbados) SRL</w:t>
            </w:r>
          </w:p>
        </w:tc>
        <w:tc>
          <w:tcPr>
            <w:tcW w:w="3220" w:type="dxa"/>
            <w:vAlign w:val="bottom"/>
            <w:tcBorders>
              <w:bottom w:val="single" w:sz="8" w:color="auto"/>
              <w:right w:val="single" w:sz="8" w:color="auto"/>
            </w:tcBorders>
            <w:shd w:val="clear" w:color="auto" w:fill="D9E2F3"/>
          </w:tcPr>
          <w:p>
            <w:pPr>
              <w:ind w:left="80"/>
              <w:spacing w:after="0"/>
              <w:rPr>
                <w:sz w:val="20"/>
                <w:szCs w:val="20"/>
                <w:color w:val="auto"/>
              </w:rPr>
            </w:pPr>
            <w:r>
              <w:rPr>
                <w:rFonts w:ascii="Arial" w:cs="Arial" w:eastAsia="Arial" w:hAnsi="Arial"/>
                <w:sz w:val="18"/>
                <w:szCs w:val="18"/>
                <w:color w:val="auto"/>
              </w:rPr>
              <w:t>Barbados</w:t>
            </w:r>
          </w:p>
        </w:tc>
      </w:tr>
      <w:tr>
        <w:trPr>
          <w:trHeight w:val="237"/>
        </w:trPr>
        <w:tc>
          <w:tcPr>
            <w:tcW w:w="80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Laboratories Kodak S.A.S.</w:t>
            </w:r>
          </w:p>
        </w:tc>
        <w:tc>
          <w:tcPr>
            <w:tcW w:w="32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France</w:t>
            </w:r>
          </w:p>
        </w:tc>
      </w:tr>
      <w:tr>
        <w:trPr>
          <w:trHeight w:val="236"/>
        </w:trPr>
        <w:tc>
          <w:tcPr>
            <w:tcW w:w="8020" w:type="dxa"/>
            <w:vAlign w:val="bottom"/>
            <w:tcBorders>
              <w:left w:val="single" w:sz="8" w:color="auto"/>
              <w:bottom w:val="single" w:sz="8" w:color="auto"/>
              <w:right w:val="single" w:sz="8" w:color="auto"/>
            </w:tcBorders>
            <w:shd w:val="clear" w:color="auto" w:fill="D9E2F3"/>
          </w:tcPr>
          <w:p>
            <w:pPr>
              <w:ind w:left="120"/>
              <w:spacing w:after="0"/>
              <w:rPr>
                <w:sz w:val="20"/>
                <w:szCs w:val="20"/>
                <w:color w:val="auto"/>
              </w:rPr>
            </w:pPr>
            <w:r>
              <w:rPr>
                <w:rFonts w:ascii="Arial" w:cs="Arial" w:eastAsia="Arial" w:hAnsi="Arial"/>
                <w:sz w:val="18"/>
                <w:szCs w:val="18"/>
                <w:color w:val="auto"/>
              </w:rPr>
              <w:t>NPEC Inc.</w:t>
            </w:r>
          </w:p>
        </w:tc>
        <w:tc>
          <w:tcPr>
            <w:tcW w:w="3220" w:type="dxa"/>
            <w:vAlign w:val="bottom"/>
            <w:tcBorders>
              <w:bottom w:val="single" w:sz="8" w:color="auto"/>
              <w:right w:val="single" w:sz="8" w:color="auto"/>
            </w:tcBorders>
            <w:shd w:val="clear" w:color="auto" w:fill="D9E2F3"/>
          </w:tcPr>
          <w:p>
            <w:pPr>
              <w:ind w:left="80"/>
              <w:spacing w:after="0"/>
              <w:rPr>
                <w:sz w:val="20"/>
                <w:szCs w:val="20"/>
                <w:color w:val="auto"/>
              </w:rPr>
            </w:pPr>
            <w:r>
              <w:rPr>
                <w:rFonts w:ascii="Arial" w:cs="Arial" w:eastAsia="Arial" w:hAnsi="Arial"/>
                <w:sz w:val="18"/>
                <w:szCs w:val="18"/>
                <w:color w:val="auto"/>
              </w:rPr>
              <w:t>California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12-17-2024</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633730</wp:posOffset>
            </wp:positionV>
            <wp:extent cx="7157720" cy="4254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216" w:name="page217"/>
    <w:bookmarkEnd w:id="216"/>
    <w:p>
      <w:pPr>
        <w:jc w:val="right"/>
        <w:spacing w:after="0"/>
        <w:rPr>
          <w:sz w:val="20"/>
          <w:szCs w:val="20"/>
          <w:color w:val="auto"/>
        </w:rPr>
      </w:pPr>
      <w:r>
        <w:rPr>
          <w:rFonts w:ascii="Arial" w:cs="Arial" w:eastAsia="Arial" w:hAnsi="Arial"/>
          <w:sz w:val="20"/>
          <w:szCs w:val="20"/>
          <w:color w:val="auto"/>
        </w:rPr>
        <w:t>Exhibit 23.1</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367" w:lineRule="exact"/>
        <w:rPr>
          <w:sz w:val="20"/>
          <w:szCs w:val="20"/>
          <w:color w:val="auto"/>
        </w:rPr>
      </w:pPr>
    </w:p>
    <w:p>
      <w:pPr>
        <w:spacing w:after="0"/>
        <w:rPr>
          <w:sz w:val="20"/>
          <w:szCs w:val="20"/>
          <w:color w:val="auto"/>
        </w:rPr>
      </w:pPr>
      <w:r>
        <w:rPr>
          <w:rFonts w:ascii="Calibri" w:cs="Calibri" w:eastAsia="Calibri" w:hAnsi="Calibri"/>
          <w:sz w:val="20"/>
          <w:szCs w:val="20"/>
          <w:color w:val="auto"/>
        </w:rPr>
        <w:t>We consent to the incorporaton by reference in the following Registraton Statements:</w:t>
      </w:r>
    </w:p>
    <w:p>
      <w:pPr>
        <w:spacing w:after="0" w:line="144" w:lineRule="exact"/>
        <w:rPr>
          <w:sz w:val="20"/>
          <w:szCs w:val="20"/>
          <w:color w:val="auto"/>
        </w:rPr>
      </w:pPr>
    </w:p>
    <w:p>
      <w:pPr>
        <w:ind w:left="760" w:hanging="378"/>
        <w:spacing w:after="0" w:line="234" w:lineRule="auto"/>
        <w:tabs>
          <w:tab w:leader="none" w:pos="760" w:val="left"/>
        </w:tabs>
        <w:numPr>
          <w:ilvl w:val="0"/>
          <w:numId w:val="156"/>
        </w:numPr>
        <w:rPr>
          <w:rFonts w:ascii="Calibri" w:cs="Calibri" w:eastAsia="Calibri" w:hAnsi="Calibri"/>
          <w:sz w:val="20"/>
          <w:szCs w:val="20"/>
          <w:color w:val="auto"/>
        </w:rPr>
      </w:pPr>
      <w:r>
        <w:rPr>
          <w:rFonts w:ascii="Calibri" w:cs="Calibri" w:eastAsia="Calibri" w:hAnsi="Calibri"/>
          <w:sz w:val="20"/>
          <w:szCs w:val="20"/>
          <w:color w:val="auto"/>
        </w:rPr>
        <w:t>Registraton Statement (Form S-8 No. 333-190957) pertaining to the registraton of 4,792,480 shares of common stock under the Eastman Kodak Company 2013 Omnibus Incentve Plan,</w:t>
      </w:r>
    </w:p>
    <w:p>
      <w:pPr>
        <w:spacing w:after="0" w:line="158" w:lineRule="exact"/>
        <w:rPr>
          <w:rFonts w:ascii="Calibri" w:cs="Calibri" w:eastAsia="Calibri" w:hAnsi="Calibri"/>
          <w:sz w:val="20"/>
          <w:szCs w:val="20"/>
          <w:color w:val="auto"/>
        </w:rPr>
      </w:pPr>
    </w:p>
    <w:p>
      <w:pPr>
        <w:ind w:left="760" w:hanging="378"/>
        <w:spacing w:after="0" w:line="234" w:lineRule="auto"/>
        <w:tabs>
          <w:tab w:leader="none" w:pos="760" w:val="left"/>
        </w:tabs>
        <w:numPr>
          <w:ilvl w:val="0"/>
          <w:numId w:val="156"/>
        </w:numPr>
        <w:rPr>
          <w:rFonts w:ascii="Calibri" w:cs="Calibri" w:eastAsia="Calibri" w:hAnsi="Calibri"/>
          <w:sz w:val="20"/>
          <w:szCs w:val="20"/>
          <w:color w:val="auto"/>
        </w:rPr>
      </w:pPr>
      <w:r>
        <w:rPr>
          <w:rFonts w:ascii="Calibri" w:cs="Calibri" w:eastAsia="Calibri" w:hAnsi="Calibri"/>
          <w:sz w:val="20"/>
          <w:szCs w:val="20"/>
          <w:color w:val="auto"/>
        </w:rPr>
        <w:t>Registraton Statement (Form S-8 No. 333-225437) pertaining to the registraton of 1,000,000 shares of common stock under the Eastman Kodak Company 2013 Omnibus Incentve Plan, as amended,</w:t>
      </w:r>
    </w:p>
    <w:p>
      <w:pPr>
        <w:spacing w:after="0" w:line="158" w:lineRule="exact"/>
        <w:rPr>
          <w:rFonts w:ascii="Calibri" w:cs="Calibri" w:eastAsia="Calibri" w:hAnsi="Calibri"/>
          <w:sz w:val="20"/>
          <w:szCs w:val="20"/>
          <w:color w:val="auto"/>
        </w:rPr>
      </w:pPr>
    </w:p>
    <w:p>
      <w:pPr>
        <w:ind w:left="760" w:hanging="378"/>
        <w:spacing w:after="0" w:line="234" w:lineRule="auto"/>
        <w:tabs>
          <w:tab w:leader="none" w:pos="760" w:val="left"/>
        </w:tabs>
        <w:numPr>
          <w:ilvl w:val="0"/>
          <w:numId w:val="156"/>
        </w:numPr>
        <w:rPr>
          <w:rFonts w:ascii="Calibri" w:cs="Calibri" w:eastAsia="Calibri" w:hAnsi="Calibri"/>
          <w:sz w:val="20"/>
          <w:szCs w:val="20"/>
          <w:color w:val="auto"/>
        </w:rPr>
      </w:pPr>
      <w:r>
        <w:rPr>
          <w:rFonts w:ascii="Calibri" w:cs="Calibri" w:eastAsia="Calibri" w:hAnsi="Calibri"/>
          <w:sz w:val="20"/>
          <w:szCs w:val="20"/>
          <w:color w:val="auto"/>
        </w:rPr>
        <w:t>Registraton Statement (Form S-8 No. 333-250827) pertaining to the registraton of 7,500,000 shares of common stock under the Eastman Kodak Company 2013 Omnibus Incentve Plan, as amended and restated,</w:t>
      </w:r>
    </w:p>
    <w:p>
      <w:pPr>
        <w:spacing w:after="0" w:line="144" w:lineRule="exact"/>
        <w:rPr>
          <w:rFonts w:ascii="Calibri" w:cs="Calibri" w:eastAsia="Calibri" w:hAnsi="Calibri"/>
          <w:sz w:val="20"/>
          <w:szCs w:val="20"/>
          <w:color w:val="auto"/>
        </w:rPr>
      </w:pPr>
    </w:p>
    <w:p>
      <w:pPr>
        <w:ind w:left="760" w:hanging="378"/>
        <w:spacing w:after="0" w:line="234" w:lineRule="auto"/>
        <w:tabs>
          <w:tab w:leader="none" w:pos="760" w:val="left"/>
        </w:tabs>
        <w:numPr>
          <w:ilvl w:val="0"/>
          <w:numId w:val="156"/>
        </w:numPr>
        <w:rPr>
          <w:rFonts w:ascii="Calibri" w:cs="Calibri" w:eastAsia="Calibri" w:hAnsi="Calibri"/>
          <w:sz w:val="20"/>
          <w:szCs w:val="20"/>
          <w:color w:val="auto"/>
        </w:rPr>
      </w:pPr>
      <w:r>
        <w:rPr>
          <w:rFonts w:ascii="Calibri" w:cs="Calibri" w:eastAsia="Calibri" w:hAnsi="Calibri"/>
          <w:sz w:val="20"/>
          <w:szCs w:val="20"/>
          <w:color w:val="auto"/>
        </w:rPr>
        <w:t>Registraton Statement (Form S-3 No. 333-254352) pertaining to the registraton of 44,490,032 shares of common stock of Eastman Kodak Company,</w:t>
      </w:r>
    </w:p>
    <w:p>
      <w:pPr>
        <w:spacing w:after="0" w:line="158" w:lineRule="exact"/>
        <w:rPr>
          <w:rFonts w:ascii="Calibri" w:cs="Calibri" w:eastAsia="Calibri" w:hAnsi="Calibri"/>
          <w:sz w:val="20"/>
          <w:szCs w:val="20"/>
          <w:color w:val="auto"/>
        </w:rPr>
      </w:pPr>
    </w:p>
    <w:p>
      <w:pPr>
        <w:ind w:left="760" w:hanging="378"/>
        <w:spacing w:after="0" w:line="234" w:lineRule="auto"/>
        <w:tabs>
          <w:tab w:leader="none" w:pos="760" w:val="left"/>
        </w:tabs>
        <w:numPr>
          <w:ilvl w:val="0"/>
          <w:numId w:val="156"/>
        </w:numPr>
        <w:rPr>
          <w:rFonts w:ascii="Calibri" w:cs="Calibri" w:eastAsia="Calibri" w:hAnsi="Calibri"/>
          <w:sz w:val="20"/>
          <w:szCs w:val="20"/>
          <w:color w:val="auto"/>
        </w:rPr>
      </w:pPr>
      <w:r>
        <w:rPr>
          <w:rFonts w:ascii="Calibri" w:cs="Calibri" w:eastAsia="Calibri" w:hAnsi="Calibri"/>
          <w:sz w:val="20"/>
          <w:szCs w:val="20"/>
          <w:color w:val="auto"/>
        </w:rPr>
        <w:t>Registraton Statement (Form S-8 No. 333-258682) pertaining to the registraton of 5,000,000 shares of common stock under the Eastman Kodak Company 2013 Omnibus Incentve Plan, as amended and restated,</w:t>
      </w:r>
    </w:p>
    <w:p>
      <w:pPr>
        <w:spacing w:after="0" w:line="158" w:lineRule="exact"/>
        <w:rPr>
          <w:rFonts w:ascii="Calibri" w:cs="Calibri" w:eastAsia="Calibri" w:hAnsi="Calibri"/>
          <w:sz w:val="20"/>
          <w:szCs w:val="20"/>
          <w:color w:val="auto"/>
        </w:rPr>
      </w:pPr>
    </w:p>
    <w:p>
      <w:pPr>
        <w:ind w:left="760" w:hanging="378"/>
        <w:spacing w:after="0" w:line="234" w:lineRule="auto"/>
        <w:tabs>
          <w:tab w:leader="none" w:pos="760" w:val="left"/>
        </w:tabs>
        <w:numPr>
          <w:ilvl w:val="0"/>
          <w:numId w:val="156"/>
        </w:numPr>
        <w:rPr>
          <w:rFonts w:ascii="Calibri" w:cs="Calibri" w:eastAsia="Calibri" w:hAnsi="Calibri"/>
          <w:sz w:val="20"/>
          <w:szCs w:val="20"/>
          <w:color w:val="auto"/>
        </w:rPr>
      </w:pPr>
      <w:r>
        <w:rPr>
          <w:rFonts w:ascii="Calibri" w:cs="Calibri" w:eastAsia="Calibri" w:hAnsi="Calibri"/>
          <w:sz w:val="20"/>
          <w:szCs w:val="20"/>
          <w:color w:val="auto"/>
        </w:rPr>
        <w:t>Registraton Statement (Form S-3 No. 333-281403) pertaining to the registraton of $500,000,000 of common stock, preferred stock, debt securites, warrants, depositary shares, purchase contracts, guarantees and units of Eastman Kodak Company, and</w:t>
      </w:r>
    </w:p>
    <w:p>
      <w:pPr>
        <w:spacing w:after="0" w:line="144" w:lineRule="exact"/>
        <w:rPr>
          <w:rFonts w:ascii="Calibri" w:cs="Calibri" w:eastAsia="Calibri" w:hAnsi="Calibri"/>
          <w:sz w:val="20"/>
          <w:szCs w:val="20"/>
          <w:color w:val="auto"/>
        </w:rPr>
      </w:pPr>
    </w:p>
    <w:p>
      <w:pPr>
        <w:ind w:left="760" w:right="20" w:hanging="378"/>
        <w:spacing w:after="0" w:line="234" w:lineRule="auto"/>
        <w:tabs>
          <w:tab w:leader="none" w:pos="760" w:val="left"/>
        </w:tabs>
        <w:numPr>
          <w:ilvl w:val="0"/>
          <w:numId w:val="156"/>
        </w:numPr>
        <w:rPr>
          <w:rFonts w:ascii="Calibri" w:cs="Calibri" w:eastAsia="Calibri" w:hAnsi="Calibri"/>
          <w:sz w:val="20"/>
          <w:szCs w:val="20"/>
          <w:color w:val="auto"/>
        </w:rPr>
      </w:pPr>
      <w:r>
        <w:rPr>
          <w:rFonts w:ascii="Calibri" w:cs="Calibri" w:eastAsia="Calibri" w:hAnsi="Calibri"/>
          <w:sz w:val="20"/>
          <w:szCs w:val="20"/>
          <w:color w:val="auto"/>
        </w:rPr>
        <w:t>Registraton Statement (Form S-8 No. 333-281405) pertaining to the registraton of additonal shares of common stock under the Eastman Kodak Company 2013 Omnibus Incentve Plan, as amended and restated;</w:t>
      </w:r>
    </w:p>
    <w:p>
      <w:pPr>
        <w:spacing w:after="0" w:line="158"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of our reports dated March 17, 2025, with respect to the consolidated fnancial statements of Eastman Kodak Company and the efectveness of internal control over fnancial reportng of Eastman Kodak Company included in this Annual Report (Form 10-K) of Eastman Kodak Company for the year ended December 31, 2024.</w:t>
      </w:r>
    </w:p>
    <w:p>
      <w:pPr>
        <w:spacing w:after="0" w:line="200" w:lineRule="exact"/>
        <w:rPr>
          <w:sz w:val="20"/>
          <w:szCs w:val="20"/>
          <w:color w:val="auto"/>
        </w:rPr>
      </w:pPr>
    </w:p>
    <w:p>
      <w:pPr>
        <w:spacing w:after="0" w:line="326" w:lineRule="exact"/>
        <w:rPr>
          <w:sz w:val="20"/>
          <w:szCs w:val="20"/>
          <w:color w:val="auto"/>
        </w:rPr>
      </w:pPr>
    </w:p>
    <w:p>
      <w:pPr>
        <w:ind w:left="6000"/>
        <w:spacing w:after="0"/>
        <w:rPr>
          <w:sz w:val="20"/>
          <w:szCs w:val="20"/>
          <w:color w:val="auto"/>
        </w:rPr>
      </w:pPr>
      <w:r>
        <w:rPr>
          <w:rFonts w:ascii="Calibri" w:cs="Calibri" w:eastAsia="Calibri" w:hAnsi="Calibri"/>
          <w:sz w:val="20"/>
          <w:szCs w:val="20"/>
          <w:color w:val="auto"/>
        </w:rPr>
        <w:t>/s/ Ernst &amp; Young LLP</w:t>
      </w:r>
    </w:p>
    <w:p>
      <w:pPr>
        <w:spacing w:after="0" w:line="147" w:lineRule="exact"/>
        <w:rPr>
          <w:sz w:val="20"/>
          <w:szCs w:val="20"/>
          <w:color w:val="auto"/>
        </w:rPr>
      </w:pPr>
    </w:p>
    <w:p>
      <w:pPr>
        <w:spacing w:after="0"/>
        <w:rPr>
          <w:sz w:val="20"/>
          <w:szCs w:val="20"/>
          <w:color w:val="auto"/>
        </w:rPr>
      </w:pPr>
      <w:r>
        <w:rPr>
          <w:rFonts w:ascii="Calibri" w:cs="Calibri" w:eastAsia="Calibri" w:hAnsi="Calibri"/>
          <w:sz w:val="20"/>
          <w:szCs w:val="20"/>
          <w:color w:val="auto"/>
        </w:rPr>
        <w:t>Rochester, New York</w:t>
      </w:r>
    </w:p>
    <w:p>
      <w:pPr>
        <w:spacing w:after="0" w:line="238" w:lineRule="auto"/>
        <w:rPr>
          <w:sz w:val="20"/>
          <w:szCs w:val="20"/>
          <w:color w:val="auto"/>
        </w:rPr>
      </w:pPr>
      <w:r>
        <w:rPr>
          <w:rFonts w:ascii="Calibri" w:cs="Calibri" w:eastAsia="Calibri" w:hAnsi="Calibri"/>
          <w:sz w:val="20"/>
          <w:szCs w:val="20"/>
          <w:color w:val="auto"/>
        </w:rPr>
        <w:t>March 17,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900430</wp:posOffset>
            </wp:positionV>
            <wp:extent cx="7157720" cy="4254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217" w:name="page218"/>
    <w:bookmarkEnd w:id="217"/>
    <w:p>
      <w:pPr>
        <w:jc w:val="right"/>
        <w:spacing w:after="0"/>
        <w:rPr>
          <w:sz w:val="20"/>
          <w:szCs w:val="20"/>
          <w:color w:val="auto"/>
        </w:rPr>
      </w:pPr>
      <w:r>
        <w:rPr>
          <w:rFonts w:ascii="Calibri" w:cs="Calibri" w:eastAsia="Calibri" w:hAnsi="Calibri"/>
          <w:sz w:val="18"/>
          <w:szCs w:val="18"/>
          <w:b w:val="1"/>
          <w:bCs w:val="1"/>
          <w:color w:val="auto"/>
        </w:rPr>
        <w:t>Exhibit (31.1)</w:t>
      </w:r>
    </w:p>
    <w:p>
      <w:pPr>
        <w:jc w:val="center"/>
        <w:spacing w:after="0" w:line="235" w:lineRule="auto"/>
        <w:rPr>
          <w:sz w:val="20"/>
          <w:szCs w:val="20"/>
          <w:color w:val="auto"/>
        </w:rPr>
      </w:pPr>
      <w:r>
        <w:rPr>
          <w:rFonts w:ascii="Calibri" w:cs="Calibri" w:eastAsia="Calibri" w:hAnsi="Calibri"/>
          <w:sz w:val="18"/>
          <w:szCs w:val="18"/>
          <w:b w:val="1"/>
          <w:bCs w:val="1"/>
          <w:color w:val="auto"/>
        </w:rPr>
        <w:t>CERTIFICATION</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color w:val="auto"/>
        </w:rPr>
        <w:t>I, James V. Contnenza, certfy that:</w:t>
      </w:r>
    </w:p>
    <w:p>
      <w:pPr>
        <w:spacing w:after="0" w:line="212" w:lineRule="exact"/>
        <w:rPr>
          <w:sz w:val="20"/>
          <w:szCs w:val="20"/>
          <w:color w:val="auto"/>
        </w:rPr>
      </w:pPr>
    </w:p>
    <w:p>
      <w:pPr>
        <w:ind w:left="380" w:hanging="372"/>
        <w:spacing w:after="0"/>
        <w:tabs>
          <w:tab w:leader="none" w:pos="380" w:val="left"/>
        </w:tabs>
        <w:numPr>
          <w:ilvl w:val="0"/>
          <w:numId w:val="157"/>
        </w:numPr>
        <w:rPr>
          <w:rFonts w:ascii="Calibri" w:cs="Calibri" w:eastAsia="Calibri" w:hAnsi="Calibri"/>
          <w:sz w:val="18"/>
          <w:szCs w:val="18"/>
          <w:color w:val="auto"/>
        </w:rPr>
      </w:pPr>
      <w:r>
        <w:rPr>
          <w:rFonts w:ascii="Calibri" w:cs="Calibri" w:eastAsia="Calibri" w:hAnsi="Calibri"/>
          <w:sz w:val="18"/>
          <w:szCs w:val="18"/>
          <w:color w:val="auto"/>
        </w:rPr>
        <w:t>I have reviewed this Form 10-K of Eastman Kodak Company;</w:t>
      </w:r>
    </w:p>
    <w:p>
      <w:pPr>
        <w:spacing w:after="0" w:line="217" w:lineRule="exact"/>
        <w:rPr>
          <w:rFonts w:ascii="Calibri" w:cs="Calibri" w:eastAsia="Calibri" w:hAnsi="Calibri"/>
          <w:sz w:val="18"/>
          <w:szCs w:val="18"/>
          <w:color w:val="auto"/>
        </w:rPr>
      </w:pPr>
    </w:p>
    <w:p>
      <w:pPr>
        <w:jc w:val="both"/>
        <w:ind w:left="380" w:right="340" w:hanging="372"/>
        <w:spacing w:after="0" w:line="235" w:lineRule="auto"/>
        <w:tabs>
          <w:tab w:leader="none" w:pos="380" w:val="left"/>
        </w:tabs>
        <w:numPr>
          <w:ilvl w:val="0"/>
          <w:numId w:val="157"/>
        </w:numPr>
        <w:rPr>
          <w:rFonts w:ascii="Calibri" w:cs="Calibri" w:eastAsia="Calibri" w:hAnsi="Calibri"/>
          <w:sz w:val="18"/>
          <w:szCs w:val="18"/>
          <w:color w:val="auto"/>
        </w:rPr>
      </w:pPr>
      <w:r>
        <w:rPr>
          <w:rFonts w:ascii="Calibri" w:cs="Calibri" w:eastAsia="Calibri" w:hAnsi="Calibri"/>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8" w:lineRule="exact"/>
        <w:rPr>
          <w:rFonts w:ascii="Calibri" w:cs="Calibri" w:eastAsia="Calibri" w:hAnsi="Calibri"/>
          <w:sz w:val="18"/>
          <w:szCs w:val="18"/>
          <w:color w:val="auto"/>
        </w:rPr>
      </w:pPr>
    </w:p>
    <w:p>
      <w:pPr>
        <w:ind w:left="380" w:right="440" w:hanging="372"/>
        <w:spacing w:after="0" w:line="235" w:lineRule="auto"/>
        <w:tabs>
          <w:tab w:leader="none" w:pos="380" w:val="left"/>
        </w:tabs>
        <w:numPr>
          <w:ilvl w:val="0"/>
          <w:numId w:val="157"/>
        </w:numPr>
        <w:rPr>
          <w:rFonts w:ascii="Calibri" w:cs="Calibri" w:eastAsia="Calibri" w:hAnsi="Calibri"/>
          <w:sz w:val="18"/>
          <w:szCs w:val="18"/>
          <w:color w:val="auto"/>
        </w:rPr>
      </w:pPr>
      <w:r>
        <w:rPr>
          <w:rFonts w:ascii="Calibri" w:cs="Calibri" w:eastAsia="Calibri" w:hAnsi="Calibri"/>
          <w:sz w:val="18"/>
          <w:szCs w:val="18"/>
          <w:color w:val="auto"/>
        </w:rPr>
        <w:t>Based on my knowledge, the fnancial statements, and other fnancial informaton included in this report, fairly present in all material respects the fnancial conditon, results of operatons and cash fows of the registrant as of, and for, the periods presented in this report;</w:t>
      </w:r>
    </w:p>
    <w:p>
      <w:pPr>
        <w:spacing w:after="0" w:line="217" w:lineRule="exact"/>
        <w:rPr>
          <w:rFonts w:ascii="Calibri" w:cs="Calibri" w:eastAsia="Calibri" w:hAnsi="Calibri"/>
          <w:sz w:val="18"/>
          <w:szCs w:val="18"/>
          <w:color w:val="auto"/>
        </w:rPr>
      </w:pPr>
    </w:p>
    <w:p>
      <w:pPr>
        <w:ind w:left="380" w:hanging="372"/>
        <w:spacing w:after="0" w:line="235" w:lineRule="auto"/>
        <w:tabs>
          <w:tab w:leader="none" w:pos="380" w:val="left"/>
        </w:tabs>
        <w:numPr>
          <w:ilvl w:val="0"/>
          <w:numId w:val="157"/>
        </w:numPr>
        <w:rPr>
          <w:rFonts w:ascii="Calibri" w:cs="Calibri" w:eastAsia="Calibri" w:hAnsi="Calibri"/>
          <w:sz w:val="18"/>
          <w:szCs w:val="18"/>
          <w:color w:val="auto"/>
        </w:rPr>
      </w:pPr>
      <w:r>
        <w:rPr>
          <w:rFonts w:ascii="Calibri" w:cs="Calibri" w:eastAsia="Calibri" w:hAnsi="Calibri"/>
          <w:sz w:val="18"/>
          <w:szCs w:val="18"/>
          <w:color w:val="auto"/>
        </w:rPr>
        <w:t>The registrant's other certfying ofcer and I are responsible for establishing and maintaining disclosure controls and procedures (as defned in Exchange Act Rules 13a-15(e) and 15d-15(e)) and internal control over fnancial reportng (as defned in Exchange Act Rules 13a-15(f) and 15d-15(f)) for the registrant and have:</w:t>
      </w:r>
    </w:p>
    <w:p>
      <w:pPr>
        <w:spacing w:after="0" w:line="218" w:lineRule="exact"/>
        <w:rPr>
          <w:rFonts w:ascii="Calibri" w:cs="Calibri" w:eastAsia="Calibri" w:hAnsi="Calibri"/>
          <w:sz w:val="18"/>
          <w:szCs w:val="18"/>
          <w:color w:val="auto"/>
        </w:rPr>
      </w:pPr>
    </w:p>
    <w:p>
      <w:pPr>
        <w:ind w:left="380" w:right="160" w:firstLine="2"/>
        <w:spacing w:after="0" w:line="235" w:lineRule="auto"/>
        <w:tabs>
          <w:tab w:leader="none" w:pos="597" w:val="left"/>
        </w:tabs>
        <w:numPr>
          <w:ilvl w:val="1"/>
          <w:numId w:val="157"/>
        </w:numPr>
        <w:rPr>
          <w:rFonts w:ascii="Calibri" w:cs="Calibri" w:eastAsia="Calibri" w:hAnsi="Calibri"/>
          <w:sz w:val="18"/>
          <w:szCs w:val="18"/>
          <w:color w:val="auto"/>
        </w:rPr>
      </w:pPr>
      <w:r>
        <w:rPr>
          <w:rFonts w:ascii="Calibri" w:cs="Calibri" w:eastAsia="Calibri" w:hAnsi="Calibri"/>
          <w:sz w:val="18"/>
          <w:szCs w:val="18"/>
          <w:color w:val="auto"/>
        </w:rPr>
        <w:t>Designed such disclosure controls and procedures, or caused such disclosure controls and procedures to be designed under our supervision, to ensure that material informaton relatng to the registrant, including its consolidated subsidiaries, is made known to us by others within those enttes, partcularly during the period in which this report is being prepared;</w:t>
      </w:r>
    </w:p>
    <w:p>
      <w:pPr>
        <w:spacing w:after="0" w:line="218" w:lineRule="exact"/>
        <w:rPr>
          <w:rFonts w:ascii="Calibri" w:cs="Calibri" w:eastAsia="Calibri" w:hAnsi="Calibri"/>
          <w:sz w:val="18"/>
          <w:szCs w:val="18"/>
          <w:color w:val="auto"/>
        </w:rPr>
      </w:pPr>
    </w:p>
    <w:p>
      <w:pPr>
        <w:ind w:left="380" w:right="20" w:firstLine="2"/>
        <w:spacing w:after="0" w:line="235" w:lineRule="auto"/>
        <w:tabs>
          <w:tab w:leader="none" w:pos="605" w:val="left"/>
        </w:tabs>
        <w:numPr>
          <w:ilvl w:val="1"/>
          <w:numId w:val="157"/>
        </w:numPr>
        <w:rPr>
          <w:rFonts w:ascii="Calibri" w:cs="Calibri" w:eastAsia="Calibri" w:hAnsi="Calibri"/>
          <w:sz w:val="18"/>
          <w:szCs w:val="18"/>
          <w:color w:val="auto"/>
        </w:rPr>
      </w:pPr>
      <w:r>
        <w:rPr>
          <w:rFonts w:ascii="Calibri" w:cs="Calibri" w:eastAsia="Calibri" w:hAnsi="Calibri"/>
          <w:sz w:val="18"/>
          <w:szCs w:val="18"/>
          <w:color w:val="auto"/>
        </w:rPr>
        <w:t>Designed such internal control over fnancial reportng, or caused such internal control over fnancial reportng to be designed under our supervision, to provide reasonable assurance regarding the reliability of fnancial reportng and the preparaton of fnancial statements for external purposes in accordance with generally accepted accountng principles;</w:t>
      </w:r>
    </w:p>
    <w:p>
      <w:pPr>
        <w:spacing w:after="0" w:line="218" w:lineRule="exact"/>
        <w:rPr>
          <w:rFonts w:ascii="Calibri" w:cs="Calibri" w:eastAsia="Calibri" w:hAnsi="Calibri"/>
          <w:sz w:val="18"/>
          <w:szCs w:val="18"/>
          <w:color w:val="auto"/>
        </w:rPr>
      </w:pPr>
    </w:p>
    <w:p>
      <w:pPr>
        <w:ind w:left="380" w:right="920" w:firstLine="2"/>
        <w:spacing w:after="0" w:line="258" w:lineRule="auto"/>
        <w:tabs>
          <w:tab w:leader="none" w:pos="587" w:val="left"/>
        </w:tabs>
        <w:numPr>
          <w:ilvl w:val="1"/>
          <w:numId w:val="157"/>
        </w:numPr>
        <w:rPr>
          <w:rFonts w:ascii="Calibri" w:cs="Calibri" w:eastAsia="Calibri" w:hAnsi="Calibri"/>
          <w:sz w:val="17"/>
          <w:szCs w:val="17"/>
          <w:color w:val="auto"/>
        </w:rPr>
      </w:pPr>
      <w:r>
        <w:rPr>
          <w:rFonts w:ascii="Calibri" w:cs="Calibri" w:eastAsia="Calibri" w:hAnsi="Calibri"/>
          <w:sz w:val="17"/>
          <w:szCs w:val="17"/>
          <w:color w:val="auto"/>
        </w:rPr>
        <w:t>Evaluated the efectveness of the registrant's disclosure controls and procedures and presented in this report our conclusions about the efectveness of the disclosure controls and procedures, as of the end of the period covered by this report based on such evaluaton; and</w:t>
      </w:r>
    </w:p>
    <w:p>
      <w:pPr>
        <w:spacing w:after="0" w:line="201" w:lineRule="exact"/>
        <w:rPr>
          <w:rFonts w:ascii="Calibri" w:cs="Calibri" w:eastAsia="Calibri" w:hAnsi="Calibri"/>
          <w:sz w:val="17"/>
          <w:szCs w:val="17"/>
          <w:color w:val="auto"/>
        </w:rPr>
      </w:pPr>
    </w:p>
    <w:p>
      <w:pPr>
        <w:jc w:val="both"/>
        <w:ind w:left="380" w:right="60" w:firstLine="2"/>
        <w:spacing w:after="0" w:line="235" w:lineRule="auto"/>
        <w:tabs>
          <w:tab w:leader="none" w:pos="605" w:val="left"/>
        </w:tabs>
        <w:numPr>
          <w:ilvl w:val="1"/>
          <w:numId w:val="157"/>
        </w:numPr>
        <w:rPr>
          <w:rFonts w:ascii="Calibri" w:cs="Calibri" w:eastAsia="Calibri" w:hAnsi="Calibri"/>
          <w:sz w:val="18"/>
          <w:szCs w:val="18"/>
          <w:color w:val="auto"/>
        </w:rPr>
      </w:pPr>
      <w:r>
        <w:rPr>
          <w:rFonts w:ascii="Calibri" w:cs="Calibri" w:eastAsia="Calibri" w:hAnsi="Calibri"/>
          <w:sz w:val="18"/>
          <w:szCs w:val="18"/>
          <w:color w:val="auto"/>
        </w:rPr>
        <w:t>Disclosed in this report any change in the registrant's internal control over fnancial reportng that occurred during the registrant's most recent fscal quarter (the registrant’s fourth fscal quarter in the case of an annual report) that has materially afected, or is reasonably likely to materially afect, the registrant's internal control over fnancial reportng; and</w:t>
      </w:r>
    </w:p>
    <w:p>
      <w:pPr>
        <w:spacing w:after="0" w:line="218" w:lineRule="exact"/>
        <w:rPr>
          <w:rFonts w:ascii="Calibri" w:cs="Calibri" w:eastAsia="Calibri" w:hAnsi="Calibri"/>
          <w:sz w:val="18"/>
          <w:szCs w:val="18"/>
          <w:color w:val="auto"/>
        </w:rPr>
      </w:pPr>
    </w:p>
    <w:p>
      <w:pPr>
        <w:ind w:left="380" w:right="380" w:hanging="372"/>
        <w:spacing w:after="0" w:line="235" w:lineRule="auto"/>
        <w:tabs>
          <w:tab w:leader="none" w:pos="380" w:val="left"/>
        </w:tabs>
        <w:numPr>
          <w:ilvl w:val="0"/>
          <w:numId w:val="157"/>
        </w:numPr>
        <w:rPr>
          <w:rFonts w:ascii="Calibri" w:cs="Calibri" w:eastAsia="Calibri" w:hAnsi="Calibri"/>
          <w:sz w:val="18"/>
          <w:szCs w:val="18"/>
          <w:color w:val="auto"/>
        </w:rPr>
      </w:pPr>
      <w:r>
        <w:rPr>
          <w:rFonts w:ascii="Calibri" w:cs="Calibri" w:eastAsia="Calibri" w:hAnsi="Calibri"/>
          <w:sz w:val="18"/>
          <w:szCs w:val="18"/>
          <w:color w:val="auto"/>
        </w:rPr>
        <w:t>The registrant's other certfying ofcer and I have disclosed, based on our most recent evaluaton of internal control over fnancial reportng, to the registrant's auditors and the audit commitee of the registrant's board of directors (or persons performing the equivalent functons):</w:t>
      </w:r>
    </w:p>
    <w:p>
      <w:pPr>
        <w:spacing w:after="0" w:line="217" w:lineRule="exact"/>
        <w:rPr>
          <w:rFonts w:ascii="Calibri" w:cs="Calibri" w:eastAsia="Calibri" w:hAnsi="Calibri"/>
          <w:sz w:val="18"/>
          <w:szCs w:val="18"/>
          <w:color w:val="auto"/>
        </w:rPr>
      </w:pPr>
    </w:p>
    <w:p>
      <w:pPr>
        <w:ind w:left="380" w:right="100" w:firstLine="2"/>
        <w:spacing w:after="0" w:line="235" w:lineRule="auto"/>
        <w:tabs>
          <w:tab w:leader="none" w:pos="597" w:val="left"/>
        </w:tabs>
        <w:numPr>
          <w:ilvl w:val="1"/>
          <w:numId w:val="157"/>
        </w:numPr>
        <w:rPr>
          <w:rFonts w:ascii="Calibri" w:cs="Calibri" w:eastAsia="Calibri" w:hAnsi="Calibri"/>
          <w:sz w:val="18"/>
          <w:szCs w:val="18"/>
          <w:color w:val="auto"/>
        </w:rPr>
      </w:pPr>
      <w:r>
        <w:rPr>
          <w:rFonts w:ascii="Calibri" w:cs="Calibri" w:eastAsia="Calibri" w:hAnsi="Calibri"/>
          <w:sz w:val="18"/>
          <w:szCs w:val="18"/>
          <w:color w:val="auto"/>
        </w:rPr>
        <w:t>All signifcant defciencies and material weaknesses in the design or operaton of internal control over fnancial reportng which are reasonably likely to adversely afect the registrant's ability to record, process, summarize and report fnancial informaton; and</w:t>
      </w:r>
    </w:p>
    <w:p>
      <w:pPr>
        <w:spacing w:after="0" w:line="217" w:lineRule="exact"/>
        <w:rPr>
          <w:rFonts w:ascii="Calibri" w:cs="Calibri" w:eastAsia="Calibri" w:hAnsi="Calibri"/>
          <w:sz w:val="18"/>
          <w:szCs w:val="18"/>
          <w:color w:val="auto"/>
        </w:rPr>
      </w:pPr>
    </w:p>
    <w:p>
      <w:pPr>
        <w:ind w:left="380" w:right="320" w:firstLine="2"/>
        <w:spacing w:after="0" w:line="235" w:lineRule="auto"/>
        <w:tabs>
          <w:tab w:leader="none" w:pos="605" w:val="left"/>
        </w:tabs>
        <w:numPr>
          <w:ilvl w:val="1"/>
          <w:numId w:val="157"/>
        </w:numPr>
        <w:rPr>
          <w:rFonts w:ascii="Calibri" w:cs="Calibri" w:eastAsia="Calibri" w:hAnsi="Calibri"/>
          <w:sz w:val="18"/>
          <w:szCs w:val="18"/>
          <w:color w:val="auto"/>
        </w:rPr>
      </w:pPr>
      <w:r>
        <w:rPr>
          <w:rFonts w:ascii="Calibri" w:cs="Calibri" w:eastAsia="Calibri" w:hAnsi="Calibri"/>
          <w:sz w:val="18"/>
          <w:szCs w:val="18"/>
          <w:color w:val="auto"/>
        </w:rPr>
        <w:t>Any fraud, whether or not material, that involves management or other employees who have a signifcant role in the registrant's internal control over fnancial reportng.</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alibri" w:cs="Calibri" w:eastAsia="Calibri" w:hAnsi="Calibri"/>
          <w:sz w:val="18"/>
          <w:szCs w:val="18"/>
          <w:u w:val="single" w:color="auto"/>
          <w:color w:val="auto"/>
        </w:rPr>
        <w:t>/s/ James V. Contnenza</w:t>
      </w:r>
    </w:p>
    <w:p>
      <w:pPr>
        <w:spacing w:after="0" w:line="235" w:lineRule="auto"/>
        <w:rPr>
          <w:sz w:val="20"/>
          <w:szCs w:val="20"/>
          <w:color w:val="auto"/>
        </w:rPr>
      </w:pPr>
      <w:r>
        <w:rPr>
          <w:rFonts w:ascii="Calibri" w:cs="Calibri" w:eastAsia="Calibri" w:hAnsi="Calibri"/>
          <w:sz w:val="18"/>
          <w:szCs w:val="18"/>
          <w:color w:val="auto"/>
        </w:rPr>
        <w:t>James V. Contnenza</w:t>
      </w:r>
    </w:p>
    <w:p>
      <w:pPr>
        <w:spacing w:after="0" w:line="236" w:lineRule="auto"/>
        <w:rPr>
          <w:sz w:val="20"/>
          <w:szCs w:val="20"/>
          <w:color w:val="auto"/>
        </w:rPr>
      </w:pPr>
      <w:r>
        <w:rPr>
          <w:rFonts w:ascii="Calibri" w:cs="Calibri" w:eastAsia="Calibri" w:hAnsi="Calibri"/>
          <w:sz w:val="18"/>
          <w:szCs w:val="18"/>
          <w:color w:val="auto"/>
        </w:rPr>
        <w:t>Executve Chairman and</w:t>
      </w:r>
    </w:p>
    <w:p>
      <w:pPr>
        <w:spacing w:after="0" w:line="236" w:lineRule="auto"/>
        <w:rPr>
          <w:sz w:val="20"/>
          <w:szCs w:val="20"/>
          <w:color w:val="auto"/>
        </w:rPr>
      </w:pPr>
      <w:r>
        <w:rPr>
          <w:rFonts w:ascii="Calibri" w:cs="Calibri" w:eastAsia="Calibri" w:hAnsi="Calibri"/>
          <w:sz w:val="18"/>
          <w:szCs w:val="18"/>
          <w:color w:val="auto"/>
        </w:rPr>
        <w:t>Chief Executve Ofcer</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alibri" w:cs="Calibri" w:eastAsia="Calibri" w:hAnsi="Calibri"/>
          <w:sz w:val="18"/>
          <w:szCs w:val="18"/>
          <w:color w:val="auto"/>
        </w:rPr>
        <w:t>Date: March 17,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218" w:name="page219"/>
    <w:bookmarkEnd w:id="218"/>
    <w:p>
      <w:pPr>
        <w:jc w:val="right"/>
        <w:spacing w:after="0"/>
        <w:rPr>
          <w:sz w:val="20"/>
          <w:szCs w:val="20"/>
          <w:color w:val="auto"/>
        </w:rPr>
      </w:pPr>
      <w:r>
        <w:rPr>
          <w:rFonts w:ascii="Calibri" w:cs="Calibri" w:eastAsia="Calibri" w:hAnsi="Calibri"/>
          <w:sz w:val="18"/>
          <w:szCs w:val="18"/>
          <w:b w:val="1"/>
          <w:bCs w:val="1"/>
          <w:color w:val="auto"/>
        </w:rPr>
        <w:t>Exhibit (31.2)</w:t>
      </w:r>
    </w:p>
    <w:p>
      <w:pPr>
        <w:jc w:val="center"/>
        <w:ind w:right="380"/>
        <w:spacing w:after="0" w:line="235" w:lineRule="auto"/>
        <w:rPr>
          <w:sz w:val="20"/>
          <w:szCs w:val="20"/>
          <w:color w:val="auto"/>
        </w:rPr>
      </w:pPr>
      <w:r>
        <w:rPr>
          <w:rFonts w:ascii="Calibri" w:cs="Calibri" w:eastAsia="Calibri" w:hAnsi="Calibri"/>
          <w:sz w:val="18"/>
          <w:szCs w:val="18"/>
          <w:b w:val="1"/>
          <w:bCs w:val="1"/>
          <w:color w:val="auto"/>
        </w:rPr>
        <w:t>CERTIFICATION</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color w:val="auto"/>
        </w:rPr>
        <w:t>I, David E. Bullwinkle, certfy that:</w:t>
      </w:r>
    </w:p>
    <w:p>
      <w:pPr>
        <w:spacing w:after="0" w:line="212" w:lineRule="exact"/>
        <w:rPr>
          <w:sz w:val="20"/>
          <w:szCs w:val="20"/>
          <w:color w:val="auto"/>
        </w:rPr>
      </w:pPr>
    </w:p>
    <w:p>
      <w:pPr>
        <w:ind w:left="360" w:hanging="358"/>
        <w:spacing w:after="0"/>
        <w:tabs>
          <w:tab w:leader="none" w:pos="360" w:val="left"/>
        </w:tabs>
        <w:numPr>
          <w:ilvl w:val="0"/>
          <w:numId w:val="158"/>
        </w:numPr>
        <w:rPr>
          <w:rFonts w:ascii="Calibri" w:cs="Calibri" w:eastAsia="Calibri" w:hAnsi="Calibri"/>
          <w:sz w:val="18"/>
          <w:szCs w:val="18"/>
          <w:color w:val="auto"/>
        </w:rPr>
      </w:pPr>
      <w:r>
        <w:rPr>
          <w:rFonts w:ascii="Calibri" w:cs="Calibri" w:eastAsia="Calibri" w:hAnsi="Calibri"/>
          <w:sz w:val="18"/>
          <w:szCs w:val="18"/>
          <w:color w:val="auto"/>
        </w:rPr>
        <w:t>I have reviewed this Form 10-K of Eastman Kodak Company;</w:t>
      </w:r>
    </w:p>
    <w:p>
      <w:pPr>
        <w:spacing w:after="0" w:line="217" w:lineRule="exact"/>
        <w:rPr>
          <w:rFonts w:ascii="Calibri" w:cs="Calibri" w:eastAsia="Calibri" w:hAnsi="Calibri"/>
          <w:sz w:val="18"/>
          <w:szCs w:val="18"/>
          <w:color w:val="auto"/>
        </w:rPr>
      </w:pPr>
    </w:p>
    <w:p>
      <w:pPr>
        <w:ind w:left="360" w:right="220" w:hanging="358"/>
        <w:spacing w:after="0" w:line="235" w:lineRule="auto"/>
        <w:tabs>
          <w:tab w:leader="none" w:pos="360" w:val="left"/>
        </w:tabs>
        <w:numPr>
          <w:ilvl w:val="0"/>
          <w:numId w:val="158"/>
        </w:numPr>
        <w:rPr>
          <w:rFonts w:ascii="Calibri" w:cs="Calibri" w:eastAsia="Calibri" w:hAnsi="Calibri"/>
          <w:sz w:val="18"/>
          <w:szCs w:val="18"/>
          <w:color w:val="auto"/>
        </w:rPr>
      </w:pPr>
      <w:r>
        <w:rPr>
          <w:rFonts w:ascii="Calibri" w:cs="Calibri" w:eastAsia="Calibri" w:hAnsi="Calibri"/>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8" w:lineRule="exact"/>
        <w:rPr>
          <w:rFonts w:ascii="Calibri" w:cs="Calibri" w:eastAsia="Calibri" w:hAnsi="Calibri"/>
          <w:sz w:val="18"/>
          <w:szCs w:val="18"/>
          <w:color w:val="auto"/>
        </w:rPr>
      </w:pPr>
    </w:p>
    <w:p>
      <w:pPr>
        <w:ind w:left="360" w:right="320" w:hanging="358"/>
        <w:spacing w:after="0" w:line="258" w:lineRule="auto"/>
        <w:tabs>
          <w:tab w:leader="none" w:pos="360" w:val="left"/>
        </w:tabs>
        <w:numPr>
          <w:ilvl w:val="0"/>
          <w:numId w:val="158"/>
        </w:numPr>
        <w:rPr>
          <w:rFonts w:ascii="Calibri" w:cs="Calibri" w:eastAsia="Calibri" w:hAnsi="Calibri"/>
          <w:sz w:val="17"/>
          <w:szCs w:val="17"/>
          <w:color w:val="auto"/>
        </w:rPr>
      </w:pPr>
      <w:r>
        <w:rPr>
          <w:rFonts w:ascii="Calibri" w:cs="Calibri" w:eastAsia="Calibri" w:hAnsi="Calibri"/>
          <w:sz w:val="17"/>
          <w:szCs w:val="17"/>
          <w:color w:val="auto"/>
        </w:rPr>
        <w:t>Based on my knowledge, the fnancial statements, and other fnancial informaton included in this report, fairly present in all material respects the fnancial conditon, results of operatons and cash fows of the registrant as of, and for, the periods presented in this report;</w:t>
      </w:r>
    </w:p>
    <w:p>
      <w:pPr>
        <w:spacing w:after="0" w:line="201" w:lineRule="exact"/>
        <w:rPr>
          <w:rFonts w:ascii="Calibri" w:cs="Calibri" w:eastAsia="Calibri" w:hAnsi="Calibri"/>
          <w:sz w:val="17"/>
          <w:szCs w:val="17"/>
          <w:color w:val="auto"/>
        </w:rPr>
      </w:pPr>
    </w:p>
    <w:p>
      <w:pPr>
        <w:jc w:val="both"/>
        <w:ind w:left="360" w:right="80" w:hanging="358"/>
        <w:spacing w:after="0" w:line="249" w:lineRule="auto"/>
        <w:tabs>
          <w:tab w:leader="none" w:pos="360" w:val="left"/>
        </w:tabs>
        <w:numPr>
          <w:ilvl w:val="0"/>
          <w:numId w:val="158"/>
        </w:numPr>
        <w:rPr>
          <w:rFonts w:ascii="Calibri" w:cs="Calibri" w:eastAsia="Calibri" w:hAnsi="Calibri"/>
          <w:sz w:val="17"/>
          <w:szCs w:val="17"/>
          <w:color w:val="auto"/>
        </w:rPr>
      </w:pPr>
      <w:r>
        <w:rPr>
          <w:rFonts w:ascii="Calibri" w:cs="Calibri" w:eastAsia="Calibri" w:hAnsi="Calibri"/>
          <w:sz w:val="17"/>
          <w:szCs w:val="17"/>
          <w:color w:val="auto"/>
        </w:rPr>
        <w:t>The registrant's other certfying ofcer and I are responsible for establishing and maintaining disclosure controls and procedures (as defned in Exchange Act Rules 13a-15(e) and 15d-15(e)) and internal control over fnancial reportng (as defned in Exchange Act Rules 13a-15(f) and</w:t>
      </w:r>
    </w:p>
    <w:p>
      <w:pPr>
        <w:ind w:left="360"/>
        <w:spacing w:after="0" w:line="235" w:lineRule="auto"/>
        <w:rPr>
          <w:rFonts w:ascii="Calibri" w:cs="Calibri" w:eastAsia="Calibri" w:hAnsi="Calibri"/>
          <w:sz w:val="17"/>
          <w:szCs w:val="17"/>
          <w:color w:val="auto"/>
        </w:rPr>
      </w:pPr>
      <w:r>
        <w:rPr>
          <w:rFonts w:ascii="Calibri" w:cs="Calibri" w:eastAsia="Calibri" w:hAnsi="Calibri"/>
          <w:sz w:val="18"/>
          <w:szCs w:val="18"/>
          <w:color w:val="auto"/>
        </w:rPr>
        <w:t>15d-15(f)) for the registrant and have:</w:t>
      </w:r>
    </w:p>
    <w:p>
      <w:pPr>
        <w:spacing w:after="0" w:line="217" w:lineRule="exact"/>
        <w:rPr>
          <w:rFonts w:ascii="Calibri" w:cs="Calibri" w:eastAsia="Calibri" w:hAnsi="Calibri"/>
          <w:sz w:val="17"/>
          <w:szCs w:val="17"/>
          <w:color w:val="auto"/>
        </w:rPr>
      </w:pPr>
    </w:p>
    <w:p>
      <w:pPr>
        <w:ind w:left="380" w:right="260" w:hanging="3"/>
        <w:spacing w:after="0" w:line="235" w:lineRule="auto"/>
        <w:tabs>
          <w:tab w:leader="none" w:pos="597" w:val="left"/>
        </w:tabs>
        <w:numPr>
          <w:ilvl w:val="1"/>
          <w:numId w:val="158"/>
        </w:numPr>
        <w:rPr>
          <w:rFonts w:ascii="Calibri" w:cs="Calibri" w:eastAsia="Calibri" w:hAnsi="Calibri"/>
          <w:sz w:val="18"/>
          <w:szCs w:val="18"/>
          <w:color w:val="auto"/>
        </w:rPr>
      </w:pPr>
      <w:r>
        <w:rPr>
          <w:rFonts w:ascii="Calibri" w:cs="Calibri" w:eastAsia="Calibri" w:hAnsi="Calibri"/>
          <w:sz w:val="18"/>
          <w:szCs w:val="18"/>
          <w:color w:val="auto"/>
        </w:rPr>
        <w:t>Designed such disclosure controls and procedures, or caused such disclosure controls and procedures to be designed under our supervision, to ensure that material informaton relatng to the registrant, including its consolidated subsidiaries, is made known to us by others within those enttes, partcularly during the period in which this report is being prepared;</w:t>
      </w:r>
    </w:p>
    <w:p>
      <w:pPr>
        <w:spacing w:after="0" w:line="218" w:lineRule="exact"/>
        <w:rPr>
          <w:rFonts w:ascii="Calibri" w:cs="Calibri" w:eastAsia="Calibri" w:hAnsi="Calibri"/>
          <w:sz w:val="18"/>
          <w:szCs w:val="18"/>
          <w:color w:val="auto"/>
        </w:rPr>
      </w:pPr>
    </w:p>
    <w:p>
      <w:pPr>
        <w:ind w:left="380" w:right="80" w:hanging="3"/>
        <w:spacing w:after="0" w:line="235" w:lineRule="auto"/>
        <w:tabs>
          <w:tab w:leader="none" w:pos="605" w:val="left"/>
        </w:tabs>
        <w:numPr>
          <w:ilvl w:val="1"/>
          <w:numId w:val="158"/>
        </w:numPr>
        <w:rPr>
          <w:rFonts w:ascii="Calibri" w:cs="Calibri" w:eastAsia="Calibri" w:hAnsi="Calibri"/>
          <w:sz w:val="18"/>
          <w:szCs w:val="18"/>
          <w:color w:val="auto"/>
        </w:rPr>
      </w:pPr>
      <w:r>
        <w:rPr>
          <w:rFonts w:ascii="Calibri" w:cs="Calibri" w:eastAsia="Calibri" w:hAnsi="Calibri"/>
          <w:sz w:val="18"/>
          <w:szCs w:val="18"/>
          <w:color w:val="auto"/>
        </w:rPr>
        <w:t>Designed such internal control over fnancial reportng, or caused such internal control over fnancial reportng to be designed under our supervision, to provide reasonable assurance regarding the reliability of fnancial reportng and the preparaton of fnancial statements for external purposes in accordance with generally accepted accountng principles;</w:t>
      </w:r>
    </w:p>
    <w:p>
      <w:pPr>
        <w:spacing w:after="0" w:line="218" w:lineRule="exact"/>
        <w:rPr>
          <w:rFonts w:ascii="Calibri" w:cs="Calibri" w:eastAsia="Calibri" w:hAnsi="Calibri"/>
          <w:sz w:val="18"/>
          <w:szCs w:val="18"/>
          <w:color w:val="auto"/>
        </w:rPr>
      </w:pPr>
    </w:p>
    <w:p>
      <w:pPr>
        <w:ind w:left="380" w:right="80" w:hanging="3"/>
        <w:spacing w:after="0" w:line="258" w:lineRule="auto"/>
        <w:tabs>
          <w:tab w:leader="none" w:pos="587" w:val="left"/>
        </w:tabs>
        <w:numPr>
          <w:ilvl w:val="1"/>
          <w:numId w:val="158"/>
        </w:numPr>
        <w:rPr>
          <w:rFonts w:ascii="Calibri" w:cs="Calibri" w:eastAsia="Calibri" w:hAnsi="Calibri"/>
          <w:sz w:val="17"/>
          <w:szCs w:val="17"/>
          <w:color w:val="auto"/>
        </w:rPr>
      </w:pPr>
      <w:r>
        <w:rPr>
          <w:rFonts w:ascii="Calibri" w:cs="Calibri" w:eastAsia="Calibri" w:hAnsi="Calibri"/>
          <w:sz w:val="17"/>
          <w:szCs w:val="17"/>
          <w:color w:val="auto"/>
        </w:rPr>
        <w:t>Evaluated the efectveness of the registrant's disclosure controls and procedures and presented in this report our conclusions about the efectveness of the disclosure controls and procedures, as of the end of the period covered by this report based on such evaluaton; and</w:t>
      </w:r>
    </w:p>
    <w:p>
      <w:pPr>
        <w:spacing w:after="0" w:line="201" w:lineRule="exact"/>
        <w:rPr>
          <w:rFonts w:ascii="Calibri" w:cs="Calibri" w:eastAsia="Calibri" w:hAnsi="Calibri"/>
          <w:sz w:val="17"/>
          <w:szCs w:val="17"/>
          <w:color w:val="auto"/>
        </w:rPr>
      </w:pPr>
    </w:p>
    <w:p>
      <w:pPr>
        <w:ind w:left="380" w:right="40" w:hanging="3"/>
        <w:spacing w:after="0" w:line="235" w:lineRule="auto"/>
        <w:tabs>
          <w:tab w:leader="none" w:pos="605" w:val="left"/>
        </w:tabs>
        <w:numPr>
          <w:ilvl w:val="1"/>
          <w:numId w:val="158"/>
        </w:numPr>
        <w:rPr>
          <w:rFonts w:ascii="Calibri" w:cs="Calibri" w:eastAsia="Calibri" w:hAnsi="Calibri"/>
          <w:sz w:val="18"/>
          <w:szCs w:val="18"/>
          <w:color w:val="auto"/>
        </w:rPr>
      </w:pPr>
      <w:r>
        <w:rPr>
          <w:rFonts w:ascii="Calibri" w:cs="Calibri" w:eastAsia="Calibri" w:hAnsi="Calibri"/>
          <w:sz w:val="18"/>
          <w:szCs w:val="18"/>
          <w:color w:val="auto"/>
        </w:rPr>
        <w:t>Disclosed in this report any change in the registrant's internal control over fnancial reportng that occurred during the registrant's most recent fscal quarter (the registrant’s fourth fscal quarter in the case of an annual report) that has materially afected, or is reasonably likely to materially afect, the registrant's internal control over fnancial reportng; and</w:t>
      </w:r>
    </w:p>
    <w:p>
      <w:pPr>
        <w:spacing w:after="0" w:line="218" w:lineRule="exact"/>
        <w:rPr>
          <w:rFonts w:ascii="Calibri" w:cs="Calibri" w:eastAsia="Calibri" w:hAnsi="Calibri"/>
          <w:sz w:val="18"/>
          <w:szCs w:val="18"/>
          <w:color w:val="auto"/>
        </w:rPr>
      </w:pPr>
    </w:p>
    <w:p>
      <w:pPr>
        <w:ind w:left="360" w:right="40" w:hanging="358"/>
        <w:spacing w:after="0" w:line="258" w:lineRule="auto"/>
        <w:tabs>
          <w:tab w:leader="none" w:pos="360" w:val="left"/>
        </w:tabs>
        <w:numPr>
          <w:ilvl w:val="0"/>
          <w:numId w:val="158"/>
        </w:numPr>
        <w:rPr>
          <w:rFonts w:ascii="Calibri" w:cs="Calibri" w:eastAsia="Calibri" w:hAnsi="Calibri"/>
          <w:sz w:val="17"/>
          <w:szCs w:val="17"/>
          <w:color w:val="auto"/>
        </w:rPr>
      </w:pPr>
      <w:r>
        <w:rPr>
          <w:rFonts w:ascii="Calibri" w:cs="Calibri" w:eastAsia="Calibri" w:hAnsi="Calibri"/>
          <w:sz w:val="17"/>
          <w:szCs w:val="17"/>
          <w:color w:val="auto"/>
        </w:rPr>
        <w:t>The registrant's other certfying ofcer and I have disclosed, based on our most recent evaluaton of internal control over fnancial reportng, to the registrant's auditors and the audit commitee of the registrant's board of directors (or persons performing the equivalent functons):</w:t>
      </w:r>
    </w:p>
    <w:p>
      <w:pPr>
        <w:spacing w:after="0" w:line="201" w:lineRule="exact"/>
        <w:rPr>
          <w:rFonts w:ascii="Calibri" w:cs="Calibri" w:eastAsia="Calibri" w:hAnsi="Calibri"/>
          <w:sz w:val="17"/>
          <w:szCs w:val="17"/>
          <w:color w:val="auto"/>
        </w:rPr>
      </w:pPr>
    </w:p>
    <w:p>
      <w:pPr>
        <w:ind w:left="480" w:right="400" w:hanging="9"/>
        <w:spacing w:after="0" w:line="235" w:lineRule="auto"/>
        <w:tabs>
          <w:tab w:leader="none" w:pos="697" w:val="left"/>
        </w:tabs>
        <w:numPr>
          <w:ilvl w:val="2"/>
          <w:numId w:val="158"/>
        </w:numPr>
        <w:rPr>
          <w:rFonts w:ascii="Calibri" w:cs="Calibri" w:eastAsia="Calibri" w:hAnsi="Calibri"/>
          <w:sz w:val="18"/>
          <w:szCs w:val="18"/>
          <w:color w:val="auto"/>
        </w:rPr>
      </w:pPr>
      <w:r>
        <w:rPr>
          <w:rFonts w:ascii="Calibri" w:cs="Calibri" w:eastAsia="Calibri" w:hAnsi="Calibri"/>
          <w:sz w:val="18"/>
          <w:szCs w:val="18"/>
          <w:color w:val="auto"/>
        </w:rPr>
        <w:t>All signifcant defciencies and material weaknesses in the design or operaton of internal control over fnancial reportng which are reasonably likely to adversely afect the registrant's ability to record, process, summarize and report fnancial informaton; and</w:t>
      </w:r>
    </w:p>
    <w:p>
      <w:pPr>
        <w:spacing w:after="0" w:line="217" w:lineRule="exact"/>
        <w:rPr>
          <w:rFonts w:ascii="Calibri" w:cs="Calibri" w:eastAsia="Calibri" w:hAnsi="Calibri"/>
          <w:sz w:val="18"/>
          <w:szCs w:val="18"/>
          <w:color w:val="auto"/>
        </w:rPr>
      </w:pPr>
    </w:p>
    <w:p>
      <w:pPr>
        <w:ind w:left="480" w:right="540" w:hanging="9"/>
        <w:spacing w:after="0" w:line="235" w:lineRule="auto"/>
        <w:tabs>
          <w:tab w:leader="none" w:pos="705" w:val="left"/>
        </w:tabs>
        <w:numPr>
          <w:ilvl w:val="2"/>
          <w:numId w:val="158"/>
        </w:numPr>
        <w:rPr>
          <w:rFonts w:ascii="Calibri" w:cs="Calibri" w:eastAsia="Calibri" w:hAnsi="Calibri"/>
          <w:sz w:val="18"/>
          <w:szCs w:val="18"/>
          <w:color w:val="auto"/>
        </w:rPr>
      </w:pPr>
      <w:r>
        <w:rPr>
          <w:rFonts w:ascii="Calibri" w:cs="Calibri" w:eastAsia="Calibri" w:hAnsi="Calibri"/>
          <w:sz w:val="18"/>
          <w:szCs w:val="18"/>
          <w:color w:val="auto"/>
        </w:rPr>
        <w:t>Any fraud, whether or not material, that involves management or other employees who have a signifcant role in the registrant's internal control over fnancial reportng.</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Calibri" w:cs="Calibri" w:eastAsia="Calibri" w:hAnsi="Calibri"/>
          <w:sz w:val="18"/>
          <w:szCs w:val="18"/>
          <w:u w:val="single" w:color="auto"/>
          <w:color w:val="auto"/>
        </w:rPr>
        <w:t>/s/ David E. Bullwinkle</w:t>
      </w:r>
    </w:p>
    <w:p>
      <w:pPr>
        <w:spacing w:after="0" w:line="235" w:lineRule="auto"/>
        <w:rPr>
          <w:sz w:val="20"/>
          <w:szCs w:val="20"/>
          <w:color w:val="auto"/>
        </w:rPr>
      </w:pPr>
      <w:r>
        <w:rPr>
          <w:rFonts w:ascii="Calibri" w:cs="Calibri" w:eastAsia="Calibri" w:hAnsi="Calibri"/>
          <w:sz w:val="18"/>
          <w:szCs w:val="18"/>
          <w:color w:val="auto"/>
        </w:rPr>
        <w:t>David E. Bullwinkle</w:t>
      </w:r>
    </w:p>
    <w:p>
      <w:pPr>
        <w:spacing w:after="0" w:line="236" w:lineRule="auto"/>
        <w:rPr>
          <w:sz w:val="20"/>
          <w:szCs w:val="20"/>
          <w:color w:val="auto"/>
        </w:rPr>
      </w:pPr>
      <w:r>
        <w:rPr>
          <w:rFonts w:ascii="Calibri" w:cs="Calibri" w:eastAsia="Calibri" w:hAnsi="Calibri"/>
          <w:sz w:val="18"/>
          <w:szCs w:val="18"/>
          <w:color w:val="auto"/>
        </w:rPr>
        <w:t>Chief Financial Ofcer and</w:t>
      </w:r>
    </w:p>
    <w:p>
      <w:pPr>
        <w:spacing w:after="0" w:line="236" w:lineRule="auto"/>
        <w:rPr>
          <w:sz w:val="20"/>
          <w:szCs w:val="20"/>
          <w:color w:val="auto"/>
        </w:rPr>
      </w:pPr>
      <w:r>
        <w:rPr>
          <w:rFonts w:ascii="Calibri" w:cs="Calibri" w:eastAsia="Calibri" w:hAnsi="Calibri"/>
          <w:sz w:val="18"/>
          <w:szCs w:val="18"/>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Calibri" w:cs="Calibri" w:eastAsia="Calibri" w:hAnsi="Calibri"/>
          <w:sz w:val="18"/>
          <w:szCs w:val="18"/>
          <w:color w:val="auto"/>
        </w:rPr>
        <w:t>Date: March 17,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482600</wp:posOffset>
            </wp:positionV>
            <wp:extent cx="7157720" cy="4254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00"/>
          </w:cols>
          <w:pgMar w:left="700" w:top="760" w:right="799" w:bottom="1440" w:gutter="0" w:footer="0" w:header="0"/>
        </w:sectPr>
      </w:pPr>
    </w:p>
    <w:bookmarkStart w:id="219" w:name="page220"/>
    <w:bookmarkEnd w:id="219"/>
    <w:p>
      <w:pPr>
        <w:spacing w:after="0" w:line="185" w:lineRule="exact"/>
        <w:rPr>
          <w:sz w:val="20"/>
          <w:szCs w:val="20"/>
          <w:color w:val="auto"/>
        </w:rPr>
      </w:pPr>
    </w:p>
    <w:p>
      <w:pPr>
        <w:jc w:val="right"/>
        <w:spacing w:after="0"/>
        <w:rPr>
          <w:sz w:val="20"/>
          <w:szCs w:val="20"/>
          <w:color w:val="auto"/>
        </w:rPr>
      </w:pPr>
      <w:r>
        <w:rPr>
          <w:rFonts w:ascii="Calibri" w:cs="Calibri" w:eastAsia="Calibri" w:hAnsi="Calibri"/>
          <w:sz w:val="18"/>
          <w:szCs w:val="18"/>
          <w:b w:val="1"/>
          <w:bCs w:val="1"/>
          <w:color w:val="auto"/>
        </w:rPr>
        <w:t>Exhibit (32.1)</w:t>
      </w:r>
    </w:p>
    <w:p>
      <w:pPr>
        <w:jc w:val="center"/>
        <w:ind w:right="40"/>
        <w:spacing w:after="0" w:line="235" w:lineRule="auto"/>
        <w:rPr>
          <w:sz w:val="20"/>
          <w:szCs w:val="20"/>
          <w:color w:val="auto"/>
        </w:rPr>
      </w:pPr>
      <w:r>
        <w:rPr>
          <w:rFonts w:ascii="Calibri" w:cs="Calibri" w:eastAsia="Calibri" w:hAnsi="Calibri"/>
          <w:sz w:val="18"/>
          <w:szCs w:val="18"/>
          <w:b w:val="1"/>
          <w:bCs w:val="1"/>
          <w:color w:val="auto"/>
        </w:rPr>
        <w:t>CERTIFICATION PURSUANT TO</w:t>
      </w:r>
    </w:p>
    <w:p>
      <w:pPr>
        <w:jc w:val="center"/>
        <w:spacing w:after="0" w:line="236" w:lineRule="auto"/>
        <w:rPr>
          <w:sz w:val="20"/>
          <w:szCs w:val="20"/>
          <w:color w:val="auto"/>
        </w:rPr>
      </w:pPr>
      <w:r>
        <w:rPr>
          <w:rFonts w:ascii="Calibri" w:cs="Calibri" w:eastAsia="Calibri" w:hAnsi="Calibri"/>
          <w:sz w:val="18"/>
          <w:szCs w:val="18"/>
          <w:b w:val="1"/>
          <w:bCs w:val="1"/>
          <w:color w:val="auto"/>
        </w:rPr>
        <w:t>18 U.S.C. Secton 1350,</w:t>
      </w:r>
    </w:p>
    <w:p>
      <w:pPr>
        <w:jc w:val="center"/>
        <w:ind w:right="40"/>
        <w:spacing w:after="0" w:line="236" w:lineRule="auto"/>
        <w:rPr>
          <w:sz w:val="20"/>
          <w:szCs w:val="20"/>
          <w:color w:val="auto"/>
        </w:rPr>
      </w:pPr>
      <w:r>
        <w:rPr>
          <w:rFonts w:ascii="Calibri" w:cs="Calibri" w:eastAsia="Calibri" w:hAnsi="Calibri"/>
          <w:sz w:val="18"/>
          <w:szCs w:val="18"/>
          <w:b w:val="1"/>
          <w:bCs w:val="1"/>
          <w:color w:val="auto"/>
        </w:rPr>
        <w:t>AS ADOPTED PURSUANT TO</w:t>
      </w:r>
    </w:p>
    <w:p>
      <w:pPr>
        <w:jc w:val="center"/>
        <w:spacing w:after="0" w:line="236" w:lineRule="auto"/>
        <w:rPr>
          <w:sz w:val="20"/>
          <w:szCs w:val="20"/>
          <w:color w:val="auto"/>
        </w:rPr>
      </w:pPr>
      <w:r>
        <w:rPr>
          <w:rFonts w:ascii="Calibri" w:cs="Calibri" w:eastAsia="Calibri" w:hAnsi="Calibri"/>
          <w:sz w:val="18"/>
          <w:szCs w:val="18"/>
          <w:b w:val="1"/>
          <w:bCs w:val="1"/>
          <w:color w:val="auto"/>
        </w:rPr>
        <w:t>SECTION 906 OF THE SARBANES-OXLEY ACT OF 2002</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alibri" w:cs="Calibri" w:eastAsia="Calibri" w:hAnsi="Calibri"/>
          <w:sz w:val="18"/>
          <w:szCs w:val="18"/>
          <w:color w:val="auto"/>
        </w:rPr>
        <w:t>In connecton with the Annual Report of Eastman Kodak Company (the "Company") on Form 10-K</w:t>
      </w:r>
    </w:p>
    <w:p>
      <w:pPr>
        <w:spacing w:after="0" w:line="1" w:lineRule="exact"/>
        <w:rPr>
          <w:sz w:val="20"/>
          <w:szCs w:val="20"/>
          <w:color w:val="auto"/>
        </w:rPr>
      </w:pPr>
    </w:p>
    <w:p>
      <w:pPr>
        <w:ind w:right="500"/>
        <w:spacing w:after="0" w:line="235" w:lineRule="auto"/>
        <w:rPr>
          <w:sz w:val="20"/>
          <w:szCs w:val="20"/>
          <w:color w:val="auto"/>
        </w:rPr>
      </w:pPr>
      <w:r>
        <w:rPr>
          <w:rFonts w:ascii="Calibri" w:cs="Calibri" w:eastAsia="Calibri" w:hAnsi="Calibri"/>
          <w:sz w:val="18"/>
          <w:szCs w:val="18"/>
          <w:color w:val="auto"/>
        </w:rPr>
        <w:t>for the period ended December 31, 2024, as fled with the Securites and Exchange Commission on the date hereof (the "Report"), I, James V. Contnenza, Executve Chairman and Chief Executve Ofcer of the Company, certfy, pursuant to 18 U.S.C. Secton 1350, as adopted pursuant to Secton 906 of the Sarbanes-Oxley Act of 2002, that to the best of my knowledge:</w:t>
      </w:r>
    </w:p>
    <w:p>
      <w:pPr>
        <w:spacing w:after="0" w:line="214" w:lineRule="exact"/>
        <w:rPr>
          <w:sz w:val="20"/>
          <w:szCs w:val="20"/>
          <w:color w:val="auto"/>
        </w:rPr>
      </w:pPr>
    </w:p>
    <w:p>
      <w:pPr>
        <w:ind w:left="380" w:hanging="185"/>
        <w:spacing w:after="0"/>
        <w:tabs>
          <w:tab w:leader="none" w:pos="380" w:val="left"/>
        </w:tabs>
        <w:numPr>
          <w:ilvl w:val="0"/>
          <w:numId w:val="159"/>
        </w:numPr>
        <w:rPr>
          <w:rFonts w:ascii="Calibri" w:cs="Calibri" w:eastAsia="Calibri" w:hAnsi="Calibri"/>
          <w:sz w:val="18"/>
          <w:szCs w:val="18"/>
          <w:color w:val="auto"/>
        </w:rPr>
      </w:pPr>
      <w:r>
        <w:rPr>
          <w:rFonts w:ascii="Calibri" w:cs="Calibri" w:eastAsia="Calibri" w:hAnsi="Calibri"/>
          <w:sz w:val="18"/>
          <w:szCs w:val="18"/>
          <w:color w:val="auto"/>
        </w:rPr>
        <w:t>The Report fully complies with the requirements of secton 13(a) or 15(d) of the Securites Exchange Act of 1934; and</w:t>
      </w:r>
    </w:p>
    <w:p>
      <w:pPr>
        <w:spacing w:after="0" w:line="217" w:lineRule="exact"/>
        <w:rPr>
          <w:rFonts w:ascii="Calibri" w:cs="Calibri" w:eastAsia="Calibri" w:hAnsi="Calibri"/>
          <w:sz w:val="18"/>
          <w:szCs w:val="18"/>
          <w:color w:val="auto"/>
        </w:rPr>
      </w:pPr>
    </w:p>
    <w:p>
      <w:pPr>
        <w:ind w:left="380" w:hanging="185"/>
        <w:spacing w:after="0"/>
        <w:tabs>
          <w:tab w:leader="none" w:pos="380" w:val="left"/>
        </w:tabs>
        <w:numPr>
          <w:ilvl w:val="0"/>
          <w:numId w:val="159"/>
        </w:numPr>
        <w:rPr>
          <w:rFonts w:ascii="Calibri" w:cs="Calibri" w:eastAsia="Calibri" w:hAnsi="Calibri"/>
          <w:sz w:val="17"/>
          <w:szCs w:val="17"/>
          <w:color w:val="auto"/>
        </w:rPr>
      </w:pPr>
      <w:r>
        <w:rPr>
          <w:rFonts w:ascii="Calibri" w:cs="Calibri" w:eastAsia="Calibri" w:hAnsi="Calibri"/>
          <w:sz w:val="17"/>
          <w:szCs w:val="17"/>
          <w:color w:val="auto"/>
        </w:rPr>
        <w:t>The informaton contained in the Report fairly presents, in all material respects, the fnancial conditon and results of operatons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Calibri" w:cs="Calibri" w:eastAsia="Calibri" w:hAnsi="Calibri"/>
          <w:sz w:val="18"/>
          <w:szCs w:val="18"/>
          <w:u w:val="single" w:color="auto"/>
          <w:color w:val="auto"/>
        </w:rPr>
        <w:t>/s/ James V. Contnenza</w:t>
      </w:r>
    </w:p>
    <w:p>
      <w:pPr>
        <w:spacing w:after="0" w:line="235" w:lineRule="auto"/>
        <w:rPr>
          <w:sz w:val="20"/>
          <w:szCs w:val="20"/>
          <w:color w:val="auto"/>
        </w:rPr>
      </w:pPr>
      <w:r>
        <w:rPr>
          <w:rFonts w:ascii="Calibri" w:cs="Calibri" w:eastAsia="Calibri" w:hAnsi="Calibri"/>
          <w:sz w:val="18"/>
          <w:szCs w:val="18"/>
          <w:color w:val="auto"/>
        </w:rPr>
        <w:t>James V. Contnenza</w:t>
      </w:r>
    </w:p>
    <w:p>
      <w:pPr>
        <w:spacing w:after="0" w:line="236" w:lineRule="auto"/>
        <w:rPr>
          <w:sz w:val="20"/>
          <w:szCs w:val="20"/>
          <w:color w:val="auto"/>
        </w:rPr>
      </w:pPr>
      <w:r>
        <w:rPr>
          <w:rFonts w:ascii="Calibri" w:cs="Calibri" w:eastAsia="Calibri" w:hAnsi="Calibri"/>
          <w:sz w:val="18"/>
          <w:szCs w:val="18"/>
          <w:color w:val="auto"/>
        </w:rPr>
        <w:t>Executve Chairman and</w:t>
      </w:r>
    </w:p>
    <w:p>
      <w:pPr>
        <w:spacing w:after="0" w:line="236" w:lineRule="auto"/>
        <w:rPr>
          <w:sz w:val="20"/>
          <w:szCs w:val="20"/>
          <w:color w:val="auto"/>
        </w:rPr>
      </w:pPr>
      <w:r>
        <w:rPr>
          <w:rFonts w:ascii="Calibri" w:cs="Calibri" w:eastAsia="Calibri" w:hAnsi="Calibri"/>
          <w:sz w:val="18"/>
          <w:szCs w:val="18"/>
          <w:color w:val="auto"/>
        </w:rPr>
        <w:t>Chief Executve Ofcer</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Calibri" w:cs="Calibri" w:eastAsia="Calibri" w:hAnsi="Calibri"/>
          <w:sz w:val="18"/>
          <w:szCs w:val="18"/>
          <w:color w:val="auto"/>
        </w:rPr>
        <w:t>Date: March 17,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1030605</wp:posOffset>
            </wp:positionV>
            <wp:extent cx="7157720" cy="4254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320" w:top="1440" w:right="799" w:bottom="1440" w:gutter="0" w:footer="0" w:header="0"/>
        </w:sectPr>
      </w:pPr>
    </w:p>
    <w:bookmarkStart w:id="220" w:name="page221"/>
    <w:bookmarkEnd w:id="220"/>
    <w:p>
      <w:pPr>
        <w:spacing w:after="0" w:line="185" w:lineRule="exact"/>
        <w:rPr>
          <w:sz w:val="20"/>
          <w:szCs w:val="20"/>
          <w:color w:val="auto"/>
        </w:rPr>
      </w:pPr>
    </w:p>
    <w:p>
      <w:pPr>
        <w:ind w:left="9760"/>
        <w:spacing w:after="0"/>
        <w:rPr>
          <w:sz w:val="20"/>
          <w:szCs w:val="20"/>
          <w:color w:val="auto"/>
        </w:rPr>
      </w:pPr>
      <w:r>
        <w:rPr>
          <w:rFonts w:ascii="Calibri" w:cs="Calibri" w:eastAsia="Calibri" w:hAnsi="Calibri"/>
          <w:sz w:val="18"/>
          <w:szCs w:val="18"/>
          <w:b w:val="1"/>
          <w:bCs w:val="1"/>
          <w:color w:val="auto"/>
        </w:rPr>
        <w:t>Exhibit (32.2)</w:t>
      </w:r>
    </w:p>
    <w:p>
      <w:pPr>
        <w:jc w:val="center"/>
        <w:ind w:right="20"/>
        <w:spacing w:after="0" w:line="235" w:lineRule="auto"/>
        <w:rPr>
          <w:sz w:val="20"/>
          <w:szCs w:val="20"/>
          <w:color w:val="auto"/>
        </w:rPr>
      </w:pPr>
      <w:r>
        <w:rPr>
          <w:rFonts w:ascii="Calibri" w:cs="Calibri" w:eastAsia="Calibri" w:hAnsi="Calibri"/>
          <w:sz w:val="18"/>
          <w:szCs w:val="18"/>
          <w:b w:val="1"/>
          <w:bCs w:val="1"/>
          <w:color w:val="auto"/>
        </w:rPr>
        <w:t>CERTIFICATION PURSUANT TO</w:t>
      </w:r>
    </w:p>
    <w:p>
      <w:pPr>
        <w:jc w:val="center"/>
        <w:ind w:right="-19"/>
        <w:spacing w:after="0" w:line="236" w:lineRule="auto"/>
        <w:rPr>
          <w:sz w:val="20"/>
          <w:szCs w:val="20"/>
          <w:color w:val="auto"/>
        </w:rPr>
      </w:pPr>
      <w:r>
        <w:rPr>
          <w:rFonts w:ascii="Calibri" w:cs="Calibri" w:eastAsia="Calibri" w:hAnsi="Calibri"/>
          <w:sz w:val="18"/>
          <w:szCs w:val="18"/>
          <w:b w:val="1"/>
          <w:bCs w:val="1"/>
          <w:color w:val="auto"/>
        </w:rPr>
        <w:t>18 U.S.C. Secton 1350,</w:t>
      </w:r>
    </w:p>
    <w:p>
      <w:pPr>
        <w:jc w:val="center"/>
        <w:ind w:right="20"/>
        <w:spacing w:after="0" w:line="236" w:lineRule="auto"/>
        <w:rPr>
          <w:sz w:val="20"/>
          <w:szCs w:val="20"/>
          <w:color w:val="auto"/>
        </w:rPr>
      </w:pPr>
      <w:r>
        <w:rPr>
          <w:rFonts w:ascii="Calibri" w:cs="Calibri" w:eastAsia="Calibri" w:hAnsi="Calibri"/>
          <w:sz w:val="18"/>
          <w:szCs w:val="18"/>
          <w:b w:val="1"/>
          <w:bCs w:val="1"/>
          <w:color w:val="auto"/>
        </w:rPr>
        <w:t>AS ADOPTED PURSUANT TO</w:t>
      </w:r>
    </w:p>
    <w:p>
      <w:pPr>
        <w:jc w:val="center"/>
        <w:ind w:right="-19"/>
        <w:spacing w:after="0" w:line="236" w:lineRule="auto"/>
        <w:rPr>
          <w:sz w:val="20"/>
          <w:szCs w:val="20"/>
          <w:color w:val="auto"/>
        </w:rPr>
      </w:pPr>
      <w:r>
        <w:rPr>
          <w:rFonts w:ascii="Calibri" w:cs="Calibri" w:eastAsia="Calibri" w:hAnsi="Calibri"/>
          <w:sz w:val="18"/>
          <w:szCs w:val="18"/>
          <w:b w:val="1"/>
          <w:bCs w:val="1"/>
          <w:color w:val="auto"/>
        </w:rPr>
        <w:t>SECTION 906 OF THE SARBANES-OXLEY ACT OF 2002</w:t>
      </w:r>
    </w:p>
    <w:p>
      <w:pPr>
        <w:spacing w:after="0" w:line="200" w:lineRule="exact"/>
        <w:rPr>
          <w:sz w:val="20"/>
          <w:szCs w:val="20"/>
          <w:color w:val="auto"/>
        </w:rPr>
      </w:pPr>
    </w:p>
    <w:p>
      <w:pPr>
        <w:spacing w:after="0" w:line="234"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In connecton with the Annual Report of Eastman Kodak Company (the "Company") on Form 10-K for the period ended December 31, 2024, as fled with the Securites and Exchange Commission on the date hereof (the "Report"), I, David E. Bullwinkle, Chief Financial Ofcer and Senior Vice President of the Company, certfy, pursuant to 18 U.S.C. Secton 1350, as adopted pursuant to Secton 906 of the Sarbanes-Oxley Act of 2002, that to the best of my knowledge:</w:t>
      </w:r>
    </w:p>
    <w:p>
      <w:pPr>
        <w:spacing w:after="0" w:line="215" w:lineRule="exact"/>
        <w:rPr>
          <w:sz w:val="20"/>
          <w:szCs w:val="20"/>
          <w:color w:val="auto"/>
        </w:rPr>
      </w:pPr>
    </w:p>
    <w:p>
      <w:pPr>
        <w:ind w:left="520" w:hanging="231"/>
        <w:spacing w:after="0"/>
        <w:tabs>
          <w:tab w:leader="none" w:pos="520" w:val="left"/>
        </w:tabs>
        <w:numPr>
          <w:ilvl w:val="0"/>
          <w:numId w:val="160"/>
        </w:numPr>
        <w:rPr>
          <w:rFonts w:ascii="Calibri" w:cs="Calibri" w:eastAsia="Calibri" w:hAnsi="Calibri"/>
          <w:sz w:val="18"/>
          <w:szCs w:val="18"/>
          <w:color w:val="auto"/>
        </w:rPr>
      </w:pPr>
      <w:r>
        <w:rPr>
          <w:rFonts w:ascii="Calibri" w:cs="Calibri" w:eastAsia="Calibri" w:hAnsi="Calibri"/>
          <w:sz w:val="18"/>
          <w:szCs w:val="18"/>
          <w:color w:val="auto"/>
        </w:rPr>
        <w:t>The Report fully complies with the requirements of secton 13(a) or 15(d) of the Securites Exchange Act of 1934; and</w:t>
      </w:r>
    </w:p>
    <w:p>
      <w:pPr>
        <w:spacing w:after="0" w:line="217" w:lineRule="exact"/>
        <w:rPr>
          <w:rFonts w:ascii="Calibri" w:cs="Calibri" w:eastAsia="Calibri" w:hAnsi="Calibri"/>
          <w:sz w:val="18"/>
          <w:szCs w:val="18"/>
          <w:color w:val="auto"/>
        </w:rPr>
      </w:pPr>
    </w:p>
    <w:p>
      <w:pPr>
        <w:ind w:left="280" w:right="660" w:firstLine="9"/>
        <w:spacing w:after="0" w:line="235" w:lineRule="auto"/>
        <w:tabs>
          <w:tab w:leader="none" w:pos="502" w:val="left"/>
        </w:tabs>
        <w:numPr>
          <w:ilvl w:val="0"/>
          <w:numId w:val="160"/>
        </w:numPr>
        <w:rPr>
          <w:rFonts w:ascii="Calibri" w:cs="Calibri" w:eastAsia="Calibri" w:hAnsi="Calibri"/>
          <w:sz w:val="18"/>
          <w:szCs w:val="18"/>
          <w:color w:val="auto"/>
        </w:rPr>
      </w:pPr>
      <w:r>
        <w:rPr>
          <w:rFonts w:ascii="Calibri" w:cs="Calibri" w:eastAsia="Calibri" w:hAnsi="Calibri"/>
          <w:sz w:val="18"/>
          <w:szCs w:val="18"/>
          <w:color w:val="auto"/>
        </w:rPr>
        <w:t>The informaton contained in the Report fairly presents, in all material respects, the fnancial conditon and results of operatons of the Company.</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80"/>
        <w:spacing w:after="0"/>
        <w:rPr>
          <w:sz w:val="20"/>
          <w:szCs w:val="20"/>
          <w:color w:val="auto"/>
        </w:rPr>
      </w:pPr>
      <w:r>
        <w:rPr>
          <w:rFonts w:ascii="Calibri" w:cs="Calibri" w:eastAsia="Calibri" w:hAnsi="Calibri"/>
          <w:sz w:val="18"/>
          <w:szCs w:val="18"/>
          <w:u w:val="single" w:color="auto"/>
          <w:color w:val="auto"/>
        </w:rPr>
        <w:t>/s/ David E. Bullwinkle</w:t>
      </w:r>
    </w:p>
    <w:p>
      <w:pPr>
        <w:ind w:left="380"/>
        <w:spacing w:after="0" w:line="235" w:lineRule="auto"/>
        <w:rPr>
          <w:sz w:val="20"/>
          <w:szCs w:val="20"/>
          <w:color w:val="auto"/>
        </w:rPr>
      </w:pPr>
      <w:r>
        <w:rPr>
          <w:rFonts w:ascii="Calibri" w:cs="Calibri" w:eastAsia="Calibri" w:hAnsi="Calibri"/>
          <w:sz w:val="18"/>
          <w:szCs w:val="18"/>
          <w:color w:val="auto"/>
        </w:rPr>
        <w:t>David E. Bullwinkle</w:t>
      </w:r>
    </w:p>
    <w:p>
      <w:pPr>
        <w:ind w:left="380"/>
        <w:spacing w:after="0" w:line="236" w:lineRule="auto"/>
        <w:rPr>
          <w:sz w:val="20"/>
          <w:szCs w:val="20"/>
          <w:color w:val="auto"/>
        </w:rPr>
      </w:pPr>
      <w:r>
        <w:rPr>
          <w:rFonts w:ascii="Calibri" w:cs="Calibri" w:eastAsia="Calibri" w:hAnsi="Calibri"/>
          <w:sz w:val="18"/>
          <w:szCs w:val="18"/>
          <w:color w:val="auto"/>
        </w:rPr>
        <w:t>Chief Financial Ofcer and</w:t>
      </w:r>
    </w:p>
    <w:p>
      <w:pPr>
        <w:ind w:left="380"/>
        <w:spacing w:after="0" w:line="236" w:lineRule="auto"/>
        <w:rPr>
          <w:sz w:val="20"/>
          <w:szCs w:val="20"/>
          <w:color w:val="auto"/>
        </w:rPr>
      </w:pPr>
      <w:r>
        <w:rPr>
          <w:rFonts w:ascii="Calibri" w:cs="Calibri" w:eastAsia="Calibri" w:hAnsi="Calibri"/>
          <w:sz w:val="18"/>
          <w:szCs w:val="18"/>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80"/>
        <w:spacing w:after="0"/>
        <w:rPr>
          <w:sz w:val="20"/>
          <w:szCs w:val="20"/>
          <w:color w:val="auto"/>
        </w:rPr>
      </w:pPr>
      <w:r>
        <w:rPr>
          <w:rFonts w:ascii="Calibri" w:cs="Calibri" w:eastAsia="Calibri" w:hAnsi="Calibri"/>
          <w:sz w:val="18"/>
          <w:szCs w:val="18"/>
          <w:color w:val="auto"/>
        </w:rPr>
        <w:t>Date: March 17,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1030605</wp:posOffset>
            </wp:positionV>
            <wp:extent cx="7157720" cy="4254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9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20" w:top="1440" w:right="819" w:bottom="1440" w:gutter="0" w:footer="0" w:header="0"/>
        </w:sectPr>
      </w:pPr>
    </w:p>
    <w:bookmarkStart w:id="221" w:name="page222"/>
    <w:bookmarkEnd w:id="22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962813B"/>
    <w:multiLevelType w:val="hybridMultilevel"/>
    <w:lvl w:ilvl="0">
      <w:lvlJc w:val="left"/>
      <w:lvlText w:val="☒"/>
      <w:numFmt w:val="bullet"/>
      <w:start w:val="1"/>
    </w:lvl>
  </w:abstractNum>
  <w:abstractNum w:abstractNumId="1">
    <w:nsid w:val="60B6DF70"/>
    <w:multiLevelType w:val="hybridMultilevel"/>
    <w:lvl w:ilvl="0">
      <w:lvlJc w:val="left"/>
      <w:lvlText w:val="☐"/>
      <w:numFmt w:val="bullet"/>
      <w:start w:val="1"/>
    </w:lvl>
  </w:abstractNum>
  <w:abstractNum w:abstractNumId="2">
    <w:nsid w:val="6A5EE64"/>
    <w:multiLevelType w:val="hybridMultilevel"/>
    <w:lvl w:ilvl="0">
      <w:lvlJc w:val="left"/>
      <w:lvlText w:val="•"/>
      <w:numFmt w:val="bullet"/>
      <w:start w:val="1"/>
    </w:lvl>
    <w:lvl w:ilvl="1">
      <w:lvlJc w:val="left"/>
      <w:lvlText w:val="•"/>
      <w:numFmt w:val="bullet"/>
      <w:start w:val="1"/>
    </w:lvl>
  </w:abstractNum>
  <w:abstractNum w:abstractNumId="3">
    <w:nsid w:val="14330624"/>
    <w:multiLevelType w:val="hybridMultilevel"/>
    <w:lvl w:ilvl="0">
      <w:lvlJc w:val="left"/>
      <w:lvlText w:val="•"/>
      <w:numFmt w:val="bullet"/>
      <w:start w:val="1"/>
    </w:lvl>
    <w:lvl w:ilvl="1">
      <w:lvlJc w:val="left"/>
      <w:lvlText w:val="•"/>
      <w:numFmt w:val="bullet"/>
      <w:start w:val="1"/>
    </w:lvl>
  </w:abstractNum>
  <w:abstractNum w:abstractNumId="4">
    <w:nsid w:val="7FFFCA11"/>
    <w:multiLevelType w:val="hybridMultilevel"/>
    <w:lvl w:ilvl="0">
      <w:lvlJc w:val="left"/>
      <w:lvlText w:val="•"/>
      <w:numFmt w:val="bullet"/>
      <w:start w:val="1"/>
    </w:lvl>
    <w:lvl w:ilvl="1">
      <w:lvlJc w:val="left"/>
      <w:lvlText w:val="•"/>
      <w:numFmt w:val="bullet"/>
      <w:start w:val="1"/>
    </w:lvl>
  </w:abstractNum>
  <w:abstractNum w:abstractNumId="5">
    <w:nsid w:val="1A27709E"/>
    <w:multiLevelType w:val="hybridMultilevel"/>
    <w:lvl w:ilvl="0">
      <w:lvlJc w:val="left"/>
      <w:lvlText w:val="•"/>
      <w:numFmt w:val="bullet"/>
      <w:start w:val="1"/>
    </w:lvl>
    <w:lvl w:ilvl="1">
      <w:lvlJc w:val="left"/>
      <w:lvlText w:val="•"/>
      <w:numFmt w:val="bullet"/>
      <w:start w:val="1"/>
    </w:lvl>
  </w:abstractNum>
  <w:abstractNum w:abstractNumId="6">
    <w:nsid w:val="71EA1109"/>
    <w:multiLevelType w:val="hybridMultilevel"/>
    <w:lvl w:ilvl="0">
      <w:lvlJc w:val="left"/>
      <w:lvlText w:val="•"/>
      <w:numFmt w:val="bullet"/>
      <w:start w:val="1"/>
    </w:lvl>
  </w:abstractNum>
  <w:abstractNum w:abstractNumId="7">
    <w:nsid w:val="100F59DC"/>
    <w:multiLevelType w:val="hybridMultilevel"/>
    <w:lvl w:ilvl="0">
      <w:lvlJc w:val="left"/>
      <w:lvlText w:val="•"/>
      <w:numFmt w:val="bullet"/>
      <w:start w:val="1"/>
    </w:lvl>
  </w:abstractNum>
  <w:abstractNum w:abstractNumId="8">
    <w:nsid w:val="7FB7E0AA"/>
    <w:multiLevelType w:val="hybridMultilevel"/>
    <w:lvl w:ilvl="0">
      <w:lvlJc w:val="left"/>
      <w:lvlText w:val="•"/>
      <w:numFmt w:val="bullet"/>
      <w:start w:val="1"/>
    </w:lvl>
  </w:abstractNum>
  <w:abstractNum w:abstractNumId="9">
    <w:nsid w:val="6EB5BD4"/>
    <w:multiLevelType w:val="hybridMultilevel"/>
    <w:lvl w:ilvl="0">
      <w:lvlJc w:val="left"/>
      <w:lvlText w:val="•"/>
      <w:numFmt w:val="bullet"/>
      <w:start w:val="1"/>
    </w:lvl>
  </w:abstractNum>
  <w:abstractNum w:abstractNumId="10">
    <w:nsid w:val="6F6DD9AC"/>
    <w:multiLevelType w:val="hybridMultilevel"/>
    <w:lvl w:ilvl="0">
      <w:lvlJc w:val="left"/>
      <w:lvlText w:val="•"/>
      <w:numFmt w:val="bullet"/>
      <w:start w:val="1"/>
    </w:lvl>
  </w:abstractNum>
  <w:abstractNum w:abstractNumId="11">
    <w:nsid w:val="94211F2"/>
    <w:multiLevelType w:val="hybridMultilevel"/>
    <w:lvl w:ilvl="0">
      <w:lvlJc w:val="left"/>
      <w:lvlText w:val="•"/>
      <w:numFmt w:val="bullet"/>
      <w:start w:val="1"/>
    </w:lvl>
  </w:abstractNum>
  <w:abstractNum w:abstractNumId="12">
    <w:nsid w:val="885E1B"/>
    <w:multiLevelType w:val="hybridMultilevel"/>
    <w:lvl w:ilvl="0">
      <w:lvlJc w:val="left"/>
      <w:lvlText w:val="•"/>
      <w:numFmt w:val="bullet"/>
      <w:start w:val="1"/>
    </w:lvl>
  </w:abstractNum>
  <w:abstractNum w:abstractNumId="13">
    <w:nsid w:val="76272110"/>
    <w:multiLevelType w:val="hybridMultilevel"/>
    <w:lvl w:ilvl="0">
      <w:lvlJc w:val="left"/>
      <w:lvlText w:val="•"/>
      <w:numFmt w:val="bullet"/>
      <w:start w:val="1"/>
    </w:lvl>
  </w:abstractNum>
  <w:abstractNum w:abstractNumId="14">
    <w:nsid w:val="4C04A8AF"/>
    <w:multiLevelType w:val="hybridMultilevel"/>
    <w:lvl w:ilvl="0">
      <w:lvlJc w:val="left"/>
      <w:lvlText w:val="•"/>
      <w:numFmt w:val="bullet"/>
      <w:start w:val="1"/>
    </w:lvl>
  </w:abstractNum>
  <w:abstractNum w:abstractNumId="15">
    <w:nsid w:val="1716703B"/>
    <w:multiLevelType w:val="hybridMultilevel"/>
    <w:lvl w:ilvl="0">
      <w:lvlJc w:val="left"/>
      <w:lvlText w:val="•"/>
      <w:numFmt w:val="bullet"/>
      <w:start w:val="1"/>
    </w:lvl>
  </w:abstractNum>
  <w:abstractNum w:abstractNumId="16">
    <w:nsid w:val="14E17E33"/>
    <w:multiLevelType w:val="hybridMultilevel"/>
    <w:lvl w:ilvl="0">
      <w:lvlJc w:val="left"/>
      <w:lvlText w:val="•"/>
      <w:numFmt w:val="bullet"/>
      <w:start w:val="1"/>
    </w:lvl>
  </w:abstractNum>
  <w:abstractNum w:abstractNumId="17">
    <w:nsid w:val="3222E7CD"/>
    <w:multiLevelType w:val="hybridMultilevel"/>
    <w:lvl w:ilvl="0">
      <w:lvlJc w:val="left"/>
      <w:lvlText w:val="•"/>
      <w:numFmt w:val="bullet"/>
      <w:start w:val="1"/>
    </w:lvl>
  </w:abstractNum>
  <w:abstractNum w:abstractNumId="18">
    <w:nsid w:val="74DE0EE3"/>
    <w:multiLevelType w:val="hybridMultilevel"/>
    <w:lvl w:ilvl="0">
      <w:lvlJc w:val="left"/>
      <w:lvlText w:val="•"/>
      <w:numFmt w:val="bullet"/>
      <w:start w:val="1"/>
    </w:lvl>
  </w:abstractNum>
  <w:abstractNum w:abstractNumId="19">
    <w:nsid w:val="68EBC550"/>
    <w:multiLevelType w:val="hybridMultilevel"/>
    <w:lvl w:ilvl="0">
      <w:lvlJc w:val="left"/>
      <w:lvlText w:val="•"/>
      <w:numFmt w:val="bullet"/>
      <w:start w:val="1"/>
    </w:lvl>
  </w:abstractNum>
  <w:abstractNum w:abstractNumId="20">
    <w:nsid w:val="2DF6D648"/>
    <w:multiLevelType w:val="hybridMultilevel"/>
    <w:lvl w:ilvl="0">
      <w:lvlJc w:val="left"/>
      <w:lvlText w:val="•"/>
      <w:numFmt w:val="bullet"/>
      <w:start w:val="1"/>
    </w:lvl>
  </w:abstractNum>
  <w:abstractNum w:abstractNumId="21">
    <w:nsid w:val="46B7D447"/>
    <w:multiLevelType w:val="hybridMultilevel"/>
    <w:lvl w:ilvl="0">
      <w:lvlJc w:val="left"/>
      <w:lvlText w:val="•"/>
      <w:numFmt w:val="bullet"/>
      <w:start w:val="1"/>
    </w:lvl>
  </w:abstractNum>
  <w:abstractNum w:abstractNumId="22">
    <w:nsid w:val="4A2AC315"/>
    <w:multiLevelType w:val="hybridMultilevel"/>
    <w:lvl w:ilvl="0">
      <w:lvlJc w:val="left"/>
      <w:lvlText w:val="•"/>
      <w:numFmt w:val="bullet"/>
      <w:start w:val="1"/>
    </w:lvl>
  </w:abstractNum>
  <w:abstractNum w:abstractNumId="23">
    <w:nsid w:val="39EE015C"/>
    <w:multiLevelType w:val="hybridMultilevel"/>
    <w:lvl w:ilvl="0">
      <w:lvlJc w:val="left"/>
      <w:lvlText w:val="•"/>
      <w:numFmt w:val="bullet"/>
      <w:start w:val="1"/>
    </w:lvl>
  </w:abstractNum>
  <w:abstractNum w:abstractNumId="24">
    <w:nsid w:val="57FC4FBB"/>
    <w:multiLevelType w:val="hybridMultilevel"/>
    <w:lvl w:ilvl="0">
      <w:lvlJc w:val="left"/>
      <w:lvlText w:val="•"/>
      <w:numFmt w:val="bullet"/>
      <w:start w:val="1"/>
    </w:lvl>
    <w:lvl w:ilvl="1">
      <w:lvlJc w:val="left"/>
      <w:lvlText w:val="o"/>
      <w:numFmt w:val="bullet"/>
      <w:start w:val="1"/>
    </w:lvl>
  </w:abstractNum>
  <w:abstractNum w:abstractNumId="25">
    <w:nsid w:val="CC1016F"/>
    <w:multiLevelType w:val="hybridMultilevel"/>
    <w:lvl w:ilvl="0">
      <w:lvlJc w:val="left"/>
      <w:lvlText w:val="(%1)"/>
      <w:numFmt w:val="decimal"/>
      <w:start w:val="1"/>
    </w:lvl>
  </w:abstractNum>
  <w:abstractNum w:abstractNumId="26">
    <w:nsid w:val="43F18422"/>
    <w:multiLevelType w:val="hybridMultilevel"/>
    <w:lvl w:ilvl="0">
      <w:lvlJc w:val="left"/>
      <w:lvlText w:val="•"/>
      <w:numFmt w:val="bullet"/>
      <w:start w:val="1"/>
    </w:lvl>
  </w:abstractNum>
  <w:abstractNum w:abstractNumId="27">
    <w:nsid w:val="60EF0119"/>
    <w:multiLevelType w:val="hybridMultilevel"/>
    <w:lvl w:ilvl="0">
      <w:lvlJc w:val="left"/>
      <w:lvlText w:val="•"/>
      <w:numFmt w:val="bullet"/>
      <w:start w:val="1"/>
    </w:lvl>
  </w:abstractNum>
  <w:abstractNum w:abstractNumId="28">
    <w:nsid w:val="26F324BA"/>
    <w:multiLevelType w:val="hybridMultilevel"/>
    <w:lvl w:ilvl="0">
      <w:lvlJc w:val="left"/>
      <w:lvlText w:val="•"/>
      <w:numFmt w:val="bullet"/>
      <w:start w:val="1"/>
    </w:lvl>
  </w:abstractNum>
  <w:abstractNum w:abstractNumId="29">
    <w:nsid w:val="7F01579B"/>
    <w:multiLevelType w:val="hybridMultilevel"/>
    <w:lvl w:ilvl="0">
      <w:lvlJc w:val="left"/>
      <w:lvlText w:val="•"/>
      <w:numFmt w:val="bullet"/>
      <w:start w:val="1"/>
    </w:lvl>
    <w:lvl w:ilvl="1">
      <w:lvlJc w:val="left"/>
      <w:lvlText w:val="•"/>
      <w:numFmt w:val="bullet"/>
      <w:start w:val="1"/>
    </w:lvl>
  </w:abstractNum>
  <w:abstractNum w:abstractNumId="30">
    <w:nsid w:val="49DA307D"/>
    <w:multiLevelType w:val="hybridMultilevel"/>
    <w:lvl w:ilvl="0">
      <w:lvlJc w:val="left"/>
      <w:lvlText w:val="•"/>
      <w:numFmt w:val="bullet"/>
      <w:start w:val="1"/>
    </w:lvl>
    <w:lvl w:ilvl="1">
      <w:lvlJc w:val="left"/>
      <w:lvlText w:val="•"/>
      <w:numFmt w:val="bullet"/>
      <w:start w:val="1"/>
    </w:lvl>
  </w:abstractNum>
  <w:abstractNum w:abstractNumId="31">
    <w:nsid w:val="7055A5F5"/>
    <w:multiLevelType w:val="hybridMultilevel"/>
    <w:lvl w:ilvl="0">
      <w:lvlJc w:val="left"/>
      <w:lvlText w:val="(%1)"/>
      <w:numFmt w:val="decimal"/>
      <w:start w:val="1"/>
    </w:lvl>
  </w:abstractNum>
  <w:abstractNum w:abstractNumId="32">
    <w:nsid w:val="5FB8370B"/>
    <w:multiLevelType w:val="hybridMultilevel"/>
    <w:lvl w:ilvl="0">
      <w:lvlJc w:val="left"/>
      <w:lvlText w:val="(%1)"/>
      <w:numFmt w:val="decimal"/>
      <w:start w:val="1"/>
    </w:lvl>
  </w:abstractNum>
  <w:abstractNum w:abstractNumId="33">
    <w:nsid w:val="50801EE1"/>
    <w:multiLevelType w:val="hybridMultilevel"/>
    <w:lvl w:ilvl="0">
      <w:lvlJc w:val="left"/>
      <w:lvlText w:val="(%1)"/>
      <w:numFmt w:val="decimal"/>
      <w:start w:val="1"/>
    </w:lvl>
  </w:abstractNum>
  <w:abstractNum w:abstractNumId="34">
    <w:nsid w:val="488AC1A"/>
    <w:multiLevelType w:val="hybridMultilevel"/>
    <w:lvl w:ilvl="0">
      <w:lvlJc w:val="left"/>
      <w:lvlText w:val="(%1)"/>
      <w:numFmt w:val="decimal"/>
      <w:start w:val="1"/>
    </w:lvl>
  </w:abstractNum>
  <w:abstractNum w:abstractNumId="35">
    <w:nsid w:val="5FB8011C"/>
    <w:multiLevelType w:val="hybridMultilevel"/>
    <w:lvl w:ilvl="0">
      <w:lvlJc w:val="left"/>
      <w:lvlText w:val="(%1)"/>
      <w:numFmt w:val="decimal"/>
      <w:start w:val="1"/>
    </w:lvl>
  </w:abstractNum>
  <w:abstractNum w:abstractNumId="36">
    <w:nsid w:val="6AA78F7F"/>
    <w:multiLevelType w:val="hybridMultilevel"/>
    <w:lvl w:ilvl="0">
      <w:lvlJc w:val="left"/>
      <w:lvlText w:val="(%1)"/>
      <w:numFmt w:val="decimal"/>
      <w:start w:val="1"/>
    </w:lvl>
  </w:abstractNum>
  <w:abstractNum w:abstractNumId="37">
    <w:nsid w:val="7672BD23"/>
    <w:multiLevelType w:val="hybridMultilevel"/>
    <w:lvl w:ilvl="0">
      <w:lvlJc w:val="left"/>
      <w:lvlText w:val="(%1)"/>
      <w:numFmt w:val="decimal"/>
      <w:start w:val="1"/>
    </w:lvl>
  </w:abstractNum>
  <w:abstractNum w:abstractNumId="38">
    <w:nsid w:val="6FC75AF8"/>
    <w:multiLevelType w:val="hybridMultilevel"/>
    <w:lvl w:ilvl="0">
      <w:lvlJc w:val="left"/>
      <w:lvlText w:val="(%1)"/>
      <w:numFmt w:val="decimal"/>
      <w:start w:val="1"/>
    </w:lvl>
  </w:abstractNum>
  <w:abstractNum w:abstractNumId="39">
    <w:nsid w:val="6A5F7029"/>
    <w:multiLevelType w:val="hybridMultilevel"/>
    <w:lvl w:ilvl="0">
      <w:lvlJc w:val="left"/>
      <w:lvlText w:val="(%1)"/>
      <w:numFmt w:val="decimal"/>
      <w:start w:val="1"/>
    </w:lvl>
  </w:abstractNum>
  <w:abstractNum w:abstractNumId="40">
    <w:nsid w:val="7D5E18F8"/>
    <w:multiLevelType w:val="hybridMultilevel"/>
    <w:lvl w:ilvl="0">
      <w:lvlJc w:val="left"/>
      <w:lvlText w:val="(%1)"/>
      <w:numFmt w:val="decimal"/>
      <w:start w:val="1"/>
    </w:lvl>
  </w:abstractNum>
  <w:abstractNum w:abstractNumId="41">
    <w:nsid w:val="5F3534A4"/>
    <w:multiLevelType w:val="hybridMultilevel"/>
    <w:lvl w:ilvl="0">
      <w:lvlJc w:val="left"/>
      <w:lvlText w:val="(%1)"/>
      <w:numFmt w:val="decimal"/>
      <w:start w:val="1"/>
    </w:lvl>
  </w:abstractNum>
  <w:abstractNum w:abstractNumId="42">
    <w:nsid w:val="73A1821B"/>
    <w:multiLevelType w:val="hybridMultilevel"/>
    <w:lvl w:ilvl="0">
      <w:lvlJc w:val="left"/>
      <w:lvlText w:val="(%1)"/>
      <w:numFmt w:val="decimal"/>
      <w:start w:val="1"/>
    </w:lvl>
  </w:abstractNum>
  <w:abstractNum w:abstractNumId="43">
    <w:nsid w:val="7DE67713"/>
    <w:multiLevelType w:val="hybridMultilevel"/>
    <w:lvl w:ilvl="0">
      <w:lvlJc w:val="left"/>
      <w:lvlText w:val="(%1)"/>
      <w:numFmt w:val="decimal"/>
      <w:start w:val="4"/>
    </w:lvl>
  </w:abstractNum>
  <w:abstractNum w:abstractNumId="44">
    <w:nsid w:val="555C55B5"/>
    <w:multiLevelType w:val="hybridMultilevel"/>
    <w:lvl w:ilvl="0">
      <w:lvlJc w:val="left"/>
      <w:lvlText w:val="(%1)"/>
      <w:numFmt w:val="lowerLetter"/>
      <w:start w:val="1"/>
    </w:lvl>
  </w:abstractNum>
  <w:abstractNum w:abstractNumId="45">
    <w:nsid w:val="3FA62ACA"/>
    <w:multiLevelType w:val="hybridMultilevel"/>
    <w:lvl w:ilvl="0">
      <w:lvlJc w:val="left"/>
      <w:lvlText w:val="(%1)"/>
      <w:numFmt w:val="decimal"/>
      <w:start w:val="1"/>
    </w:lvl>
  </w:abstractNum>
  <w:abstractNum w:abstractNumId="46">
    <w:nsid w:val="14FCE74E"/>
    <w:multiLevelType w:val="hybridMultilevel"/>
    <w:lvl w:ilvl="0">
      <w:lvlJc w:val="left"/>
      <w:lvlText w:val="(%1)"/>
      <w:numFmt w:val="decimal"/>
      <w:start w:val="1"/>
    </w:lvl>
  </w:abstractNum>
  <w:abstractNum w:abstractNumId="47">
    <w:nsid w:val="6A3DD3E8"/>
    <w:multiLevelType w:val="hybridMultilevel"/>
    <w:lvl w:ilvl="0">
      <w:lvlJc w:val="left"/>
      <w:lvlText w:val="(%1)"/>
      <w:numFmt w:val="decimal"/>
      <w:start w:val="1"/>
    </w:lvl>
  </w:abstractNum>
  <w:abstractNum w:abstractNumId="48">
    <w:nsid w:val="71C91298"/>
    <w:multiLevelType w:val="hybridMultilevel"/>
    <w:lvl w:ilvl="0">
      <w:lvlJc w:val="left"/>
      <w:lvlText w:val="(%1)"/>
      <w:numFmt w:val="lowerLetter"/>
      <w:start w:val="1"/>
    </w:lvl>
    <w:lvl w:ilvl="1">
      <w:lvlJc w:val="left"/>
      <w:lvlText w:val="%2."/>
      <w:numFmt w:val="decimal"/>
      <w:start w:val="1"/>
    </w:lvl>
  </w:abstractNum>
  <w:abstractNum w:abstractNumId="49">
    <w:nsid w:val="9DAF632"/>
    <w:multiLevelType w:val="hybridMultilevel"/>
    <w:lvl w:ilvl="0">
      <w:lvlJc w:val="left"/>
      <w:lvlText w:val="(%1)"/>
      <w:numFmt w:val="decimal"/>
      <w:start w:val="97"/>
    </w:lvl>
  </w:abstractNum>
  <w:abstractNum w:abstractNumId="50">
    <w:nsid w:val="53299938"/>
    <w:multiLevelType w:val="hybridMultilevel"/>
    <w:lvl w:ilvl="0">
      <w:lvlJc w:val="left"/>
      <w:lvlText w:val="*"/>
      <w:numFmt w:val="bullet"/>
      <w:start w:val="1"/>
    </w:lvl>
    <w:lvl w:ilvl="1">
      <w:lvlJc w:val="left"/>
      <w:lvlText w:val="%2"/>
      <w:numFmt w:val="decimal"/>
      <w:start w:val="104"/>
    </w:lvl>
  </w:abstractNum>
  <w:abstractNum w:abstractNumId="51">
    <w:nsid w:val="1FBFE8E0"/>
    <w:multiLevelType w:val="hybridMultilevel"/>
    <w:lvl w:ilvl="0">
      <w:lvlJc w:val="left"/>
      <w:lvlText w:val="#"/>
      <w:numFmt w:val="bullet"/>
      <w:start w:val="1"/>
    </w:lvl>
  </w:abstractNum>
  <w:abstractNum w:abstractNumId="52">
    <w:nsid w:val="5092CA79"/>
    <w:multiLevelType w:val="hybridMultilevel"/>
    <w:lvl w:ilvl="0">
      <w:lvlJc w:val="left"/>
      <w:lvlText w:val="(%1)"/>
      <w:numFmt w:val="decimal"/>
      <w:start w:val="1"/>
    </w:lvl>
  </w:abstractNum>
  <w:abstractNum w:abstractNumId="53">
    <w:nsid w:val="1D545C4D"/>
    <w:multiLevelType w:val="hybridMultilevel"/>
    <w:lvl w:ilvl="0">
      <w:lvlJc w:val="left"/>
      <w:lvlText w:val="%1."/>
      <w:numFmt w:val="decimal"/>
      <w:start w:val="1"/>
    </w:lvl>
  </w:abstractNum>
  <w:abstractNum w:abstractNumId="54">
    <w:nsid w:val="59ADEA3D"/>
    <w:multiLevelType w:val="hybridMultilevel"/>
    <w:lvl w:ilvl="0">
      <w:lvlJc w:val="left"/>
      <w:lvlText w:val="(%1)"/>
      <w:numFmt w:val="lowerLetter"/>
      <w:start w:val="1"/>
    </w:lvl>
  </w:abstractNum>
  <w:abstractNum w:abstractNumId="55">
    <w:nsid w:val="288F1A34"/>
    <w:multiLevelType w:val="hybridMultilevel"/>
    <w:lvl w:ilvl="0">
      <w:lvlJc w:val="left"/>
      <w:lvlText w:val="%1."/>
      <w:numFmt w:val="decimal"/>
      <w:start w:val="2"/>
    </w:lvl>
  </w:abstractNum>
  <w:abstractNum w:abstractNumId="56">
    <w:nsid w:val="2A155DBC"/>
    <w:multiLevelType w:val="hybridMultilevel"/>
    <w:lvl w:ilvl="0">
      <w:lvlJc w:val="left"/>
      <w:lvlText w:val="%1."/>
      <w:numFmt w:val="decimal"/>
      <w:start w:val="3"/>
    </w:lvl>
  </w:abstractNum>
  <w:abstractNum w:abstractNumId="57">
    <w:nsid w:val="1D9F6E5F"/>
    <w:multiLevelType w:val="hybridMultilevel"/>
    <w:lvl w:ilvl="0">
      <w:lvlJc w:val="left"/>
      <w:lvlText w:val="%1."/>
      <w:numFmt w:val="decimal"/>
      <w:start w:val="4"/>
    </w:lvl>
  </w:abstractNum>
  <w:abstractNum w:abstractNumId="58">
    <w:nsid w:val="97E1B4E"/>
    <w:multiLevelType w:val="hybridMultilevel"/>
    <w:lvl w:ilvl="0">
      <w:lvlJc w:val="left"/>
      <w:lvlText w:val="%1."/>
      <w:numFmt w:val="decimal"/>
      <w:start w:val="5"/>
    </w:lvl>
  </w:abstractNum>
  <w:abstractNum w:abstractNumId="59">
    <w:nsid w:val="51088277"/>
    <w:multiLevelType w:val="hybridMultilevel"/>
    <w:lvl w:ilvl="0">
      <w:lvlJc w:val="left"/>
      <w:lvlText w:val="%1."/>
      <w:numFmt w:val="decimal"/>
      <w:start w:val="8"/>
    </w:lvl>
  </w:abstractNum>
  <w:abstractNum w:abstractNumId="60">
    <w:nsid w:val="1CA0C5FA"/>
    <w:multiLevelType w:val="hybridMultilevel"/>
    <w:lvl w:ilvl="0">
      <w:lvlJc w:val="left"/>
      <w:lvlText w:val="%1"/>
      <w:numFmt w:val="decimal"/>
      <w:start w:val="1"/>
    </w:lvl>
    <w:lvl w:ilvl="1">
      <w:lvlJc w:val="left"/>
      <w:lvlText w:val="%2."/>
      <w:numFmt w:val="upperLetter"/>
      <w:start w:val="3"/>
    </w:lvl>
  </w:abstractNum>
  <w:abstractNum w:abstractNumId="61">
    <w:nsid w:val="53584BCB"/>
    <w:multiLevelType w:val="hybridMultilevel"/>
    <w:lvl w:ilvl="0">
      <w:lvlJc w:val="left"/>
      <w:lvlText w:val="%1."/>
      <w:numFmt w:val="decimal"/>
      <w:start w:val="1"/>
    </w:lvl>
    <w:lvl w:ilvl="1">
      <w:lvlJc w:val="left"/>
      <w:lvlText w:val="%2"/>
      <w:numFmt w:val="upperLetter"/>
      <w:start w:val="1"/>
    </w:lvl>
  </w:abstractNum>
  <w:abstractNum w:abstractNumId="62">
    <w:nsid w:val="415E286C"/>
    <w:multiLevelType w:val="hybridMultilevel"/>
    <w:lvl w:ilvl="0">
      <w:lvlJc w:val="left"/>
      <w:lvlText w:val="%1."/>
      <w:numFmt w:val="decimal"/>
      <w:start w:val="2"/>
    </w:lvl>
  </w:abstractNum>
  <w:abstractNum w:abstractNumId="63">
    <w:nsid w:val="7C58FD05"/>
    <w:multiLevelType w:val="hybridMultilevel"/>
    <w:lvl w:ilvl="0">
      <w:lvlJc w:val="left"/>
      <w:lvlText w:val="%1."/>
      <w:numFmt w:val="decimal"/>
      <w:start w:val="3"/>
    </w:lvl>
  </w:abstractNum>
  <w:abstractNum w:abstractNumId="64">
    <w:nsid w:val="23D86AAC"/>
    <w:multiLevelType w:val="hybridMultilevel"/>
    <w:lvl w:ilvl="0">
      <w:lvlJc w:val="left"/>
      <w:lvlText w:val="%1"/>
      <w:numFmt w:val="decimal"/>
      <w:start w:val="1"/>
    </w:lvl>
    <w:lvl w:ilvl="1">
      <w:lvlJc w:val="left"/>
      <w:lvlText w:val="%2."/>
      <w:numFmt w:val="decimal"/>
      <w:start w:val="5"/>
    </w:lvl>
  </w:abstractNum>
  <w:abstractNum w:abstractNumId="65">
    <w:nsid w:val="45E6D486"/>
    <w:multiLevelType w:val="hybridMultilevel"/>
    <w:lvl w:ilvl="0">
      <w:lvlJc w:val="left"/>
      <w:lvlText w:val="%1."/>
      <w:numFmt w:val="decimal"/>
      <w:start w:val="7"/>
    </w:lvl>
    <w:lvl w:ilvl="1">
      <w:lvlJc w:val="left"/>
      <w:lvlText w:val="%2"/>
      <w:numFmt w:val="decimal"/>
      <w:start w:val="1"/>
    </w:lvl>
  </w:abstractNum>
  <w:abstractNum w:abstractNumId="66">
    <w:nsid w:val="5C10FE21"/>
    <w:multiLevelType w:val="hybridMultilevel"/>
    <w:lvl w:ilvl="0">
      <w:lvlJc w:val="left"/>
      <w:lvlText w:val="%1."/>
      <w:numFmt w:val="decimal"/>
      <w:start w:val="8"/>
    </w:lvl>
  </w:abstractNum>
  <w:abstractNum w:abstractNumId="67">
    <w:nsid w:val="E7FFA2B"/>
    <w:multiLevelType w:val="hybridMultilevel"/>
    <w:lvl w:ilvl="0">
      <w:lvlJc w:val="left"/>
      <w:lvlText w:val="%1"/>
      <w:numFmt w:val="decimal"/>
      <w:start w:val="1"/>
    </w:lvl>
    <w:lvl w:ilvl="1">
      <w:lvlJc w:val="left"/>
      <w:lvlText w:val="%2."/>
      <w:numFmt w:val="decimal"/>
      <w:start w:val="9"/>
    </w:lvl>
  </w:abstractNum>
  <w:abstractNum w:abstractNumId="68">
    <w:nsid w:val="3C5991AA"/>
    <w:multiLevelType w:val="hybridMultilevel"/>
    <w:lvl w:ilvl="0">
      <w:lvlJc w:val="left"/>
      <w:lvlText w:val="%1."/>
      <w:numFmt w:val="decimal"/>
      <w:start w:val="10"/>
    </w:lvl>
    <w:lvl w:ilvl="1">
      <w:lvlJc w:val="left"/>
      <w:lvlText w:val="%2"/>
      <w:numFmt w:val="decimal"/>
      <w:start w:val="1"/>
    </w:lvl>
  </w:abstractNum>
  <w:abstractNum w:abstractNumId="69">
    <w:nsid w:val="4BD8591A"/>
    <w:multiLevelType w:val="hybridMultilevel"/>
    <w:lvl w:ilvl="0">
      <w:lvlJc w:val="left"/>
      <w:lvlText w:val="%1."/>
      <w:numFmt w:val="decimal"/>
      <w:start w:val="11"/>
    </w:lvl>
  </w:abstractNum>
  <w:abstractNum w:abstractNumId="70">
    <w:nsid w:val="78DF6A55"/>
    <w:multiLevelType w:val="hybridMultilevel"/>
    <w:lvl w:ilvl="0">
      <w:lvlJc w:val="left"/>
      <w:lvlText w:val="%1."/>
      <w:numFmt w:val="decimal"/>
      <w:start w:val="1"/>
    </w:lvl>
  </w:abstractNum>
  <w:abstractNum w:abstractNumId="71">
    <w:nsid w:val="39B7AAA2"/>
    <w:multiLevelType w:val="hybridMultilevel"/>
    <w:lvl w:ilvl="0">
      <w:lvlJc w:val="left"/>
      <w:lvlText w:val="(%1)"/>
      <w:numFmt w:val="lowerLetter"/>
      <w:start w:val="3"/>
    </w:lvl>
  </w:abstractNum>
  <w:abstractNum w:abstractNumId="72">
    <w:nsid w:val="2B0D8DBE"/>
    <w:multiLevelType w:val="hybridMultilevel"/>
    <w:lvl w:ilvl="0">
      <w:lvlJc w:val="left"/>
      <w:lvlText w:val="(%1)"/>
      <w:numFmt w:val="lowerLetter"/>
      <w:start w:val="5"/>
    </w:lvl>
  </w:abstractNum>
  <w:abstractNum w:abstractNumId="73">
    <w:nsid w:val="6C80EC70"/>
    <w:multiLevelType w:val="hybridMultilevel"/>
    <w:lvl w:ilvl="0">
      <w:lvlJc w:val="left"/>
      <w:lvlText w:val="(%1)"/>
      <w:numFmt w:val="lowerLetter"/>
      <w:start w:val="6"/>
    </w:lvl>
  </w:abstractNum>
  <w:abstractNum w:abstractNumId="74">
    <w:nsid w:val="379E21B5"/>
    <w:multiLevelType w:val="hybridMultilevel"/>
    <w:lvl w:ilvl="0">
      <w:lvlJc w:val="left"/>
      <w:lvlText w:val="(%1)"/>
      <w:numFmt w:val="lowerLetter"/>
      <w:start w:val="9"/>
    </w:lvl>
  </w:abstractNum>
  <w:abstractNum w:abstractNumId="75">
    <w:nsid w:val="69E373"/>
    <w:multiLevelType w:val="hybridMultilevel"/>
    <w:lvl w:ilvl="0">
      <w:lvlJc w:val="left"/>
      <w:lvlText w:val="(%1)"/>
      <w:numFmt w:val="lowerLetter"/>
      <w:start w:val="18"/>
    </w:lvl>
  </w:abstractNum>
  <w:abstractNum w:abstractNumId="76">
    <w:nsid w:val="2C27173B"/>
    <w:multiLevelType w:val="hybridMultilevel"/>
    <w:lvl w:ilvl="0">
      <w:lvlJc w:val="left"/>
      <w:lvlText w:val="(%1)"/>
      <w:numFmt w:val="lowerLetter"/>
      <w:start w:val="20"/>
    </w:lvl>
  </w:abstractNum>
  <w:abstractNum w:abstractNumId="77">
    <w:nsid w:val="4C9B0904"/>
    <w:multiLevelType w:val="hybridMultilevel"/>
    <w:lvl w:ilvl="0">
      <w:lvlJc w:val="left"/>
      <w:lvlText w:val="(%1)"/>
      <w:numFmt w:val="lowerLetter"/>
      <w:start w:val="26"/>
    </w:lvl>
  </w:abstractNum>
  <w:abstractNum w:abstractNumId="78">
    <w:nsid w:val="6AA7B75C"/>
    <w:multiLevelType w:val="hybridMultilevel"/>
    <w:lvl w:ilvl="0">
      <w:lvlJc w:val="left"/>
      <w:lvlText w:val="(%1)"/>
      <w:numFmt w:val="lowerLetter"/>
      <w:start w:val="41"/>
    </w:lvl>
  </w:abstractNum>
  <w:abstractNum w:abstractNumId="79">
    <w:nsid w:val="1DF029D3"/>
    <w:multiLevelType w:val="hybridMultilevel"/>
    <w:lvl w:ilvl="0">
      <w:lvlJc w:val="left"/>
      <w:lvlText w:val="%1."/>
      <w:numFmt w:val="decimal"/>
      <w:start w:val="2"/>
    </w:lvl>
    <w:lvl w:ilvl="1">
      <w:lvlJc w:val="left"/>
      <w:lvlText w:val="(%2)"/>
      <w:numFmt w:val="lowerLetter"/>
      <w:start w:val="1"/>
    </w:lvl>
  </w:abstractNum>
  <w:abstractNum w:abstractNumId="80">
    <w:nsid w:val="5675FF36"/>
    <w:multiLevelType w:val="hybridMultilevel"/>
    <w:lvl w:ilvl="0">
      <w:lvlJc w:val="left"/>
      <w:lvlText w:val="%1."/>
      <w:numFmt w:val="decimal"/>
      <w:start w:val="3"/>
    </w:lvl>
    <w:lvl w:ilvl="1">
      <w:lvlJc w:val="left"/>
      <w:lvlText w:val="(%2)"/>
      <w:numFmt w:val="lowerLetter"/>
      <w:start w:val="1"/>
    </w:lvl>
  </w:abstractNum>
  <w:abstractNum w:abstractNumId="81">
    <w:nsid w:val="3DD15094"/>
    <w:multiLevelType w:val="hybridMultilevel"/>
    <w:lvl w:ilvl="0">
      <w:lvlJc w:val="left"/>
      <w:lvlText w:val="(%1)"/>
      <w:numFmt w:val="lowerLetter"/>
      <w:start w:val="3"/>
    </w:lvl>
  </w:abstractNum>
  <w:abstractNum w:abstractNumId="82">
    <w:nsid w:val="3DB012B3"/>
    <w:multiLevelType w:val="hybridMultilevel"/>
    <w:lvl w:ilvl="0">
      <w:lvlJc w:val="left"/>
      <w:lvlText w:val="(%1)"/>
      <w:numFmt w:val="lowerRoman"/>
      <w:start w:val="4"/>
    </w:lvl>
  </w:abstractNum>
  <w:abstractNum w:abstractNumId="83">
    <w:nsid w:val="2708C9AF"/>
    <w:multiLevelType w:val="hybridMultilevel"/>
    <w:lvl w:ilvl="0">
      <w:lvlJc w:val="left"/>
      <w:lvlText w:val="(%1)"/>
      <w:numFmt w:val="lowerLetter"/>
      <w:start w:val="9"/>
    </w:lvl>
    <w:lvl w:ilvl="1">
      <w:lvlJc w:val="left"/>
      <w:lvlText w:val="(%2)"/>
      <w:numFmt w:val="lowerLetter"/>
      <w:start w:val="5"/>
    </w:lvl>
  </w:abstractNum>
  <w:abstractNum w:abstractNumId="84">
    <w:nsid w:val="5B25ACE2"/>
    <w:multiLevelType w:val="hybridMultilevel"/>
    <w:lvl w:ilvl="0">
      <w:lvlJc w:val="left"/>
      <w:lvlText w:val="%1"/>
      <w:numFmt w:val="decimal"/>
      <w:start w:val="1"/>
    </w:lvl>
    <w:lvl w:ilvl="1">
      <w:lvlJc w:val="left"/>
      <w:lvlText w:val="(%2)"/>
      <w:numFmt w:val="lowerLetter"/>
      <w:start w:val="6"/>
    </w:lvl>
  </w:abstractNum>
  <w:abstractNum w:abstractNumId="85">
    <w:nsid w:val="175DFCF0"/>
    <w:multiLevelType w:val="hybridMultilevel"/>
    <w:lvl w:ilvl="0">
      <w:lvlJc w:val="left"/>
      <w:lvlText w:val="%1."/>
      <w:numFmt w:val="decimal"/>
      <w:start w:val="4"/>
    </w:lvl>
    <w:lvl w:ilvl="1">
      <w:lvlJc w:val="left"/>
      <w:lvlText w:val="(%2)"/>
      <w:numFmt w:val="lowerLetter"/>
      <w:start w:val="1"/>
    </w:lvl>
  </w:abstractNum>
  <w:abstractNum w:abstractNumId="86">
    <w:nsid w:val="4F97E3E4"/>
    <w:multiLevelType w:val="hybridMultilevel"/>
    <w:lvl w:ilvl="0">
      <w:lvlJc w:val="left"/>
      <w:lvlText w:val="(%1)"/>
      <w:numFmt w:val="lowerLetter"/>
      <w:start w:val="3"/>
    </w:lvl>
  </w:abstractNum>
  <w:abstractNum w:abstractNumId="87">
    <w:nsid w:val="53B0A9E"/>
    <w:multiLevelType w:val="hybridMultilevel"/>
    <w:lvl w:ilvl="0">
      <w:lvlJc w:val="left"/>
      <w:lvlText w:val="%1"/>
      <w:numFmt w:val="lowerLetter"/>
      <w:start w:val="1"/>
    </w:lvl>
    <w:lvl w:ilvl="1">
      <w:lvlJc w:val="left"/>
      <w:lvlText w:val="(%2)"/>
      <w:numFmt w:val="lowerRoman"/>
      <w:start w:val="1"/>
    </w:lvl>
  </w:abstractNum>
  <w:abstractNum w:abstractNumId="88">
    <w:nsid w:val="34FD6B4F"/>
    <w:multiLevelType w:val="hybridMultilevel"/>
    <w:lvl w:ilvl="0">
      <w:lvlJc w:val="left"/>
      <w:lvlText w:val="(%1)"/>
      <w:numFmt w:val="lowerLetter"/>
      <w:start w:val="5"/>
    </w:lvl>
    <w:lvl w:ilvl="1">
      <w:lvlJc w:val="left"/>
      <w:lvlText w:val="%2"/>
      <w:numFmt w:val="lowerRoman"/>
      <w:start w:val="1"/>
    </w:lvl>
  </w:abstractNum>
  <w:abstractNum w:abstractNumId="89">
    <w:nsid w:val="5915FF32"/>
    <w:multiLevelType w:val="hybridMultilevel"/>
    <w:lvl w:ilvl="0">
      <w:lvlJc w:val="left"/>
      <w:lvlText w:val="%1."/>
      <w:numFmt w:val="decimal"/>
      <w:start w:val="5"/>
    </w:lvl>
  </w:abstractNum>
  <w:abstractNum w:abstractNumId="90">
    <w:nsid w:val="56438D15"/>
    <w:multiLevelType w:val="hybridMultilevel"/>
    <w:lvl w:ilvl="0">
      <w:lvlJc w:val="left"/>
      <w:lvlText w:val="(%1)"/>
      <w:numFmt w:val="lowerLetter"/>
      <w:start w:val="1"/>
    </w:lvl>
  </w:abstractNum>
  <w:abstractNum w:abstractNumId="91">
    <w:nsid w:val="519E3149"/>
    <w:multiLevelType w:val="hybridMultilevel"/>
    <w:lvl w:ilvl="0">
      <w:lvlJc w:val="left"/>
      <w:lvlText w:val="(%1)"/>
      <w:numFmt w:val="lowerLetter"/>
      <w:start w:val="4"/>
    </w:lvl>
    <w:lvl w:ilvl="1">
      <w:lvlJc w:val="left"/>
      <w:lvlText w:val="(%2)"/>
      <w:numFmt w:val="lowerRoman"/>
      <w:start w:val="1"/>
    </w:lvl>
  </w:abstractNum>
  <w:abstractNum w:abstractNumId="92">
    <w:nsid w:val="2C6E4AFD"/>
    <w:multiLevelType w:val="hybridMultilevel"/>
    <w:lvl w:ilvl="0">
      <w:lvlJc w:val="left"/>
      <w:lvlText w:val="%1"/>
      <w:numFmt w:val="lowerLetter"/>
      <w:start w:val="1"/>
    </w:lvl>
    <w:lvl w:ilvl="1">
      <w:lvlJc w:val="left"/>
      <w:lvlText w:val="(%2)"/>
      <w:numFmt w:val="lowerLetter"/>
      <w:start w:val="6"/>
    </w:lvl>
  </w:abstractNum>
  <w:abstractNum w:abstractNumId="93">
    <w:nsid w:val="17A1B582"/>
    <w:multiLevelType w:val="hybridMultilevel"/>
    <w:lvl w:ilvl="0">
      <w:lvlJc w:val="left"/>
      <w:lvlText w:val="(%1)"/>
      <w:numFmt w:val="lowerLetter"/>
      <w:start w:val="35"/>
    </w:lvl>
    <w:lvl w:ilvl="1">
      <w:lvlJc w:val="left"/>
      <w:lvlText w:val="(%2)"/>
      <w:numFmt w:val="lowerLetter"/>
      <w:start w:val="8"/>
    </w:lvl>
  </w:abstractNum>
  <w:abstractNum w:abstractNumId="94">
    <w:nsid w:val="4DF72E4E"/>
    <w:multiLevelType w:val="hybridMultilevel"/>
    <w:lvl w:ilvl="0">
      <w:lvlJc w:val="left"/>
      <w:lvlText w:val="(%1)"/>
      <w:numFmt w:val="lowerLetter"/>
      <w:start w:val="10"/>
    </w:lvl>
  </w:abstractNum>
  <w:abstractNum w:abstractNumId="95">
    <w:nsid w:val="5046B5A9"/>
    <w:multiLevelType w:val="hybridMultilevel"/>
    <w:lvl w:ilvl="0">
      <w:lvlJc w:val="left"/>
      <w:lvlText w:val="(%1)"/>
      <w:numFmt w:val="lowerLetter"/>
      <w:start w:val="12"/>
    </w:lvl>
  </w:abstractNum>
  <w:abstractNum w:abstractNumId="96">
    <w:nsid w:val="5D888A08"/>
    <w:multiLevelType w:val="hybridMultilevel"/>
    <w:lvl w:ilvl="0">
      <w:lvlJc w:val="left"/>
      <w:lvlText w:val="%1"/>
      <w:numFmt w:val="decimal"/>
      <w:start w:val="1"/>
    </w:lvl>
    <w:lvl w:ilvl="1">
      <w:lvlJc w:val="left"/>
      <w:lvlText w:val="(%2)"/>
      <w:numFmt w:val="lowerLetter"/>
      <w:start w:val="14"/>
    </w:lvl>
  </w:abstractNum>
  <w:abstractNum w:abstractNumId="97">
    <w:nsid w:val="2A082C70"/>
    <w:multiLevelType w:val="hybridMultilevel"/>
    <w:lvl w:ilvl="0">
      <w:lvlJc w:val="left"/>
      <w:lvlText w:val="%1."/>
      <w:numFmt w:val="decimal"/>
      <w:start w:val="6"/>
    </w:lvl>
    <w:lvl w:ilvl="1">
      <w:lvlJc w:val="left"/>
      <w:lvlText w:val="%2"/>
      <w:numFmt w:val="lowerLetter"/>
      <w:start w:val="1"/>
    </w:lvl>
  </w:abstractNum>
  <w:abstractNum w:abstractNumId="98">
    <w:nsid w:val="5EC6AFD4"/>
    <w:multiLevelType w:val="hybridMultilevel"/>
    <w:lvl w:ilvl="0">
      <w:lvlJc w:val="left"/>
      <w:lvlText w:val="(%1)"/>
      <w:numFmt w:val="lowerLetter"/>
      <w:start w:val="1"/>
    </w:lvl>
  </w:abstractNum>
  <w:abstractNum w:abstractNumId="99">
    <w:nsid w:val="19E21BB2"/>
    <w:multiLevelType w:val="hybridMultilevel"/>
    <w:lvl w:ilvl="0">
      <w:lvlJc w:val="left"/>
      <w:lvlText w:val="(%1)"/>
      <w:numFmt w:val="lowerLetter"/>
      <w:start w:val="2"/>
    </w:lvl>
  </w:abstractNum>
  <w:abstractNum w:abstractNumId="100">
    <w:nsid w:val="75E0858A"/>
    <w:multiLevelType w:val="hybridMultilevel"/>
    <w:lvl w:ilvl="0">
      <w:lvlJc w:val="left"/>
      <w:lvlText w:val="(%1)"/>
      <w:numFmt w:val="lowerLetter"/>
      <w:start w:val="4"/>
    </w:lvl>
  </w:abstractNum>
  <w:abstractNum w:abstractNumId="101">
    <w:nsid w:val="57A61A29"/>
    <w:multiLevelType w:val="hybridMultilevel"/>
    <w:lvl w:ilvl="0">
      <w:lvlJc w:val="left"/>
      <w:lvlText w:val="(%1)"/>
      <w:numFmt w:val="lowerLetter"/>
      <w:start w:val="8"/>
    </w:lvl>
  </w:abstractNum>
  <w:abstractNum w:abstractNumId="102">
    <w:nsid w:val="5399C654"/>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9"/>
    </w:lvl>
  </w:abstractNum>
  <w:abstractNum w:abstractNumId="103">
    <w:nsid w:val="20EE1348"/>
    <w:multiLevelType w:val="hybridMultilevel"/>
    <w:lvl w:ilvl="0">
      <w:lvlJc w:val="left"/>
      <w:lvlText w:val="%1"/>
      <w:numFmt w:val="lowerLetter"/>
      <w:start w:val="1"/>
    </w:lvl>
    <w:lvl w:ilvl="1">
      <w:lvlJc w:val="left"/>
      <w:lvlText w:val="(%2)"/>
      <w:numFmt w:val="lowerLetter"/>
      <w:start w:val="35"/>
    </w:lvl>
  </w:abstractNum>
  <w:abstractNum w:abstractNumId="104">
    <w:nsid w:val="4427069A"/>
    <w:multiLevelType w:val="hybridMultilevel"/>
    <w:lvl w:ilvl="0">
      <w:lvlJc w:val="left"/>
      <w:lvlText w:val="(%1)"/>
      <w:numFmt w:val="lowerLetter"/>
      <w:start w:val="3"/>
    </w:lvl>
    <w:lvl w:ilvl="1">
      <w:lvlJc w:val="left"/>
      <w:lvlText w:val="(%2)"/>
      <w:numFmt w:val="lowerLetter"/>
      <w:start w:val="9"/>
    </w:lvl>
  </w:abstractNum>
  <w:abstractNum w:abstractNumId="105">
    <w:nsid w:val="B37E80A"/>
    <w:multiLevelType w:val="hybridMultilevel"/>
    <w:lvl w:ilvl="0">
      <w:lvlJc w:val="left"/>
      <w:lvlText w:val="(%1)"/>
      <w:numFmt w:val="lowerRoman"/>
      <w:start w:val="2"/>
    </w:lvl>
  </w:abstractNum>
  <w:abstractNum w:abstractNumId="106">
    <w:nsid w:val="2157F6BC"/>
    <w:multiLevelType w:val="hybridMultilevel"/>
    <w:lvl w:ilvl="0">
      <w:lvlJc w:val="left"/>
      <w:lvlText w:val="%1"/>
      <w:numFmt w:val="lowerLetter"/>
      <w:start w:val="1"/>
    </w:lvl>
    <w:lvl w:ilvl="1">
      <w:lvlJc w:val="left"/>
      <w:lvlText w:val="(%2)"/>
      <w:numFmt w:val="lowerRoman"/>
      <w:start w:val="4"/>
    </w:lvl>
  </w:abstractNum>
  <w:abstractNum w:abstractNumId="107">
    <w:nsid w:val="704E1DD5"/>
    <w:multiLevelType w:val="hybridMultilevel"/>
    <w:lvl w:ilvl="0">
      <w:lvlJc w:val="left"/>
      <w:lvlText w:val="(%1)"/>
      <w:numFmt w:val="lowerLetter"/>
      <w:start w:val="4"/>
    </w:lvl>
    <w:lvl w:ilvl="1">
      <w:lvlJc w:val="left"/>
      <w:lvlText w:val="(%2)"/>
      <w:numFmt w:val="lowerRoman"/>
      <w:start w:val="1"/>
    </w:lvl>
  </w:abstractNum>
  <w:abstractNum w:abstractNumId="108">
    <w:nsid w:val="57D2F10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109">
    <w:nsid w:val="BFFAE18"/>
    <w:multiLevelType w:val="hybridMultilevel"/>
    <w:lvl w:ilvl="0">
      <w:lvlJc w:val="left"/>
      <w:lvlText w:val="%1"/>
      <w:numFmt w:val="decimal"/>
      <w:start w:val="1"/>
    </w:lvl>
    <w:lvl w:ilvl="1">
      <w:lvlJc w:val="left"/>
      <w:lvlText w:val="(%2)"/>
      <w:numFmt w:val="lowerLetter"/>
      <w:start w:val="7"/>
    </w:lvl>
    <w:lvl w:ilvl="2">
      <w:lvlJc w:val="left"/>
      <w:lvlText w:val="%3"/>
      <w:numFmt w:val="lowerLetter"/>
      <w:start w:val="1"/>
    </w:lvl>
  </w:abstractNum>
  <w:abstractNum w:abstractNumId="110">
    <w:nsid w:val="E3E47A8"/>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1"/>
    </w:lvl>
  </w:abstractNum>
  <w:abstractNum w:abstractNumId="111">
    <w:nsid w:val="2E48F044"/>
    <w:multiLevelType w:val="hybridMultilevel"/>
    <w:lvl w:ilvl="0">
      <w:lvlJc w:val="left"/>
      <w:lvlText w:val="(%1)"/>
      <w:numFmt w:val="lowerLetter"/>
      <w:start w:val="1"/>
    </w:lvl>
  </w:abstractNum>
  <w:abstractNum w:abstractNumId="112">
    <w:nsid w:val="49D0FEAC"/>
    <w:multiLevelType w:val="hybridMultilevel"/>
    <w:lvl w:ilvl="0">
      <w:lvlJc w:val="left"/>
      <w:lvlText w:val="(%1)"/>
      <w:numFmt w:val="lowerLetter"/>
      <w:start w:val="2"/>
    </w:lvl>
  </w:abstractNum>
  <w:abstractNum w:abstractNumId="113">
    <w:nsid w:val="4BEE5A5B"/>
    <w:multiLevelType w:val="hybridMultilevel"/>
    <w:lvl w:ilvl="0">
      <w:lvlJc w:val="left"/>
      <w:lvlText w:val="%1."/>
      <w:numFmt w:val="decimal"/>
      <w:start w:val="9"/>
    </w:lvl>
  </w:abstractNum>
  <w:abstractNum w:abstractNumId="114">
    <w:nsid w:val="5551B9F3"/>
    <w:multiLevelType w:val="hybridMultilevel"/>
    <w:lvl w:ilvl="0">
      <w:lvlJc w:val="left"/>
      <w:lvlText w:val="(%1)"/>
      <w:numFmt w:val="lowerLetter"/>
      <w:start w:val="1"/>
    </w:lvl>
    <w:lvl w:ilvl="1">
      <w:lvlJc w:val="left"/>
      <w:lvlText w:val="(%2)"/>
      <w:numFmt w:val="lowerRoman"/>
      <w:start w:val="1"/>
    </w:lvl>
  </w:abstractNum>
  <w:abstractNum w:abstractNumId="115">
    <w:nsid w:val="24F6AB8E"/>
    <w:multiLevelType w:val="hybridMultilevel"/>
    <w:lvl w:ilvl="0">
      <w:lvlJc w:val="left"/>
      <w:lvlText w:val="%1"/>
      <w:numFmt w:val="decimal"/>
      <w:start w:val="1"/>
    </w:lvl>
    <w:lvl w:ilvl="1">
      <w:lvlJc w:val="left"/>
      <w:lvlText w:val="(%2)"/>
      <w:numFmt w:val="lowerLetter"/>
      <w:start w:val="6"/>
    </w:lvl>
  </w:abstractNum>
  <w:abstractNum w:abstractNumId="116">
    <w:nsid w:val="634C574C"/>
    <w:multiLevelType w:val="hybridMultilevel"/>
    <w:lvl w:ilvl="0">
      <w:lvlJc w:val="left"/>
      <w:lvlText w:val="%1."/>
      <w:numFmt w:val="decimal"/>
      <w:start w:val="10"/>
    </w:lvl>
    <w:lvl w:ilvl="1">
      <w:lvlJc w:val="left"/>
      <w:lvlText w:val="(%2)"/>
      <w:numFmt w:val="lowerLetter"/>
      <w:start w:val="1"/>
    </w:lvl>
  </w:abstractNum>
  <w:abstractNum w:abstractNumId="117">
    <w:nsid w:val="24E99DD7"/>
    <w:multiLevelType w:val="hybridMultilevel"/>
    <w:lvl w:ilvl="0">
      <w:lvlJc w:val="left"/>
      <w:lvlText w:val="%1."/>
      <w:numFmt w:val="decimal"/>
      <w:start w:val="11"/>
    </w:lvl>
  </w:abstractNum>
  <w:abstractNum w:abstractNumId="118">
    <w:nsid w:val="2A31B62D"/>
    <w:multiLevelType w:val="hybridMultilevel"/>
    <w:lvl w:ilvl="0">
      <w:lvlJc w:val="left"/>
      <w:lvlText w:val="%1."/>
      <w:numFmt w:val="decimal"/>
      <w:start w:val="12"/>
    </w:lvl>
    <w:lvl w:ilvl="1">
      <w:lvlJc w:val="left"/>
      <w:lvlText w:val="(%2)"/>
      <w:numFmt w:val="lowerLetter"/>
      <w:start w:val="1"/>
    </w:lvl>
  </w:abstractNum>
  <w:abstractNum w:abstractNumId="119">
    <w:nsid w:val="1849C29B"/>
    <w:multiLevelType w:val="hybridMultilevel"/>
    <w:lvl w:ilvl="0">
      <w:lvlJc w:val="left"/>
      <w:lvlText w:val="(%1)"/>
      <w:numFmt w:val="lowerLetter"/>
      <w:start w:val="2"/>
    </w:lvl>
    <w:lvl w:ilvl="1">
      <w:lvlJc w:val="left"/>
      <w:lvlText w:val="(%2)"/>
      <w:numFmt w:val="lowerLetter"/>
      <w:start w:val="9"/>
    </w:lvl>
  </w:abstractNum>
  <w:abstractNum w:abstractNumId="120">
    <w:nsid w:val="7DFF9D09"/>
    <w:multiLevelType w:val="hybridMultilevel"/>
    <w:lvl w:ilvl="0">
      <w:lvlJc w:val="left"/>
      <w:lvlText w:val="%1"/>
      <w:numFmt w:val="lowerLetter"/>
      <w:start w:val="1"/>
    </w:lvl>
    <w:lvl w:ilvl="1">
      <w:lvlJc w:val="left"/>
      <w:lvlText w:val="(%2)"/>
      <w:numFmt w:val="lowerLetter"/>
      <w:start w:val="35"/>
    </w:lvl>
  </w:abstractNum>
  <w:abstractNum w:abstractNumId="121">
    <w:nsid w:val="754342"/>
    <w:multiLevelType w:val="hybridMultilevel"/>
    <w:lvl w:ilvl="0">
      <w:lvlJc w:val="left"/>
      <w:lvlText w:val="(%1)"/>
      <w:numFmt w:val="lowerLetter"/>
      <w:start w:val="4"/>
    </w:lvl>
    <w:lvl w:ilvl="1">
      <w:lvlJc w:val="left"/>
      <w:lvlText w:val="(%2)"/>
      <w:numFmt w:val="lowerLetter"/>
      <w:start w:val="9"/>
    </w:lvl>
  </w:abstractNum>
  <w:abstractNum w:abstractNumId="122">
    <w:nsid w:val="69E7F3E5"/>
    <w:multiLevelType w:val="hybridMultilevel"/>
    <w:lvl w:ilvl="0">
      <w:lvlJc w:val="left"/>
      <w:lvlText w:val="(%1)"/>
      <w:numFmt w:val="lowerRoman"/>
      <w:start w:val="2"/>
    </w:lvl>
  </w:abstractNum>
  <w:abstractNum w:abstractNumId="123">
    <w:nsid w:val="2A6DE806"/>
    <w:multiLevelType w:val="hybridMultilevel"/>
    <w:lvl w:ilvl="0">
      <w:lvlJc w:val="left"/>
      <w:lvlText w:val="%1"/>
      <w:numFmt w:val="lowerLetter"/>
      <w:start w:val="1"/>
    </w:lvl>
    <w:lvl w:ilvl="1">
      <w:lvlJc w:val="left"/>
      <w:lvlText w:val="(%2)"/>
      <w:numFmt w:val="lowerLetter"/>
      <w:start w:val="61"/>
    </w:lvl>
  </w:abstractNum>
  <w:abstractNum w:abstractNumId="124">
    <w:nsid w:val="1816F8C4"/>
    <w:multiLevelType w:val="hybridMultilevel"/>
    <w:lvl w:ilvl="0">
      <w:lvlJc w:val="left"/>
      <w:lvlText w:val="(%1)"/>
      <w:numFmt w:val="lowerLetter"/>
      <w:start w:val="5"/>
    </w:lvl>
    <w:lvl w:ilvl="1">
      <w:lvlJc w:val="left"/>
      <w:lvlText w:val="%2"/>
      <w:numFmt w:val="lowerLetter"/>
      <w:start w:val="1"/>
    </w:lvl>
  </w:abstractNum>
  <w:abstractNum w:abstractNumId="125">
    <w:nsid w:val="37DF2233"/>
    <w:multiLevelType w:val="hybridMultilevel"/>
    <w:lvl w:ilvl="0">
      <w:lvlJc w:val="left"/>
      <w:lvlText w:val="%1"/>
      <w:numFmt w:val="decimal"/>
      <w:start w:val="1"/>
    </w:lvl>
    <w:lvl w:ilvl="1">
      <w:lvlJc w:val="left"/>
      <w:lvlText w:val="(%2)"/>
      <w:numFmt w:val="lowerLetter"/>
      <w:start w:val="7"/>
    </w:lvl>
  </w:abstractNum>
  <w:abstractNum w:abstractNumId="126">
    <w:nsid w:val="7AB49DAF"/>
    <w:multiLevelType w:val="hybridMultilevel"/>
    <w:lvl w:ilvl="0">
      <w:lvlJc w:val="left"/>
      <w:lvlText w:val="%1."/>
      <w:numFmt w:val="decimal"/>
      <w:start w:val="13"/>
    </w:lvl>
    <w:lvl w:ilvl="1">
      <w:lvlJc w:val="left"/>
      <w:lvlText w:val="(%2)"/>
      <w:numFmt w:val="lowerLetter"/>
      <w:start w:val="1"/>
    </w:lvl>
  </w:abstractNum>
  <w:abstractNum w:abstractNumId="127">
    <w:nsid w:val="759F82CD"/>
    <w:multiLevelType w:val="hybridMultilevel"/>
    <w:lvl w:ilvl="0">
      <w:lvlJc w:val="left"/>
      <w:lvlText w:val="(%1)"/>
      <w:numFmt w:val="lowerLetter"/>
      <w:start w:val="3"/>
    </w:lvl>
  </w:abstractNum>
  <w:abstractNum w:abstractNumId="128">
    <w:nsid w:val="61E74EA3"/>
    <w:multiLevelType w:val="hybridMultilevel"/>
    <w:lvl w:ilvl="0">
      <w:lvlJc w:val="left"/>
      <w:lvlText w:val="%1."/>
      <w:numFmt w:val="decimal"/>
      <w:start w:val="14"/>
    </w:lvl>
  </w:abstractNum>
  <w:abstractNum w:abstractNumId="129">
    <w:nsid w:val="597B4D84"/>
    <w:multiLevelType w:val="hybridMultilevel"/>
    <w:lvl w:ilvl="0">
      <w:lvlJc w:val="left"/>
      <w:lvlText w:val="%1."/>
      <w:numFmt w:val="decimal"/>
      <w:start w:val="15"/>
    </w:lvl>
    <w:lvl w:ilvl="1">
      <w:lvlJc w:val="left"/>
      <w:lvlText w:val="(%2)"/>
      <w:numFmt w:val="lowerLetter"/>
      <w:start w:val="1"/>
    </w:lvl>
  </w:abstractNum>
  <w:abstractNum w:abstractNumId="130">
    <w:nsid w:val="F819E7F"/>
    <w:multiLevelType w:val="hybridMultilevel"/>
    <w:lvl w:ilvl="0">
      <w:lvlJc w:val="left"/>
      <w:lvlText w:val="%1."/>
      <w:numFmt w:val="decimal"/>
      <w:start w:val="16"/>
    </w:lvl>
    <w:lvl w:ilvl="1">
      <w:lvlJc w:val="left"/>
      <w:lvlText w:val="(%2)"/>
      <w:numFmt w:val="lowerLetter"/>
      <w:start w:val="1"/>
    </w:lvl>
  </w:abstractNum>
  <w:abstractNum w:abstractNumId="131">
    <w:nsid w:val="57C7D42D"/>
    <w:multiLevelType w:val="hybridMultilevel"/>
    <w:lvl w:ilvl="0">
      <w:lvlJc w:val="left"/>
      <w:lvlText w:val="%1."/>
      <w:numFmt w:val="decimal"/>
      <w:start w:val="17"/>
    </w:lvl>
    <w:lvl w:ilvl="1">
      <w:lvlJc w:val="left"/>
      <w:lvlText w:val="(%2)"/>
      <w:numFmt w:val="lowerLetter"/>
      <w:start w:val="1"/>
    </w:lvl>
  </w:abstractNum>
  <w:abstractNum w:abstractNumId="132">
    <w:nsid w:val="312167AD"/>
    <w:multiLevelType w:val="hybridMultilevel"/>
    <w:lvl w:ilvl="0">
      <w:lvlJc w:val="left"/>
      <w:lvlText w:val="(%1)"/>
      <w:numFmt w:val="lowerLetter"/>
      <w:start w:val="2"/>
    </w:lvl>
    <w:lvl w:ilvl="1">
      <w:lvlJc w:val="left"/>
      <w:lvlText w:val="(%2)"/>
      <w:numFmt w:val="lowerLetter"/>
      <w:start w:val="9"/>
    </w:lvl>
  </w:abstractNum>
  <w:abstractNum w:abstractNumId="133">
    <w:nsid w:val="631B64D4"/>
    <w:multiLevelType w:val="hybridMultilevel"/>
    <w:lvl w:ilvl="0">
      <w:lvlJc w:val="left"/>
      <w:lvlText w:val="(%1)"/>
      <w:numFmt w:val="lowerRoman"/>
      <w:start w:val="2"/>
    </w:lvl>
  </w:abstractNum>
  <w:abstractNum w:abstractNumId="134">
    <w:nsid w:val="78B5E776"/>
    <w:multiLevelType w:val="hybridMultilevel"/>
    <w:lvl w:ilvl="0">
      <w:lvlJc w:val="left"/>
      <w:lvlText w:val="(%1)"/>
      <w:numFmt w:val="lowerLetter"/>
      <w:start w:val="3"/>
    </w:lvl>
  </w:abstractNum>
  <w:abstractNum w:abstractNumId="135">
    <w:nsid w:val="75486E47"/>
    <w:multiLevelType w:val="hybridMultilevel"/>
    <w:lvl w:ilvl="0">
      <w:lvlJc w:val="left"/>
      <w:lvlText w:val="(%1)"/>
      <w:numFmt w:val="lowerLetter"/>
      <w:start w:val="7"/>
    </w:lvl>
  </w:abstractNum>
  <w:abstractNum w:abstractNumId="136">
    <w:nsid w:val="6E534CDE"/>
    <w:multiLevelType w:val="hybridMultilevel"/>
    <w:lvl w:ilvl="0">
      <w:lvlJc w:val="left"/>
      <w:lvlText w:val="(%1)"/>
      <w:numFmt w:val="lowerLetter"/>
      <w:start w:val="11"/>
    </w:lvl>
  </w:abstractNum>
  <w:abstractNum w:abstractNumId="137">
    <w:nsid w:val="1A0DDE32"/>
    <w:multiLevelType w:val="hybridMultilevel"/>
    <w:lvl w:ilvl="0">
      <w:lvlJc w:val="left"/>
      <w:lvlText w:val="(%1)"/>
      <w:numFmt w:val="lowerLetter"/>
      <w:start w:val="14"/>
    </w:lvl>
  </w:abstractNum>
  <w:abstractNum w:abstractNumId="138">
    <w:nsid w:val="65968C1C"/>
    <w:multiLevelType w:val="hybridMultilevel"/>
    <w:lvl w:ilvl="0">
      <w:lvlJc w:val="left"/>
      <w:lvlText w:val="%1."/>
      <w:numFmt w:val="decimal"/>
      <w:start w:val="1"/>
    </w:lvl>
  </w:abstractNum>
  <w:abstractNum w:abstractNumId="139">
    <w:nsid w:val="46263DEC"/>
    <w:multiLevelType w:val="hybridMultilevel"/>
    <w:lvl w:ilvl="0">
      <w:lvlJc w:val="left"/>
      <w:lvlText w:val="%1."/>
      <w:numFmt w:val="decimal"/>
      <w:start w:val="1"/>
    </w:lvl>
  </w:abstractNum>
  <w:abstractNum w:abstractNumId="140">
    <w:nsid w:val="260D8C4A"/>
    <w:multiLevelType w:val="hybridMultilevel"/>
    <w:lvl w:ilvl="0">
      <w:lvlJc w:val="left"/>
      <w:lvlText w:val="%1."/>
      <w:numFmt w:val="decimal"/>
      <w:start w:val="1"/>
    </w:lvl>
  </w:abstractNum>
  <w:abstractNum w:abstractNumId="141">
    <w:nsid w:val="73D4D3C4"/>
    <w:multiLevelType w:val="hybridMultilevel"/>
    <w:lvl w:ilvl="0">
      <w:lvlJc w:val="left"/>
      <w:lvlText w:val="•"/>
      <w:numFmt w:val="bullet"/>
      <w:start w:val="1"/>
    </w:lvl>
  </w:abstractNum>
  <w:abstractNum w:abstractNumId="142">
    <w:nsid w:val="746F2E30"/>
    <w:multiLevelType w:val="hybridMultilevel"/>
    <w:lvl w:ilvl="0">
      <w:lvlJc w:val="left"/>
      <w:lvlText w:val="•"/>
      <w:numFmt w:val="bullet"/>
      <w:start w:val="1"/>
    </w:lvl>
  </w:abstractNum>
  <w:abstractNum w:abstractNumId="143">
    <w:nsid w:val="6FDE8AF6"/>
    <w:multiLevelType w:val="hybridMultilevel"/>
    <w:lvl w:ilvl="0">
      <w:lvlJc w:val="left"/>
      <w:lvlText w:val="•"/>
      <w:numFmt w:val="bullet"/>
      <w:start w:val="1"/>
    </w:lvl>
    <w:lvl w:ilvl="1">
      <w:lvlJc w:val="left"/>
      <w:lvlText w:val="•"/>
      <w:numFmt w:val="bullet"/>
      <w:start w:val="1"/>
    </w:lvl>
  </w:abstractNum>
  <w:abstractNum w:abstractNumId="144">
    <w:nsid w:val="3FC32E20"/>
    <w:multiLevelType w:val="hybridMultilevel"/>
    <w:lvl w:ilvl="0">
      <w:lvlJc w:val="left"/>
      <w:lvlText w:val="•"/>
      <w:numFmt w:val="bullet"/>
      <w:start w:val="1"/>
    </w:lvl>
  </w:abstractNum>
  <w:abstractNum w:abstractNumId="145">
    <w:nsid w:val="49C0E823"/>
    <w:multiLevelType w:val="hybridMultilevel"/>
    <w:lvl w:ilvl="0">
      <w:lvlJc w:val="left"/>
      <w:lvlText w:val="•"/>
      <w:numFmt w:val="bullet"/>
      <w:start w:val="1"/>
    </w:lvl>
  </w:abstractNum>
  <w:abstractNum w:abstractNumId="146">
    <w:nsid w:val="14D53685"/>
    <w:multiLevelType w:val="hybridMultilevel"/>
    <w:lvl w:ilvl="0">
      <w:lvlJc w:val="left"/>
      <w:lvlText w:val="•"/>
      <w:numFmt w:val="bullet"/>
      <w:start w:val="1"/>
    </w:lvl>
  </w:abstractNum>
  <w:abstractNum w:abstractNumId="147">
    <w:nsid w:val="230F856C"/>
    <w:multiLevelType w:val="hybridMultilevel"/>
    <w:lvl w:ilvl="0">
      <w:lvlJc w:val="left"/>
      <w:lvlText w:val="•"/>
      <w:numFmt w:val="bullet"/>
      <w:start w:val="1"/>
    </w:lvl>
  </w:abstractNum>
  <w:abstractNum w:abstractNumId="148">
    <w:nsid w:val="6EAA85FB"/>
    <w:multiLevelType w:val="hybridMultilevel"/>
    <w:lvl w:ilvl="0">
      <w:lvlJc w:val="left"/>
      <w:lvlText w:val="•"/>
      <w:numFmt w:val="bullet"/>
      <w:start w:val="1"/>
    </w:lvl>
  </w:abstractNum>
  <w:abstractNum w:abstractNumId="149">
    <w:nsid w:val="3F06ECB2"/>
    <w:multiLevelType w:val="hybridMultilevel"/>
    <w:lvl w:ilvl="0">
      <w:lvlJc w:val="left"/>
      <w:lvlText w:val="%1."/>
      <w:numFmt w:val="decimal"/>
      <w:start w:val="1"/>
    </w:lvl>
  </w:abstractNum>
  <w:abstractNum w:abstractNumId="150">
    <w:nsid w:val="3B594807"/>
    <w:multiLevelType w:val="hybridMultilevel"/>
    <w:lvl w:ilvl="0">
      <w:lvlJc w:val="left"/>
      <w:lvlText w:val="•"/>
      <w:numFmt w:val="bullet"/>
      <w:start w:val="1"/>
    </w:lvl>
  </w:abstractNum>
  <w:abstractNum w:abstractNumId="151">
    <w:nsid w:val="6CAA2304"/>
    <w:multiLevelType w:val="hybridMultilevel"/>
    <w:lvl w:ilvl="0">
      <w:lvlJc w:val="left"/>
      <w:lvlText w:val="•"/>
      <w:numFmt w:val="bullet"/>
      <w:start w:val="1"/>
    </w:lvl>
    <w:lvl w:ilvl="1">
      <w:lvlJc w:val="left"/>
      <w:lvlText w:val="o"/>
      <w:numFmt w:val="bullet"/>
      <w:start w:val="1"/>
    </w:lvl>
  </w:abstractNum>
  <w:abstractNum w:abstractNumId="152">
    <w:nsid w:val="3F7C2FF4"/>
    <w:multiLevelType w:val="hybridMultilevel"/>
    <w:lvl w:ilvl="0">
      <w:lvlJc w:val="left"/>
      <w:lvlText w:val="•"/>
      <w:numFmt w:val="bullet"/>
      <w:start w:val="1"/>
    </w:lvl>
  </w:abstractNum>
  <w:abstractNum w:abstractNumId="153">
    <w:nsid w:val="25413BEC"/>
    <w:multiLevelType w:val="hybridMultilevel"/>
    <w:lvl w:ilvl="0">
      <w:lvlJc w:val="left"/>
      <w:lvlText w:val="•"/>
      <w:numFmt w:val="bullet"/>
      <w:start w:val="1"/>
    </w:lvl>
  </w:abstractNum>
  <w:abstractNum w:abstractNumId="154">
    <w:nsid w:val="17180B0B"/>
    <w:multiLevelType w:val="hybridMultilevel"/>
    <w:lvl w:ilvl="0">
      <w:lvlJc w:val="left"/>
      <w:lvlText w:val="•"/>
      <w:numFmt w:val="bullet"/>
      <w:start w:val="1"/>
    </w:lvl>
  </w:abstractNum>
  <w:abstractNum w:abstractNumId="155">
    <w:nsid w:val="579328B9"/>
    <w:multiLevelType w:val="hybridMultilevel"/>
    <w:lvl w:ilvl="0">
      <w:lvlJc w:val="left"/>
      <w:lvlText w:val="(%1)"/>
      <w:numFmt w:val="decimal"/>
      <w:start w:val="1"/>
    </w:lvl>
  </w:abstractNum>
  <w:abstractNum w:abstractNumId="156">
    <w:nsid w:val="5D205E20"/>
    <w:multiLevelType w:val="hybridMultilevel"/>
    <w:lvl w:ilvl="0">
      <w:lvlJc w:val="left"/>
      <w:lvlText w:val="%1)"/>
      <w:numFmt w:val="decimal"/>
      <w:start w:val="1"/>
    </w:lvl>
    <w:lvl w:ilvl="1">
      <w:lvlJc w:val="left"/>
      <w:lvlText w:val="%2)"/>
      <w:numFmt w:val="lowerLetter"/>
      <w:start w:val="1"/>
    </w:lvl>
  </w:abstractNum>
  <w:abstractNum w:abstractNumId="157">
    <w:nsid w:val="11CCA8B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58">
    <w:nsid w:val="4D32AB86"/>
    <w:multiLevelType w:val="hybridMultilevel"/>
    <w:lvl w:ilvl="0">
      <w:lvlJc w:val="left"/>
      <w:lvlText w:val="%1)"/>
      <w:numFmt w:val="decimal"/>
      <w:start w:val="1"/>
    </w:lvl>
  </w:abstractNum>
  <w:abstractNum w:abstractNumId="159">
    <w:nsid w:val="3F07ACC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23" Type="http://schemas.openxmlformats.org/officeDocument/2006/relationships/image" Target="media/image704.png"/><Relationship Id="rId724" Type="http://schemas.openxmlformats.org/officeDocument/2006/relationships/image" Target="media/image705.png"/><Relationship Id="rId739" Type="http://schemas.openxmlformats.org/officeDocument/2006/relationships/image" Target="media/image706.png"/><Relationship Id="rId740" Type="http://schemas.openxmlformats.org/officeDocument/2006/relationships/image" Target="media/image707.png"/><Relationship Id="rId742" Type="http://schemas.openxmlformats.org/officeDocument/2006/relationships/image" Target="media/image708.png"/><Relationship Id="rId746" Type="http://schemas.openxmlformats.org/officeDocument/2006/relationships/image" Target="media/image709.png"/><Relationship Id="rId757" Type="http://schemas.openxmlformats.org/officeDocument/2006/relationships/image" Target="media/image710.png"/><Relationship Id="rId759" Type="http://schemas.openxmlformats.org/officeDocument/2006/relationships/image" Target="media/image711.png"/><Relationship Id="rId764" Type="http://schemas.openxmlformats.org/officeDocument/2006/relationships/image" Target="media/image712.png"/><Relationship Id="rId771" Type="http://schemas.openxmlformats.org/officeDocument/2006/relationships/image" Target="media/image713.png"/><Relationship Id="rId774" Type="http://schemas.openxmlformats.org/officeDocument/2006/relationships/image" Target="media/image714.png"/><Relationship Id="rId775" Type="http://schemas.openxmlformats.org/officeDocument/2006/relationships/image" Target="media/image715.png"/><Relationship Id="rId777" Type="http://schemas.openxmlformats.org/officeDocument/2006/relationships/image" Target="media/image716.png"/><Relationship Id="rId778" Type="http://schemas.openxmlformats.org/officeDocument/2006/relationships/image" Target="media/image717.png"/><Relationship Id="rId779" Type="http://schemas.openxmlformats.org/officeDocument/2006/relationships/image" Target="media/image718.png"/><Relationship Id="rId780" Type="http://schemas.openxmlformats.org/officeDocument/2006/relationships/image" Target="media/image719.png"/><Relationship Id="rId781" Type="http://schemas.openxmlformats.org/officeDocument/2006/relationships/image" Target="media/image720.png"/><Relationship Id="rId782" Type="http://schemas.openxmlformats.org/officeDocument/2006/relationships/image" Target="media/image721.png"/><Relationship Id="rId783" Type="http://schemas.openxmlformats.org/officeDocument/2006/relationships/image" Target="media/image722.png"/><Relationship Id="rId784" Type="http://schemas.openxmlformats.org/officeDocument/2006/relationships/image" Target="media/image723.png"/><Relationship Id="rId785" Type="http://schemas.openxmlformats.org/officeDocument/2006/relationships/image" Target="media/image724.png"/><Relationship Id="rId786" Type="http://schemas.openxmlformats.org/officeDocument/2006/relationships/image" Target="media/image725.png"/><Relationship Id="rId787" Type="http://schemas.openxmlformats.org/officeDocument/2006/relationships/image" Target="media/image726.png"/><Relationship Id="rId788" Type="http://schemas.openxmlformats.org/officeDocument/2006/relationships/image" Target="media/image727.png"/><Relationship Id="rId789" Type="http://schemas.openxmlformats.org/officeDocument/2006/relationships/image" Target="media/image728.png"/><Relationship Id="rId790" Type="http://schemas.openxmlformats.org/officeDocument/2006/relationships/image" Target="media/image729.png"/><Relationship Id="rId791" Type="http://schemas.openxmlformats.org/officeDocument/2006/relationships/image" Target="media/image730.png"/><Relationship Id="rId792" Type="http://schemas.openxmlformats.org/officeDocument/2006/relationships/image" Target="media/image731.png"/><Relationship Id="rId793" Type="http://schemas.openxmlformats.org/officeDocument/2006/relationships/image" Target="media/image732.png"/><Relationship Id="rId794" Type="http://schemas.openxmlformats.org/officeDocument/2006/relationships/image" Target="media/image733.png"/><Relationship Id="rId795" Type="http://schemas.openxmlformats.org/officeDocument/2006/relationships/image" Target="media/image734.png"/><Relationship Id="rId796" Type="http://schemas.openxmlformats.org/officeDocument/2006/relationships/image" Target="media/image735.png"/><Relationship Id="rId797" Type="http://schemas.openxmlformats.org/officeDocument/2006/relationships/image" Target="media/image736.png"/><Relationship Id="rId798" Type="http://schemas.openxmlformats.org/officeDocument/2006/relationships/image" Target="media/image737.png"/><Relationship Id="rId799" Type="http://schemas.openxmlformats.org/officeDocument/2006/relationships/image" Target="media/image738.png"/><Relationship Id="rId800" Type="http://schemas.openxmlformats.org/officeDocument/2006/relationships/image" Target="media/image739.png"/><Relationship Id="rId801" Type="http://schemas.openxmlformats.org/officeDocument/2006/relationships/image" Target="media/image740.png"/><Relationship Id="rId802" Type="http://schemas.openxmlformats.org/officeDocument/2006/relationships/image" Target="media/image741.png"/><Relationship Id="rId803" Type="http://schemas.openxmlformats.org/officeDocument/2006/relationships/image" Target="media/image742.png"/><Relationship Id="rId804" Type="http://schemas.openxmlformats.org/officeDocument/2006/relationships/image" Target="media/image743.png"/><Relationship Id="rId805" Type="http://schemas.openxmlformats.org/officeDocument/2006/relationships/image" Target="media/image744.png"/><Relationship Id="rId806" Type="http://schemas.openxmlformats.org/officeDocument/2006/relationships/image" Target="media/image745.png"/><Relationship Id="rId807" Type="http://schemas.openxmlformats.org/officeDocument/2006/relationships/image" Target="media/image746.png"/><Relationship Id="rId808" Type="http://schemas.openxmlformats.org/officeDocument/2006/relationships/image" Target="media/image747.png"/><Relationship Id="rId809" Type="http://schemas.openxmlformats.org/officeDocument/2006/relationships/image" Target="media/image748.png"/><Relationship Id="rId810" Type="http://schemas.openxmlformats.org/officeDocument/2006/relationships/image" Target="media/image749.png"/><Relationship Id="rId811" Type="http://schemas.openxmlformats.org/officeDocument/2006/relationships/image" Target="media/image750.png"/><Relationship Id="rId812" Type="http://schemas.openxmlformats.org/officeDocument/2006/relationships/image" Target="media/image751.png"/><Relationship Id="rId813" Type="http://schemas.openxmlformats.org/officeDocument/2006/relationships/image" Target="media/image752.png"/><Relationship Id="rId814" Type="http://schemas.openxmlformats.org/officeDocument/2006/relationships/image" Target="media/image753.png"/><Relationship Id="rId815" Type="http://schemas.openxmlformats.org/officeDocument/2006/relationships/image" Target="media/image754.png"/><Relationship Id="rId816" Type="http://schemas.openxmlformats.org/officeDocument/2006/relationships/image" Target="media/image755.png"/><Relationship Id="rId817" Type="http://schemas.openxmlformats.org/officeDocument/2006/relationships/image" Target="media/image756.png"/><Relationship Id="rId818" Type="http://schemas.openxmlformats.org/officeDocument/2006/relationships/image" Target="media/image757.png"/><Relationship Id="rId819" Type="http://schemas.openxmlformats.org/officeDocument/2006/relationships/image" Target="media/image758.png"/><Relationship Id="rId820" Type="http://schemas.openxmlformats.org/officeDocument/2006/relationships/image" Target="media/image759.png"/><Relationship Id="rId821" Type="http://schemas.openxmlformats.org/officeDocument/2006/relationships/image" Target="media/image760.png"/><Relationship Id="rId822" Type="http://schemas.openxmlformats.org/officeDocument/2006/relationships/image" Target="media/image761.png"/><Relationship Id="rId823" Type="http://schemas.openxmlformats.org/officeDocument/2006/relationships/image" Target="media/image762.png"/><Relationship Id="rId824" Type="http://schemas.openxmlformats.org/officeDocument/2006/relationships/image" Target="media/image763.png"/><Relationship Id="rId825" Type="http://schemas.openxmlformats.org/officeDocument/2006/relationships/image" Target="media/image764.png"/><Relationship Id="rId826" Type="http://schemas.openxmlformats.org/officeDocument/2006/relationships/image" Target="media/image765.png"/><Relationship Id="rId827" Type="http://schemas.openxmlformats.org/officeDocument/2006/relationships/image" Target="media/image766.png"/><Relationship Id="rId828" Type="http://schemas.openxmlformats.org/officeDocument/2006/relationships/image" Target="media/image767.png"/><Relationship Id="rId829" Type="http://schemas.openxmlformats.org/officeDocument/2006/relationships/image" Target="media/image768.png"/><Relationship Id="rId830" Type="http://schemas.openxmlformats.org/officeDocument/2006/relationships/image" Target="media/image769.png"/><Relationship Id="rId831" Type="http://schemas.openxmlformats.org/officeDocument/2006/relationships/image" Target="media/image770.png"/><Relationship Id="rId832" Type="http://schemas.openxmlformats.org/officeDocument/2006/relationships/image" Target="media/image771.png"/><Relationship Id="rId833" Type="http://schemas.openxmlformats.org/officeDocument/2006/relationships/image" Target="media/image772.png"/><Relationship Id="rId834" Type="http://schemas.openxmlformats.org/officeDocument/2006/relationships/image" Target="media/image773.png"/><Relationship Id="rId835" Type="http://schemas.openxmlformats.org/officeDocument/2006/relationships/image" Target="media/image774.png"/><Relationship Id="rId836" Type="http://schemas.openxmlformats.org/officeDocument/2006/relationships/image" Target="media/image775.png"/><Relationship Id="rId837" Type="http://schemas.openxmlformats.org/officeDocument/2006/relationships/image" Target="media/image776.png"/><Relationship Id="rId838" Type="http://schemas.openxmlformats.org/officeDocument/2006/relationships/image" Target="media/image777.png"/><Relationship Id="rId839" Type="http://schemas.openxmlformats.org/officeDocument/2006/relationships/image" Target="media/image778.png"/><Relationship Id="rId840" Type="http://schemas.openxmlformats.org/officeDocument/2006/relationships/image" Target="media/image779.png"/><Relationship Id="rId841" Type="http://schemas.openxmlformats.org/officeDocument/2006/relationships/image" Target="media/image780.png"/><Relationship Id="rId842" Type="http://schemas.openxmlformats.org/officeDocument/2006/relationships/image" Target="media/image781.png"/><Relationship Id="rId843" Type="http://schemas.openxmlformats.org/officeDocument/2006/relationships/image" Target="media/image782.png"/><Relationship Id="rId844" Type="http://schemas.openxmlformats.org/officeDocument/2006/relationships/image" Target="media/image783.png"/><Relationship Id="rId845" Type="http://schemas.openxmlformats.org/officeDocument/2006/relationships/image" Target="media/image784.png"/><Relationship Id="rId846" Type="http://schemas.openxmlformats.org/officeDocument/2006/relationships/image" Target="media/image785.png"/><Relationship Id="rId847" Type="http://schemas.openxmlformats.org/officeDocument/2006/relationships/image" Target="media/image786.png"/><Relationship Id="rId848" Type="http://schemas.openxmlformats.org/officeDocument/2006/relationships/image" Target="media/image787.png"/><Relationship Id="rId849" Type="http://schemas.openxmlformats.org/officeDocument/2006/relationships/image" Target="media/image788.png"/><Relationship Id="rId850" Type="http://schemas.openxmlformats.org/officeDocument/2006/relationships/image" Target="media/image789.png"/><Relationship Id="rId851" Type="http://schemas.openxmlformats.org/officeDocument/2006/relationships/image" Target="media/image790.png"/><Relationship Id="rId852" Type="http://schemas.openxmlformats.org/officeDocument/2006/relationships/image" Target="media/image791.png"/><Relationship Id="rId853" Type="http://schemas.openxmlformats.org/officeDocument/2006/relationships/image" Target="media/image792.png"/><Relationship Id="rId854" Type="http://schemas.openxmlformats.org/officeDocument/2006/relationships/image" Target="media/image793.png"/><Relationship Id="rId855" Type="http://schemas.openxmlformats.org/officeDocument/2006/relationships/image" Target="media/image794.png"/><Relationship Id="rId856" Type="http://schemas.openxmlformats.org/officeDocument/2006/relationships/image" Target="media/image795.png"/><Relationship Id="rId857" Type="http://schemas.openxmlformats.org/officeDocument/2006/relationships/image" Target="media/image796.png"/><Relationship Id="rId858" Type="http://schemas.openxmlformats.org/officeDocument/2006/relationships/image" Target="media/image797.png"/><Relationship Id="rId859" Type="http://schemas.openxmlformats.org/officeDocument/2006/relationships/image" Target="media/image798.png"/><Relationship Id="rId860" Type="http://schemas.openxmlformats.org/officeDocument/2006/relationships/image" Target="media/image799.png"/><Relationship Id="rId861" Type="http://schemas.openxmlformats.org/officeDocument/2006/relationships/image" Target="media/image800.png"/><Relationship Id="rId862" Type="http://schemas.openxmlformats.org/officeDocument/2006/relationships/image" Target="media/image801.png"/><Relationship Id="rId863" Type="http://schemas.openxmlformats.org/officeDocument/2006/relationships/image" Target="media/image802.png"/><Relationship Id="rId864" Type="http://schemas.openxmlformats.org/officeDocument/2006/relationships/image" Target="media/image803.png"/><Relationship Id="rId865" Type="http://schemas.openxmlformats.org/officeDocument/2006/relationships/image" Target="media/image804.png"/><Relationship Id="rId866" Type="http://schemas.openxmlformats.org/officeDocument/2006/relationships/image" Target="media/image805.png"/><Relationship Id="rId867" Type="http://schemas.openxmlformats.org/officeDocument/2006/relationships/image" Target="media/image806.png"/><Relationship Id="rId868" Type="http://schemas.openxmlformats.org/officeDocument/2006/relationships/image" Target="media/image807.png"/><Relationship Id="rId869" Type="http://schemas.openxmlformats.org/officeDocument/2006/relationships/image" Target="media/image808.png"/><Relationship Id="rId870" Type="http://schemas.openxmlformats.org/officeDocument/2006/relationships/image" Target="media/image809.png"/><Relationship Id="rId871" Type="http://schemas.openxmlformats.org/officeDocument/2006/relationships/image" Target="media/image810.jpeg"/><Relationship Id="rId872" Type="http://schemas.openxmlformats.org/officeDocument/2006/relationships/image" Target="media/image811.png"/><Relationship Id="rId873" Type="http://schemas.openxmlformats.org/officeDocument/2006/relationships/image" Target="media/image812.png"/><Relationship Id="rId874" Type="http://schemas.openxmlformats.org/officeDocument/2006/relationships/image" Target="media/image813.png"/><Relationship Id="rId875" Type="http://schemas.openxmlformats.org/officeDocument/2006/relationships/image" Target="media/image814.png"/><Relationship Id="rId876" Type="http://schemas.openxmlformats.org/officeDocument/2006/relationships/image" Target="media/image815.png"/><Relationship Id="rId877" Type="http://schemas.openxmlformats.org/officeDocument/2006/relationships/image" Target="media/image816.png"/><Relationship Id="rId878" Type="http://schemas.openxmlformats.org/officeDocument/2006/relationships/image" Target="media/image817.png"/><Relationship Id="rId879" Type="http://schemas.openxmlformats.org/officeDocument/2006/relationships/image" Target="media/image818.png"/><Relationship Id="rId880" Type="http://schemas.openxmlformats.org/officeDocument/2006/relationships/image" Target="media/image819.png"/><Relationship Id="rId881" Type="http://schemas.openxmlformats.org/officeDocument/2006/relationships/image" Target="media/image820.png"/><Relationship Id="rId882" Type="http://schemas.openxmlformats.org/officeDocument/2006/relationships/image" Target="media/image821.png"/><Relationship Id="rId883" Type="http://schemas.openxmlformats.org/officeDocument/2006/relationships/image" Target="media/image822.png"/><Relationship Id="rId884" Type="http://schemas.openxmlformats.org/officeDocument/2006/relationships/image" Target="media/image823.png"/><Relationship Id="rId885" Type="http://schemas.openxmlformats.org/officeDocument/2006/relationships/image" Target="media/image824.png"/><Relationship Id="rId886" Type="http://schemas.openxmlformats.org/officeDocument/2006/relationships/image" Target="media/image825.png"/><Relationship Id="rId887" Type="http://schemas.openxmlformats.org/officeDocument/2006/relationships/image" Target="media/image826.png"/><Relationship Id="rId888" Type="http://schemas.openxmlformats.org/officeDocument/2006/relationships/image" Target="media/image827.png"/><Relationship Id="rId889" Type="http://schemas.openxmlformats.org/officeDocument/2006/relationships/image" Target="media/image828.png"/><Relationship Id="rId890" Type="http://schemas.openxmlformats.org/officeDocument/2006/relationships/image" Target="media/image829.png"/><Relationship Id="rId891" Type="http://schemas.openxmlformats.org/officeDocument/2006/relationships/image" Target="media/image830.png"/><Relationship Id="rId892" Type="http://schemas.openxmlformats.org/officeDocument/2006/relationships/image" Target="media/image831.png"/><Relationship Id="rId893" Type="http://schemas.openxmlformats.org/officeDocument/2006/relationships/image" Target="media/image832.png"/><Relationship Id="rId894" Type="http://schemas.openxmlformats.org/officeDocument/2006/relationships/image" Target="media/image833.png"/><Relationship Id="rId895" Type="http://schemas.openxmlformats.org/officeDocument/2006/relationships/image" Target="media/image834.png"/><Relationship Id="rId896" Type="http://schemas.openxmlformats.org/officeDocument/2006/relationships/image" Target="media/image835.png"/><Relationship Id="rId897" Type="http://schemas.openxmlformats.org/officeDocument/2006/relationships/image" Target="media/image836.png"/><Relationship Id="rId898" Type="http://schemas.openxmlformats.org/officeDocument/2006/relationships/image" Target="media/image837.png"/><Relationship Id="rId899" Type="http://schemas.openxmlformats.org/officeDocument/2006/relationships/image" Target="media/image838.png"/><Relationship Id="rId900" Type="http://schemas.openxmlformats.org/officeDocument/2006/relationships/image" Target="media/image839.png"/><Relationship Id="rId711" Type="http://schemas.openxmlformats.org/officeDocument/2006/relationships/hyperlink" Target="https://www.sec.gov/Archives/edgar/data/31235/000119312513354928/d591063dex41.htm" TargetMode="External"/><Relationship Id="rId712" Type="http://schemas.openxmlformats.org/officeDocument/2006/relationships/hyperlink" Target="https://www.sec.gov/Archives/edgar/data/31235/000156459016029358/kodk-ex31_26.htm" TargetMode="External"/><Relationship Id="rId713" Type="http://schemas.openxmlformats.org/officeDocument/2006/relationships/hyperlink" Target="https://www.sec.gov/Archives/edgar/data/31235/000119312519243935/d803063dex31.htm" TargetMode="External"/><Relationship Id="rId714" Type="http://schemas.openxmlformats.org/officeDocument/2006/relationships/hyperlink" Target="https://www.sec.gov/Archives/edgar/data/31235/000119312519243935/d803063dex32.htm" TargetMode="External"/><Relationship Id="rId715" Type="http://schemas.openxmlformats.org/officeDocument/2006/relationships/hyperlink" Target="https://www.sec.gov/Archives/edgar/data/31235/000156459020058718/kodk-ex31_14.htm" TargetMode="External"/><Relationship Id="rId716" Type="http://schemas.openxmlformats.org/officeDocument/2006/relationships/hyperlink" Target="https://www.sec.gov/Archives/edgar/data/31235/000119312521062328/d468860dex31.htm" TargetMode="External"/><Relationship Id="rId717" Type="http://schemas.openxmlformats.org/officeDocument/2006/relationships/hyperlink" Target="https://www.sec.gov/Archives/edgar/data/31235/000119312521062328/d468860dex32.htm" TargetMode="External"/><Relationship Id="rId718" Type="http://schemas.openxmlformats.org/officeDocument/2006/relationships/hyperlink" Target="https://www.sec.gov/Archives/edgar/data/31235/000156459020024666/kodk-ex35_31.htm" TargetMode="External"/><Relationship Id="rId719" Type="http://schemas.openxmlformats.org/officeDocument/2006/relationships/hyperlink" Target="https://www.sec.gov/Archives/edgar/data/31235/000119312513355253/d591061dex41.htm" TargetMode="External"/><Relationship Id="rId720" Type="http://schemas.openxmlformats.org/officeDocument/2006/relationships/hyperlink" Target="https://www.sec.gov/Archives/edgar/data/31235/000156459016029358/kodk-ex41_27.htm" TargetMode="External"/><Relationship Id="rId721" Type="http://schemas.openxmlformats.org/officeDocument/2006/relationships/hyperlink" Target="https://www.sec.gov/Archives/edgar/data/31235/000119312517159882/d329572dex46.htm" TargetMode="External"/><Relationship Id="rId722" Type="http://schemas.openxmlformats.org/officeDocument/2006/relationships/hyperlink" Target="https://www.sec.gov/Archives/edgar/data/31235/000119312519152198/d752945dex102.htm" TargetMode="External"/><Relationship Id="rId725" Type="http://schemas.openxmlformats.org/officeDocument/2006/relationships/hyperlink" Target="https://www.sec.gov/Archives/edgar/data/31235/000119312519157203/d753287dex43.htm" TargetMode="External"/><Relationship Id="rId726" Type="http://schemas.openxmlformats.org/officeDocument/2006/relationships/hyperlink" Target="https://www.sec.gov/Archives/edgar/data/31235/000119312521062328/d468860dex103.htm" TargetMode="External"/><Relationship Id="rId727" Type="http://schemas.openxmlformats.org/officeDocument/2006/relationships/hyperlink" Target="https://www.sec.gov/Archives/edgar/data/31235/000119312521062328/d468860dex1011.htm" TargetMode="External"/><Relationship Id="rId728" Type="http://schemas.openxmlformats.org/officeDocument/2006/relationships/hyperlink" Target="https://www.sec.gov/Archives/edgar/data/31235/000119312521062328/d468860dex107.htm" TargetMode="External"/><Relationship Id="rId729" Type="http://schemas.openxmlformats.org/officeDocument/2006/relationships/hyperlink" Target="https://www.sec.gov/Archives/edgar/data/31235/000143774923019548/ex_541241.htm" TargetMode="External"/><Relationship Id="rId730" Type="http://schemas.openxmlformats.org/officeDocument/2006/relationships/hyperlink" Target="https://www.sec.gov/Archives/edgar/data/31235/000156459021013581/kodk-ex411_208.htm" TargetMode="External"/><Relationship Id="rId731" Type="http://schemas.openxmlformats.org/officeDocument/2006/relationships/hyperlink" Target="https://www.sec.gov/Archives/edgar/data/31235/000156459020039315/kodk-ex101_48.htm" TargetMode="External"/><Relationship Id="rId732" Type="http://schemas.openxmlformats.org/officeDocument/2006/relationships/hyperlink" Target="https://www.sec.gov/Archives/edgar/data/31235/000156459021043080/kodk-ex101_64.htm" TargetMode="External"/><Relationship Id="rId733" Type="http://schemas.openxmlformats.org/officeDocument/2006/relationships/hyperlink" Target="https://www.sec.gov/Archives/edgar/data/31235/000143774924025552/ex_702627.htm" TargetMode="External"/><Relationship Id="rId734" Type="http://schemas.openxmlformats.org/officeDocument/2006/relationships/hyperlink" Target="https://www.sec.gov/Archives/edgar/data/31235/000119312513438254/d613176dex102.htm" TargetMode="External"/><Relationship Id="rId735" Type="http://schemas.openxmlformats.org/officeDocument/2006/relationships/hyperlink" Target="https://www.sec.gov/Archives/edgar/data/31235/000003123515000004/exhibit101.htm" TargetMode="External"/><Relationship Id="rId736" Type="http://schemas.openxmlformats.org/officeDocument/2006/relationships/hyperlink" Target="https://www.sec.gov/Archives/edgar/data/31235/000156459017003570/kodk-ex105_294.htm" TargetMode="External"/><Relationship Id="rId737" Type="http://schemas.openxmlformats.org/officeDocument/2006/relationships/hyperlink" Target="https://www.sec.gov/Archives/edgar/data/31235/000156459017003570/kodk-ex106_295.htm" TargetMode="External"/><Relationship Id="rId738" Type="http://schemas.openxmlformats.org/officeDocument/2006/relationships/hyperlink" Target="https://www.sec.gov/Archives/edgar/data/31235/000156459017016962/kodk-ex102_16.htm" TargetMode="External"/><Relationship Id="rId741" Type="http://schemas.openxmlformats.org/officeDocument/2006/relationships/hyperlink" Target="https://www.sec.gov/Archives/edgar/data/31235/000119312514106388/d693724dex103.htm" TargetMode="External"/><Relationship Id="rId743" Type="http://schemas.openxmlformats.org/officeDocument/2006/relationships/hyperlink" Target="https://www.sec.gov/Archives/edgar/data/31235/000156459017016962/kodk-ex103_17.htm" TargetMode="External"/><Relationship Id="rId744" Type="http://schemas.openxmlformats.org/officeDocument/2006/relationships/hyperlink" Target="https://www.sec.gov/Archives/edgar/data/31235/000156459019041750/kodk-ex101_87.htm" TargetMode="External"/><Relationship Id="rId745" Type="http://schemas.openxmlformats.org/officeDocument/2006/relationships/hyperlink" Target="https://www.sec.gov/Archives/edgar/data/31235/000156459020052967/kodk-ex102_31.htm" TargetMode="External"/><Relationship Id="rId747" Type="http://schemas.openxmlformats.org/officeDocument/2006/relationships/hyperlink" Target="https://www.sec.gov/Archives/edgar/data/31235/000156459020052967/kodk-ex103_53.htm" TargetMode="External"/><Relationship Id="rId748" Type="http://schemas.openxmlformats.org/officeDocument/2006/relationships/hyperlink" Target="https://www.sec.gov/Archives/edgar/data/31235/000156459021013581/kodk-ex1012_207.htm" TargetMode="External"/><Relationship Id="rId749" Type="http://schemas.openxmlformats.org/officeDocument/2006/relationships/hyperlink" Target="https://www.sec.gov/Archives/edgar/data/31235/000156459021013581/kodk-ex1013_206.htm" TargetMode="External"/><Relationship Id="rId750" Type="http://schemas.openxmlformats.org/officeDocument/2006/relationships/hyperlink" Target="https://www.sec.gov/Archives/edgar/data/31235/000156459021043080/kodk-ex102_65.htm" TargetMode="External"/><Relationship Id="rId751" Type="http://schemas.openxmlformats.org/officeDocument/2006/relationships/hyperlink" Target="https://www.sec.gov/Archives/edgar/data/31235/000143774924015681/ex_668583.htm" TargetMode="External"/><Relationship Id="rId752" Type="http://schemas.openxmlformats.org/officeDocument/2006/relationships/hyperlink" Target="https://www.sec.gov/Archives/edgar/data/31235/000119312514106388/d693724dex1023.htm" TargetMode="External"/><Relationship Id="rId753" Type="http://schemas.openxmlformats.org/officeDocument/2006/relationships/hyperlink" Target="https://www.sec.gov/Archives/edgar/data/31235/000143774923006897/ex_487017.htm" TargetMode="External"/><Relationship Id="rId754" Type="http://schemas.openxmlformats.org/officeDocument/2006/relationships/hyperlink" Target="https://www.sec.gov/Archives/edgar/data/31235/000003123514000005/ekcexcelplan_q1201410q.htm" TargetMode="External"/><Relationship Id="rId755" Type="http://schemas.openxmlformats.org/officeDocument/2006/relationships/hyperlink" Target="https://www.sec.gov/Archives/edgar/data/31235/000143774924007849/ex_632155.htm" TargetMode="External"/><Relationship Id="rId756" Type="http://schemas.openxmlformats.org/officeDocument/2006/relationships/hyperlink" Target="https://www.sec.gov/Archives/edgar/data/31235/000143774924007849/ex_632136.htm" TargetMode="External"/><Relationship Id="rId758" Type="http://schemas.openxmlformats.org/officeDocument/2006/relationships/hyperlink" Target="https://www.sec.gov/Archives/edgar/data/31235/000156459019010423/kodk-ex1024_19.htm" TargetMode="External"/><Relationship Id="rId760" Type="http://schemas.openxmlformats.org/officeDocument/2006/relationships/hyperlink" Target="https://www.sec.gov/Archives/edgar/data/31235/000156459016023703/kodk-ex103_328.htm" TargetMode="External"/><Relationship Id="rId761" Type="http://schemas.openxmlformats.org/officeDocument/2006/relationships/hyperlink" Target="https://www.sec.gov/Archives/edgar/data/31235/000156459018030348/kodk-8k_20181126.htm" TargetMode="External"/><Relationship Id="rId762" Type="http://schemas.openxmlformats.org/officeDocument/2006/relationships/hyperlink" Target="https://www.sec.gov/Archives/edgar/data/31235/000156459020011408/kodk-ex103_165.htm" TargetMode="External"/><Relationship Id="rId763" Type="http://schemas.openxmlformats.org/officeDocument/2006/relationships/hyperlink" Target="https://www.sec.gov/Archives/edgar/data/31235/000143774923019548/ex_541240.htm" TargetMode="External"/><Relationship Id="rId765" Type="http://schemas.openxmlformats.org/officeDocument/2006/relationships/hyperlink" Target="https://www.sec.gov/Archives/edgar/data/31235/000156459021013581/kodk-ex1026_166.htm" TargetMode="External"/><Relationship Id="rId766" Type="http://schemas.openxmlformats.org/officeDocument/2006/relationships/hyperlink" Target="https://www.sec.gov/Archives/edgar/data/31235/000143774923019548/ex_541239.htm" TargetMode="External"/><Relationship Id="rId767" Type="http://schemas.openxmlformats.org/officeDocument/2006/relationships/hyperlink" Target="https://www.sec.gov/Archives/edgar/data/31235/000119312516761021/d487651dex101.htm" TargetMode="External"/><Relationship Id="rId768" Type="http://schemas.openxmlformats.org/officeDocument/2006/relationships/hyperlink" Target="https://www.sec.gov/Archives/edgar/data/31235/000156459021013581/kodk-ex1032_170.htm" TargetMode="External"/><Relationship Id="rId769" Type="http://schemas.openxmlformats.org/officeDocument/2006/relationships/hyperlink" Target="https://www.sec.gov/Archives/edgar/data/31235/000119312521062328/d468860dex101.htm" TargetMode="External"/><Relationship Id="rId770" Type="http://schemas.openxmlformats.org/officeDocument/2006/relationships/hyperlink" Target="https://www.sec.gov/Archives/edgar/data/31235/000119312521062328/d468860dex102.htm" TargetMode="External"/><Relationship Id="rId772" Type="http://schemas.openxmlformats.org/officeDocument/2006/relationships/hyperlink" Target="https://www.sec.gov/Archives/edgar/data/31235/000119312521062328/d468860dex108.htm" TargetMode="External"/><Relationship Id="rId773" Type="http://schemas.openxmlformats.org/officeDocument/2006/relationships/hyperlink" Target="https://www.sec.gov/Archives/edgar/data/31235/000119312513438254/d613176dex1010.htm" TargetMode="External"/><Relationship Id="rId776" Type="http://schemas.openxmlformats.org/officeDocument/2006/relationships/hyperlink" Target="https://www.sec.gov/Archives/edgar/data/31235/000143774924007849/ex_63406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2025-03-17T15:40:06Z</dcterms:created>
  <dcterms:modified xsi:type="dcterms:W3CDTF">2025-03-17T15:40:06Z</dcterms:modified>
</cp:coreProperties>
</file>