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-561340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3930015</wp:posOffset>
            </wp:positionH>
            <wp:positionV relativeFrom="paragraph">
              <wp:posOffset>-607060</wp:posOffset>
            </wp:positionV>
            <wp:extent cx="57150" cy="620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645160</wp:posOffset>
            </wp:positionV>
            <wp:extent cx="6997700" cy="88176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8817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CONTINENZA JAMES V</w:t>
        </w:r>
      </w:hyperlink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6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EASTMAN KODAK COMPANY 343 STATE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EASTMAN KODAK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KODK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720"/>
        <w:spacing w:after="0" w:line="286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Executive Chairman and CEO</w:t>
      </w:r>
    </w:p>
    <w:p>
      <w:pPr>
        <w:spacing w:after="0" w:line="6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0" w:space="720"/>
            <w:col w:w="3360"/>
          </w:cols>
          <w:pgMar w:left="460" w:top="214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ROCHESTER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14650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Stock, par value $.01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3,050,896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6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6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6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stock,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5,000,000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02/24/2026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5,000,000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5,000,000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par value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$.01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6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8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stock,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par value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$.01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6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8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Stock,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196,336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196,336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par value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$.01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6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8"/>
              </w:rPr>
              <w:t>(4)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Stock,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114,943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114,943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par value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$.01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6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8"/>
              </w:rPr>
              <w:t>(5)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Stock,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163,613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163,613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par value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$.01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Phantom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6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6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6"/>
              </w:rPr>
              <w:t>(6)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Stock,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241,589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241,589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par value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$.01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4.53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02/19/2029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Stock,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298,780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298,780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par value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$.01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02/19/2029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Stock,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298,780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298,780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par value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$.01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02/19/2029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Stock,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170,733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170,733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par value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$.01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4.53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02/19/2029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Stock,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350,000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par value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$.01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02/19/2029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Stock,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350,000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par value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$.01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-6000750</wp:posOffset>
            </wp:positionV>
            <wp:extent cx="28575" cy="60731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6073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279400</wp:posOffset>
            </wp:positionH>
            <wp:positionV relativeFrom="page">
              <wp:posOffset>88900</wp:posOffset>
            </wp:positionV>
            <wp:extent cx="7048500" cy="17183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1718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02/19/2029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par value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$.01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0" w:right="420" w:hanging="3"/>
        <w:spacing w:after="0" w:line="267" w:lineRule="auto"/>
        <w:tabs>
          <w:tab w:leader="none" w:pos="14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restricted stock units, which convert into common stock on a one-for-one basis ("RSUs"), were granted under the Company's Amended and Restated 2013 Omnibus Incentive Plan in a transaction exempt under Rule 16b-3 and, except as otherwise provided in the award notice or the employment agreement between the reporting person and the Company, will vest annually in five equal installments commencing 12/31/2026.</w:t>
      </w:r>
    </w:p>
    <w:p>
      <w:pPr>
        <w:spacing w:after="0" w:line="15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RSUs will vest on 2/26/2026, except as otherwise provided in the award notice or the employment agreement between the reporting person and the Company.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RSUs will vest on 11/29/2026, except as otherwise provided in the award notice or the employment agreement between the reporting person and the Company.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220" w:hanging="3"/>
        <w:spacing w:after="0" w:line="282" w:lineRule="auto"/>
        <w:tabs>
          <w:tab w:leader="none" w:pos="14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RSUs will vest in substantially equal installments on each of 11/29/2026 and 11/29/2027, except as otherwise provided in the award notice or the employment agreement between the reporting person and the Company.</w:t>
      </w:r>
    </w:p>
    <w:p>
      <w:pPr>
        <w:ind w:left="20" w:right="360" w:hanging="3"/>
        <w:spacing w:after="0" w:line="282" w:lineRule="auto"/>
        <w:tabs>
          <w:tab w:leader="none" w:pos="14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RSUs will vest in substantially equal installments on each of 11/29/2026, 11/29/2027 and 11/29/2028, except as otherwise provided in the award notice or the employment agreement between the reporting person and the Company.</w:t>
      </w:r>
    </w:p>
    <w:p>
      <w:pPr>
        <w:ind w:left="20" w:right="200" w:hanging="3"/>
        <w:spacing w:after="0" w:line="282" w:lineRule="auto"/>
        <w:tabs>
          <w:tab w:leader="none" w:pos="14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share of phantom stock represents a right to receive one share of common stock and becomes payable at the election of Mr. Continenza in the year following the year of his separation from service as a director in either a single lump sum payment or in a maximum of ten annual installments.</w:t>
      </w: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This option is fully vested as of the date of this report.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/s/ Roger W. Byrd,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02/26/2026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Fact for James V. Continenza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20" w:hanging="3"/>
        <w:spacing w:after="0" w:line="325" w:lineRule="auto"/>
        <w:tabs>
          <w:tab w:leader="none" w:pos="152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9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97594" TargetMode="External"/><Relationship Id="rId14" Type="http://schemas.openxmlformats.org/officeDocument/2006/relationships/hyperlink" Target="http://www.sec.gov/cgi-bin/browse-edgar?action=getcompany&amp;CIK=00000312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2026-02-26T20:21:08Z</dcterms:created>
  <dcterms:modified xsi:type="dcterms:W3CDTF">2026-02-26T20:21:08Z</dcterms:modified>
</cp:coreProperties>
</file>