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6344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6344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4920"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40"/>
        <w:spacing w:after="0" w:line="238" w:lineRule="auto"/>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REGISTRATION STATEMENT UNDER THE SECURITIES ACT OF 1933</w:t>
      </w:r>
    </w:p>
    <w:p>
      <w:pPr>
        <w:spacing w:after="0" w:line="2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Eastman Kodak Company</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ectPr>
          <w:pgSz w:w="11900" w:h="16838" w:orient="portrait"/>
          <w:cols w:equalWidth="0" w:num="1">
            <w:col w:w="11240"/>
          </w:cols>
          <w:pgMar w:left="320" w:top="865" w:right="339" w:bottom="1440" w:gutter="0" w:footer="0" w:header="0"/>
        </w:sectPr>
      </w:pPr>
    </w:p>
    <w:p>
      <w:pPr>
        <w:spacing w:after="0" w:line="1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New Jersey</w:t>
      </w:r>
    </w:p>
    <w:p>
      <w:pPr>
        <w:jc w:val="center"/>
        <w:ind w:right="10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16-0417150</w:t>
      </w:r>
    </w:p>
    <w:p>
      <w:pPr>
        <w:jc w:val="center"/>
        <w:ind w:right="16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865" w:right="339" w:bottom="1440" w:gutter="0" w:footer="0" w:header="0"/>
          <w:type w:val="continuous"/>
        </w:sectPr>
      </w:pP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343 State Street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Rochester, New York 14650</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Eastman Kodak Company 2013 Omnibus Incentive Plan, as amended and restated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Roger W. Byrd</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Counsel, Secretary and Senior Vice President</w:t>
      </w:r>
    </w:p>
    <w:p>
      <w:pPr>
        <w:jc w:val="center"/>
        <w:ind w:right="-19"/>
        <w:spacing w:after="0" w:line="236" w:lineRule="auto"/>
        <w:rPr>
          <w:sz w:val="20"/>
          <w:szCs w:val="20"/>
          <w:color w:val="auto"/>
        </w:rPr>
      </w:pPr>
      <w:r>
        <w:rPr>
          <w:rFonts w:ascii="Times New Roman" w:cs="Times New Roman" w:eastAsia="Times New Roman" w:hAnsi="Times New Roman"/>
          <w:sz w:val="20"/>
          <w:szCs w:val="20"/>
          <w:b w:val="1"/>
          <w:bCs w:val="1"/>
          <w:color w:val="auto"/>
        </w:rPr>
        <w:t>Eastman Kodak Company</w:t>
      </w:r>
    </w:p>
    <w:p>
      <w:pPr>
        <w:jc w:val="center"/>
        <w:ind w:right="-19"/>
        <w:spacing w:after="0" w:line="237" w:lineRule="auto"/>
        <w:rPr>
          <w:sz w:val="20"/>
          <w:szCs w:val="20"/>
          <w:color w:val="auto"/>
        </w:rPr>
      </w:pPr>
      <w:r>
        <w:rPr>
          <w:rFonts w:ascii="Times New Roman" w:cs="Times New Roman" w:eastAsia="Times New Roman" w:hAnsi="Times New Roman"/>
          <w:sz w:val="20"/>
          <w:szCs w:val="20"/>
          <w:b w:val="1"/>
          <w:bCs w:val="1"/>
          <w:color w:val="auto"/>
        </w:rPr>
        <w:t>343 State Street</w:t>
      </w:r>
    </w:p>
    <w:p>
      <w:pPr>
        <w:jc w:val="center"/>
        <w:ind w:right="-19"/>
        <w:spacing w:after="0" w:line="237" w:lineRule="auto"/>
        <w:rPr>
          <w:sz w:val="20"/>
          <w:szCs w:val="20"/>
          <w:color w:val="auto"/>
        </w:rPr>
      </w:pPr>
      <w:r>
        <w:rPr>
          <w:rFonts w:ascii="Times New Roman" w:cs="Times New Roman" w:eastAsia="Times New Roman" w:hAnsi="Times New Roman"/>
          <w:sz w:val="20"/>
          <w:szCs w:val="20"/>
          <w:b w:val="1"/>
          <w:bCs w:val="1"/>
          <w:color w:val="auto"/>
        </w:rPr>
        <w:t>Rochester, New York 14650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(800) 356-3259</w:t>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198"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940" w:type="dxa"/>
        <w:tblCellMar>
          <w:top w:w="0" w:type="dxa"/>
          <w:left w:w="0" w:type="dxa"/>
          <w:bottom w:w="0" w:type="dxa"/>
          <w:right w:w="0" w:type="dxa"/>
        </w:tblCellMar>
      </w:tblPr>
      <w:tr>
        <w:trPr>
          <w:trHeight w:val="22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tcPr>
          <w:p>
            <w:pPr>
              <w:ind w:left="160"/>
              <w:spacing w:after="0"/>
              <w:rPr>
                <w:sz w:val="20"/>
                <w:szCs w:val="20"/>
                <w:color w:val="auto"/>
              </w:rPr>
            </w:pPr>
            <w:r>
              <w:rPr>
                <w:rFonts w:ascii="Wingdings" w:cs="Wingdings" w:eastAsia="Wingdings" w:hAnsi="Wingdings"/>
                <w:sz w:val="18"/>
                <w:szCs w:val="18"/>
                <w:b w:val="1"/>
                <w:bCs w:val="1"/>
                <w:color w:val="auto"/>
              </w:rPr>
              <w:t></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40"/>
              <w:spacing w:after="0"/>
              <w:rPr>
                <w:sz w:val="20"/>
                <w:szCs w:val="20"/>
                <w:color w:val="auto"/>
              </w:rPr>
            </w:pPr>
            <w:r>
              <w:rPr>
                <w:rFonts w:ascii="Wingdings" w:cs="Wingdings" w:eastAsia="Wingdings" w:hAnsi="Wingdings"/>
                <w:sz w:val="18"/>
                <w:szCs w:val="18"/>
                <w:b w:val="1"/>
                <w:bCs w:val="1"/>
                <w:color w:val="auto"/>
                <w:w w:val="94"/>
              </w:rPr>
              <w:t>x</w:t>
            </w:r>
          </w:p>
        </w:tc>
      </w:tr>
      <w:tr>
        <w:trPr>
          <w:trHeight w:val="23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tcPr>
          <w:p>
            <w:pPr>
              <w:ind w:left="160"/>
              <w:spacing w:after="0"/>
              <w:rPr>
                <w:sz w:val="20"/>
                <w:szCs w:val="20"/>
                <w:color w:val="auto"/>
              </w:rPr>
            </w:pPr>
            <w:r>
              <w:rPr>
                <w:rFonts w:ascii="Wingdings" w:cs="Wingdings" w:eastAsia="Wingdings" w:hAnsi="Wingdings"/>
                <w:sz w:val="18"/>
                <w:szCs w:val="18"/>
                <w:b w:val="1"/>
                <w:bCs w:val="1"/>
                <w:color w:val="auto"/>
              </w:rPr>
              <w:t>o</w:t>
            </w: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r>
      <w:tr>
        <w:trPr>
          <w:trHeight w:val="267"/>
        </w:trPr>
        <w:tc>
          <w:tcPr>
            <w:tcW w:w="1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40"/>
              <w:spacing w:after="0"/>
              <w:rPr>
                <w:sz w:val="20"/>
                <w:szCs w:val="20"/>
                <w:color w:val="auto"/>
              </w:rPr>
            </w:pPr>
            <w:r>
              <w:rPr>
                <w:rFonts w:ascii="Wingdings" w:cs="Wingdings" w:eastAsia="Wingdings" w:hAnsi="Wingdings"/>
                <w:sz w:val="18"/>
                <w:szCs w:val="18"/>
                <w:b w:val="1"/>
                <w:bCs w:val="1"/>
                <w:color w:val="auto"/>
              </w:rPr>
              <w:t></w:t>
            </w:r>
          </w:p>
        </w:tc>
      </w:tr>
    </w:tbl>
    <w:p>
      <w:pPr>
        <w:spacing w:after="0" w:line="88"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679450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GENERAL INSTRUCTION E TO FORM S-8</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02" w:lineRule="exact"/>
        <w:rPr>
          <w:sz w:val="20"/>
          <w:szCs w:val="20"/>
          <w:color w:val="auto"/>
        </w:rPr>
      </w:pPr>
    </w:p>
    <w:p>
      <w:pPr>
        <w:jc w:val="both"/>
        <w:spacing w:after="0" w:line="216" w:lineRule="exact"/>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purpose of this Registration Statement is to register additional shares for issuance under the Eastman Kodak Company 2013 Omnibus Incentive Plan, as Amended and Restated (as further amended, the “Plan”). This Registration Statement is submitted in accordance with General Instruction E to Form S-8 </w:t>
      </w:r>
      <w:hyperlink r:id="rId11">
        <w:r>
          <w:rPr>
            <w:rFonts w:ascii="Times New Roman" w:cs="Times New Roman" w:eastAsia="Times New Roman" w:hAnsi="Times New Roman"/>
            <w:sz w:val="17"/>
            <w:szCs w:val="17"/>
            <w:color w:val="auto"/>
          </w:rPr>
          <w:t>regarding registration of additional securities, and pursuant to such instruction, the contents of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0000FF"/>
          </w:rPr>
          <w:t>Registration No. 333-</w:t>
        </w:r>
      </w:hyperlink>
      <w:hyperlink r:id="rId11">
        <w:r>
          <w:rPr>
            <w:rFonts w:ascii="Times New Roman" w:cs="Times New Roman" w:eastAsia="Times New Roman" w:hAnsi="Times New Roman"/>
            <w:sz w:val="17"/>
            <w:szCs w:val="17"/>
            <w:u w:val="single" w:color="auto"/>
            <w:color w:val="0000FF"/>
          </w:rPr>
          <w:t>190957</w:t>
        </w:r>
        <w:r>
          <w:rPr>
            <w:rFonts w:ascii="Times New Roman" w:cs="Times New Roman" w:eastAsia="Times New Roman" w:hAnsi="Times New Roman"/>
            <w:sz w:val="17"/>
            <w:szCs w:val="17"/>
            <w:color w:val="000000"/>
          </w:rPr>
          <w:t>), filed with the Securities and Exchange Commission (the “Commission”) on September 3, 2013, the contents of the registration statement on Form</w:t>
        </w:r>
      </w:hyperlink>
      <w:r>
        <w:rPr>
          <w:rFonts w:ascii="Times New Roman" w:cs="Times New Roman" w:eastAsia="Times New Roman" w:hAnsi="Times New Roman"/>
          <w:sz w:val="17"/>
          <w:szCs w:val="17"/>
          <w:color w:val="0000FF"/>
        </w:rPr>
        <w:t xml:space="preserve"> </w:t>
      </w:r>
      <w:hyperlink r:id="rId12">
        <w:r>
          <w:rPr>
            <w:rFonts w:ascii="Times New Roman" w:cs="Times New Roman" w:eastAsia="Times New Roman" w:hAnsi="Times New Roman"/>
            <w:sz w:val="17"/>
            <w:szCs w:val="17"/>
            <w:color w:val="000000"/>
          </w:rPr>
          <w:t>S-8 (</w:t>
        </w:r>
        <w:r>
          <w:rPr>
            <w:rFonts w:ascii="Times New Roman" w:cs="Times New Roman" w:eastAsia="Times New Roman" w:hAnsi="Times New Roman"/>
            <w:sz w:val="17"/>
            <w:szCs w:val="17"/>
            <w:u w:val="single" w:color="auto"/>
            <w:color w:val="0000FF"/>
          </w:rPr>
          <w:t>Registration No. 333-225437</w:t>
        </w:r>
        <w:r>
          <w:rPr>
            <w:rFonts w:ascii="Times New Roman" w:cs="Times New Roman" w:eastAsia="Times New Roman" w:hAnsi="Times New Roman"/>
            <w:sz w:val="17"/>
            <w:szCs w:val="17"/>
            <w:color w:val="000000"/>
          </w:rPr>
          <w:t>), filed with the Commission on June 5, 2018, the contents of the registration statement on Form S-8 (</w:t>
        </w:r>
        <w:r>
          <w:rPr>
            <w:rFonts w:ascii="Times New Roman" w:cs="Times New Roman" w:eastAsia="Times New Roman" w:hAnsi="Times New Roman"/>
            <w:sz w:val="17"/>
            <w:szCs w:val="17"/>
            <w:u w:val="single" w:color="auto"/>
            <w:color w:val="0000FF"/>
          </w:rPr>
          <w:t>Registration No. 333-</w:t>
        </w:r>
      </w:hyperlink>
      <w:hyperlink r:id="rId12">
        <w:r>
          <w:rPr>
            <w:rFonts w:ascii="Times New Roman" w:cs="Times New Roman" w:eastAsia="Times New Roman" w:hAnsi="Times New Roman"/>
            <w:sz w:val="17"/>
            <w:szCs w:val="17"/>
            <w:u w:val="single" w:color="auto"/>
            <w:color w:val="0000FF"/>
          </w:rPr>
          <w:t>250827</w:t>
        </w:r>
        <w:r>
          <w:rPr>
            <w:rFonts w:ascii="Times New Roman" w:cs="Times New Roman" w:eastAsia="Times New Roman" w:hAnsi="Times New Roman"/>
            <w:sz w:val="17"/>
            <w:szCs w:val="17"/>
            <w:color w:val="000000"/>
          </w:rPr>
          <w:t>), filed with the Commission on November 20, 2020, the contents of the registration statement on Form S</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8 (</w:t>
        </w:r>
      </w:hyperlink>
      <w:hyperlink r:id="rId13">
        <w:r>
          <w:rPr>
            <w:rFonts w:ascii="Times New Roman" w:cs="Times New Roman" w:eastAsia="Times New Roman" w:hAnsi="Times New Roman"/>
            <w:sz w:val="17"/>
            <w:szCs w:val="17"/>
            <w:u w:val="single" w:color="auto"/>
            <w:color w:val="0000FF"/>
          </w:rPr>
          <w:t>Registration No. 333-258682</w:t>
        </w:r>
      </w:hyperlink>
      <w:hyperlink r:id="rId12">
        <w:r>
          <w:rPr>
            <w:rFonts w:ascii="Times New Roman" w:cs="Times New Roman" w:eastAsia="Times New Roman" w:hAnsi="Times New Roman"/>
            <w:sz w:val="17"/>
            <w:szCs w:val="17"/>
            <w:color w:val="000000"/>
          </w:rPr>
          <w:t>), filed with</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Commission on August 10, 2021, and the contents of the registration statement on Form S-8 (</w:t>
      </w:r>
      <w:hyperlink r:id="rId14">
        <w:r>
          <w:rPr>
            <w:rFonts w:ascii="Times New Roman" w:cs="Times New Roman" w:eastAsia="Times New Roman" w:hAnsi="Times New Roman"/>
            <w:sz w:val="17"/>
            <w:szCs w:val="17"/>
            <w:u w:val="single" w:color="auto"/>
            <w:color w:val="0000FF"/>
          </w:rPr>
          <w:t>Registration No. 333-281405</w:t>
        </w:r>
      </w:hyperlink>
      <w:r>
        <w:rPr>
          <w:rFonts w:ascii="Times New Roman" w:cs="Times New Roman" w:eastAsia="Times New Roman" w:hAnsi="Times New Roman"/>
          <w:sz w:val="17"/>
          <w:szCs w:val="17"/>
          <w:color w:val="000000"/>
        </w:rPr>
        <w:t>), filed with the Commission on August 8, 2024 are incorporated herein by reference, except for Part II, Item 5 – Interests of Named Experts and Counsel and Item 8 – Exhibits.</w:t>
      </w:r>
    </w:p>
    <w:p>
      <w:pPr>
        <w:spacing w:after="0" w:line="375" w:lineRule="exact"/>
        <w:rPr>
          <w:rFonts w:ascii="Times New Roman" w:cs="Times New Roman" w:eastAsia="Times New Roman" w:hAnsi="Times New Roman"/>
          <w:sz w:val="17"/>
          <w:szCs w:val="17"/>
          <w:color w:val="0000FF"/>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documents filed by Eastman Kodak Company (the “Company”) with the Commission are incorporated by reference herein (except for portions thereof furnished or otherwise not filed with the Commission, which are deemed not to be incorporated by reference into this Registration Statement):</w:t>
      </w:r>
    </w:p>
    <w:p>
      <w:pPr>
        <w:spacing w:after="0" w:line="177" w:lineRule="exact"/>
        <w:rPr>
          <w:sz w:val="20"/>
          <w:szCs w:val="20"/>
          <w:color w:val="auto"/>
        </w:rPr>
      </w:pPr>
    </w:p>
    <w:p>
      <w:pPr>
        <w:ind w:left="760" w:right="20" w:hanging="366"/>
        <w:spacing w:after="0" w:line="277"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year ended December 31, 2025 filed on </w:t>
      </w:r>
      <w:hyperlink r:id="rId16">
        <w:r>
          <w:rPr>
            <w:rFonts w:ascii="Times New Roman" w:cs="Times New Roman" w:eastAsia="Times New Roman" w:hAnsi="Times New Roman"/>
            <w:sz w:val="18"/>
            <w:szCs w:val="18"/>
            <w:u w:val="single" w:color="auto"/>
            <w:color w:val="0000FF"/>
          </w:rPr>
          <w:t>March 12, 2026</w:t>
        </w:r>
      </w:hyperlink>
      <w:r>
        <w:rPr>
          <w:rFonts w:ascii="Times New Roman" w:cs="Times New Roman" w:eastAsia="Times New Roman" w:hAnsi="Times New Roman"/>
          <w:sz w:val="18"/>
          <w:szCs w:val="18"/>
          <w:color w:val="auto"/>
        </w:rPr>
        <w:t xml:space="preserve">, including the portions of the Company’s definitive proxy statement for its 2026 annual meeting of shareholders filed on </w:t>
      </w:r>
      <w:hyperlink r:id="rId17">
        <w:r>
          <w:rPr>
            <w:rFonts w:ascii="Times New Roman" w:cs="Times New Roman" w:eastAsia="Times New Roman" w:hAnsi="Times New Roman"/>
            <w:sz w:val="18"/>
            <w:szCs w:val="18"/>
            <w:u w:val="single" w:color="auto"/>
            <w:color w:val="0000FF"/>
          </w:rPr>
          <w:t>April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163" w:lineRule="exact"/>
        <w:rPr>
          <w:rFonts w:ascii="Times New Roman" w:cs="Times New Roman" w:eastAsia="Times New Roman" w:hAnsi="Times New Roman"/>
          <w:sz w:val="18"/>
          <w:szCs w:val="18"/>
          <w:color w:val="auto"/>
        </w:rPr>
      </w:pPr>
    </w:p>
    <w:p>
      <w:pPr>
        <w:ind w:left="760" w:hanging="366"/>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Form 10-Q for the quarterly period ended March 31, 2026 filed on </w:t>
      </w:r>
      <w:hyperlink r:id="rId18">
        <w:r>
          <w:rPr>
            <w:rFonts w:ascii="Times New Roman" w:cs="Times New Roman" w:eastAsia="Times New Roman" w:hAnsi="Times New Roman"/>
            <w:sz w:val="18"/>
            <w:szCs w:val="18"/>
            <w:u w:val="single" w:color="auto"/>
            <w:color w:val="0000FF"/>
          </w:rPr>
          <w:t>May 7,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760" w:hanging="366"/>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on </w:t>
      </w:r>
      <w:hyperlink r:id="rId19">
        <w:r>
          <w:rPr>
            <w:rFonts w:ascii="Times New Roman" w:cs="Times New Roman" w:eastAsia="Times New Roman" w:hAnsi="Times New Roman"/>
            <w:sz w:val="18"/>
            <w:szCs w:val="18"/>
            <w:u w:val="single" w:color="auto"/>
            <w:color w:val="0000FF"/>
          </w:rPr>
          <w:t>February 19,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FF"/>
          </w:rPr>
          <w:t>May 22,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jc w:val="both"/>
        <w:ind w:left="760" w:hanging="366"/>
        <w:spacing w:after="0" w:line="255"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the Company’s Registration Statement on </w:t>
      </w:r>
      <w:hyperlink r:id="rId2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3, 2013, including the description of the Company’s common stock contained in the Company’s Registration Statement on </w:t>
      </w:r>
      <w:hyperlink r:id="rId11">
        <w:r>
          <w:rPr>
            <w:rFonts w:ascii="Times New Roman" w:cs="Times New Roman" w:eastAsia="Times New Roman" w:hAnsi="Times New Roman"/>
            <w:sz w:val="18"/>
            <w:szCs w:val="18"/>
            <w:u w:val="single" w:color="auto"/>
            <w:color w:val="0000FF"/>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3, 2013 and incorporated by reference therein, and any amendment or report filed for the purpose of updating such description (including </w:t>
      </w:r>
      <w:hyperlink r:id="rId23">
        <w:r>
          <w:rPr>
            <w:rFonts w:ascii="Times New Roman" w:cs="Times New Roman" w:eastAsia="Times New Roman" w:hAnsi="Times New Roman"/>
            <w:sz w:val="18"/>
            <w:szCs w:val="18"/>
            <w:u w:val="single" w:color="auto"/>
            <w:color w:val="0000FF"/>
          </w:rPr>
          <w:t>Exhibit 4.9</w:t>
        </w:r>
      </w:hyperlink>
      <w:r>
        <w:rPr>
          <w:rFonts w:ascii="Times New Roman" w:cs="Times New Roman" w:eastAsia="Times New Roman" w:hAnsi="Times New Roman"/>
          <w:sz w:val="18"/>
          <w:szCs w:val="18"/>
          <w:color w:val="auto"/>
        </w:rPr>
        <w:t xml:space="preserve"> to the Company’s Annual Report on Form 10-K for the year ended December 31, 2025, and any subsequent amendment or report filed for the purpose of updating that description).</w:t>
      </w:r>
    </w:p>
    <w:p>
      <w:pPr>
        <w:spacing w:after="0" w:line="183"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subsequent to the effective date of this Registration Statement (except for the portions thereof furnished or otherwise not filed with the Commission which are deemed not to be incorporated by reference into this Registration Statement), but prior to the filing of a post-effective amendment to this Registration Statement indicating that all securities offered hereby have been sold or de-registering all securities then remaining unsold, shall be deemed to be incorporated by reference herein and to be a part hereof from the date of filing of such documents.</w:t>
      </w:r>
    </w:p>
    <w:p>
      <w:pPr>
        <w:spacing w:after="0" w:line="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legality of securities being offered hereby will be passed upon by Roger W. Byrd, General Counsel, Secretary and Senior Vice President of the Company. Mr. Byrd is eligible to participate in the Plan.</w:t>
      </w:r>
    </w:p>
    <w:p>
      <w:pPr>
        <w:spacing w:after="0" w:line="5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4"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Borders>
              <w:bottom w:val="single" w:sz="8" w:color="auto"/>
            </w:tcBorders>
            <w:gridSpan w:val="4"/>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01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Second Amended and Restated Certificate of Incorporation of Eastman Kodak Company (Incorporated by reference to Exhibit 4.1 of the</w:t>
              </w:r>
            </w:hyperlink>
          </w:p>
        </w:tc>
        <w:tc>
          <w:tcPr>
            <w:tcW w:w="2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4">
              <w:r>
                <w:rPr>
                  <w:rFonts w:ascii="Times New Roman" w:cs="Times New Roman" w:eastAsia="Times New Roman" w:hAnsi="Times New Roman"/>
                  <w:sz w:val="18"/>
                  <w:szCs w:val="18"/>
                  <w:color w:val="0000FF"/>
                  <w:w w:val="98"/>
                </w:rPr>
                <w:t>Company’s Registration Statement on Form S-8 as filed on September 3, 2013).</w:t>
              </w:r>
            </w:hyperlink>
          </w:p>
        </w:tc>
        <w:tc>
          <w:tcPr>
            <w:tcW w:w="4440" w:type="dxa"/>
            <w:vAlign w:val="bottom"/>
            <w:gridSpan w:val="3"/>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10160" w:type="dxa"/>
            <w:vAlign w:val="bottom"/>
            <w:gridSpan w:val="5"/>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60" w:type="dxa"/>
            <w:vAlign w:val="bottom"/>
            <w:tcBorders>
              <w:top w:val="single" w:sz="8" w:color="0000FF"/>
              <w:bottom w:val="single" w:sz="8" w:color="0000FF"/>
            </w:tcBorders>
            <w:gridSpan w:val="3"/>
          </w:tcPr>
          <w:p>
            <w:pPr>
              <w:spacing w:after="0" w:line="194" w:lineRule="exact"/>
              <w:rPr>
                <w:rFonts w:ascii="Times New Roman" w:cs="Times New Roman" w:eastAsia="Times New Roman" w:hAnsi="Times New Roman"/>
                <w:sz w:val="18"/>
                <w:szCs w:val="18"/>
                <w:color w:val="0000FF"/>
                <w:w w:val="98"/>
              </w:rPr>
            </w:pPr>
            <w:hyperlink r:id="rId25">
              <w:r>
                <w:rPr>
                  <w:rFonts w:ascii="Times New Roman" w:cs="Times New Roman" w:eastAsia="Times New Roman" w:hAnsi="Times New Roman"/>
                  <w:sz w:val="18"/>
                  <w:szCs w:val="18"/>
                  <w:color w:val="0000FF"/>
                  <w:w w:val="98"/>
                </w:rPr>
                <w:t>reference to Exhibit 3.1 of the Company’s Current Report on Form 8</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K as filed on November 16, 2016).</w:t>
              </w:r>
            </w:hyperlink>
          </w:p>
        </w:tc>
        <w:tc>
          <w:tcPr>
            <w:tcW w:w="26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10160" w:type="dxa"/>
            <w:vAlign w:val="bottom"/>
            <w:gridSpan w:val="5"/>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40" w:type="dxa"/>
            <w:vAlign w:val="bottom"/>
            <w:tcBorders>
              <w:top w:val="single" w:sz="8" w:color="0000FF"/>
            </w:tcBorders>
            <w:gridSpan w:val="4"/>
          </w:tcPr>
          <w:p>
            <w:pPr>
              <w:spacing w:after="0" w:line="194"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reference to Exhibit 3.1 of the Company’s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as filed on September 12, 2019).</w:t>
              </w:r>
            </w:hyperlink>
          </w:p>
        </w:tc>
        <w:tc>
          <w:tcPr>
            <w:tcW w:w="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60" w:type="dxa"/>
            <w:vAlign w:val="bottom"/>
            <w:gridSpan w:val="3"/>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10160" w:type="dxa"/>
            <w:vAlign w:val="bottom"/>
            <w:gridSpan w:val="5"/>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40" w:type="dxa"/>
            <w:vAlign w:val="bottom"/>
            <w:tcBorders>
              <w:top w:val="single" w:sz="8" w:color="0000FF"/>
            </w:tcBorders>
            <w:gridSpan w:val="4"/>
          </w:tcPr>
          <w:p>
            <w:pPr>
              <w:spacing w:after="0" w:line="194"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reference to Exhibit 3.2 of the Company’s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as filed on September 12, 2019).</w:t>
              </w:r>
            </w:hyperlink>
          </w:p>
        </w:tc>
        <w:tc>
          <w:tcPr>
            <w:tcW w:w="20" w:type="dxa"/>
            <w:vAlign w:val="bottom"/>
          </w:tcPr>
          <w:p>
            <w:pPr>
              <w:spacing w:after="0"/>
              <w:rPr>
                <w:sz w:val="16"/>
                <w:szCs w:val="16"/>
                <w:color w:val="auto"/>
              </w:rPr>
            </w:pPr>
          </w:p>
        </w:tc>
      </w:tr>
      <w:tr>
        <w:trPr>
          <w:trHeight w:val="876"/>
        </w:trPr>
        <w:tc>
          <w:tcPr>
            <w:tcW w:w="9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5700" w:type="dxa"/>
            <w:vAlign w:val="bottom"/>
            <w:tcBorders>
              <w:top w:val="single" w:sz="8" w:color="0000FF"/>
            </w:tcBorders>
          </w:tcPr>
          <w:p>
            <w:pPr>
              <w:jc w:val="right"/>
              <w:ind w:right="1071"/>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4"/>
        </w:trPr>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14"/>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94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18"/>
          </w:tcPr>
          <w:p>
            <w:pPr>
              <w:spacing w:after="0" w:line="167"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20" w:type="dxa"/>
            <w:vAlign w:val="bottom"/>
            <w:tcBorders>
              <w:top w:val="single" w:sz="8" w:color="0000FF"/>
              <w:bottom w:val="single" w:sz="8" w:color="0000FF"/>
            </w:tcBorders>
            <w:gridSpan w:val="10"/>
          </w:tcPr>
          <w:p>
            <w:pPr>
              <w:spacing w:after="0" w:line="194" w:lineRule="exact"/>
              <w:rPr>
                <w:rFonts w:ascii="Times New Roman" w:cs="Times New Roman" w:eastAsia="Times New Roman" w:hAnsi="Times New Roman"/>
                <w:sz w:val="18"/>
                <w:szCs w:val="18"/>
                <w:color w:val="0000FF"/>
                <w:w w:val="98"/>
              </w:rPr>
            </w:pPr>
            <w:hyperlink r:id="rId30">
              <w:r>
                <w:rPr>
                  <w:rFonts w:ascii="Times New Roman" w:cs="Times New Roman" w:eastAsia="Times New Roman" w:hAnsi="Times New Roman"/>
                  <w:sz w:val="18"/>
                  <w:szCs w:val="18"/>
                  <w:color w:val="0000FF"/>
                  <w:w w:val="98"/>
                </w:rPr>
                <w:t>reference to Exhibit 3.1 of the Company’s Current Report on Form 8</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K as filed December 29, 2020).</w:t>
              </w:r>
            </w:hyperlink>
          </w:p>
        </w:tc>
        <w:tc>
          <w:tcPr>
            <w:tcW w:w="2940" w:type="dxa"/>
            <w:vAlign w:val="bottom"/>
            <w:tcBorders>
              <w:top w:val="single" w:sz="8" w:color="0000FF"/>
            </w:tcBorders>
            <w:gridSpan w:val="8"/>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Borders>
              <w:top w:val="single" w:sz="8" w:color="0000FF"/>
              <w:bottom w:val="single" w:sz="8" w:color="0000FF"/>
            </w:tcBorders>
            <w:gridSpan w:val="8"/>
          </w:tcPr>
          <w:p>
            <w:pPr>
              <w:spacing w:after="0" w:line="194" w:lineRule="exact"/>
              <w:rPr>
                <w:rFonts w:ascii="Times New Roman" w:cs="Times New Roman" w:eastAsia="Times New Roman" w:hAnsi="Times New Roman"/>
                <w:sz w:val="18"/>
                <w:szCs w:val="18"/>
                <w:color w:val="0000FF"/>
                <w:w w:val="98"/>
              </w:rPr>
            </w:pPr>
            <w:hyperlink r:id="rId31">
              <w:r>
                <w:rPr>
                  <w:rFonts w:ascii="Times New Roman" w:cs="Times New Roman" w:eastAsia="Times New Roman" w:hAnsi="Times New Roman"/>
                  <w:sz w:val="18"/>
                  <w:szCs w:val="18"/>
                  <w:color w:val="0000FF"/>
                  <w:w w:val="98"/>
                </w:rPr>
                <w:t>reference to Exhibit 3.1 of the Company’s Current Report on Form 8</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K as filed March 1, 2021).</w:t>
              </w:r>
            </w:hyperlink>
          </w:p>
        </w:tc>
        <w:tc>
          <w:tcPr>
            <w:tcW w:w="3300" w:type="dxa"/>
            <w:vAlign w:val="bottom"/>
            <w:tcBorders>
              <w:top w:val="single" w:sz="8" w:color="0000FF"/>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Borders>
              <w:top w:val="single" w:sz="8" w:color="0000FF"/>
              <w:bottom w:val="single" w:sz="8" w:color="0000FF"/>
            </w:tcBorders>
            <w:gridSpan w:val="8"/>
          </w:tcPr>
          <w:p>
            <w:pPr>
              <w:spacing w:after="0" w:line="194" w:lineRule="exact"/>
              <w:rPr>
                <w:rFonts w:ascii="Times New Roman" w:cs="Times New Roman" w:eastAsia="Times New Roman" w:hAnsi="Times New Roman"/>
                <w:sz w:val="18"/>
                <w:szCs w:val="18"/>
                <w:color w:val="0000FF"/>
                <w:w w:val="98"/>
              </w:rPr>
            </w:pPr>
            <w:hyperlink r:id="rId32">
              <w:r>
                <w:rPr>
                  <w:rFonts w:ascii="Times New Roman" w:cs="Times New Roman" w:eastAsia="Times New Roman" w:hAnsi="Times New Roman"/>
                  <w:sz w:val="18"/>
                  <w:szCs w:val="18"/>
                  <w:color w:val="0000FF"/>
                  <w:w w:val="98"/>
                </w:rPr>
                <w:t>reference to Exhibit 3.2 of the Company’s Current Report on Form 8</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K as filed March 1, 2021).</w:t>
              </w:r>
            </w:hyperlink>
          </w:p>
        </w:tc>
        <w:tc>
          <w:tcPr>
            <w:tcW w:w="3300" w:type="dxa"/>
            <w:vAlign w:val="bottom"/>
            <w:tcBorders>
              <w:top w:val="single" w:sz="8" w:color="0000FF"/>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47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Certificate of Amendment to the Second Amended and Restated Certificate of Incorporation of Eastman Kodak Company (Incorporated by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20" w:type="dxa"/>
            <w:vAlign w:val="bottom"/>
            <w:tcBorders>
              <w:top w:val="single" w:sz="8" w:color="0000FF"/>
              <w:bottom w:val="single" w:sz="8" w:color="0000FF"/>
            </w:tcBorders>
            <w:gridSpan w:val="9"/>
          </w:tcPr>
          <w:p>
            <w:pPr>
              <w:spacing w:after="0" w:line="194" w:lineRule="exact"/>
              <w:rPr>
                <w:rFonts w:ascii="Times New Roman" w:cs="Times New Roman" w:eastAsia="Times New Roman" w:hAnsi="Times New Roman"/>
                <w:sz w:val="18"/>
                <w:szCs w:val="18"/>
                <w:color w:val="0000FF"/>
                <w:w w:val="98"/>
              </w:rPr>
            </w:pPr>
            <w:hyperlink r:id="rId33">
              <w:r>
                <w:rPr>
                  <w:rFonts w:ascii="Times New Roman" w:cs="Times New Roman" w:eastAsia="Times New Roman" w:hAnsi="Times New Roman"/>
                  <w:sz w:val="18"/>
                  <w:szCs w:val="18"/>
                  <w:color w:val="0000FF"/>
                  <w:w w:val="98"/>
                </w:rPr>
                <w:t>reference to Exhibit 3.8 of the Company’s Annual Report on Form 10</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K as filed March 12, 2026).</w:t>
              </w:r>
            </w:hyperlink>
          </w:p>
        </w:tc>
        <w:tc>
          <w:tcPr>
            <w:tcW w:w="3140" w:type="dxa"/>
            <w:vAlign w:val="bottom"/>
            <w:tcBorders>
              <w:top w:val="single" w:sz="8" w:color="0000FF"/>
            </w:tcBorders>
            <w:gridSpan w:val="9"/>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Fourth Amended and Restated By-Laws of Eastman Kodak Company (Incorporated by reference to Exhibit 3.5 of the Company’s Quarterly</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40" w:type="dxa"/>
            <w:vAlign w:val="bottom"/>
            <w:tcBorders>
              <w:top w:val="single" w:sz="8" w:color="0000FF"/>
              <w:bottom w:val="single" w:sz="8" w:color="0000FF"/>
            </w:tcBorders>
            <w:gridSpan w:val="7"/>
          </w:tcPr>
          <w:p>
            <w:pPr>
              <w:spacing w:after="0" w:line="194"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Report on Form 10</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Q for the quarterly period ended March 31, 2020 as filed on May 12, 2020).</w:t>
              </w:r>
            </w:hyperlink>
          </w:p>
        </w:tc>
        <w:tc>
          <w:tcPr>
            <w:tcW w:w="3300" w:type="dxa"/>
            <w:vAlign w:val="bottom"/>
            <w:tcBorders>
              <w:top w:val="single" w:sz="8" w:color="0000FF"/>
            </w:tcBorders>
            <w:gridSpan w:val="10"/>
          </w:tcPr>
          <w:p>
            <w:pPr>
              <w:spacing w:after="0"/>
              <w:rPr>
                <w:sz w:val="16"/>
                <w:szCs w:val="16"/>
                <w:color w:val="auto"/>
              </w:rPr>
            </w:pPr>
          </w:p>
        </w:tc>
        <w:tc>
          <w:tcPr>
            <w:tcW w:w="40" w:type="dxa"/>
            <w:vAlign w:val="bottom"/>
            <w:gridSpan w:val="2"/>
          </w:tcPr>
          <w:p>
            <w:pPr>
              <w:spacing w:after="0"/>
              <w:rPr>
                <w:sz w:val="16"/>
                <w:szCs w:val="16"/>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Eastman Kodak Company 2013 Omnibus Incentive Plan, as amended and restated effective May 20, 2020 (Incorporated by reference to</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40" w:type="dxa"/>
            <w:vAlign w:val="bottom"/>
            <w:tcBorders>
              <w:top w:val="single" w:sz="8" w:color="0000FF"/>
              <w:bottom w:val="single" w:sz="8" w:color="0000FF"/>
            </w:tcBorders>
            <w:gridSpan w:val="12"/>
          </w:tcPr>
          <w:p>
            <w:pPr>
              <w:spacing w:after="0" w:line="194"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Exhibit 10.1 of the Company’s Quarterly Report on Form 10</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Q for the quarterly period ended June 30, 2020 as filed on August 11, 2020)</w:t>
              </w:r>
            </w:hyperlink>
          </w:p>
        </w:tc>
        <w:tc>
          <w:tcPr>
            <w:tcW w:w="120" w:type="dxa"/>
            <w:vAlign w:val="bottom"/>
            <w:tcBorders>
              <w:bottom w:val="single" w:sz="8" w:color="0000FF"/>
            </w:tcBorders>
            <w:gridSpan w:val="3"/>
          </w:tcPr>
          <w:p>
            <w:pPr>
              <w:jc w:val="right"/>
              <w:spacing w:after="0" w:line="194"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t>
              </w:r>
            </w:hyperlink>
          </w:p>
        </w:tc>
        <w:tc>
          <w:tcPr>
            <w:tcW w:w="10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r>
      <w:tr>
        <w:trPr>
          <w:trHeight w:val="56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First Amendment to the Eastman Kodak Company 2013 Omnibus Incentive Plan, as amended and restated (Incorporated by reference to</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80" w:type="dxa"/>
            <w:vAlign w:val="bottom"/>
            <w:tcBorders>
              <w:top w:val="single" w:sz="8" w:color="0000FF"/>
              <w:bottom w:val="single" w:sz="8" w:color="0000FF"/>
            </w:tcBorders>
            <w:gridSpan w:val="14"/>
          </w:tcPr>
          <w:p>
            <w:pPr>
              <w:spacing w:after="0" w:line="194"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Exhibit 10.1 of the Company’s Quarterly Report on Form 10</w:t>
              </w:r>
              <w:r>
                <w:rPr>
                  <w:rFonts w:ascii="MS PGothic" w:cs="MS PGothic" w:eastAsia="MS PGothic" w:hAnsi="MS PGothic"/>
                  <w:sz w:val="18"/>
                  <w:szCs w:val="18"/>
                  <w:color w:val="0000FF"/>
                  <w:w w:val="98"/>
                </w:rPr>
                <w:t>‑</w:t>
              </w:r>
              <w:r>
                <w:rPr>
                  <w:rFonts w:ascii="Times New Roman" w:cs="Times New Roman" w:eastAsia="Times New Roman" w:hAnsi="Times New Roman"/>
                  <w:sz w:val="18"/>
                  <w:szCs w:val="18"/>
                  <w:color w:val="0000FF"/>
                  <w:w w:val="98"/>
                </w:rPr>
                <w:t>Q for the quarterly period ended June 30, 2021 as filed on August 10, 2021)</w:t>
              </w:r>
            </w:hyperlink>
          </w:p>
        </w:tc>
        <w:tc>
          <w:tcPr>
            <w:tcW w:w="80" w:type="dxa"/>
            <w:vAlign w:val="bottom"/>
            <w:tcBorders>
              <w:bottom w:val="single" w:sz="8" w:color="0000FF"/>
            </w:tcBorders>
          </w:tcPr>
          <w:p>
            <w:pPr>
              <w:jc w:val="right"/>
              <w:spacing w:after="0" w:line="194"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w:t>
              </w:r>
            </w:hyperlink>
          </w:p>
        </w:tc>
        <w:tc>
          <w:tcPr>
            <w:tcW w:w="10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r>
      <w:tr>
        <w:trPr>
          <w:trHeight w:val="59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4"/>
                <w:szCs w:val="24"/>
                <w:color w:val="auto"/>
              </w:rPr>
            </w:pPr>
          </w:p>
        </w:tc>
        <w:tc>
          <w:tcPr>
            <w:tcW w:w="10180" w:type="dxa"/>
            <w:vAlign w:val="bottom"/>
            <w:gridSpan w:val="19"/>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Second Amendment to the Eastman Kodak Company 2013 Omnibus Incentive Plan, as amended and restated (Incorporated by reference to</w:t>
              </w:r>
            </w:hyperlink>
          </w:p>
        </w:tc>
      </w:tr>
      <w:tr>
        <w:trPr>
          <w:trHeight w:val="194"/>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60" w:type="dxa"/>
            <w:vAlign w:val="bottom"/>
            <w:tcBorders>
              <w:top w:val="single" w:sz="8" w:color="0000FF"/>
            </w:tcBorders>
            <w:gridSpan w:val="16"/>
          </w:tcPr>
          <w:p>
            <w:pPr>
              <w:spacing w:after="0" w:line="194"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Exhibit 10.1 of the Company’s Quarterly Report on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for the quarterly period ended June 30, 2024 as filed on August 8, 2024).</w:t>
              </w:r>
            </w:hyperlink>
          </w:p>
        </w:tc>
        <w:tc>
          <w:tcPr>
            <w:tcW w:w="220" w:type="dxa"/>
            <w:vAlign w:val="bottom"/>
            <w:gridSpan w:val="3"/>
          </w:tcPr>
          <w:p>
            <w:pPr>
              <w:spacing w:after="0"/>
              <w:rPr>
                <w:sz w:val="16"/>
                <w:szCs w:val="16"/>
                <w:color w:val="auto"/>
              </w:rPr>
            </w:pPr>
          </w:p>
        </w:tc>
      </w:tr>
      <w:tr>
        <w:trPr>
          <w:trHeight w:val="26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c>
          <w:tcPr>
            <w:tcW w:w="160" w:type="dxa"/>
            <w:vAlign w:val="bottom"/>
          </w:tcPr>
          <w:p>
            <w:pPr>
              <w:spacing w:after="0"/>
              <w:rPr>
                <w:sz w:val="22"/>
                <w:szCs w:val="22"/>
                <w:color w:val="auto"/>
              </w:rPr>
            </w:pPr>
          </w:p>
        </w:tc>
        <w:tc>
          <w:tcPr>
            <w:tcW w:w="7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Third Amendment to the Eastman Kodak Company 2013 Omnibus Incentive Plan, as amended and restated.</w:t>
            </w:r>
          </w:p>
        </w:tc>
        <w:tc>
          <w:tcPr>
            <w:tcW w:w="2040" w:type="dxa"/>
            <w:vAlign w:val="bottom"/>
            <w:tcBorders>
              <w:top w:val="single" w:sz="8" w:color="0000FF"/>
            </w:tcBorders>
            <w:gridSpan w:val="2"/>
          </w:tcPr>
          <w:p>
            <w:pPr>
              <w:spacing w:after="0"/>
              <w:rPr>
                <w:sz w:val="22"/>
                <w:szCs w:val="22"/>
                <w:color w:val="auto"/>
              </w:rPr>
            </w:pPr>
          </w:p>
        </w:tc>
        <w:tc>
          <w:tcPr>
            <w:tcW w:w="420" w:type="dxa"/>
            <w:vAlign w:val="bottom"/>
            <w:gridSpan w:val="6"/>
          </w:tcPr>
          <w:p>
            <w:pPr>
              <w:spacing w:after="0"/>
              <w:rPr>
                <w:sz w:val="22"/>
                <w:szCs w:val="22"/>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1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Opinion of Roger W. Byrd</w:t>
            </w:r>
          </w:p>
        </w:tc>
        <w:tc>
          <w:tcPr>
            <w:tcW w:w="8260" w:type="dxa"/>
            <w:vAlign w:val="bottom"/>
            <w:gridSpan w:val="16"/>
          </w:tcPr>
          <w:p>
            <w:pPr>
              <w:spacing w:after="0"/>
              <w:rPr>
                <w:sz w:val="24"/>
                <w:szCs w:val="24"/>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60" w:type="dxa"/>
            <w:vAlign w:val="bottom"/>
          </w:tcPr>
          <w:p>
            <w:pPr>
              <w:spacing w:after="0"/>
              <w:rPr>
                <w:sz w:val="24"/>
                <w:szCs w:val="24"/>
                <w:color w:val="auto"/>
              </w:rPr>
            </w:pPr>
          </w:p>
        </w:tc>
        <w:tc>
          <w:tcPr>
            <w:tcW w:w="4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5900" w:type="dxa"/>
            <w:vAlign w:val="bottom"/>
            <w:gridSpan w:val="14"/>
          </w:tcPr>
          <w:p>
            <w:pPr>
              <w:spacing w:after="0"/>
              <w:rPr>
                <w:sz w:val="24"/>
                <w:szCs w:val="24"/>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60" w:type="dxa"/>
            <w:vAlign w:val="bottom"/>
          </w:tcPr>
          <w:p>
            <w:pPr>
              <w:spacing w:after="0"/>
              <w:rPr>
                <w:sz w:val="24"/>
                <w:szCs w:val="24"/>
                <w:color w:val="auto"/>
              </w:rPr>
            </w:pPr>
          </w:p>
        </w:tc>
        <w:tc>
          <w:tcPr>
            <w:tcW w:w="3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Roger W. Byrd (included in Exhibit 5.1)</w:t>
            </w:r>
          </w:p>
        </w:tc>
        <w:tc>
          <w:tcPr>
            <w:tcW w:w="6460" w:type="dxa"/>
            <w:vAlign w:val="bottom"/>
            <w:gridSpan w:val="15"/>
          </w:tcPr>
          <w:p>
            <w:pPr>
              <w:spacing w:after="0"/>
              <w:rPr>
                <w:sz w:val="24"/>
                <w:szCs w:val="24"/>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160" w:type="dxa"/>
            <w:vAlign w:val="bottom"/>
          </w:tcPr>
          <w:p>
            <w:pPr>
              <w:spacing w:after="0"/>
              <w:rPr>
                <w:sz w:val="24"/>
                <w:szCs w:val="24"/>
                <w:color w:val="auto"/>
              </w:rPr>
            </w:pPr>
          </w:p>
        </w:tc>
        <w:tc>
          <w:tcPr>
            <w:tcW w:w="5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Power of Attorney (included on the signature page of this Registration Statement)</w:t>
            </w:r>
          </w:p>
        </w:tc>
        <w:tc>
          <w:tcPr>
            <w:tcW w:w="4340" w:type="dxa"/>
            <w:vAlign w:val="bottom"/>
            <w:gridSpan w:val="13"/>
          </w:tcPr>
          <w:p>
            <w:pPr>
              <w:spacing w:after="0"/>
              <w:rPr>
                <w:sz w:val="24"/>
                <w:szCs w:val="24"/>
                <w:color w:val="auto"/>
              </w:rPr>
            </w:pPr>
          </w:p>
        </w:tc>
      </w:tr>
      <w:tr>
        <w:trPr>
          <w:trHeight w:val="40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160" w:type="dxa"/>
            <w:vAlign w:val="bottom"/>
          </w:tcPr>
          <w:p>
            <w:pPr>
              <w:spacing w:after="0"/>
              <w:rPr>
                <w:sz w:val="24"/>
                <w:szCs w:val="24"/>
                <w:color w:val="auto"/>
              </w:rPr>
            </w:pPr>
          </w:p>
        </w:tc>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9000" w:type="dxa"/>
            <w:vAlign w:val="bottom"/>
            <w:gridSpan w:val="17"/>
          </w:tcPr>
          <w:p>
            <w:pPr>
              <w:spacing w:after="0"/>
              <w:rPr>
                <w:sz w:val="24"/>
                <w:szCs w:val="24"/>
                <w:color w:val="auto"/>
              </w:rPr>
            </w:pPr>
          </w:p>
        </w:tc>
      </w:tr>
    </w:tbl>
    <w:p>
      <w:pPr>
        <w:spacing w:after="0" w:line="222" w:lineRule="exact"/>
        <w:rPr>
          <w:sz w:val="20"/>
          <w:szCs w:val="20"/>
          <w:color w:val="auto"/>
        </w:rPr>
      </w:pPr>
    </w:p>
    <w:p>
      <w:pPr>
        <w:ind w:left="440" w:hanging="433"/>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Rochester, State of New York, on July 1, 2026.</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224" w:lineRule="exact"/>
        <w:rPr>
          <w:sz w:val="20"/>
          <w:szCs w:val="20"/>
          <w:color w:val="auto"/>
        </w:rPr>
      </w:pPr>
    </w:p>
    <w:tbl>
      <w:tblPr>
        <w:tblLayout w:type="fixed"/>
        <w:tblInd w:w="4600" w:type="dxa"/>
        <w:tblCellMar>
          <w:top w:w="0" w:type="dxa"/>
          <w:left w:w="0" w:type="dxa"/>
          <w:bottom w:w="0" w:type="dxa"/>
          <w:right w:w="0" w:type="dxa"/>
        </w:tblCellMar>
      </w:tblP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Roger W. Byrd</w:t>
            </w:r>
          </w:p>
        </w:tc>
      </w:tr>
      <w:tr>
        <w:trPr>
          <w:trHeight w:val="202"/>
        </w:trPr>
        <w:tc>
          <w:tcPr>
            <w:tcW w:w="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Roger W. Byrd</w:t>
            </w: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Secretary</w:t>
            </w:r>
          </w:p>
        </w:tc>
      </w:tr>
      <w:tr>
        <w:trPr>
          <w:trHeight w:val="233"/>
        </w:trPr>
        <w:tc>
          <w:tcPr>
            <w:tcW w:w="7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and Senior Vice President</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David E. Bullwinkle and Roger W. Byrd, and each of them, his or her true and lawful attorney-in-fact and agent, with full power of substitution and resubstitution, for him or her and in his or her name, place and stead, in any and all capacities, to sign any registration statement filed pursuant to Rule 462(b) under the Securities Act of 1933 and any and all amendments (including post-effective amendments) to this registration statement and to any registration statement filed pursuant to Rule 462(b), and to file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foregoing, as fully to all intents and purposes as he or she might or could do in person, hereby ratifying and confirming all that said attorney-in-fact and agent, or her substitute or substitutes, may lawfully do or cause to be done by virtue hereof.</w:t>
      </w:r>
    </w:p>
    <w:p>
      <w:pPr>
        <w:spacing w:after="0" w:line="18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7"/>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V. Continenza</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Chairman and Chief Executive Officer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James V. Continenza</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E. Bullwinkle</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E. Bullwinkle</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Richard T. Michaels</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Richard T. Michaels</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P. Bovenzi</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P. Bovenzi</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Philippe D. Katz</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Philippe D. Katz</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Kathleen B. Lynch</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Kathleen B. Lynch</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Jason New</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Jason New</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Darren L. Richman</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Darren L. Richman</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9"/>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E. Sileck, Jr.</w:t>
            </w: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July 1, 2026</w:t>
            </w:r>
          </w:p>
        </w:tc>
      </w:tr>
      <w:tr>
        <w:trPr>
          <w:trHeight w:val="226"/>
        </w:trPr>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E. Sileck, Jr.</w:t>
            </w:r>
          </w:p>
        </w:tc>
        <w:tc>
          <w:tcPr>
            <w:tcW w:w="54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1404"/>
        </w:trPr>
        <w:tc>
          <w:tcPr>
            <w:tcW w:w="27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4.13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EASTMAN KODAK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OMNIBUS INCENTIVE PLAN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May 20, 2020)</w:t>
      </w:r>
    </w:p>
    <w:p>
      <w:pPr>
        <w:spacing w:after="0" w:line="200" w:lineRule="exact"/>
        <w:rPr>
          <w:sz w:val="20"/>
          <w:szCs w:val="20"/>
          <w:color w:val="auto"/>
        </w:rPr>
      </w:pPr>
    </w:p>
    <w:p>
      <w:pPr>
        <w:spacing w:after="0" w:line="230"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21"/>
          <w:szCs w:val="21"/>
          <w:color w:val="auto"/>
        </w:rPr>
        <w:t>The Eastman Kodak Company 2013 Omnibus Incentive Plan, as amended and restated effective May 20, 2020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is hereby amended as follows, effective May 20, 2026:</w:t>
      </w:r>
    </w:p>
    <w:p>
      <w:pPr>
        <w:spacing w:after="0" w:line="141" w:lineRule="exact"/>
        <w:rPr>
          <w:sz w:val="20"/>
          <w:szCs w:val="20"/>
          <w:color w:val="auto"/>
        </w:rPr>
      </w:pPr>
    </w:p>
    <w:p>
      <w:pPr>
        <w:ind w:left="1100" w:right="660" w:hanging="344"/>
        <w:spacing w:after="0" w:line="27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 of the Plan is hereby amended to increase the maximum number of Shares available for grant to Participants pursuant to Awards under the Plan from 20,000,000 Shares to 28,000,000 Shares.</w:t>
      </w:r>
    </w:p>
    <w:p>
      <w:pPr>
        <w:spacing w:after="0" w:line="141" w:lineRule="exact"/>
        <w:rPr>
          <w:rFonts w:ascii="Times New Roman" w:cs="Times New Roman" w:eastAsia="Times New Roman" w:hAnsi="Times New Roman"/>
          <w:sz w:val="21"/>
          <w:szCs w:val="21"/>
          <w:color w:val="auto"/>
        </w:rPr>
      </w:pPr>
    </w:p>
    <w:p>
      <w:pPr>
        <w:ind w:left="1100" w:hanging="344"/>
        <w:spacing w:after="0"/>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16.19 of the Plan is hereby amended and restated in its entirety to provide as follows:</w:t>
      </w:r>
    </w:p>
    <w:p>
      <w:pPr>
        <w:spacing w:after="0" w:line="209" w:lineRule="exact"/>
        <w:rPr>
          <w:sz w:val="20"/>
          <w:szCs w:val="20"/>
          <w:color w:val="auto"/>
        </w:rPr>
      </w:pPr>
    </w:p>
    <w:p>
      <w:pPr>
        <w:jc w:val="both"/>
        <w:ind w:left="1500" w:right="1580" w:firstLine="749"/>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16.19 Effective Date</w:t>
      </w:r>
      <w:r>
        <w:rPr>
          <w:rFonts w:ascii="Times New Roman" w:cs="Times New Roman" w:eastAsia="Times New Roman" w:hAnsi="Times New Roman"/>
          <w:sz w:val="21"/>
          <w:szCs w:val="21"/>
          <w:color w:val="auto"/>
        </w:rPr>
        <w:t xml:space="preserve"> . 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was amended and restated to increase the maximum number of Shares available for grant to Participants pursuant to Awards under the Plan and to make certain other changes effective May 20, 2020; was amended to increase the maximum number of Shares available for grant to Participants pursuant to Awards under the Plan and to change the method of counting Shares granted under the Plan effective May 19, 2021; was amended to increase the maximum number of Shares available for grant to Participants pursuant to Awards under the Plan effective May 15, 2024; and was amended to increase the maximum number of Shares available for grant to Participants pursuant to Awards under the Plan effective May 20, 2026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300" w:val="left"/>
          <w:tab w:leader="none" w:pos="300" w:val="left"/>
          <w:tab w:leader="none" w:pos="300" w:val="left"/>
          <w:tab w:leader="none" w:pos="300" w:val="left"/>
        </w:tabs>
        <w:rPr>
          <w:sz w:val="20"/>
          <w:szCs w:val="20"/>
          <w:color w:val="auto"/>
        </w:rPr>
      </w:pPr>
      <w:r>
        <w:rPr>
          <w:rFonts w:ascii="Times New Roman" w:cs="Times New Roman" w:eastAsia="Times New Roman" w:hAnsi="Times New Roman"/>
          <w:sz w:val="21"/>
          <w:szCs w:val="21"/>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1021715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July 1,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Eastman Kodak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343 State Street</w:t>
      </w:r>
    </w:p>
    <w:p>
      <w:pPr>
        <w:spacing w:after="0"/>
        <w:rPr>
          <w:sz w:val="20"/>
          <w:szCs w:val="20"/>
          <w:color w:val="auto"/>
        </w:rPr>
      </w:pPr>
      <w:r>
        <w:rPr>
          <w:rFonts w:ascii="Times New Roman" w:cs="Times New Roman" w:eastAsia="Times New Roman" w:hAnsi="Times New Roman"/>
          <w:sz w:val="20"/>
          <w:szCs w:val="20"/>
          <w:color w:val="auto"/>
        </w:rPr>
        <w:t>Rochester, New York 14650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am General Counsel, Secretary and Senior Vice President of Eastman Kodak Company, a New Jersey corporation (“</w:t>
      </w:r>
      <w:r>
        <w:rPr>
          <w:rFonts w:ascii="Times New Roman" w:cs="Times New Roman" w:eastAsia="Times New Roman" w:hAnsi="Times New Roman"/>
          <w:sz w:val="20"/>
          <w:szCs w:val="20"/>
          <w:i w:val="1"/>
          <w:iCs w:val="1"/>
          <w:color w:val="auto"/>
        </w:rPr>
        <w:t>Kodak</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With respect to the Registration Statement on Form S-8 (the “</w:t>
      </w:r>
      <w:r>
        <w:rPr>
          <w:rFonts w:ascii="Times New Roman" w:cs="Times New Roman" w:eastAsia="Times New Roman" w:hAnsi="Times New Roman"/>
          <w:sz w:val="20"/>
          <w:szCs w:val="20"/>
          <w:i w:val="1"/>
          <w:iCs w:val="1"/>
          <w:color w:val="auto"/>
        </w:rPr>
        <w:t>Registration Statement</w:t>
      </w:r>
      <w:r>
        <w:rPr>
          <w:rFonts w:ascii="Times New Roman" w:cs="Times New Roman" w:eastAsia="Times New Roman" w:hAnsi="Times New Roman"/>
          <w:sz w:val="20"/>
          <w:szCs w:val="20"/>
          <w:color w:val="auto"/>
        </w:rPr>
        <w:t>”) filed today by Kodak with the Securities and Exchange Commission for the purpose of registering under the Securities Act of 1933, as 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8,000,000 shares of common stock of Kodak, par value $0.01 per share, (the “</w:t>
      </w:r>
      <w:r>
        <w:rPr>
          <w:rFonts w:ascii="Times New Roman" w:cs="Times New Roman" w:eastAsia="Times New Roman" w:hAnsi="Times New Roman"/>
          <w:sz w:val="20"/>
          <w:szCs w:val="20"/>
          <w:i w:val="1"/>
          <w:iCs w:val="1"/>
          <w:color w:val="auto"/>
        </w:rPr>
        <w:t>Shares</w:t>
      </w:r>
      <w:r>
        <w:rPr>
          <w:rFonts w:ascii="Times New Roman" w:cs="Times New Roman" w:eastAsia="Times New Roman" w:hAnsi="Times New Roman"/>
          <w:sz w:val="20"/>
          <w:szCs w:val="20"/>
          <w:color w:val="auto"/>
        </w:rPr>
        <w:t>”) to be granted to participants under, or issued upon the exercise of options and stock appreciation rights, or issued in connection with other awards granted under the Eastman Kodak Company 2013 Omnibus Incentive Plan, as Amended and Restated (as further amended, the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I have examined originals or copies, certified or otherwise identified to my satisfaction, of such corporate records, certificates, and other documents and instruments, and such questions of law, as I have considered necessary or desirable for the purpose of this opinion.</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my examination, I have assumed the legal capacity of all natural persons, the genuineness of all signatures, the authenticity of all documents submitted to me as originals, the conformity to original documents of all documents submitted to me as certified, conformed or photostatic copies and the authenticity of the originals of such latter documents. In making my examination of executed documents, I have assumed that the parties thereto, other than Kodak, had the power, corporate or other, to enter into and perform all obligations thereunder and have also assumed the due authorization by all requisite action, corporate or other, and execution and delivery by such parties of such documents and the validity and binding effect thereof on such parties. As to any facts material to the opinions expressed herein which I have not independently established or verified, I have relied upon statements and representations of officers and other representatives of Kodak and others.</w:t>
      </w:r>
    </w:p>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Based on the foregoing, I am of the opinion that the Shares will, when the Registration Statement has become effective and the Shares have been issued and delivered as contemplated in the Plan, be legally issued, fully paid, and non-assessable.</w:t>
      </w:r>
    </w:p>
    <w:p>
      <w:pPr>
        <w:spacing w:after="0" w:line="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opinion is rendered as of the date first written above and I disclaim any obligation to advise you of facts, circumstances, events or developments which hereafter may be brought to my attention and which may alter, affect or modify the opinion expressed herein. This opinion is limited to the matters stated herein, and no opinion is implied or may be inferred beyond the matters expressly stated. I consent to the filing of this opinion as an exhibit to the Registration Statement.</w:t>
      </w:r>
    </w:p>
    <w:p>
      <w:pPr>
        <w:spacing w:after="0" w:line="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 also consent to the reference to me in Item 5, Interests of Named Experts and Counsel, of the Registration Statement. In giving such consent, I do not thereby admit that I am in the category of persons whose consent is required under Section 7 of the Securities Act or the Rules and Regulations promulgated thereunder or Item 509 of Regulation S-K.</w:t>
      </w:r>
    </w:p>
    <w:p>
      <w:pPr>
        <w:spacing w:after="0" w:line="19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/s/ Roger W.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12700</wp:posOffset>
            </wp:positionV>
            <wp:extent cx="2849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Roger W. Byrd</w:t>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General Counsel, Secretary and</w:t>
      </w:r>
    </w:p>
    <w:p>
      <w:pPr>
        <w:ind w:left="676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(Form S-8) pertaining to the Eastman Kodak Company 2013 Omnibus Incentive Plan, as amended and restated, of our reports dated March 12, 2026, with respect to the consolidated financial statements of Eastman Kodak Company and the effectiveness of internal control over financial reporting of Eastman Kodak Company included in its Annual Report (Form 10-K) for the year ended December 31, 2025, filed with the Securities and Exchange Commission.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Rochester,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EASTMAN KODAK CO</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8,000,000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$ 9.30</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$ 10,274.64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74,400,000.00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$ 10,274.64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74,400,000.00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$ 10,274.64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80"/>
        <w:spacing w:after="0" w:line="245"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covers an indeterminate number of additional shares of the registrant's common stock that may be issuable as a result of stock splits, stock dividends, or similar transactions. The Proposed Maximum Offering Price Per Unit is estimated solely for the purpose of computing the registration fee pursuant to Rules 457(c) and 457(h) under the Securities Act, based on the average of the high and low prices of the registrant's shares of common stock as reported on the New York Stock Exchange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78740</wp:posOffset>
            </wp:positionV>
            <wp:extent cx="6387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8" Type="http://schemas.openxmlformats.org/officeDocument/2006/relationships/image" Target="media/image7.pn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11" Type="http://schemas.openxmlformats.org/officeDocument/2006/relationships/hyperlink" Target="https://www.sec.gov/Archives/edgar/data/31235/000119312513354928/d591063ds8.htm" TargetMode="External"/><Relationship Id="rId12" Type="http://schemas.openxmlformats.org/officeDocument/2006/relationships/hyperlink" Target="https://www.sec.gov/Archives/edgar/data/31235/000119312520299445/d40906ds8.htm" TargetMode="External"/><Relationship Id="rId13" Type="http://schemas.openxmlformats.org/officeDocument/2006/relationships/hyperlink" Target="https://www.sec.gov/Archives/edgar/data/31235/000119312521241959/d194167ds8.htm" TargetMode="External"/><Relationship Id="rId14" Type="http://schemas.openxmlformats.org/officeDocument/2006/relationships/hyperlink" Target="https://www.sec.gov/Archives/edgar/data/31235/000119312524197086/d868296ds8.htm" TargetMode="External"/><Relationship Id="rId16" Type="http://schemas.openxmlformats.org/officeDocument/2006/relationships/hyperlink" Target="https://www.sec.gov/Archives/edgar/data/31235/000119312526104214/kodk-20251231.htm" TargetMode="External"/><Relationship Id="rId17" Type="http://schemas.openxmlformats.org/officeDocument/2006/relationships/hyperlink" Target="https://www.sec.gov/Archives/edgar/data/31235/000114036126013928/ny20066366x1_def14a.htm" TargetMode="External"/><Relationship Id="rId18" Type="http://schemas.openxmlformats.org/officeDocument/2006/relationships/hyperlink" Target="https://www.sec.gov/Archives/edgar/data/31235/000119312526212026/kodk-20260331.htm" TargetMode="External"/><Relationship Id="rId19" Type="http://schemas.openxmlformats.org/officeDocument/2006/relationships/hyperlink" Target="https://www.sec.gov/Archives/edgar/data/31235/000119312526059417/kodk-20260212.htm" TargetMode="External"/><Relationship Id="rId20" Type="http://schemas.openxmlformats.org/officeDocument/2006/relationships/hyperlink" Target="https://www.sec.gov/Archives/edgar/data/31235/000119312526083095/kodk-20260223.htm" TargetMode="External"/><Relationship Id="rId21" Type="http://schemas.openxmlformats.org/officeDocument/2006/relationships/hyperlink" Target="https://www.sec.gov/Archives/edgar/data/31235/000119312526236943/kodk-20260520.htm" TargetMode="External"/><Relationship Id="rId22" Type="http://schemas.openxmlformats.org/officeDocument/2006/relationships/hyperlink" Target="https://www.sec.gov/Archives/edgar/data/31235/000119312513355253/d591061d8a12g.htm" TargetMode="External"/><Relationship Id="rId23" Type="http://schemas.openxmlformats.org/officeDocument/2006/relationships/hyperlink" Target="https://www.sec.gov/Archives/edgar/data/31235/000119312526104214/kodk-ex4_9.htm" TargetMode="External"/><Relationship Id="rId24" Type="http://schemas.openxmlformats.org/officeDocument/2006/relationships/hyperlink" Target="https://www.sec.gov/Archives/edgar/data/31235/000119312513354928/d591063dex41.htm" TargetMode="External"/><Relationship Id="rId25" Type="http://schemas.openxmlformats.org/officeDocument/2006/relationships/hyperlink" Target="https://www.sec.gov/Archives/edgar/data/31235/000156459016029358/kodk-ex31_26.htm" TargetMode="External"/><Relationship Id="rId26" Type="http://schemas.openxmlformats.org/officeDocument/2006/relationships/hyperlink" Target="https://www.sec.gov/Archives/edgar/data/31235/000119312519243935/d803063dex31.htm" TargetMode="External"/><Relationship Id="rId27" Type="http://schemas.openxmlformats.org/officeDocument/2006/relationships/hyperlink" Target="https://www.sec.gov/Archives/edgar/data/31235/000119312519243935/d803063dex32.htm" TargetMode="External"/><Relationship Id="rId30" Type="http://schemas.openxmlformats.org/officeDocument/2006/relationships/hyperlink" Target="https://www.sec.gov/Archives/edgar/data/31235/000156459020058718/kodk-ex31_14.htm" TargetMode="External"/><Relationship Id="rId31" Type="http://schemas.openxmlformats.org/officeDocument/2006/relationships/hyperlink" Target="https://www.sec.gov/Archives/edgar/data/31235/000119312521062328/d468860dex31.htm" TargetMode="External"/><Relationship Id="rId32" Type="http://schemas.openxmlformats.org/officeDocument/2006/relationships/hyperlink" Target="https://www.sec.gov/Archives/edgar/data/31235/000119312521062328/d468860dex32.htm" TargetMode="External"/><Relationship Id="rId33" Type="http://schemas.openxmlformats.org/officeDocument/2006/relationships/hyperlink" Target="https://www.sec.gov/Archives/edgar/data/31235/000119312526104214/kodk-ex3_8.htm" TargetMode="External"/><Relationship Id="rId34" Type="http://schemas.openxmlformats.org/officeDocument/2006/relationships/hyperlink" Target="https://www.sec.gov/Archives/edgar/data/31235/000156459020024666/kodk-ex35_31.htm" TargetMode="External"/><Relationship Id="rId35" Type="http://schemas.openxmlformats.org/officeDocument/2006/relationships/hyperlink" Target="https://www.sec.gov/Archives/edgar/data/31235/000156459020039315/kodk-ex101_48.htm" TargetMode="External"/><Relationship Id="rId36" Type="http://schemas.openxmlformats.org/officeDocument/2006/relationships/hyperlink" Target="https://www.sec.gov/Archives/edgar/data/31235/000156459021043080/kodk-ex101_64.htm" TargetMode="External"/><Relationship Id="rId37" Type="http://schemas.openxmlformats.org/officeDocument/2006/relationships/hyperlink" Target="https://www.sec.gov/Archives/edgar/data/31235/000143774924025552/ex_7026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2026-07-01T15:57:39Z</dcterms:created>
  <dcterms:modified xsi:type="dcterms:W3CDTF">2026-07-01T15:57:39Z</dcterms:modified>
</cp:coreProperties>
</file>