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Kodak</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August 9, 2016</w:t>
      </w:r>
    </w:p>
    <w:p>
      <w:pPr>
        <w:spacing w:after="0" w:line="206" w:lineRule="exact"/>
        <w:rPr>
          <w:sz w:val="24"/>
          <w:szCs w:val="24"/>
          <w:color w:val="auto"/>
        </w:rPr>
      </w:pPr>
    </w:p>
    <w:p>
      <w:pPr>
        <w:spacing w:after="0"/>
        <w:rPr>
          <w:sz w:val="20"/>
          <w:szCs w:val="20"/>
          <w:color w:val="auto"/>
        </w:rPr>
      </w:pPr>
      <w:r>
        <w:rPr>
          <w:rFonts w:ascii="Arial" w:cs="Arial" w:eastAsia="Arial" w:hAnsi="Arial"/>
          <w:sz w:val="19"/>
          <w:szCs w:val="19"/>
          <w:color w:val="auto"/>
        </w:rPr>
        <w:t>U.S. Securities and Exchange Commission</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w:t>
      </w:r>
    </w:p>
    <w:p>
      <w:pPr>
        <w:sectPr>
          <w:pgSz w:w="11900" w:h="16838" w:orient="portrait"/>
          <w:cols w:equalWidth="0" w:num="1">
            <w:col w:w="11400"/>
          </w:cols>
          <w:pgMar w:left="240" w:top="469" w:right="259" w:bottom="1440" w:gutter="0" w:footer="0" w:header="0"/>
        </w:sectPr>
      </w:pPr>
    </w:p>
    <w:p>
      <w:pPr>
        <w:spacing w:after="0" w:line="215" w:lineRule="exact"/>
        <w:rPr>
          <w:sz w:val="24"/>
          <w:szCs w:val="24"/>
          <w:color w:val="auto"/>
        </w:rPr>
      </w:pPr>
    </w:p>
    <w:p>
      <w:pPr>
        <w:spacing w:after="0"/>
        <w:rPr>
          <w:sz w:val="20"/>
          <w:szCs w:val="20"/>
          <w:color w:val="auto"/>
        </w:rPr>
      </w:pPr>
      <w:r>
        <w:rPr>
          <w:rFonts w:ascii="Arial" w:cs="Arial" w:eastAsia="Arial" w:hAnsi="Arial"/>
          <w:sz w:val="19"/>
          <w:szCs w:val="19"/>
          <w:color w:val="auto"/>
        </w:rPr>
        <w:t>Re:</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ind w:right="420"/>
        <w:spacing w:after="0" w:line="328" w:lineRule="auto"/>
        <w:rPr>
          <w:sz w:val="20"/>
          <w:szCs w:val="20"/>
          <w:color w:val="auto"/>
        </w:rPr>
      </w:pPr>
      <w:r>
        <w:rPr>
          <w:rFonts w:ascii="Arial" w:cs="Arial" w:eastAsia="Arial" w:hAnsi="Arial"/>
          <w:sz w:val="19"/>
          <w:szCs w:val="19"/>
          <w:color w:val="auto"/>
        </w:rPr>
        <w:t>Notice of Disclosure Filed in the Quarterly Report on Form 10-Q Under Section 219 of the Iran Threat Reduction and Syria Human Rights Act of 2012 and Section 13(r) of the Securities Exchange Act of 1934, as amended</w:t>
      </w:r>
    </w:p>
    <w:p>
      <w:pPr>
        <w:spacing w:after="0" w:line="105" w:lineRule="exact"/>
        <w:rPr>
          <w:sz w:val="24"/>
          <w:szCs w:val="24"/>
          <w:color w:val="auto"/>
        </w:rPr>
      </w:pPr>
    </w:p>
    <w:p>
      <w:pPr>
        <w:sectPr>
          <w:pgSz w:w="11900" w:h="16838" w:orient="portrait"/>
          <w:cols w:equalWidth="0" w:num="2">
            <w:col w:w="300" w:space="480"/>
            <w:col w:w="10620"/>
          </w:cols>
          <w:pgMar w:left="240" w:top="469" w:right="259" w:bottom="1440" w:gutter="0" w:footer="0" w:header="0"/>
          <w:type w:val="continuous"/>
        </w:sectPr>
      </w:pPr>
    </w:p>
    <w:p>
      <w:pPr>
        <w:spacing w:after="0"/>
        <w:rPr>
          <w:sz w:val="20"/>
          <w:szCs w:val="20"/>
          <w:color w:val="auto"/>
        </w:rPr>
      </w:pPr>
      <w:r>
        <w:rPr>
          <w:rFonts w:ascii="Arial" w:cs="Arial" w:eastAsia="Arial" w:hAnsi="Arial"/>
          <w:sz w:val="22"/>
          <w:szCs w:val="22"/>
          <w:color w:val="auto"/>
        </w:rPr>
        <w:t>To Whom It May Concern:</w:t>
      </w:r>
    </w:p>
    <w:p>
      <w:pPr>
        <w:spacing w:after="0" w:line="98" w:lineRule="exact"/>
        <w:rPr>
          <w:sz w:val="24"/>
          <w:szCs w:val="24"/>
          <w:color w:val="auto"/>
        </w:rPr>
      </w:pPr>
    </w:p>
    <w:p>
      <w:pPr>
        <w:spacing w:after="0" w:line="238" w:lineRule="auto"/>
        <w:rPr>
          <w:sz w:val="20"/>
          <w:szCs w:val="20"/>
          <w:color w:val="auto"/>
        </w:rPr>
      </w:pPr>
      <w:r>
        <w:rPr>
          <w:rFonts w:ascii="Arial" w:cs="Arial" w:eastAsia="Arial" w:hAnsi="Arial"/>
          <w:sz w:val="22"/>
          <w:szCs w:val="22"/>
          <w:color w:val="auto"/>
        </w:rPr>
        <w:t>Pursuant to Section 219 of the Iran Threat Reduction and Syria Human Rights Act of 2012 and Section 13(r) of the Securities Exchange Act of 1934, as amended, notice is hereby provided that Eastman Kodak Company has made disclosure pursuant to those provisions in its Quarterly Report on Form 10-Q for the quarter ended June 30, 2016, which was filed with the U.S. Securities and Exchange Commission on August 9, 2016.</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Respectfully,</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Eastman Kodak Company</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By: /s/ Sharon E. Underberg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Sharon E. Underberg</w:t>
      </w:r>
    </w:p>
    <w:p>
      <w:pPr>
        <w:spacing w:after="0"/>
        <w:rPr>
          <w:sz w:val="20"/>
          <w:szCs w:val="20"/>
          <w:color w:val="auto"/>
        </w:rPr>
      </w:pPr>
      <w:r>
        <w:rPr>
          <w:rFonts w:ascii="Arial" w:cs="Arial" w:eastAsia="Arial" w:hAnsi="Arial"/>
          <w:sz w:val="22"/>
          <w:szCs w:val="22"/>
          <w:color w:val="auto"/>
        </w:rPr>
        <w:t>General Counsel, Secretary &amp; Senior Vice President</w:t>
      </w:r>
    </w:p>
    <w:sectPr>
      <w:pgSz w:w="11900" w:h="16838" w:orient="portrait"/>
      <w:cols w:equalWidth="0" w:num="1">
        <w:col w:w="11400"/>
      </w:cols>
      <w:pgMar w:left="240" w:top="469"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2019-12-05T05:52:39Z</dcterms:created>
  <dcterms:modified xsi:type="dcterms:W3CDTF">2019-12-05T05:52:39Z</dcterms:modified>
</cp:coreProperties>
</file>