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52070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FORM 10-K/A</w:t>
      </w:r>
    </w:p>
    <w:p>
      <w:pPr>
        <w:spacing w:after="0" w:line="61"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Amendment Number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52070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020" w:type="dxa"/>
            <w:vAlign w:val="bottom"/>
            <w:gridSpan w:val="2"/>
          </w:tcPr>
          <w:p>
            <w:pPr>
              <w:spacing w:after="0" w:line="196" w:lineRule="exact"/>
              <w:rPr>
                <w:sz w:val="20"/>
                <w:szCs w:val="20"/>
                <w:color w:val="auto"/>
              </w:rPr>
            </w:pPr>
            <w:r>
              <w:rPr>
                <w:rFonts w:ascii="MS PGothic" w:cs="MS PGothic" w:eastAsia="MS PGothic" w:hAnsi="MS PGothic"/>
                <w:sz w:val="16"/>
                <w:szCs w:val="16"/>
                <w:color w:val="auto"/>
              </w:rPr>
              <w:t>☒</w:t>
            </w:r>
            <w:r>
              <w:rPr>
                <w:rFonts w:ascii="Calibri" w:cs="Calibri" w:eastAsia="Calibri" w:hAnsi="Calibri"/>
                <w:sz w:val="16"/>
                <w:szCs w:val="16"/>
                <w:b w:val="1"/>
                <w:bCs w:val="1"/>
                <w:color w:val="auto"/>
              </w:rPr>
              <w:t xml:space="preserve">  ANNUAL REPORT PURSUANT TO SECTION 13 OR 15(d) OF THE SECURITIES EXCHANGE ACT OF 1934</w:t>
            </w:r>
          </w:p>
        </w:tc>
        <w:tc>
          <w:tcPr>
            <w:tcW w:w="30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71"/>
        </w:trPr>
        <w:tc>
          <w:tcPr>
            <w:tcW w:w="42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Calibri" w:cs="Calibri" w:eastAsia="Calibri" w:hAnsi="Calibri"/>
                <w:sz w:val="16"/>
                <w:szCs w:val="16"/>
                <w:b w:val="1"/>
                <w:bCs w:val="1"/>
                <w:color w:val="auto"/>
              </w:rPr>
              <w:t>For the year ended December 31, 2023 or</w:t>
            </w:r>
          </w:p>
        </w:tc>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3"/>
        </w:trPr>
        <w:tc>
          <w:tcPr>
            <w:tcW w:w="10040" w:type="dxa"/>
            <w:vAlign w:val="bottom"/>
            <w:gridSpan w:val="3"/>
          </w:tcPr>
          <w:p>
            <w:pPr>
              <w:spacing w:after="0" w:line="196" w:lineRule="exact"/>
              <w:rPr>
                <w:sz w:val="20"/>
                <w:szCs w:val="20"/>
                <w:color w:val="auto"/>
              </w:rPr>
            </w:pPr>
            <w:r>
              <w:rPr>
                <w:rFonts w:ascii="MS PGothic" w:cs="MS PGothic" w:eastAsia="MS PGothic" w:hAnsi="MS PGothic"/>
                <w:sz w:val="16"/>
                <w:szCs w:val="16"/>
                <w:color w:val="auto"/>
              </w:rPr>
              <w:t>☐</w:t>
            </w:r>
            <w:r>
              <w:rPr>
                <w:rFonts w:ascii="Calibri" w:cs="Calibri" w:eastAsia="Calibri" w:hAnsi="Calibri"/>
                <w:sz w:val="16"/>
                <w:szCs w:val="16"/>
                <w:b w:val="1"/>
                <w:bCs w:val="1"/>
                <w:color w:val="auto"/>
              </w:rPr>
              <w:t xml:space="preserve">  TRANSITION REPORT PURSUANT TO SECTION 13 OR 15(d) OF THE SECURITIES EXCHANGE ACT OF 1934 FOR THE TRANSITION PERIOD FROM</w:t>
            </w:r>
          </w:p>
        </w:tc>
        <w:tc>
          <w:tcPr>
            <w:tcW w:w="580" w:type="dxa"/>
            <w:vAlign w:val="bottom"/>
          </w:tcPr>
          <w:p>
            <w:pPr>
              <w:ind w:left="400"/>
              <w:spacing w:after="0"/>
              <w:rPr>
                <w:sz w:val="20"/>
                <w:szCs w:val="20"/>
                <w:color w:val="auto"/>
              </w:rPr>
            </w:pPr>
            <w:r>
              <w:rPr>
                <w:rFonts w:ascii="Calibri" w:cs="Calibri" w:eastAsia="Calibri" w:hAnsi="Calibri"/>
                <w:sz w:val="16"/>
                <w:szCs w:val="16"/>
                <w:b w:val="1"/>
                <w:bCs w:val="1"/>
                <w:color w:val="auto"/>
                <w:w w:val="85"/>
              </w:rPr>
              <w:t>TO</w:t>
            </w:r>
          </w:p>
        </w:tc>
      </w:tr>
      <w:tr>
        <w:trPr>
          <w:trHeight w:val="560"/>
        </w:trPr>
        <w:tc>
          <w:tcPr>
            <w:tcW w:w="42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Calibri" w:cs="Calibri" w:eastAsia="Calibri" w:hAnsi="Calibri"/>
                <w:sz w:val="16"/>
                <w:szCs w:val="16"/>
                <w:b w:val="1"/>
                <w:bCs w:val="1"/>
                <w:color w:val="auto"/>
              </w:rPr>
              <w:t>Commission File Number 1-00087</w:t>
            </w:r>
          </w:p>
        </w:tc>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2"/>
        </w:trPr>
        <w:tc>
          <w:tcPr>
            <w:tcW w:w="4220" w:type="dxa"/>
            <w:vAlign w:val="bottom"/>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23"/>
        </w:trPr>
        <w:tc>
          <w:tcPr>
            <w:tcW w:w="42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EASTMAN KODAK COMPANY</w:t>
            </w:r>
          </w:p>
        </w:tc>
        <w:tc>
          <w:tcPr>
            <w:tcW w:w="3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3"/>
        </w:trPr>
        <w:tc>
          <w:tcPr>
            <w:tcW w:w="10040" w:type="dxa"/>
            <w:vAlign w:val="bottom"/>
            <w:gridSpan w:val="3"/>
          </w:tcPr>
          <w:p>
            <w:pPr>
              <w:jc w:val="center"/>
              <w:ind w:left="1119"/>
              <w:spacing w:after="0"/>
              <w:rPr>
                <w:sz w:val="20"/>
                <w:szCs w:val="20"/>
                <w:color w:val="auto"/>
              </w:rPr>
            </w:pPr>
            <w:r>
              <w:rPr>
                <w:rFonts w:ascii="Calibri" w:cs="Calibri" w:eastAsia="Calibri" w:hAnsi="Calibri"/>
                <w:sz w:val="16"/>
                <w:szCs w:val="16"/>
                <w:b w:val="1"/>
                <w:bCs w:val="1"/>
                <w:color w:val="auto"/>
              </w:rPr>
              <w:t>(Exact name of Registrant as specifed in its Charter)</w:t>
            </w:r>
          </w:p>
        </w:tc>
        <w:tc>
          <w:tcPr>
            <w:tcW w:w="580" w:type="dxa"/>
            <w:vAlign w:val="bottom"/>
          </w:tcPr>
          <w:p>
            <w:pPr>
              <w:spacing w:after="0"/>
              <w:rPr>
                <w:sz w:val="17"/>
                <w:szCs w:val="17"/>
                <w:color w:val="auto"/>
              </w:rPr>
            </w:pPr>
          </w:p>
        </w:tc>
      </w:tr>
      <w:tr>
        <w:trPr>
          <w:trHeight w:val="82"/>
        </w:trPr>
        <w:tc>
          <w:tcPr>
            <w:tcW w:w="4220" w:type="dxa"/>
            <w:vAlign w:val="bottom"/>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425"/>
        </w:trPr>
        <w:tc>
          <w:tcPr>
            <w:tcW w:w="7020" w:type="dxa"/>
            <w:vAlign w:val="bottom"/>
            <w:gridSpan w:val="2"/>
          </w:tcPr>
          <w:p>
            <w:pPr>
              <w:jc w:val="center"/>
              <w:ind w:right="1319"/>
              <w:spacing w:after="0"/>
              <w:rPr>
                <w:sz w:val="20"/>
                <w:szCs w:val="20"/>
                <w:color w:val="auto"/>
              </w:rPr>
            </w:pPr>
            <w:r>
              <w:rPr>
                <w:rFonts w:ascii="Calibri" w:cs="Calibri" w:eastAsia="Calibri" w:hAnsi="Calibri"/>
                <w:sz w:val="16"/>
                <w:szCs w:val="16"/>
                <w:b w:val="1"/>
                <w:bCs w:val="1"/>
                <w:color w:val="auto"/>
                <w:w w:val="98"/>
              </w:rPr>
              <w:t>New Jersey</w:t>
            </w:r>
          </w:p>
        </w:tc>
        <w:tc>
          <w:tcPr>
            <w:tcW w:w="3020" w:type="dxa"/>
            <w:vAlign w:val="bottom"/>
          </w:tcPr>
          <w:p>
            <w:pPr>
              <w:jc w:val="right"/>
              <w:ind w:right="1139"/>
              <w:spacing w:after="0"/>
              <w:rPr>
                <w:sz w:val="20"/>
                <w:szCs w:val="20"/>
                <w:color w:val="auto"/>
              </w:rPr>
            </w:pPr>
            <w:r>
              <w:rPr>
                <w:rFonts w:ascii="Calibri" w:cs="Calibri" w:eastAsia="Calibri" w:hAnsi="Calibri"/>
                <w:sz w:val="16"/>
                <w:szCs w:val="16"/>
                <w:b w:val="1"/>
                <w:bCs w:val="1"/>
                <w:color w:val="auto"/>
              </w:rPr>
              <w:t>16-0417150</w:t>
            </w:r>
          </w:p>
        </w:tc>
        <w:tc>
          <w:tcPr>
            <w:tcW w:w="580" w:type="dxa"/>
            <w:vAlign w:val="bottom"/>
          </w:tcPr>
          <w:p>
            <w:pPr>
              <w:spacing w:after="0"/>
              <w:rPr>
                <w:sz w:val="24"/>
                <w:szCs w:val="24"/>
                <w:color w:val="auto"/>
              </w:rPr>
            </w:pPr>
          </w:p>
        </w:tc>
      </w:tr>
      <w:tr>
        <w:trPr>
          <w:trHeight w:val="203"/>
        </w:trPr>
        <w:tc>
          <w:tcPr>
            <w:tcW w:w="7020" w:type="dxa"/>
            <w:vAlign w:val="bottom"/>
            <w:gridSpan w:val="2"/>
          </w:tcPr>
          <w:p>
            <w:pPr>
              <w:jc w:val="center"/>
              <w:ind w:right="1339"/>
              <w:spacing w:after="0"/>
              <w:rPr>
                <w:sz w:val="20"/>
                <w:szCs w:val="20"/>
                <w:color w:val="auto"/>
              </w:rPr>
            </w:pPr>
            <w:r>
              <w:rPr>
                <w:rFonts w:ascii="Calibri" w:cs="Calibri" w:eastAsia="Calibri" w:hAnsi="Calibri"/>
                <w:sz w:val="16"/>
                <w:szCs w:val="16"/>
                <w:b w:val="1"/>
                <w:bCs w:val="1"/>
                <w:color w:val="auto"/>
              </w:rPr>
              <w:t>(State or other jurisdicton of incorporaton or organizaton)</w:t>
            </w:r>
          </w:p>
        </w:tc>
        <w:tc>
          <w:tcPr>
            <w:tcW w:w="3020" w:type="dxa"/>
            <w:vAlign w:val="bottom"/>
          </w:tcPr>
          <w:p>
            <w:pPr>
              <w:jc w:val="center"/>
              <w:ind w:right="139"/>
              <w:spacing w:after="0"/>
              <w:rPr>
                <w:sz w:val="20"/>
                <w:szCs w:val="20"/>
                <w:color w:val="auto"/>
              </w:rPr>
            </w:pPr>
            <w:r>
              <w:rPr>
                <w:rFonts w:ascii="Calibri" w:cs="Calibri" w:eastAsia="Calibri" w:hAnsi="Calibri"/>
                <w:sz w:val="16"/>
                <w:szCs w:val="16"/>
                <w:b w:val="1"/>
                <w:bCs w:val="1"/>
                <w:color w:val="auto"/>
              </w:rPr>
              <w:t>(I.R.S. Employer Identfcaton No.)</w:t>
            </w:r>
          </w:p>
        </w:tc>
        <w:tc>
          <w:tcPr>
            <w:tcW w:w="580" w:type="dxa"/>
            <w:vAlign w:val="bottom"/>
          </w:tcPr>
          <w:p>
            <w:pPr>
              <w:spacing w:after="0"/>
              <w:rPr>
                <w:sz w:val="17"/>
                <w:szCs w:val="17"/>
                <w:color w:val="auto"/>
              </w:rPr>
            </w:pPr>
          </w:p>
        </w:tc>
      </w:tr>
      <w:tr>
        <w:trPr>
          <w:trHeight w:val="203"/>
        </w:trPr>
        <w:tc>
          <w:tcPr>
            <w:tcW w:w="7020" w:type="dxa"/>
            <w:vAlign w:val="bottom"/>
            <w:gridSpan w:val="2"/>
          </w:tcPr>
          <w:p>
            <w:pPr>
              <w:jc w:val="center"/>
              <w:ind w:right="1319"/>
              <w:spacing w:after="0"/>
              <w:rPr>
                <w:sz w:val="20"/>
                <w:szCs w:val="20"/>
                <w:color w:val="auto"/>
              </w:rPr>
            </w:pPr>
            <w:r>
              <w:rPr>
                <w:rFonts w:ascii="Calibri" w:cs="Calibri" w:eastAsia="Calibri" w:hAnsi="Calibri"/>
                <w:sz w:val="16"/>
                <w:szCs w:val="16"/>
                <w:b w:val="1"/>
                <w:bCs w:val="1"/>
                <w:color w:val="auto"/>
              </w:rPr>
              <w:t>343 State Street, Rochester, New York</w:t>
            </w:r>
          </w:p>
        </w:tc>
        <w:tc>
          <w:tcPr>
            <w:tcW w:w="3020" w:type="dxa"/>
            <w:vAlign w:val="bottom"/>
          </w:tcPr>
          <w:p>
            <w:pPr>
              <w:jc w:val="right"/>
              <w:ind w:right="1319"/>
              <w:spacing w:after="0"/>
              <w:rPr>
                <w:sz w:val="20"/>
                <w:szCs w:val="20"/>
                <w:color w:val="auto"/>
              </w:rPr>
            </w:pPr>
            <w:r>
              <w:rPr>
                <w:rFonts w:ascii="Calibri" w:cs="Calibri" w:eastAsia="Calibri" w:hAnsi="Calibri"/>
                <w:sz w:val="16"/>
                <w:szCs w:val="16"/>
                <w:b w:val="1"/>
                <w:bCs w:val="1"/>
                <w:color w:val="auto"/>
              </w:rPr>
              <w:t>14650</w:t>
            </w:r>
          </w:p>
        </w:tc>
        <w:tc>
          <w:tcPr>
            <w:tcW w:w="580" w:type="dxa"/>
            <w:vAlign w:val="bottom"/>
          </w:tcPr>
          <w:p>
            <w:pPr>
              <w:spacing w:after="0"/>
              <w:rPr>
                <w:sz w:val="17"/>
                <w:szCs w:val="17"/>
                <w:color w:val="auto"/>
              </w:rPr>
            </w:pPr>
          </w:p>
        </w:tc>
      </w:tr>
      <w:tr>
        <w:trPr>
          <w:trHeight w:val="203"/>
        </w:trPr>
        <w:tc>
          <w:tcPr>
            <w:tcW w:w="7020" w:type="dxa"/>
            <w:vAlign w:val="bottom"/>
            <w:gridSpan w:val="2"/>
          </w:tcPr>
          <w:p>
            <w:pPr>
              <w:jc w:val="center"/>
              <w:ind w:right="1319"/>
              <w:spacing w:after="0"/>
              <w:rPr>
                <w:sz w:val="20"/>
                <w:szCs w:val="20"/>
                <w:color w:val="auto"/>
              </w:rPr>
            </w:pPr>
            <w:r>
              <w:rPr>
                <w:rFonts w:ascii="Calibri" w:cs="Calibri" w:eastAsia="Calibri" w:hAnsi="Calibri"/>
                <w:sz w:val="16"/>
                <w:szCs w:val="16"/>
                <w:b w:val="1"/>
                <w:bCs w:val="1"/>
                <w:color w:val="auto"/>
              </w:rPr>
              <w:t>(Address of principal executve ofces)</w:t>
            </w:r>
          </w:p>
        </w:tc>
        <w:tc>
          <w:tcPr>
            <w:tcW w:w="3020" w:type="dxa"/>
            <w:vAlign w:val="bottom"/>
          </w:tcPr>
          <w:p>
            <w:pPr>
              <w:jc w:val="center"/>
              <w:ind w:right="139"/>
              <w:spacing w:after="0"/>
              <w:rPr>
                <w:sz w:val="20"/>
                <w:szCs w:val="20"/>
                <w:color w:val="auto"/>
              </w:rPr>
            </w:pPr>
            <w:r>
              <w:rPr>
                <w:rFonts w:ascii="Calibri" w:cs="Calibri" w:eastAsia="Calibri" w:hAnsi="Calibri"/>
                <w:sz w:val="16"/>
                <w:szCs w:val="16"/>
                <w:b w:val="1"/>
                <w:bCs w:val="1"/>
                <w:color w:val="auto"/>
              </w:rPr>
              <w:t>(Zip Code)</w:t>
            </w:r>
          </w:p>
        </w:tc>
        <w:tc>
          <w:tcPr>
            <w:tcW w:w="580" w:type="dxa"/>
            <w:vAlign w:val="bottom"/>
          </w:tcPr>
          <w:p>
            <w:pPr>
              <w:spacing w:after="0"/>
              <w:rPr>
                <w:sz w:val="17"/>
                <w:szCs w:val="17"/>
                <w:color w:val="auto"/>
              </w:rPr>
            </w:pPr>
          </w:p>
        </w:tc>
      </w:tr>
    </w:tbl>
    <w:p>
      <w:pPr>
        <w:spacing w:after="0" w:line="210"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Registrant</w:t>
      </w:r>
      <w:r>
        <w:rPr>
          <w:rFonts w:ascii="Calibri" w:cs="Calibri" w:eastAsia="Calibri" w:hAnsi="Calibri"/>
          <w:sz w:val="16"/>
          <w:szCs w:val="16"/>
          <w:color w:val="auto"/>
        </w:rPr>
        <w:t>’</w:t>
      </w:r>
      <w:r>
        <w:rPr>
          <w:rFonts w:ascii="Calibri" w:cs="Calibri" w:eastAsia="Calibri" w:hAnsi="Calibri"/>
          <w:sz w:val="16"/>
          <w:szCs w:val="16"/>
          <w:b w:val="1"/>
          <w:bCs w:val="1"/>
          <w:color w:val="auto"/>
        </w:rPr>
        <w:t>s telephone number, including area code: (800) 356-3259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jc w:val="center"/>
              <w:spacing w:after="0"/>
              <w:rPr>
                <w:sz w:val="20"/>
                <w:szCs w:val="20"/>
                <w:color w:val="auto"/>
              </w:rPr>
            </w:pPr>
            <w:r>
              <w:rPr>
                <w:rFonts w:ascii="Calibri" w:cs="Calibri" w:eastAsia="Calibri" w:hAnsi="Calibri"/>
                <w:sz w:val="16"/>
                <w:szCs w:val="16"/>
                <w:b w:val="1"/>
                <w:bCs w:val="1"/>
                <w:color w:val="auto"/>
              </w:rPr>
              <w:t>Title of each class</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0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$0.01 per share</w:t>
            </w:r>
          </w:p>
        </w:tc>
        <w:tc>
          <w:tcPr>
            <w:tcW w:w="120" w:type="dxa"/>
            <w:vAlign w:val="bottom"/>
            <w:vMerge w:val="continue"/>
          </w:tcPr>
          <w:p>
            <w:pPr>
              <w:spacing w:after="0"/>
              <w:rPr>
                <w:sz w:val="16"/>
                <w:szCs w:val="16"/>
                <w:color w:val="auto"/>
              </w:rPr>
            </w:pPr>
          </w:p>
        </w:tc>
        <w:tc>
          <w:tcPr>
            <w:tcW w:w="2020" w:type="dxa"/>
            <w:vAlign w:val="bottom"/>
          </w:tcPr>
          <w:p>
            <w:pPr>
              <w:jc w:val="center"/>
              <w:spacing w:after="0" w:line="187" w:lineRule="exact"/>
              <w:rPr>
                <w:sz w:val="20"/>
                <w:szCs w:val="20"/>
                <w:color w:val="auto"/>
              </w:rPr>
            </w:pPr>
            <w:r>
              <w:rPr>
                <w:rFonts w:ascii="Calibri" w:cs="Calibri" w:eastAsia="Calibri" w:hAnsi="Calibri"/>
                <w:sz w:val="16"/>
                <w:szCs w:val="16"/>
                <w:color w:val="auto"/>
                <w:w w:val="96"/>
              </w:rPr>
              <w:t>KODK</w:t>
            </w:r>
          </w:p>
        </w:tc>
        <w:tc>
          <w:tcPr>
            <w:tcW w:w="120" w:type="dxa"/>
            <w:vAlign w:val="bottom"/>
            <w:vMerge w:val="continue"/>
          </w:tcPr>
          <w:p>
            <w:pPr>
              <w:spacing w:after="0"/>
              <w:rPr>
                <w:sz w:val="16"/>
                <w:szCs w:val="16"/>
                <w:color w:val="auto"/>
              </w:rPr>
            </w:pPr>
          </w:p>
        </w:tc>
        <w:tc>
          <w:tcPr>
            <w:tcW w:w="4480" w:type="dxa"/>
            <w:vAlign w:val="bottom"/>
          </w:tcPr>
          <w:p>
            <w:pPr>
              <w:jc w:val="center"/>
              <w:spacing w:after="0" w:line="187" w:lineRule="exact"/>
              <w:rPr>
                <w:sz w:val="20"/>
                <w:szCs w:val="20"/>
                <w:color w:val="auto"/>
              </w:rPr>
            </w:pPr>
            <w:r>
              <w:rPr>
                <w:rFonts w:ascii="Calibri" w:cs="Calibri" w:eastAsia="Calibri" w:hAnsi="Calibri"/>
                <w:sz w:val="16"/>
                <w:szCs w:val="16"/>
                <w:color w:val="auto"/>
              </w:rPr>
              <w:t>New York Stock Exchange</w:t>
            </w:r>
          </w:p>
        </w:tc>
        <w:tc>
          <w:tcPr>
            <w:tcW w:w="0" w:type="dxa"/>
            <w:vAlign w:val="bottom"/>
          </w:tcPr>
          <w:p>
            <w:pPr>
              <w:spacing w:after="0"/>
              <w:rPr>
                <w:sz w:val="1"/>
                <w:szCs w:val="1"/>
                <w:color w:val="auto"/>
              </w:rPr>
            </w:pPr>
          </w:p>
        </w:tc>
      </w:tr>
    </w:tbl>
    <w:p>
      <w:pPr>
        <w:spacing w:after="0" w:line="191"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 xml:space="preserve">Securites registered pursuant to Secton 12(g) of the Act: </w:t>
      </w:r>
      <w:r>
        <w:rPr>
          <w:rFonts w:ascii="Calibri" w:cs="Calibri" w:eastAsia="Calibri" w:hAnsi="Calibri"/>
          <w:sz w:val="16"/>
          <w:szCs w:val="16"/>
          <w:b w:val="1"/>
          <w:bCs w:val="1"/>
          <w:color w:val="auto"/>
        </w:rPr>
        <w:t>None</w:t>
      </w:r>
    </w:p>
    <w:p>
      <w:pPr>
        <w:spacing w:after="0" w:line="180" w:lineRule="exact"/>
        <w:rPr>
          <w:sz w:val="24"/>
          <w:szCs w:val="24"/>
          <w:color w:val="auto"/>
        </w:rPr>
      </w:pPr>
    </w:p>
    <w:p>
      <w:pPr>
        <w:spacing w:after="0" w:line="196" w:lineRule="exact"/>
        <w:rPr>
          <w:sz w:val="20"/>
          <w:szCs w:val="20"/>
          <w:color w:val="auto"/>
        </w:rPr>
      </w:pPr>
      <w:r>
        <w:rPr>
          <w:rFonts w:ascii="Calibri" w:cs="Calibri" w:eastAsia="Calibri" w:hAnsi="Calibri"/>
          <w:sz w:val="16"/>
          <w:szCs w:val="16"/>
          <w:color w:val="auto"/>
        </w:rPr>
        <w:t xml:space="preserve">Indicate by check mark if the Registrant is a well-known seasoned issuer, as defned in Rule 405 of the Securites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223" w:lineRule="exact"/>
        <w:rPr>
          <w:sz w:val="24"/>
          <w:szCs w:val="24"/>
          <w:color w:val="auto"/>
        </w:rPr>
      </w:pPr>
    </w:p>
    <w:p>
      <w:pPr>
        <w:spacing w:after="0" w:line="196" w:lineRule="exact"/>
        <w:rPr>
          <w:sz w:val="20"/>
          <w:szCs w:val="20"/>
          <w:color w:val="auto"/>
        </w:rPr>
      </w:pPr>
      <w:r>
        <w:rPr>
          <w:rFonts w:ascii="Calibri" w:cs="Calibri" w:eastAsia="Calibri" w:hAnsi="Calibri"/>
          <w:sz w:val="16"/>
          <w:szCs w:val="16"/>
          <w:color w:val="auto"/>
        </w:rPr>
        <w:t xml:space="preserve">Indicate by check mark if the Registrant is not required to fle reports pursuant to Secton 13 or 15(d)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255" w:lineRule="exact"/>
        <w:rPr>
          <w:sz w:val="24"/>
          <w:szCs w:val="24"/>
          <w:color w:val="auto"/>
        </w:rPr>
      </w:pPr>
    </w:p>
    <w:p>
      <w:pPr>
        <w:ind w:right="320"/>
        <w:spacing w:after="0" w:line="215"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79" w:lineRule="exact"/>
        <w:rPr>
          <w:sz w:val="24"/>
          <w:szCs w:val="24"/>
          <w:color w:val="auto"/>
        </w:rPr>
      </w:pPr>
    </w:p>
    <w:p>
      <w:pPr>
        <w:ind w:right="320"/>
        <w:spacing w:after="0" w:line="222"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jc w:val="both"/>
        <w:ind w:right="160"/>
        <w:spacing w:after="0" w:line="247"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17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80"/>
              <w:spacing w:after="0"/>
              <w:rPr>
                <w:sz w:val="20"/>
                <w:szCs w:val="20"/>
                <w:color w:val="auto"/>
              </w:rPr>
            </w:pPr>
            <w:r>
              <w:rPr>
                <w:rFonts w:ascii="Calibri" w:cs="Calibri" w:eastAsia="Calibri" w:hAnsi="Calibri"/>
                <w:sz w:val="16"/>
                <w:szCs w:val="16"/>
                <w:color w:val="auto"/>
              </w:rPr>
              <w:t>Accelerated fler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3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17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80"/>
              <w:spacing w:after="0"/>
              <w:rPr>
                <w:sz w:val="20"/>
                <w:szCs w:val="20"/>
                <w:color w:val="auto"/>
              </w:rPr>
            </w:pPr>
            <w:r>
              <w:rPr>
                <w:rFonts w:ascii="Calibri" w:cs="Calibri" w:eastAsia="Calibri" w:hAnsi="Calibri"/>
                <w:sz w:val="16"/>
                <w:szCs w:val="16"/>
                <w:color w:val="auto"/>
              </w:rPr>
              <w:t>Smaller reportng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3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17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31" w:lineRule="exact"/>
        <w:rPr>
          <w:sz w:val="24"/>
          <w:szCs w:val="24"/>
          <w:color w:val="auto"/>
        </w:rPr>
      </w:pPr>
    </w:p>
    <w:p>
      <w:pPr>
        <w:ind w:right="460"/>
        <w:spacing w:after="0" w:line="222"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ind w:right="100"/>
        <w:spacing w:after="0" w:line="222" w:lineRule="exact"/>
        <w:rPr>
          <w:sz w:val="20"/>
          <w:szCs w:val="20"/>
          <w:color w:val="auto"/>
        </w:rPr>
      </w:pPr>
      <w:r>
        <w:rPr>
          <w:rFonts w:ascii="Calibri" w:cs="Calibri" w:eastAsia="Calibri" w:hAnsi="Calibri"/>
          <w:sz w:val="16"/>
          <w:szCs w:val="16"/>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6"/>
          <w:szCs w:val="16"/>
          <w:color w:val="auto"/>
        </w:rPr>
        <w:t>☒</w:t>
      </w:r>
    </w:p>
    <w:p>
      <w:pPr>
        <w:spacing w:after="0" w:line="178" w:lineRule="exact"/>
        <w:rPr>
          <w:sz w:val="24"/>
          <w:szCs w:val="24"/>
          <w:color w:val="auto"/>
        </w:rPr>
      </w:pPr>
    </w:p>
    <w:p>
      <w:pPr>
        <w:ind w:right="180"/>
        <w:spacing w:after="0" w:line="222" w:lineRule="exact"/>
        <w:rPr>
          <w:sz w:val="20"/>
          <w:szCs w:val="20"/>
          <w:color w:val="auto"/>
        </w:rPr>
      </w:pPr>
      <w:r>
        <w:rPr>
          <w:rFonts w:ascii="Calibri" w:cs="Calibri" w:eastAsia="Calibri" w:hAnsi="Calibri"/>
          <w:sz w:val="16"/>
          <w:szCs w:val="16"/>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178" w:lineRule="exact"/>
        <w:rPr>
          <w:sz w:val="24"/>
          <w:szCs w:val="24"/>
          <w:color w:val="auto"/>
        </w:rPr>
      </w:pPr>
    </w:p>
    <w:p>
      <w:pPr>
        <w:ind w:right="120"/>
        <w:spacing w:after="0" w:line="222" w:lineRule="exact"/>
        <w:rPr>
          <w:sz w:val="20"/>
          <w:szCs w:val="20"/>
          <w:color w:val="auto"/>
        </w:rPr>
      </w:pPr>
      <w:r>
        <w:rPr>
          <w:rFonts w:ascii="Calibri" w:cs="Calibri" w:eastAsia="Calibri" w:hAnsi="Calibri"/>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 (b).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line="19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255" w:lineRule="exact"/>
        <w:rPr>
          <w:sz w:val="20"/>
          <w:szCs w:val="20"/>
          <w:color w:val="auto"/>
        </w:rPr>
      </w:pPr>
    </w:p>
    <w:p>
      <w:pPr>
        <w:ind w:right="240"/>
        <w:spacing w:after="0" w:line="246" w:lineRule="auto"/>
        <w:rPr>
          <w:sz w:val="20"/>
          <w:szCs w:val="20"/>
          <w:color w:val="auto"/>
        </w:rPr>
      </w:pPr>
      <w:r>
        <w:rPr>
          <w:rFonts w:ascii="Calibri" w:cs="Calibri" w:eastAsia="Calibri" w:hAnsi="Calibri"/>
          <w:sz w:val="16"/>
          <w:szCs w:val="16"/>
          <w:color w:val="auto"/>
        </w:rPr>
        <w:t>The aggregate market value of the votng common equity held by non-afliates of the Registrant, based on the closing price of the shares of common stock on June 30, 2023 , was approximately $293 million.</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color w:val="auto"/>
        </w:rPr>
        <w:t>The number of shares of Registrant’s Common Stock outstanding as of March 7, 2024 was 79.9 million.</w:t>
      </w:r>
    </w:p>
    <w:p>
      <w:pPr>
        <w:spacing w:after="0" w:line="210"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color w:val="auto"/>
        </w:rPr>
        <w:t>DOCUMENTS INCORPORATED BY REFERENCE</w:t>
      </w:r>
    </w:p>
    <w:p>
      <w:pPr>
        <w:spacing w:after="0" w:line="9" w:lineRule="exact"/>
        <w:rPr>
          <w:sz w:val="20"/>
          <w:szCs w:val="20"/>
          <w:color w:val="auto"/>
        </w:rPr>
      </w:pPr>
    </w:p>
    <w:p>
      <w:pPr>
        <w:spacing w:after="0" w:line="246" w:lineRule="auto"/>
        <w:rPr>
          <w:sz w:val="20"/>
          <w:szCs w:val="20"/>
          <w:color w:val="auto"/>
        </w:rPr>
      </w:pPr>
      <w:r>
        <w:rPr>
          <w:rFonts w:ascii="Calibri" w:cs="Calibri" w:eastAsia="Calibri" w:hAnsi="Calibri"/>
          <w:sz w:val="16"/>
          <w:szCs w:val="16"/>
          <w:color w:val="auto"/>
        </w:rPr>
        <w:t>Portons of the defnitve Proxy Statement for the registrant’s Annual Meetng of Shareholders to be held on May 15,2024 have been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Explanatory Note</w:t>
      </w:r>
    </w:p>
    <w:p>
      <w:pPr>
        <w:spacing w:after="0" w:line="212" w:lineRule="exact"/>
        <w:rPr>
          <w:sz w:val="20"/>
          <w:szCs w:val="20"/>
          <w:color w:val="auto"/>
        </w:rPr>
      </w:pPr>
    </w:p>
    <w:p>
      <w:pPr>
        <w:spacing w:after="0" w:line="247" w:lineRule="auto"/>
        <w:rPr>
          <w:sz w:val="20"/>
          <w:szCs w:val="20"/>
          <w:color w:val="auto"/>
        </w:rPr>
      </w:pPr>
      <w:r>
        <w:rPr>
          <w:rFonts w:ascii="Calibri" w:cs="Calibri" w:eastAsia="Calibri" w:hAnsi="Calibri"/>
          <w:sz w:val="16"/>
          <w:szCs w:val="16"/>
          <w:color w:val="auto"/>
        </w:rPr>
        <w:t>Eastman Kodak Company (the “Company”) is fling this Amendment No.1 on Form 10-K/A to its Annual Report on Form 10-K for the fscal year ended December 31, 2023 (the “Original Filing”), which was fled with the Securites and Exchange Commission on March 14, 2024, solely for the purpose of correctng a clerical error in exhibit (23.1) Consent of Independent Registered Public Accountng Firm.</w:t>
      </w:r>
    </w:p>
    <w:p>
      <w:pPr>
        <w:spacing w:after="0" w:line="207" w:lineRule="exact"/>
        <w:rPr>
          <w:sz w:val="20"/>
          <w:szCs w:val="20"/>
          <w:color w:val="auto"/>
        </w:rPr>
      </w:pPr>
    </w:p>
    <w:p>
      <w:pPr>
        <w:ind w:right="280"/>
        <w:spacing w:after="0" w:line="246" w:lineRule="auto"/>
        <w:rPr>
          <w:sz w:val="20"/>
          <w:szCs w:val="20"/>
          <w:color w:val="auto"/>
        </w:rPr>
      </w:pPr>
      <w:r>
        <w:rPr>
          <w:rFonts w:ascii="Calibri" w:cs="Calibri" w:eastAsia="Calibri" w:hAnsi="Calibri"/>
          <w:sz w:val="16"/>
          <w:szCs w:val="16"/>
          <w:color w:val="auto"/>
        </w:rPr>
        <w:t>Except as described above, this Amendment No. 1 does not amend any other informaton set forth in the Original Filing, and the Company has not updated disclosures included therein.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16"/>
                <w:szCs w:val="16"/>
                <w:color w:val="auto"/>
              </w:rPr>
            </w:pPr>
          </w:p>
        </w:tc>
        <w:tc>
          <w:tcPr>
            <w:tcW w:w="6120" w:type="dxa"/>
            <w:vAlign w:val="bottom"/>
          </w:tcPr>
          <w:p>
            <w:pPr>
              <w:jc w:val="center"/>
              <w:ind w:left="2339"/>
              <w:spacing w:after="0"/>
              <w:rPr>
                <w:sz w:val="20"/>
                <w:szCs w:val="20"/>
                <w:color w:val="auto"/>
              </w:rPr>
            </w:pPr>
            <w:r>
              <w:rPr>
                <w:rFonts w:ascii="Calibri" w:cs="Calibri" w:eastAsia="Calibri" w:hAnsi="Calibri"/>
                <w:sz w:val="16"/>
                <w:szCs w:val="16"/>
                <w:b w:val="1"/>
                <w:bCs w:val="1"/>
                <w:color w:val="auto"/>
              </w:rPr>
              <w:t>Eastman Kodak Company</w:t>
            </w:r>
          </w:p>
        </w:tc>
      </w:tr>
      <w:tr>
        <w:trPr>
          <w:trHeight w:val="203"/>
        </w:trPr>
        <w:tc>
          <w:tcPr>
            <w:tcW w:w="1360" w:type="dxa"/>
            <w:vAlign w:val="bottom"/>
          </w:tcPr>
          <w:p>
            <w:pPr>
              <w:spacing w:after="0"/>
              <w:rPr>
                <w:sz w:val="17"/>
                <w:szCs w:val="17"/>
                <w:color w:val="auto"/>
              </w:rPr>
            </w:pPr>
          </w:p>
        </w:tc>
        <w:tc>
          <w:tcPr>
            <w:tcW w:w="6120" w:type="dxa"/>
            <w:vAlign w:val="bottom"/>
          </w:tcPr>
          <w:p>
            <w:pPr>
              <w:jc w:val="center"/>
              <w:ind w:left="2319"/>
              <w:spacing w:after="0"/>
              <w:rPr>
                <w:sz w:val="20"/>
                <w:szCs w:val="20"/>
                <w:color w:val="auto"/>
              </w:rPr>
            </w:pPr>
            <w:r>
              <w:rPr>
                <w:rFonts w:ascii="Calibri" w:cs="Calibri" w:eastAsia="Calibri" w:hAnsi="Calibri"/>
                <w:sz w:val="16"/>
                <w:szCs w:val="16"/>
                <w:b w:val="1"/>
                <w:bCs w:val="1"/>
                <w:color w:val="auto"/>
              </w:rPr>
              <w:t>Index to Exhibits</w:t>
            </w:r>
          </w:p>
        </w:tc>
      </w:tr>
      <w:tr>
        <w:trPr>
          <w:trHeight w:val="405"/>
        </w:trPr>
        <w:tc>
          <w:tcPr>
            <w:tcW w:w="1360" w:type="dxa"/>
            <w:vAlign w:val="bottom"/>
          </w:tcPr>
          <w:p>
            <w:pPr>
              <w:spacing w:after="0"/>
              <w:rPr>
                <w:sz w:val="20"/>
                <w:szCs w:val="20"/>
                <w:color w:val="auto"/>
              </w:rPr>
            </w:pPr>
            <w:r>
              <w:rPr>
                <w:rFonts w:ascii="Calibri" w:cs="Calibri" w:eastAsia="Calibri" w:hAnsi="Calibri"/>
                <w:sz w:val="16"/>
                <w:szCs w:val="16"/>
                <w:b w:val="1"/>
                <w:bCs w:val="1"/>
                <w:color w:val="auto"/>
              </w:rPr>
              <w:t>Exhibit</w:t>
            </w:r>
          </w:p>
        </w:tc>
        <w:tc>
          <w:tcPr>
            <w:tcW w:w="6120" w:type="dxa"/>
            <w:vAlign w:val="bottom"/>
          </w:tcPr>
          <w:p>
            <w:pPr>
              <w:spacing w:after="0"/>
              <w:rPr>
                <w:sz w:val="24"/>
                <w:szCs w:val="24"/>
                <w:color w:val="auto"/>
              </w:rPr>
            </w:pPr>
          </w:p>
        </w:tc>
      </w:tr>
      <w:tr>
        <w:trPr>
          <w:trHeight w:val="203"/>
        </w:trPr>
        <w:tc>
          <w:tcPr>
            <w:tcW w:w="1360" w:type="dxa"/>
            <w:vAlign w:val="bottom"/>
          </w:tcPr>
          <w:p>
            <w:pPr>
              <w:spacing w:after="0"/>
              <w:rPr>
                <w:sz w:val="20"/>
                <w:szCs w:val="20"/>
                <w:color w:val="auto"/>
              </w:rPr>
            </w:pPr>
            <w:r>
              <w:rPr>
                <w:rFonts w:ascii="Calibri" w:cs="Calibri" w:eastAsia="Calibri" w:hAnsi="Calibri"/>
                <w:sz w:val="16"/>
                <w:szCs w:val="16"/>
                <w:b w:val="1"/>
                <w:bCs w:val="1"/>
                <w:color w:val="auto"/>
              </w:rPr>
              <w:t>Number</w:t>
            </w:r>
          </w:p>
        </w:tc>
        <w:tc>
          <w:tcPr>
            <w:tcW w:w="6120" w:type="dxa"/>
            <w:vAlign w:val="bottom"/>
          </w:tcPr>
          <w:p>
            <w:pPr>
              <w:spacing w:after="0"/>
              <w:rPr>
                <w:sz w:val="17"/>
                <w:szCs w:val="17"/>
                <w:color w:val="auto"/>
              </w:rPr>
            </w:pPr>
          </w:p>
        </w:tc>
      </w:tr>
      <w:tr>
        <w:trPr>
          <w:trHeight w:val="176"/>
        </w:trPr>
        <w:tc>
          <w:tcPr>
            <w:tcW w:w="1360" w:type="dxa"/>
            <w:vAlign w:val="bottom"/>
          </w:tcPr>
          <w:p>
            <w:pPr>
              <w:spacing w:after="0" w:line="176" w:lineRule="exact"/>
              <w:rPr>
                <w:sz w:val="20"/>
                <w:szCs w:val="20"/>
                <w:color w:val="auto"/>
              </w:rPr>
            </w:pPr>
            <w:r>
              <w:rPr>
                <w:rFonts w:ascii="Calibri" w:cs="Calibri" w:eastAsia="Calibri" w:hAnsi="Calibri"/>
                <w:sz w:val="16"/>
                <w:szCs w:val="16"/>
                <w:color w:val="auto"/>
              </w:rPr>
              <w:t>(23.1)</w:t>
            </w:r>
          </w:p>
        </w:tc>
        <w:tc>
          <w:tcPr>
            <w:tcW w:w="6120" w:type="dxa"/>
            <w:vAlign w:val="bottom"/>
            <w:tcBorders>
              <w:bottom w:val="single" w:sz="8" w:color="0000EE"/>
            </w:tcBorders>
          </w:tcPr>
          <w:p>
            <w:pPr>
              <w:spacing w:after="0" w:line="176" w:lineRule="exact"/>
              <w:rPr>
                <w:sz w:val="20"/>
                <w:szCs w:val="20"/>
                <w:color w:val="auto"/>
              </w:rPr>
            </w:pPr>
            <w:r>
              <w:rPr>
                <w:rFonts w:ascii="Calibri" w:cs="Calibri" w:eastAsia="Calibri" w:hAnsi="Calibri"/>
                <w:sz w:val="16"/>
                <w:szCs w:val="16"/>
                <w:color w:val="0000EE"/>
              </w:rPr>
              <w:t>Consent of Ernst &amp; Young LLP, Independent Registered Public Accountng Firm, fled herewith.</w:t>
            </w:r>
          </w:p>
        </w:tc>
      </w:tr>
    </w:tbl>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1800" w:val="left"/>
          <w:tab w:leader="none" w:pos="2500" w:val="left"/>
          <w:tab w:leader="none" w:pos="4620" w:val="left"/>
          <w:tab w:leader="none" w:pos="6840" w:val="left"/>
          <w:tab w:leader="none" w:pos="8900" w:val="left"/>
        </w:tabs>
        <w:rPr>
          <w:sz w:val="20"/>
          <w:szCs w:val="20"/>
          <w:color w:val="auto"/>
        </w:rPr>
      </w:pPr>
      <w:r>
        <w:rPr>
          <w:rFonts w:ascii="Times New Roman" w:cs="Times New Roman" w:eastAsia="Times New Roman" w:hAnsi="Times New Roman"/>
          <w:sz w:val="18"/>
          <w:szCs w:val="18"/>
          <w:color w:val="auto"/>
        </w:rPr>
        <w:t># of Firm Id</w:t>
      </w:r>
      <w:r>
        <w:rPr>
          <w:sz w:val="20"/>
          <w:szCs w:val="20"/>
          <w:color w:val="auto"/>
        </w:rPr>
        <w:tab/>
      </w:r>
      <w:r>
        <w:rPr>
          <w:rFonts w:ascii="Times New Roman" w:cs="Times New Roman" w:eastAsia="Times New Roman" w:hAnsi="Times New Roman"/>
          <w:sz w:val="18"/>
          <w:szCs w:val="18"/>
          <w:color w:val="auto"/>
        </w:rPr>
        <w:t>EY-42;</w:t>
        <w:tab/>
        <w:t>Auditor Name:</w:t>
      </w:r>
      <w:r>
        <w:rPr>
          <w:sz w:val="20"/>
          <w:szCs w:val="20"/>
          <w:color w:val="auto"/>
        </w:rPr>
        <w:tab/>
      </w:r>
      <w:r>
        <w:rPr>
          <w:rFonts w:ascii="Times New Roman" w:cs="Times New Roman" w:eastAsia="Times New Roman" w:hAnsi="Times New Roman"/>
          <w:sz w:val="18"/>
          <w:szCs w:val="18"/>
          <w:color w:val="auto"/>
        </w:rPr>
        <w:t>Ernst &amp; Young</w:t>
      </w:r>
      <w:r>
        <w:rPr>
          <w:sz w:val="20"/>
          <w:szCs w:val="20"/>
          <w:color w:val="auto"/>
        </w:rPr>
        <w:tab/>
      </w:r>
      <w:r>
        <w:rPr>
          <w:rFonts w:ascii="Times New Roman" w:cs="Times New Roman" w:eastAsia="Times New Roman" w:hAnsi="Times New Roman"/>
          <w:sz w:val="18"/>
          <w:szCs w:val="18"/>
          <w:color w:val="auto"/>
        </w:rPr>
        <w:t>Auditor Location:</w:t>
      </w:r>
      <w:r>
        <w:rPr>
          <w:sz w:val="20"/>
          <w:szCs w:val="20"/>
          <w:color w:val="auto"/>
        </w:rPr>
        <w:tab/>
      </w:r>
      <w:r>
        <w:rPr>
          <w:rFonts w:ascii="Times New Roman" w:cs="Times New Roman" w:eastAsia="Times New Roman" w:hAnsi="Times New Roman"/>
          <w:sz w:val="17"/>
          <w:szCs w:val="17"/>
          <w:color w:val="auto"/>
        </w:rPr>
        <w:t>Rochester, New York,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 w:name="page4"/>
    <w:bookmarkEnd w:id="3"/>
    <w:p>
      <w:pPr>
        <w:jc w:val="center"/>
        <w:ind w:right="-159"/>
        <w:spacing w:after="0"/>
        <w:rPr>
          <w:sz w:val="20"/>
          <w:szCs w:val="20"/>
          <w:color w:val="auto"/>
        </w:rPr>
      </w:pPr>
      <w:r>
        <w:rPr>
          <w:rFonts w:ascii="Calibri" w:cs="Calibri" w:eastAsia="Calibri" w:hAnsi="Calibri"/>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right="90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Calibri" w:cs="Calibri" w:eastAsia="Calibri" w:hAnsi="Calibri"/>
                <w:sz w:val="18"/>
                <w:szCs w:val="18"/>
                <w:b w:val="1"/>
                <w:bCs w:val="1"/>
                <w:color w:val="auto"/>
              </w:rPr>
              <w:t>EASTMAN KODAK COMPANY</w:t>
            </w:r>
          </w:p>
        </w:tc>
      </w:tr>
      <w:tr>
        <w:trPr>
          <w:trHeight w:val="216"/>
        </w:trPr>
        <w:tc>
          <w:tcPr>
            <w:tcW w:w="3300" w:type="dxa"/>
            <w:vAlign w:val="bottom"/>
          </w:tcPr>
          <w:p>
            <w:pPr>
              <w:spacing w:after="0"/>
              <w:rPr>
                <w:sz w:val="18"/>
                <w:szCs w:val="18"/>
                <w:color w:val="auto"/>
              </w:rPr>
            </w:pPr>
          </w:p>
        </w:tc>
        <w:tc>
          <w:tcPr>
            <w:tcW w:w="7940" w:type="dxa"/>
            <w:vAlign w:val="bottom"/>
          </w:tcPr>
          <w:p>
            <w:pPr>
              <w:spacing w:after="0" w:line="216" w:lineRule="exact"/>
              <w:rPr>
                <w:sz w:val="20"/>
                <w:szCs w:val="20"/>
                <w:color w:val="auto"/>
              </w:rPr>
            </w:pPr>
            <w:r>
              <w:rPr>
                <w:rFonts w:ascii="Calibri" w:cs="Calibri" w:eastAsia="Calibri" w:hAnsi="Calibri"/>
                <w:sz w:val="18"/>
                <w:szCs w:val="18"/>
                <w:color w:val="auto"/>
              </w:rPr>
              <w:t>(Registrant)</w:t>
            </w:r>
          </w:p>
        </w:tc>
      </w:tr>
      <w:tr>
        <w:trPr>
          <w:trHeight w:val="864"/>
        </w:trPr>
        <w:tc>
          <w:tcPr>
            <w:tcW w:w="3300" w:type="dxa"/>
            <w:vAlign w:val="bottom"/>
          </w:tcPr>
          <w:p>
            <w:pPr>
              <w:spacing w:after="0"/>
              <w:rPr>
                <w:sz w:val="20"/>
                <w:szCs w:val="20"/>
                <w:color w:val="auto"/>
              </w:rPr>
            </w:pPr>
            <w:r>
              <w:rPr>
                <w:rFonts w:ascii="Calibri" w:cs="Calibri" w:eastAsia="Calibri" w:hAnsi="Calibri"/>
                <w:sz w:val="18"/>
                <w:szCs w:val="18"/>
                <w:b w:val="1"/>
                <w:bCs w:val="1"/>
                <w:color w:val="auto"/>
              </w:rPr>
              <w:t>Date: March 14, 2024</w:t>
            </w:r>
          </w:p>
        </w:tc>
        <w:tc>
          <w:tcPr>
            <w:tcW w:w="7940" w:type="dxa"/>
            <w:vAlign w:val="bottom"/>
          </w:tcPr>
          <w:p>
            <w:pPr>
              <w:spacing w:after="0"/>
              <w:rPr>
                <w:sz w:val="20"/>
                <w:szCs w:val="20"/>
                <w:color w:val="auto"/>
              </w:rPr>
            </w:pPr>
            <w:r>
              <w:rPr>
                <w:rFonts w:ascii="Calibri" w:cs="Calibri" w:eastAsia="Calibri" w:hAnsi="Calibri"/>
                <w:sz w:val="18"/>
                <w:szCs w:val="18"/>
                <w:b w:val="1"/>
                <w:bCs w:val="1"/>
                <w:color w:val="auto"/>
              </w:rPr>
              <w:t>/s/ Richard T. Michaels</w:t>
            </w:r>
          </w:p>
        </w:tc>
      </w:tr>
      <w:tr>
        <w:trPr>
          <w:trHeight w:val="23"/>
        </w:trPr>
        <w:tc>
          <w:tcPr>
            <w:tcW w:w="3300" w:type="dxa"/>
            <w:vAlign w:val="bottom"/>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r>
      <w:tr>
        <w:trPr>
          <w:trHeight w:val="187"/>
        </w:trPr>
        <w:tc>
          <w:tcPr>
            <w:tcW w:w="3300" w:type="dxa"/>
            <w:vAlign w:val="bottom"/>
          </w:tcPr>
          <w:p>
            <w:pPr>
              <w:spacing w:after="0"/>
              <w:rPr>
                <w:sz w:val="16"/>
                <w:szCs w:val="16"/>
                <w:color w:val="auto"/>
              </w:rPr>
            </w:pPr>
          </w:p>
        </w:tc>
        <w:tc>
          <w:tcPr>
            <w:tcW w:w="7940" w:type="dxa"/>
            <w:vAlign w:val="bottom"/>
          </w:tcPr>
          <w:p>
            <w:pPr>
              <w:spacing w:after="0" w:line="187" w:lineRule="exact"/>
              <w:rPr>
                <w:sz w:val="20"/>
                <w:szCs w:val="20"/>
                <w:color w:val="auto"/>
              </w:rPr>
            </w:pPr>
            <w:r>
              <w:rPr>
                <w:rFonts w:ascii="Calibri" w:cs="Calibri" w:eastAsia="Calibri" w:hAnsi="Calibri"/>
                <w:sz w:val="18"/>
                <w:szCs w:val="18"/>
                <w:b w:val="1"/>
                <w:bCs w:val="1"/>
                <w:color w:val="auto"/>
              </w:rPr>
              <w:t>Richard T. Michaels</w:t>
            </w:r>
          </w:p>
        </w:tc>
      </w:tr>
      <w:tr>
        <w:trPr>
          <w:trHeight w:val="215"/>
        </w:trPr>
        <w:tc>
          <w:tcPr>
            <w:tcW w:w="3300" w:type="dxa"/>
            <w:vAlign w:val="bottom"/>
          </w:tcPr>
          <w:p>
            <w:pPr>
              <w:spacing w:after="0"/>
              <w:rPr>
                <w:sz w:val="18"/>
                <w:szCs w:val="18"/>
                <w:color w:val="auto"/>
              </w:rPr>
            </w:pPr>
          </w:p>
        </w:tc>
        <w:tc>
          <w:tcPr>
            <w:tcW w:w="7940" w:type="dxa"/>
            <w:vAlign w:val="bottom"/>
          </w:tcPr>
          <w:p>
            <w:pPr>
              <w:spacing w:after="0" w:line="215" w:lineRule="exact"/>
              <w:rPr>
                <w:sz w:val="20"/>
                <w:szCs w:val="20"/>
                <w:color w:val="auto"/>
              </w:rPr>
            </w:pPr>
            <w:r>
              <w:rPr>
                <w:rFonts w:ascii="Calibri" w:cs="Calibri" w:eastAsia="Calibri" w:hAnsi="Calibri"/>
                <w:sz w:val="18"/>
                <w:szCs w:val="18"/>
                <w:b w:val="1"/>
                <w:bCs w:val="1"/>
                <w:color w:val="auto"/>
              </w:rPr>
              <w:t>Chief Accountng Ofcer and Corporate Controller</w:t>
            </w:r>
          </w:p>
        </w:tc>
      </w:tr>
      <w:tr>
        <w:trPr>
          <w:trHeight w:val="216"/>
        </w:trPr>
        <w:tc>
          <w:tcPr>
            <w:tcW w:w="3300" w:type="dxa"/>
            <w:vAlign w:val="bottom"/>
          </w:tcPr>
          <w:p>
            <w:pPr>
              <w:spacing w:after="0"/>
              <w:rPr>
                <w:sz w:val="18"/>
                <w:szCs w:val="18"/>
                <w:color w:val="auto"/>
              </w:rPr>
            </w:pPr>
          </w:p>
        </w:tc>
        <w:tc>
          <w:tcPr>
            <w:tcW w:w="7940" w:type="dxa"/>
            <w:vAlign w:val="bottom"/>
          </w:tcPr>
          <w:p>
            <w:pPr>
              <w:spacing w:after="0" w:line="216" w:lineRule="exact"/>
              <w:rPr>
                <w:sz w:val="20"/>
                <w:szCs w:val="20"/>
                <w:color w:val="auto"/>
              </w:rPr>
            </w:pPr>
            <w:r>
              <w:rPr>
                <w:rFonts w:ascii="Calibri" w:cs="Calibri" w:eastAsia="Calibri" w:hAnsi="Calibri"/>
                <w:sz w:val="18"/>
                <w:szCs w:val="18"/>
                <w:b w:val="1"/>
                <w:bCs w:val="1"/>
                <w:color w:val="auto"/>
              </w:rPr>
              <w:t>(Chief Accountng Ofcer and Authorized Signatory)</w:t>
            </w:r>
          </w:p>
        </w:tc>
      </w:tr>
    </w:tbl>
    <w:p>
      <w:pPr>
        <w:sectPr>
          <w:pgSz w:w="11900" w:h="16838" w:orient="portrait"/>
          <w:cols w:equalWidth="0" w:num="1">
            <w:col w:w="11240"/>
          </w:cols>
          <w:pgMar w:left="320" w:top="571" w:right="3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CONSENT OF INDEPENDENT REGISTERED PUBLIC ACCOUNTING FIRM</w:t>
      </w:r>
    </w:p>
    <w:p>
      <w:pPr>
        <w:spacing w:after="0" w:line="21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We consent to the incorporaton by reference in the following Registraton Statements:</w:t>
      </w:r>
    </w:p>
    <w:p>
      <w:pPr>
        <w:spacing w:after="0" w:line="217" w:lineRule="exact"/>
        <w:rPr>
          <w:sz w:val="20"/>
          <w:szCs w:val="20"/>
          <w:color w:val="auto"/>
        </w:rPr>
      </w:pPr>
    </w:p>
    <w:p>
      <w:pPr>
        <w:ind w:left="1000" w:right="46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333-190957) pertaining to the registraton of 4,792,480 shares of common stock under the Eastman Kodak Company 2013 Omnibus Incentve Plan,</w:t>
      </w:r>
    </w:p>
    <w:p>
      <w:pPr>
        <w:spacing w:after="0" w:line="1" w:lineRule="exact"/>
        <w:rPr>
          <w:rFonts w:ascii="Calibri" w:cs="Calibri" w:eastAsia="Calibri" w:hAnsi="Calibri"/>
          <w:sz w:val="18"/>
          <w:szCs w:val="18"/>
          <w:color w:val="auto"/>
        </w:rPr>
      </w:pPr>
    </w:p>
    <w:p>
      <w:pPr>
        <w:ind w:left="1000" w:right="46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333-225437) pertaining to the registraton of 1,000,000 shares of common stock under the Eastman Kodak Company 2013 Omnibus Incentve Plan, as amended,</w:t>
      </w:r>
    </w:p>
    <w:p>
      <w:pPr>
        <w:spacing w:after="0" w:line="1" w:lineRule="exact"/>
        <w:rPr>
          <w:rFonts w:ascii="Calibri" w:cs="Calibri" w:eastAsia="Calibri" w:hAnsi="Calibri"/>
          <w:sz w:val="18"/>
          <w:szCs w:val="18"/>
          <w:color w:val="auto"/>
        </w:rPr>
      </w:pPr>
    </w:p>
    <w:p>
      <w:pPr>
        <w:ind w:left="1000" w:right="56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333-250827) pertaining to the registraton of 7,500,000 shares of common stock related under the Eastman Kodak Company 2013 Omnibus Incentve Plan, as amended and restated,</w:t>
      </w:r>
    </w:p>
    <w:p>
      <w:pPr>
        <w:spacing w:after="0" w:line="1" w:lineRule="exact"/>
        <w:rPr>
          <w:rFonts w:ascii="Calibri" w:cs="Calibri" w:eastAsia="Calibri" w:hAnsi="Calibri"/>
          <w:sz w:val="18"/>
          <w:szCs w:val="18"/>
          <w:color w:val="auto"/>
        </w:rPr>
      </w:pPr>
    </w:p>
    <w:p>
      <w:pPr>
        <w:ind w:left="1000" w:right="46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S-3 No. 333-254352) pertaining to the registraton of 44,490,032 shares of common stock of Eastman Kodak Company,</w:t>
      </w:r>
    </w:p>
    <w:p>
      <w:pPr>
        <w:spacing w:after="0" w:line="1" w:lineRule="exact"/>
        <w:rPr>
          <w:rFonts w:ascii="Calibri" w:cs="Calibri" w:eastAsia="Calibri" w:hAnsi="Calibri"/>
          <w:sz w:val="18"/>
          <w:szCs w:val="18"/>
          <w:color w:val="auto"/>
        </w:rPr>
      </w:pPr>
    </w:p>
    <w:p>
      <w:pPr>
        <w:ind w:left="1000" w:right="24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S-3 No. 333-254353) pertaining to the registraton of common stock, preferred stock, debt securites, warrants, depositary shares, purchase contracts, guarantees and units of Eastman Kodak Company, and</w:t>
      </w:r>
    </w:p>
    <w:p>
      <w:pPr>
        <w:spacing w:after="0" w:line="1" w:lineRule="exact"/>
        <w:rPr>
          <w:rFonts w:ascii="Calibri" w:cs="Calibri" w:eastAsia="Calibri" w:hAnsi="Calibri"/>
          <w:sz w:val="18"/>
          <w:szCs w:val="18"/>
          <w:color w:val="auto"/>
        </w:rPr>
      </w:pPr>
    </w:p>
    <w:p>
      <w:pPr>
        <w:ind w:left="1000" w:right="460" w:hanging="331"/>
        <w:spacing w:after="0" w:line="235" w:lineRule="auto"/>
        <w:tabs>
          <w:tab w:leader="none" w:pos="10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333-258682) pertaining to the registraton of 5,000,000 shares of common stock under the Eastman Kodak Company 2013 Omnibus Incentve Plan, as amended and restated;</w:t>
      </w:r>
    </w:p>
    <w:p>
      <w:pPr>
        <w:spacing w:after="0" w:line="218" w:lineRule="exact"/>
        <w:rPr>
          <w:sz w:val="20"/>
          <w:szCs w:val="20"/>
          <w:color w:val="auto"/>
        </w:rPr>
      </w:pPr>
    </w:p>
    <w:p>
      <w:pPr>
        <w:jc w:val="both"/>
        <w:ind w:left="160"/>
        <w:spacing w:after="0" w:line="235" w:lineRule="auto"/>
        <w:rPr>
          <w:sz w:val="20"/>
          <w:szCs w:val="20"/>
          <w:color w:val="auto"/>
        </w:rPr>
      </w:pPr>
      <w:r>
        <w:rPr>
          <w:rFonts w:ascii="Calibri" w:cs="Calibri" w:eastAsia="Calibri" w:hAnsi="Calibri"/>
          <w:sz w:val="18"/>
          <w:szCs w:val="18"/>
          <w:color w:val="auto"/>
        </w:rPr>
        <w:t>of our reports dated March 14, 2024, with respect to the consolidated fnancial statements and schedule of Eastman Kodak Company and the efectveness of internal control over fnancial reportng of Eastman Kodak Company included in this Annual Report (Form 10-K) of Eastman Kodak Company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35" w:lineRule="auto"/>
        <w:rPr>
          <w:sz w:val="20"/>
          <w:szCs w:val="20"/>
          <w:color w:val="auto"/>
        </w:rPr>
      </w:pPr>
      <w:r>
        <w:rPr>
          <w:rFonts w:ascii="Calibri" w:cs="Calibri" w:eastAsia="Calibri" w:hAnsi="Calibri"/>
          <w:sz w:val="18"/>
          <w:szCs w:val="18"/>
          <w:color w:val="auto"/>
        </w:rPr>
        <w:t>Rochester, New York</w:t>
      </w:r>
    </w:p>
    <w:p>
      <w:pPr>
        <w:spacing w:after="0" w:line="236" w:lineRule="auto"/>
        <w:rPr>
          <w:sz w:val="20"/>
          <w:szCs w:val="20"/>
          <w:color w:val="auto"/>
        </w:rPr>
      </w:pPr>
      <w:r>
        <w:rPr>
          <w:rFonts w:ascii="Calibri" w:cs="Calibri" w:eastAsia="Calibri" w:hAnsi="Calibri"/>
          <w:sz w:val="18"/>
          <w:szCs w:val="18"/>
          <w:color w:val="auto"/>
        </w:rPr>
        <w:t>March 14, 2024</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2024-03-15T05:29:09Z</dcterms:created>
  <dcterms:modified xsi:type="dcterms:W3CDTF">2024-03-15T05:29:09Z</dcterms:modified>
</cp:coreProperties>
</file>