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0"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4" w:lineRule="exact"/>
        <w:rPr>
          <w:sz w:val="24"/>
          <w:szCs w:val="24"/>
          <w:color w:val="auto"/>
        </w:rPr>
      </w:pPr>
    </w:p>
    <w:p>
      <w:pPr>
        <w:ind w:left="9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color w:val="auto"/>
        </w:rPr>
        <w:t>June 30, 2022</w:t>
      </w:r>
    </w:p>
    <w:p>
      <w:pPr>
        <w:spacing w:after="0" w:line="15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 w:lineRule="exact"/>
        <w:rPr>
          <w:sz w:val="24"/>
          <w:szCs w:val="24"/>
          <w:color w:val="auto"/>
        </w:rPr>
      </w:pPr>
    </w:p>
    <w:p>
      <w:pPr>
        <w:ind w:left="840" w:hanging="832"/>
        <w:spacing w:after="0"/>
        <w:tabs>
          <w:tab w:leader="none" w:pos="8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w:t>
            </w:r>
          </w:p>
        </w:tc>
        <w:tc>
          <w:tcPr>
            <w:tcW w:w="5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09"/>
        </w:trPr>
        <w:tc>
          <w:tcPr>
            <w:tcW w:w="288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8"/>
        </w:trPr>
        <w:tc>
          <w:tcPr>
            <w:tcW w:w="2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1-00087</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2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EASTMAN KODAK COMPANY</w:t>
      </w:r>
    </w:p>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3"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492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9"/>
              </w:rPr>
              <w:t>NEW JERSEY</w:t>
            </w:r>
          </w:p>
        </w:tc>
        <w:tc>
          <w:tcPr>
            <w:tcW w:w="29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16-0417150</w:t>
            </w:r>
          </w:p>
        </w:tc>
      </w:tr>
      <w:tr>
        <w:trPr>
          <w:trHeight w:val="193"/>
        </w:trPr>
        <w:tc>
          <w:tcPr>
            <w:tcW w:w="4920" w:type="dxa"/>
            <w:vAlign w:val="bottom"/>
          </w:tcPr>
          <w:p>
            <w:pPr>
              <w:jc w:val="center"/>
              <w:ind w:right="87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960" w:type="dxa"/>
            <w:vAlign w:val="bottom"/>
          </w:tcPr>
          <w:p>
            <w:pPr>
              <w:jc w:val="center"/>
              <w:ind w:left="8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20"/>
        </w:trPr>
        <w:tc>
          <w:tcPr>
            <w:tcW w:w="4920" w:type="dxa"/>
            <w:vAlign w:val="bottom"/>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8"/>
              </w:rPr>
              <w:t>343 STATE STREET, ROCHESTER, NEW YORK</w:t>
            </w:r>
          </w:p>
        </w:tc>
        <w:tc>
          <w:tcPr>
            <w:tcW w:w="2960" w:type="dxa"/>
            <w:vAlign w:val="bottom"/>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14650</w:t>
            </w:r>
          </w:p>
        </w:tc>
      </w:tr>
      <w:tr>
        <w:trPr>
          <w:trHeight w:val="177"/>
        </w:trPr>
        <w:tc>
          <w:tcPr>
            <w:tcW w:w="4920" w:type="dxa"/>
            <w:vAlign w:val="bottom"/>
          </w:tcPr>
          <w:p>
            <w:pPr>
              <w:jc w:val="center"/>
              <w:ind w:right="8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960" w:type="dxa"/>
            <w:vAlign w:val="bottom"/>
          </w:tcPr>
          <w:p>
            <w:pPr>
              <w:jc w:val="center"/>
              <w:ind w:left="879"/>
              <w:spacing w:after="0"/>
              <w:rPr>
                <w:sz w:val="20"/>
                <w:szCs w:val="20"/>
                <w:color w:val="auto"/>
              </w:rPr>
            </w:pPr>
            <w:r>
              <w:rPr>
                <w:rFonts w:ascii="Times New Roman" w:cs="Times New Roman" w:eastAsia="Times New Roman" w:hAnsi="Times New Roman"/>
                <w:sz w:val="14"/>
                <w:szCs w:val="14"/>
                <w:color w:val="auto"/>
              </w:rPr>
              <w:t>(Zip Code)</w:t>
            </w:r>
          </w:p>
        </w:tc>
      </w:tr>
    </w:tbl>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(585) 724-4000</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70"/>
        </w:trPr>
        <w:tc>
          <w:tcPr>
            <w:tcW w:w="1200" w:type="dxa"/>
            <w:vAlign w:val="bottom"/>
          </w:tcPr>
          <w:p>
            <w:pPr>
              <w:spacing w:after="0"/>
              <w:rPr>
                <w:sz w:val="23"/>
                <w:szCs w:val="2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 Common</w:t>
            </w:r>
          </w:p>
        </w:tc>
        <w:tc>
          <w:tcPr>
            <w:tcW w:w="38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440" w:type="dxa"/>
            <w:vAlign w:val="bottom"/>
          </w:tcPr>
          <w:p>
            <w:pPr>
              <w:spacing w:after="0"/>
              <w:rPr>
                <w:sz w:val="20"/>
                <w:szCs w:val="20"/>
                <w:color w:val="auto"/>
              </w:rPr>
            </w:pPr>
          </w:p>
        </w:tc>
        <w:tc>
          <w:tcPr>
            <w:tcW w:w="24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KODK</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76" w:lineRule="exact"/>
        <w:rPr>
          <w:sz w:val="24"/>
          <w:szCs w:val="24"/>
          <w:color w:val="auto"/>
        </w:rPr>
      </w:pPr>
    </w:p>
    <w:p>
      <w:pPr>
        <w:ind w:right="1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3" w:lineRule="exact"/>
        <w:rPr>
          <w:sz w:val="24"/>
          <w:szCs w:val="24"/>
          <w:color w:val="auto"/>
        </w:rPr>
      </w:pPr>
    </w:p>
    <w:p>
      <w:pPr>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3"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2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5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2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4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42" w:lineRule="exact"/>
        <w:rPr>
          <w:sz w:val="24"/>
          <w:szCs w:val="24"/>
          <w:color w:val="auto"/>
        </w:rPr>
      </w:pPr>
    </w:p>
    <w:p>
      <w:pPr>
        <w:ind w:right="2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 w:lineRule="exact"/>
        <w:rPr>
          <w:sz w:val="24"/>
          <w:szCs w:val="24"/>
          <w:color w:val="auto"/>
        </w:rPr>
      </w:pPr>
    </w:p>
    <w:p>
      <w:pPr>
        <w:ind w:right="18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August 1, 2022, the registrant had 79,037,931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62" w:right="47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2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2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10"/>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9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00" w:type="dxa"/>
            <w:vAlign w:val="bottom"/>
            <w:gridSpan w:val="10"/>
            <w:vMerge w:val="continue"/>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6520" w:type="dxa"/>
            <w:vAlign w:val="bottom"/>
            <w:gridSpan w:val="12"/>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Consolidated Statement of Operations (Unaudited)</w:t>
            </w:r>
          </w:p>
        </w:tc>
        <w:tc>
          <w:tcPr>
            <w:tcW w:w="4360" w:type="dxa"/>
            <w:vAlign w:val="bottom"/>
            <w:gridSpan w:val="8"/>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 of Comprehensive Income (Unaudited)</w:t>
            </w:r>
          </w:p>
        </w:tc>
        <w:tc>
          <w:tcPr>
            <w:tcW w:w="3440" w:type="dxa"/>
            <w:vAlign w:val="bottom"/>
            <w:gridSpan w:val="2"/>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 of Financial Position (Unaudited)</w:t>
            </w: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1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Consolidated Statement of Cash Flows (Unaudited)</w:t>
            </w:r>
          </w:p>
        </w:tc>
        <w:tc>
          <w:tcPr>
            <w:tcW w:w="3860" w:type="dxa"/>
            <w:vAlign w:val="bottom"/>
            <w:gridSpan w:val="5"/>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 of Equity (Deficit) (Unaudited)</w:t>
            </w: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0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Notes to Financial Statements (Unaudited)</w:t>
            </w:r>
          </w:p>
        </w:tc>
        <w:tc>
          <w:tcPr>
            <w:tcW w:w="4020" w:type="dxa"/>
            <w:vAlign w:val="bottom"/>
            <w:gridSpan w:val="6"/>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560" w:type="dxa"/>
            <w:vAlign w:val="bottom"/>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700" w:type="dxa"/>
            <w:vAlign w:val="bottom"/>
            <w:gridSpan w:val="10"/>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660" w:type="dxa"/>
            <w:vAlign w:val="bottom"/>
            <w:gridSpan w:val="3"/>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23"/>
        </w:trPr>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358"/>
        </w:trPr>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10"/>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23"/>
        </w:trPr>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700" w:type="dxa"/>
            <w:vAlign w:val="bottom"/>
            <w:gridSpan w:val="13"/>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gridSpan w:val="10"/>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23"/>
        </w:trPr>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3740" w:type="dxa"/>
            <w:vAlign w:val="bottom"/>
            <w:tcBorders>
              <w:top w:val="single" w:sz="8" w:color="0000EE"/>
            </w:tcBorders>
            <w:gridSpan w:val="13"/>
          </w:tcPr>
          <w:p>
            <w:pPr>
              <w:spacing w:after="0"/>
              <w:rPr>
                <w:sz w:val="19"/>
                <w:szCs w:val="19"/>
                <w:color w:val="auto"/>
              </w:rPr>
            </w:pPr>
          </w:p>
        </w:tc>
        <w:tc>
          <w:tcPr>
            <w:tcW w:w="3680" w:type="dxa"/>
            <w:vAlign w:val="bottom"/>
            <w:gridSpan w:val="4"/>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Index to Exhibits</w:t>
            </w:r>
          </w:p>
        </w:tc>
        <w:tc>
          <w:tcPr>
            <w:tcW w:w="6780" w:type="dxa"/>
            <w:vAlign w:val="bottom"/>
            <w:gridSpan w:val="14"/>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23"/>
        </w:trPr>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7260" w:type="dxa"/>
            <w:vAlign w:val="bottom"/>
            <w:gridSpan w:val="16"/>
          </w:tcPr>
          <w:p>
            <w:pPr>
              <w:spacing w:after="0"/>
              <w:rPr>
                <w:sz w:val="19"/>
                <w:szCs w:val="19"/>
                <w:color w:val="auto"/>
              </w:rPr>
            </w:pPr>
          </w:p>
        </w:tc>
        <w:tc>
          <w:tcPr>
            <w:tcW w:w="19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939"/>
        </w:trPr>
        <w:tc>
          <w:tcPr>
            <w:tcW w:w="4580" w:type="dxa"/>
            <w:vAlign w:val="bottom"/>
            <w:gridSpan w:val="16"/>
          </w:tcPr>
          <w:p>
            <w:pPr>
              <w:jc w:val="center"/>
              <w:ind w:left="4250"/>
              <w:spacing w:after="0"/>
              <w:rPr>
                <w:sz w:val="20"/>
                <w:szCs w:val="20"/>
                <w:color w:val="auto"/>
              </w:rPr>
            </w:pPr>
            <w:r>
              <w:rPr>
                <w:rFonts w:ascii="Times New Roman" w:cs="Times New Roman" w:eastAsia="Times New Roman" w:hAnsi="Times New Roman"/>
                <w:sz w:val="18"/>
                <w:szCs w:val="18"/>
                <w:color w:val="auto"/>
                <w:w w:val="95"/>
              </w:rPr>
              <w:t>[1]</w:t>
            </w:r>
          </w:p>
        </w:tc>
        <w:tc>
          <w:tcPr>
            <w:tcW w:w="1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40" w:space="520"/>
            <w:col w:w="9960"/>
          </w:cols>
          <w:pgMar w:left="320" w:top="347"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0" w:type="dxa"/>
            <w:vAlign w:val="bottom"/>
            <w:gridSpan w:val="4"/>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w:t>
            </w:r>
          </w:p>
        </w:tc>
        <w:tc>
          <w:tcPr>
            <w:tcW w:w="150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Pr>
          <w:p>
            <w:pPr>
              <w:spacing w:after="0"/>
              <w:rPr>
                <w:sz w:val="19"/>
                <w:szCs w:val="19"/>
                <w:color w:val="auto"/>
              </w:rPr>
            </w:pP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5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9"/>
                <w:szCs w:val="19"/>
                <w:color w:val="auto"/>
              </w:rPr>
            </w:pPr>
          </w:p>
        </w:tc>
      </w:tr>
      <w:tr>
        <w:trPr>
          <w:trHeight w:val="223"/>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5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9"/>
                <w:szCs w:val="19"/>
                <w:color w:val="auto"/>
              </w:rPr>
            </w:pPr>
          </w:p>
        </w:tc>
      </w:tr>
      <w:tr>
        <w:trPr>
          <w:trHeight w:val="223"/>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5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5"/>
        </w:trPr>
        <w:tc>
          <w:tcPr>
            <w:tcW w:w="4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Earnings (loss) from operations before interest</w:t>
            </w:r>
          </w:p>
        </w:tc>
        <w:tc>
          <w:tcPr>
            <w:tcW w:w="5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pension income excluding service cost</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component, other (income) charges, net and</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Pension income excluding service cost component</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charges, net</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5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63"/>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tcPr>
          <w:p>
            <w:pPr>
              <w:spacing w:after="0"/>
              <w:rPr>
                <w:sz w:val="22"/>
                <w:szCs w:val="22"/>
                <w:color w:val="auto"/>
              </w:rPr>
            </w:pPr>
          </w:p>
        </w:tc>
      </w:tr>
      <w:tr>
        <w:trPr>
          <w:trHeight w:val="210"/>
        </w:trPr>
        <w:tc>
          <w:tcPr>
            <w:tcW w:w="4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Eastman Kodak Company common</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150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Pr>
          <w:p>
            <w:pPr>
              <w:spacing w:after="0"/>
              <w:rPr>
                <w:sz w:val="23"/>
                <w:szCs w:val="23"/>
                <w:color w:val="auto"/>
              </w:rPr>
            </w:pP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23"/>
                <w:szCs w:val="23"/>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23"/>
                <w:szCs w:val="23"/>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3"/>
                <w:szCs w:val="23"/>
                <w:color w:val="auto"/>
              </w:rPr>
            </w:pPr>
          </w:p>
        </w:tc>
      </w:tr>
      <w:tr>
        <w:trPr>
          <w:trHeight w:val="192"/>
        </w:trPr>
        <w:tc>
          <w:tcPr>
            <w:tcW w:w="416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Diluted net income per share attributable</w:t>
            </w:r>
          </w:p>
        </w:tc>
        <w:tc>
          <w:tcPr>
            <w:tcW w:w="54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6"/>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Eastman Kodak Company common</w:t>
            </w: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1500" w:type="dxa"/>
            <w:vAlign w:val="bottom"/>
            <w:gridSpan w:val="2"/>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FF0FC"/>
          </w:tcPr>
          <w:p>
            <w:pPr>
              <w:spacing w:after="0"/>
              <w:rPr>
                <w:sz w:val="20"/>
                <w:szCs w:val="20"/>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common shares used in basic and</w:t>
            </w: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FF0FC"/>
          </w:tcPr>
          <w:p>
            <w:pPr>
              <w:spacing w:after="0"/>
              <w:rPr>
                <w:sz w:val="19"/>
                <w:szCs w:val="19"/>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1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 plan obligation</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activity, net of tax</w:t>
            </w:r>
          </w:p>
        </w:tc>
        <w:tc>
          <w:tcPr>
            <w:tcW w:w="8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tcPr>
          <w:p>
            <w:pPr>
              <w:spacing w:after="0"/>
              <w:rPr>
                <w:sz w:val="20"/>
                <w:szCs w:val="20"/>
                <w:color w:val="auto"/>
              </w:rPr>
            </w:pP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820" w:type="dxa"/>
            <w:vAlign w:val="bottom"/>
          </w:tcPr>
          <w:p>
            <w:pPr>
              <w:spacing w:after="0"/>
              <w:rPr>
                <w:sz w:val="19"/>
                <w:szCs w:val="19"/>
                <w:color w:val="auto"/>
              </w:rPr>
            </w:pPr>
          </w:p>
        </w:tc>
        <w:tc>
          <w:tcPr>
            <w:tcW w:w="8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 net of allowances of $7 and $7, respectively</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$443 and</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$441, respectively</w:t>
            </w: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other postretirement assets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1,181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2,309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w:t>
            </w: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8"/>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liabilities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net of current portion</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1,209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no par value, $100 per share</w:t>
            </w: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liquidation preference</w:t>
            </w:r>
          </w:p>
        </w:tc>
        <w:tc>
          <w:tcPr>
            <w:tcW w:w="11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12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1,164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FF0FC"/>
          </w:tcPr>
          <w:p>
            <w:pPr>
              <w:spacing w:after="0"/>
              <w:rPr>
                <w:sz w:val="19"/>
                <w:szCs w:val="19"/>
                <w:color w:val="auto"/>
              </w:rPr>
            </w:pPr>
          </w:p>
        </w:tc>
      </w:tr>
      <w:tr>
        <w:trPr>
          <w:trHeight w:val="201"/>
        </w:trPr>
        <w:tc>
          <w:tcPr>
            <w:tcW w:w="77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AND EQUITY</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2,309</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2,171</w:t>
            </w:r>
          </w:p>
        </w:tc>
        <w:tc>
          <w:tcPr>
            <w:tcW w:w="12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9"/>
                <w:szCs w:val="19"/>
                <w:color w:val="auto"/>
              </w:rPr>
            </w:pP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to net cash used in operating activities: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Pension income</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1"/>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the Preferred Stock and Convertible Notes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embedded derivatives</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changes in workers' compensation reserves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(8)</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Increase in deferred taxes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 decrease in trade receivables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Increase in inventories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 in trade payables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Decrease in liabilities excluding borrowings and trade payables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items, net</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adjustments</w:t>
            </w:r>
          </w:p>
        </w:tc>
        <w:tc>
          <w:tcPr>
            <w:tcW w:w="9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properties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proceeds from Term Loan Credit Agreement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proceeds from Convertible Notes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proceeds from Series C Preferred Stock</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 of Series A Preferred Stock</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Debt issuance costs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cash dividend payments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6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EQUITY (DEFICIT) (Unaudited)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7"/>
                <w:szCs w:val="17"/>
                <w:b w:val="1"/>
                <w:bCs w:val="1"/>
                <w:color w:val="auto"/>
              </w:rPr>
              <w:t>Six-Month Period Ending June 30, 2022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7"/>
                <w:szCs w:val="17"/>
                <w:b w:val="1"/>
                <w:bCs w:val="1"/>
                <w:color w:val="auto"/>
              </w:rPr>
              <w:t>Eastman Kodak Company Common Shareholders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8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209"/>
        </w:trPr>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December 31, 2021</w:t>
            </w:r>
          </w:p>
        </w:tc>
        <w:tc>
          <w:tcPr>
            <w:tcW w:w="5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Preferred stock cash dividends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in-kind dividends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Preferred stock deemed dividends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March 31, 2022</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Other comprehensive (loss) income</w:t>
            </w: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(net of tax):</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liability adjustments</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cash dividends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Preferred stock in-kind dividends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June 30, 2022</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EQUITY (DEFICIT) (Unaudited) (cont’d)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Six-Month Period Ending June 30, 2021</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1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Eastman Kodak Company Common Shareholders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960" w:type="dxa"/>
            <w:vAlign w:val="bottom"/>
            <w:gridSpan w:val="3"/>
            <w:vMerge w:val="continue"/>
          </w:tcPr>
          <w:p>
            <w:pPr>
              <w:spacing w:after="0"/>
              <w:rPr>
                <w:sz w:val="12"/>
                <w:szCs w:val="12"/>
                <w:color w:val="auto"/>
              </w:rPr>
            </w:pPr>
          </w:p>
        </w:tc>
        <w:tc>
          <w:tcPr>
            <w:tcW w:w="12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December 31, 2020</w:t>
            </w: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Other comprehensive income (loss)</w:t>
            </w: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(net of tax):</w:t>
            </w: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liability adjustments</w:t>
            </w: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Series A preferred stock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Exchange of Series A preferred stock</w:t>
            </w: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194"/>
        </w:trPr>
        <w:tc>
          <w:tcPr>
            <w:tcW w:w="34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Expiration of Series A preferred stock</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embedded derivative</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of convertible, redeemable</w:t>
            </w: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Series B preferred stock, net</w:t>
            </w: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(95)</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Issuance of convertible, redeemable</w:t>
            </w: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Series C preferred stock, net</w:t>
            </w: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cash dividends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Preferred stock deemed dividends</w:t>
            </w: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in-kind dividends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 xml:space="preserve">Purchase of treasury stock </w:t>
            </w:r>
            <w:r>
              <w:rPr>
                <w:rFonts w:ascii="Times New Roman" w:cs="Times New Roman" w:eastAsia="Times New Roman" w:hAnsi="Times New Roman"/>
                <w:sz w:val="14"/>
                <w:szCs w:val="14"/>
                <w:color w:val="auto"/>
              </w:rPr>
              <w:t>(1)</w:t>
            </w: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March 31, 2021</w:t>
            </w:r>
          </w:p>
        </w:tc>
        <w:tc>
          <w:tcPr>
            <w:tcW w:w="6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Other comprehensive income</w:t>
            </w: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(net of tax):</w:t>
            </w: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40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Pension and other postretirement</w:t>
            </w: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liability adjustments</w:t>
            </w: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cash dividends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Preferred stock deemed dividends</w:t>
            </w: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6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 (deficit) as of June 30, 2021</w:t>
            </w:r>
          </w:p>
        </w:tc>
        <w:tc>
          <w:tcPr>
            <w:tcW w:w="6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4900" w:firstLine="372"/>
        <w:spacing w:after="0" w:line="516" w:lineRule="auto"/>
        <w:tabs>
          <w:tab w:leader="none" w:pos="729" w:val="left"/>
        </w:tabs>
        <w:numPr>
          <w:ilvl w:val="0"/>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8"/>
          <w:szCs w:val="18"/>
          <w:color w:val="auto"/>
        </w:rPr>
        <w:t>Represents purchases of common stock to satisfy tax withholding obligations. The accompanying notes are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not necessarily indicative of the results for the entire fiscal year. These consolidated interim statements should be read in conjunction with the Company’s Annual Report on Form 10-K for the year ended December 31, 2021 (the “2021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accounting pronouncements have been adopted in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June 2016, the Financial Accounting Standards Board issued Accounting Standards Update (“ASU”) 2016-13, “Financial Instruments—Credit Losses (Topic 326): Measurement of Credit Losses on Financial Instruments”. ASU 2016-13 (as amended by ASUs 2018-19, 2019-04, 2019-05, 2019-10, 2019-11, 2020-02, 2020-03 and 2022-02)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January 1, 2023, for Kodak, and interim periods within that fiscal year. Early adoption is permitted. Kodak is currently evaluating the impact of this ASU.</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CASH, CASH EQUIVALENTS AND RESTRICTED CASH</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Statement of Financial Position that sums to the total of such amounts shown in the Statement of Cash Flows: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9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reported in Other current assets</w:t>
            </w: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9"/>
                <w:szCs w:val="19"/>
                <w:color w:val="auto"/>
              </w:rPr>
            </w:pPr>
          </w:p>
        </w:tc>
      </w:tr>
      <w:tr>
        <w:trPr>
          <w:trHeight w:val="205"/>
        </w:trPr>
        <w:tc>
          <w:tcPr>
            <w:tcW w:w="5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Statement of Cash Flows</w:t>
            </w:r>
          </w:p>
        </w:tc>
        <w:tc>
          <w:tcPr>
            <w:tcW w:w="198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Restricted cash reported in Other current assets on the Consolidated Statement of Financial Position primarily represents amounts that support hedging activities.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 w:name="page10"/>
    <w:bookmarkEnd w:id="9"/>
    <w:p>
      <w:pPr>
        <w:ind w:right="120"/>
        <w:spacing w:after="0" w:line="258" w:lineRule="auto"/>
        <w:rPr>
          <w:sz w:val="20"/>
          <w:szCs w:val="20"/>
          <w:color w:val="auto"/>
        </w:rPr>
      </w:pPr>
      <w:r>
        <w:rPr>
          <w:rFonts w:ascii="Times New Roman" w:cs="Times New Roman" w:eastAsia="Times New Roman" w:hAnsi="Times New Roman"/>
          <w:sz w:val="18"/>
          <w:szCs w:val="18"/>
          <w:color w:val="auto"/>
        </w:rPr>
        <w:t>Restricted cash includes $45 million as of June 30, 2022 and December 31, 2021 representing the cash collateral required to be posted by the Company under the Letter of Credit Facility (“L/C Cash Collateral”). In addition, Restricted cash as of June 30, 2022 and December 31, 2021 includes an escrow of $5 million and $4 million, respectively, in China to secure various ongoing obligations under the agreements for a strategic relationship with Lucky HuaGuang Graphics Co. Ltd. Restricted cash also included $5 million and $3 million of security posted related to Brazilian legal contingencies as of June 30, 2022 and December 31, 2021, respectively.</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INVENTORIES, NET</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7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12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DEBT AND FINANCE LEASES</w:t>
            </w: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480" w:type="dxa"/>
            <w:vAlign w:val="bottom"/>
            <w:gridSpan w:val="4"/>
            <w:vMerge w:val="continue"/>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Debt and finance leases and related maturities and interest rates were as follows:</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vMerge w:val="restart"/>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5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65"/>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78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180" w:type="dxa"/>
            <w:vAlign w:val="bottom"/>
            <w:gridSpan w:val="5"/>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10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RED-Rochester,</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LLC</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60" w:type="dxa"/>
            <w:vAlign w:val="bottom"/>
          </w:tcPr>
          <w:p>
            <w:pPr>
              <w:spacing w:after="0"/>
              <w:rPr>
                <w:sz w:val="20"/>
                <w:szCs w:val="20"/>
                <w:color w:val="auto"/>
              </w:rPr>
            </w:pPr>
          </w:p>
        </w:tc>
        <w:tc>
          <w:tcPr>
            <w:tcW w:w="12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7"/>
              </w:rPr>
              <w:t>11.42%</w:t>
            </w:r>
          </w:p>
        </w:tc>
        <w:tc>
          <w:tcPr>
            <w:tcW w:w="2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Term loans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395"/>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Convertible debt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60" w:type="dxa"/>
            <w:vAlign w:val="bottom"/>
          </w:tcPr>
          <w:p>
            <w:pPr>
              <w:spacing w:after="0"/>
              <w:rPr>
                <w:sz w:val="19"/>
                <w:szCs w:val="19"/>
                <w:color w:val="auto"/>
              </w:rPr>
            </w:pPr>
          </w:p>
        </w:tc>
        <w:tc>
          <w:tcPr>
            <w:tcW w:w="12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RED-Rochester,</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LLC</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center"/>
              <w:ind w:left="415"/>
              <w:spacing w:after="0"/>
              <w:rPr>
                <w:sz w:val="20"/>
                <w:szCs w:val="20"/>
                <w:color w:val="auto"/>
              </w:rPr>
            </w:pPr>
            <w:r>
              <w:rPr>
                <w:rFonts w:ascii="Times New Roman" w:cs="Times New Roman" w:eastAsia="Times New Roman" w:hAnsi="Times New Roman"/>
                <w:sz w:val="18"/>
                <w:szCs w:val="18"/>
                <w:color w:val="auto"/>
                <w:w w:val="97"/>
              </w:rPr>
              <w:t>11.42%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Finance leases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148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w w:val="94"/>
              </w:rPr>
              <w:t>Various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Other debt</w:t>
            </w:r>
          </w:p>
        </w:tc>
        <w:tc>
          <w:tcPr>
            <w:tcW w:w="15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1480" w:type="dxa"/>
            <w:vAlign w:val="bottom"/>
            <w:gridSpan w:val="2"/>
            <w:shd w:val="clear" w:color="auto" w:fill="CFF0FC"/>
          </w:tcPr>
          <w:p>
            <w:pPr>
              <w:jc w:val="center"/>
              <w:ind w:left="175"/>
              <w:spacing w:after="0"/>
              <w:rPr>
                <w:sz w:val="20"/>
                <w:szCs w:val="20"/>
                <w:color w:val="auto"/>
              </w:rPr>
            </w:pPr>
            <w:r>
              <w:rPr>
                <w:rFonts w:ascii="Times New Roman" w:cs="Times New Roman" w:eastAsia="Times New Roman" w:hAnsi="Times New Roman"/>
                <w:sz w:val="18"/>
                <w:szCs w:val="18"/>
                <w:color w:val="auto"/>
                <w:w w:val="94"/>
              </w:rPr>
              <w:t>Various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maturities of debt and finance leases outstanding at June 30, 2022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Maturity</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Q3 - Q4 2022</w:t>
            </w:r>
          </w:p>
        </w:tc>
        <w:tc>
          <w:tcPr>
            <w:tcW w:w="366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36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3660" w:type="dxa"/>
            <w:vAlign w:val="bottom"/>
            <w:tcBorders>
              <w:top w:val="single" w:sz="8" w:color="CFF0FC"/>
              <w:bottom w:val="single" w:sz="8" w:color="CFF0FC"/>
            </w:tcBorders>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Term Loan Credit Agreement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26, 2021, the Company entered into a Credit Agreement (the “Term Loan Credit Agreement”) with certain funds affiliated with Kennedy Lewis Investment Management LLC (“KLIM”) as lenders (the “Term Loan Lenders”) and Alter Domus (US) LLC, as administrative agent. Pursuant to the Term Loan Credit Agreement, the Term Loan Lenders provided the Company with (i) an initial term loan in the amount of $225 million, which was drawn in full on the same date, and (ii) a commitment to provide delayed draw term loans in an aggregate principal amount of up to $50 million on or before February 26, 2023 (the “Delayed Draw Term Loans” and collectively, with the initial term loan, the “Term Loans”). Net proceeds from the Term Loan Credit Agreement received on February 26, 2021 were $215 million ($225 million aggregate principal less $10 million in debt transaction costs). The delayed draw term loans were drawn down in full on June 15, 2022. Net proceeds received on June 15, 2022 were $49 million ($50 million of aggregate principal less $1 million in debt transaction costs). The maturity date of the Term Loans is February 26, 2026 and the Term Loans are non-amortizing. Each of the capitalized and undefined terms has the meaning ascribed to such term in the Term Loan Credit Agreement.</w:t>
      </w:r>
    </w:p>
    <w:p>
      <w:pPr>
        <w:spacing w:after="0" w:line="21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Term Loans bear interest at a rate of 8.5% per annum payable quarterly in cash and 4.0% per annum payable in cash on the maturity date or quarterly, at EKC’s option, for an aggregate interest rate of 12.5% per annum. The payment of interest only at the maturity date has the same effect as delivering additional debt instruments to the Term Loan Lenders and therefore is considered Paid-in-Kind (“PIK”). The Company elected the 4.0% per annum in PIK which is being added to the carrying value of the debt through the term. Interest expense is being recorded using the effective interest method. The Term Loans are guaranteed by the Company and certain of its domestic subsidiaries (the “Subsidiary Guarantors”), and are secured by (i) a first priority lien on substantially all assets of the Company and the Subsidiary Guarantors (subject to certain exceptions) not constituting ABL Priority Collateral or L/C Cash Collateral (see below for definitions of ABL Priority Collateral and L/C Cash Collateral), including 100% of the stock of material U.S. subsidiaries and 65% of the stock of material foreign subsidiaries (the “Term Loan Priority Collateral”) and (ii) a third priority lien on the ABL Priority Collateral and L/C Cash Collateral. The Term Loan Credit Agreement limits, among other things, the ability of the Company and its Restricted Subsidiaries (as defined in the Term Loan Credit Agreement) to (i) incur indebtedness, (ii) incur or create liens, (iii) dispose of assets, (iv) make restricted payments and (v) make investments, and also contains customary affirmative covenants including delivery of certain of the Company’s financial statements set forth therein. The Term Loan Credit Agreement does not include a financial maintenance covenant.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Convertible Notes</w:t>
      </w:r>
    </w:p>
    <w:p>
      <w:pPr>
        <w:spacing w:after="0" w:line="256"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On February 26, 2021, the Company entered into a Securities Purchase Agreement with certain funds affiliated with Kennedy Lewis Investment Management LLC (“KLIM”) as lenders (the “Buyers”) pursuant to which the Company sold to the Buyers $25 million aggregate principal amount of the Company’s newly issued 5.0% unsecured convertible promissory notes due May 28, 2026 (the “Convertible Notes”) in a private placement</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transaction. The Convertible Notes bear interest at a rate of 5.0% per annum, which will be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PIK. PIK is being added to the carrying value of the debt through the term. Interest expense is being recorded using the effective interest method. The maturity date of the Convertible Notes is May 28,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Features</w:t>
      </w:r>
    </w:p>
    <w:p>
      <w:pPr>
        <w:spacing w:after="0" w:line="31"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The Buyers have the right to elect at any time to convert the Convertible Notes into shares of Common Stock at an initial conversion rate equal to 100 shares of Common Stock per each $1,000 principal amount of the Convertible Notes (based on an initial conversion price equal to $10.00 per share of Common Stock). The conversion rate and conversion price will be subject to certain customary anti-dilution adjustments.</w:t>
      </w:r>
    </w:p>
    <w:p>
      <w:pPr>
        <w:spacing w:after="0" w:line="21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the closing price of the Common Stock equals or exceeds $14.50 (subject to adjustment in the same manner as the conversion price) for 45 trading days within any period of 60 consecutive trading days, the Company will have the right to cause the mandatory conversion of the Convertible Notes into shares of Common Stock.</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event of certain fundamental transactions, the Buyers will have the right, within a period of 30 days following the occurrence of such transaction (“Holder Fundamental Transaction Election Period”), to elect to either require prepayment of the Convertible Notes at par plus accrued and unpaid interest or convert all or a portion of the Convertible Notes into shares of Common Stock at the conversion rate then in effect plus any additional shares based on the price per share of Common Stock in connection with the fundamental transaction, or to receive the shares of a successor entity, if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3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Company allocated $12 million of the net proceeds received to a derivative liability based on the aggregate fair value of the embedded features on the date of issuance which reduced the net carrying value of the Convertible Notes. The derivative is being accounted for at fair value with subsequent changes in the fair value being reported as part of Other (income) charges, net in the Consolidated Statement of Operations. The fair value of the Convertible Notes embedded derivative at both June 30, 2022 and December 31, 2021 was a liability of $4 million and is included in Other long-term liabilities in the accompanying Consolidated Statement of Financial Position. Refer to Note 18, “Financial Instruments” for information on the valuation of the derivative.</w:t>
      </w:r>
    </w:p>
    <w:p>
      <w:pPr>
        <w:spacing w:after="0" w:line="17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carrying value of the Convertible Notes at June 30, 2022 and December 31, 2021 was $16 million and $15 million, respectively. The Convertible Notes unamortized discount at June 30, 2022 and December 31, 2021 was $10 million and $11 million, respectively. The estimated fair value of the Convertible Notes as of June 30, 2022 was $16 million (Level 3). The carrying value is being accreted to the aggregate principal amount using the effective interest method from the date of issuance through the maturity date.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REDEEMABLE, CONVERTIBLE PREFERRED STOCK</w:t>
            </w: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convertible preferred stock was as follows:</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1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19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0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5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On February 26, 2021 the Company agreed to exchange the remaining one million shares of Series A Preferred Stock held by Southeastern Asset Management, Inc. (“Southeastern”) and Longleaf Partners Small-Cap Fund, C2W Partners Master Fund Limited and Deseret Mutual Pension Trust, which are investment funds managed by Southeastern (such investment funds, collectively, the “Purchasers”), for shares of the Company’s newly created 4.0% Series B Convertible Preferred Stock, no par value (the “Series B Preferred Stock”) on a one-for-one basis plus accrued and unpaid dividends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fair value of the Series B Preferred Stock at the time of issuance approximated $95 million. The Company has classified the Series B Preferred Stock as temporary equity in the Consolidated Statement of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holders of Series B Preferred Stock are entitled to cumulative dividends payable quarterly in cash at a rate of 4.0% per annum. Dividends owed on the Series B Preferred Stock have been declared and paid when due.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Features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will be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spacing w:after="0" w:line="2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Conversion Features</w:t>
      </w:r>
    </w:p>
    <w:p>
      <w:pPr>
        <w:spacing w:after="0" w:line="3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The Company allocated $1 million to the derivative liability based on the aggregate fair value of the embedded conversion feature on the date of issuance which reduced the original carrying value of the Series B Preferred Stock. The derivative is being accounted for at fair value with subsequent changes in the fair value being reported as part of Other (income) charges, net in the Consolidated Statement of Operations. The fair value of the Series B Preferred Stock embedded derivative as of both June 30, 2022 and December 31, 2021 was a liability of $1 million and is included in Other long-term liabilities in the accompanying Consolidated Statement of Financial Position. Refer to Note 18, “Financial Instruments” for information on the valuation of the derivative.</w:t>
      </w:r>
    </w:p>
    <w:p>
      <w:pPr>
        <w:spacing w:after="0" w:line="19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Investor is a fund managed by Grand Oaks Capital. The Company has classified the Series C Preferred Stock as temporary equity in the Consolidated Statement of Financial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6" w:lineRule="exact"/>
        <w:rPr>
          <w:sz w:val="20"/>
          <w:szCs w:val="20"/>
          <w:color w:val="auto"/>
        </w:rPr>
      </w:pPr>
    </w:p>
    <w:p>
      <w:pPr>
        <w:ind w:right="80"/>
        <w:spacing w:after="0" w:line="217" w:lineRule="exact"/>
        <w:rPr>
          <w:sz w:val="20"/>
          <w:szCs w:val="20"/>
          <w:color w:val="auto"/>
        </w:rPr>
      </w:pPr>
      <w:r>
        <w:rPr>
          <w:rFonts w:ascii="Times New Roman" w:cs="Times New Roman" w:eastAsia="Times New Roman" w:hAnsi="Times New Roman"/>
          <w:sz w:val="18"/>
          <w:szCs w:val="18"/>
          <w:color w:val="auto"/>
        </w:rPr>
        <w:t>The holders of Series C Preferred Stock are entitled to cumulative dividends payable quarterly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kind” in the form of additional shares of Series C Preferred Stock at a rate of 5.0% per annum. Dividends owed on the Series C Preferred Stock have been declared and additional Series C shares issued when due.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Features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Each share of Series C Preferred Stock is convertible, at the option of each holder at any time, into shares of Common Stock at the initial conversion price of $10 per share of Common Stock. The initial conversion price and the corresponding conversion rate will be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spacing w:after="0" w:line="22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will have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Conversion Features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allocated $2 million of the net proceeds received to the derivative liability based on the aggregate fair value of the embedded conversion features on the dates of issuance which reduced the original carrying value of the Series C Preferred Stock. The derivative is being accounted for at fair value with subsequent changes in the fair value being reported as part of Other (income) charges, net in the Consolidated Statement of Operations. The fair value of the Series C Preferred Stock derivative as of June 30, 2022 and December 31, 2021 was a liability of $1 million and $2 million, respectively, and is included in Other long-term liabilities in the accompanying Consolidated Statement of Financial Position. Refer to Note 18, “Financial Instruments” for information on the valuation of the derivative.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the Series C Preferred Stock is being accreted to the mandatory redemption amount using the effective interest method to Additional paid in capital in the Consolidated Statement of Financial Position as a deemed dividend from the date of issuance through the mandatory redemption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recognized on operating lease arrangements for the three and six months ended June 30, 2022 and 2021 is presented below. Income recognized for sales-type lease arrangements for both the three and six months ended June 30, 2022 was $0 million and for the three and six months ended June 30, 2021 was $0 million and $1 million, respectively.</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income - operating leases:</w:t>
            </w:r>
          </w:p>
        </w:tc>
        <w:tc>
          <w:tcPr>
            <w:tcW w:w="52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Lease income</w:t>
            </w:r>
          </w:p>
        </w:tc>
        <w:tc>
          <w:tcPr>
            <w:tcW w:w="14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r>
      <w:tr>
        <w:trPr>
          <w:trHeight w:val="243"/>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520" w:type="dxa"/>
            <w:vAlign w:val="bottom"/>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r>
      <w:tr>
        <w:trPr>
          <w:trHeight w:val="236"/>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income</w:t>
            </w:r>
          </w:p>
        </w:tc>
        <w:tc>
          <w:tcPr>
            <w:tcW w:w="14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r>
      <w:tr>
        <w:trPr>
          <w:trHeight w:val="20"/>
        </w:trPr>
        <w:tc>
          <w:tcPr>
            <w:tcW w:w="2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outstanding letters of credit of $46 million and $44 million issued under the Amended ABL Credit Agreement and the L/C Facility Agreement, respectively, as well as bank guarantees and letters of credit of $2 million, surety bonds in the amount of $29 million, and restricted cash of $64 million, primarily related to cash collateral for the outstanding letters of credit under the L/C Facility Agreement, to ensure payment of possible casualty and workers’ compensation claims, legal contingencies, hedging activities, environmental liabilities, rental payments and to support various customs, tax and trade activities.</w:t>
      </w:r>
    </w:p>
    <w:p>
      <w:pPr>
        <w:spacing w:after="0" w:line="2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2022, Kodak’s Brazilian Operations maintained accruals of approximately $2 million for claims aggregating approximately $118 million inclusive of interest and penalties where appropriate. The unreserved portion of the indirect taxes, civil litigation and disputes associated with former employees and contract labor claims, inclusive of any related interest and penalties, for which there was at least a reasonable possibility that a loss may be incurred, amounted to approximately $4 million.</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assessments in Brazil, local regulations may require Kodak’s Brazilian operations to post security for a portion of the amounts in dispute. As of June 30, 2022, Kodak’s Brazilian operations have posted security composed of $5 million of pledged cash reported within Restricted cash in the Consolidated Statement of Financial Position and liens on certain Brazilian assets with a net book value of approximately $42 million. Generally, any encumbrances on the Brazilian assets would be removed to the extent the matter is resolved in Kodak's favor.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4" w:name="page15"/>
    <w:bookmarkEnd w:id="14"/>
    <w:p>
      <w:pPr>
        <w:ind w:right="20"/>
        <w:spacing w:after="0" w:line="252" w:lineRule="auto"/>
        <w:rPr>
          <w:sz w:val="20"/>
          <w:szCs w:val="20"/>
          <w:color w:val="auto"/>
        </w:rPr>
      </w:pPr>
      <w:r>
        <w:rPr>
          <w:rFonts w:ascii="Times New Roman" w:cs="Times New Roman" w:eastAsia="Times New Roman" w:hAnsi="Times New Roman"/>
          <w:sz w:val="18"/>
          <w:szCs w:val="18"/>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U.S. International Development Finance Corporation (the “DFC”) announcement (the “DFC Announcement”) of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 on July 28, 2020. The Securities Class Actions were transferred to the Federal District Court for the Western District of New York and were consolidated into a single proceeding (the “Consolidated Securities Class Action”) on June 22, 2021. Les Investissements Kiz Inc. and UAT Trading Service, Inc. were appointed by the court to serve as lead plaintiff for the Consolidated Securities Class Action on August 2, 2021, and the lead plaintiff filed an amended consolidated complaint on October 1, 2021 which added Kodak’s General Counsel and current and former members of its Board of Directors as additional defendants. The Company and individual defendants filed motions to dismiss the Consolidated Securities Class Action on December 14, 2021. The lead plaintiff filed an opposition to the motions to dismiss on February 28, 2022, and the Company and the individual defendants filed responses to the plaintiff’s opposition on April 6, 2022. A hearing with respect to the motions to dismiss was held on August 3, 2022. The Company intends to continue to vigorously defend itself against the Consolidated Securities Class Action.</w:t>
      </w: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29, 2020 Robert Garfield commenced a class action lawsuit against the Company and current and former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disclosures (including the successor New York lawsuit discussed below, the “Fiduciary Class Action”). The Company and each of the individual defendants filed motions to dismiss the Fiduciary Class Action on April 13, 2021. The plaintiff in the Fiduciary Class Action voluntarily dismissed the Fiduciary Class Action without prejudice on May 26, 2021 and filed a lawsuit substantially similar to the dismissed New Jersey lawsuit in the Supreme Court of the State of New York in Monroe County on October 27, 2021, this time on behalf of a purported class of beneficial and record owners of stock of the Company as of March 26, 2020 who continue to own such stock through the present. The Company and individual defendants filed motions to dismiss the Fiduciary Class Action on January 19, 2022. The plaintiff filed an opposition to the motions to dismiss on March 28, 2022, and the Company and the individual defendants filed responses to the plaintiff’s opposition on May 9, 2022. A hearing with respect to the motions to dismiss was held on May 24, 2022, and the lawsuit was dismissed with prejudice on June 10, 2022. The dismissal was not appealed during the applicable appeal period as a result of which the lawsuit is concluded.</w:t>
      </w: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also received five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(each a “Derivative Demand”, and collectively the “Derivative Demands”). On May 19, 2021 Louis Peters, one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August 23, 2021, and the Company and individual defendants filed motions to dismiss (or alternatively, in the case of the Company, a motion for summary judgment) in the State Derivative Lawsuit on October 22, 2021. On March 17, 2022, the Court issued an order staying the State Derivative Lawsuit pending the resolution of the Federal Derivative Lawsuit described below.</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2, 2021 Herbert Silverberg, another person making a Derivative Demand (“Silverberg”), commenced a derivative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October 4, 2021 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10(b) of the Exchange Act. The Federal derivative lawsuits filed by Silverberg and Peters were consolidated into a single proceeding (the “Federal Derivative Lawsuit”) on January 18, 2022, and Peters was appointed as lead plaintiff in the Federal Derivative Lawsuit. An amended consolidated complaint combining the allegations contained in the Federal derivative lawsuits filed by Silverberg and Peters was filed in the Federal Derivative Lawsuit on February 16,</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right="400"/>
        <w:spacing w:after="0" w:line="261" w:lineRule="auto"/>
        <w:rPr>
          <w:sz w:val="20"/>
          <w:szCs w:val="20"/>
          <w:color w:val="auto"/>
        </w:rPr>
      </w:pPr>
      <w:r>
        <w:rPr>
          <w:rFonts w:ascii="Times New Roman" w:cs="Times New Roman" w:eastAsia="Times New Roman" w:hAnsi="Times New Roman"/>
          <w:sz w:val="18"/>
          <w:szCs w:val="18"/>
          <w:color w:val="auto"/>
        </w:rPr>
        <w:t>2022, and the Company and individual defendants filed motions to dismiss or, in the alternative in the case of the Company, for summary judgment on April 15, 2022. Limited discovery in the case is ongoing.</w:t>
      </w:r>
    </w:p>
    <w:p>
      <w:pPr>
        <w:spacing w:after="0" w:line="216" w:lineRule="exact"/>
        <w:rPr>
          <w:sz w:val="20"/>
          <w:szCs w:val="20"/>
          <w:color w:val="auto"/>
        </w:rPr>
      </w:pPr>
      <w:r>
        <w:rPr>
          <w:rFonts w:ascii="Times New Roman" w:cs="Times New Roman" w:eastAsia="Times New Roman" w:hAnsi="Times New Roman"/>
          <w:sz w:val="18"/>
          <w:szCs w:val="18"/>
          <w:color w:val="auto"/>
        </w:rPr>
        <w:t>Additional shareholder derivative lawsuits may be brought based on the other Derivative Demands (any such lawsuits, collectively with the State Derivative Lawsuit, the Federal Derivative Lawsuit and the Fiduciary Class Action, the “Fiduciary Matters”). The Company, acting through a Special Committee of Independent Directors, previously determined that there was no merit to the claims alleged by the Derivative Demands made through the time of its determination (except with respect to the charitable contribution, which was not fully considered by the Special Committee). See the Company’s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September 16, 2020. The Company, acting through a separate Special Litigation Committee of Independent Directors, concurred with the first Special Committee’s findings and further concluded it is not in the Company’s interest to bring or allow any other shareholder to assert any of the claims alleged by the State Derivative Lawsuit or Federal Derivative Lawsuit (with the exception of the Peters claim purportedly arising under Section 10(b) of the Exchange Act, which was not addressed as no demand was made with respect to such claim). The second Special Litigation Committee will carefully review any other additional complaints constituting Fiduciary Matters which may be filed.</w:t>
      </w:r>
    </w:p>
    <w:p>
      <w:pPr>
        <w:spacing w:after="0" w:line="22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DFC Announcement has also prompted investigations by several congressional committees, the SEC and the New York Attorney General’s office. The Company has cooperated in those investigations.</w:t>
      </w:r>
    </w:p>
    <w:p>
      <w:pPr>
        <w:spacing w:after="0" w:line="18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previously reported, the Attorney General of the State of New York (the “NYAG”) has threatened to file a lawsuit against the Company and its Chief Executive Officer alleging violations of New York State’s Martin Act (the “Threatened Claim”). In connection with the Threatened Claim, on June 15, 2021 the Supreme Court of the State of New York in New York County issued an order providing for additional document production by the Company to the NYAG and the taking by the NYAG of investigative testimony of the Company’s Chief Executive Officer and General Counsel. The Company has completed its document production and its officers provided the testimony as contemplated by such order on October 8, 2021 and October 1, 2021, respectively. The Company had discussions with the NYAG regarding a potential resolution of the Threatened Claim in the spring of 2022, but those discussions did not result in a resolution. If the Threatened Claim is not resolved and is ultimately brought by the NYAG, the Company intends to vigorously defend itself against the Threatened Claim.</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GUARANTEES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connection with the settlement of certain of the Company’s historical environmental liabilities at Eastman Business Park, a more than 1,200-acre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Extended Warranty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 offers its customers extended warranty arrangements that are generally one year, but may range from three months to six years after the original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period. The change in Kodak’s deferred revenue balance in relation to these extended warranty and maintenance arrangements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to June 30, 2022, which is reflected in Other current liabilities in the accompanying Consolidated Statement of Financial Position,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(in millions)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10"/>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on extended warranties as of December 31, 2021</w:t>
            </w: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New extended warranty and maintenance arrangements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extended warranty and maintenance</w:t>
            </w: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arrangement revenue</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50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Deferred revenue on extended warranties as of June 30, 2022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REVENUE</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tables present revenue disaggregated by major product, portfolio summary and geography</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Major Product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vMerge w:val="restart"/>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5"/>
            <w:vMerge w:val="continue"/>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2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42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21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Plates, inks and other</w:t>
            </w:r>
          </w:p>
        </w:tc>
        <w:tc>
          <w:tcPr>
            <w:tcW w:w="1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consumables</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Ongoing service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arrangements </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annuities</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Equipment &amp; software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and chemicals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2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42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21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Plates, inks and other</w:t>
            </w:r>
          </w:p>
        </w:tc>
        <w:tc>
          <w:tcPr>
            <w:tcW w:w="1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consumables</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Ongoing service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arrangements </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annuities</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Equipment &amp; software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and chemicals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5"/>
        </w:trPr>
        <w:tc>
          <w:tcPr>
            <w:tcW w:w="25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Plates, inks and other</w:t>
            </w:r>
          </w:p>
        </w:tc>
        <w:tc>
          <w:tcPr>
            <w:tcW w:w="6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consumables</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20"/>
                <w:szCs w:val="20"/>
                <w:color w:val="auto"/>
              </w:rPr>
            </w:pPr>
          </w:p>
        </w:tc>
      </w:tr>
      <w:tr>
        <w:trPr>
          <w:trHeight w:val="211"/>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Ongoing service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arrangements </w:t>
            </w:r>
            <w:r>
              <w:rPr>
                <w:rFonts w:ascii="Times New Roman" w:cs="Times New Roman" w:eastAsia="Times New Roman" w:hAnsi="Times New Roman"/>
                <w:sz w:val="15"/>
                <w:szCs w:val="15"/>
                <w:color w:val="auto"/>
              </w:rPr>
              <w:t>(1)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r>
      <w:tr>
        <w:trPr>
          <w:trHeight w:val="223"/>
        </w:trPr>
        <w:tc>
          <w:tcPr>
            <w:tcW w:w="256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annuities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Equipment &amp; software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r>
      <w:tr>
        <w:trPr>
          <w:trHeight w:val="22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and chemicals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9"/>
                <w:szCs w:val="19"/>
                <w:color w:val="auto"/>
              </w:rPr>
            </w:pP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2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5"/>
        </w:trPr>
        <w:tc>
          <w:tcPr>
            <w:tcW w:w="25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Plates, inks and other</w:t>
            </w:r>
          </w:p>
        </w:tc>
        <w:tc>
          <w:tcPr>
            <w:tcW w:w="6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consumables</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20"/>
                <w:szCs w:val="20"/>
                <w:color w:val="auto"/>
              </w:rPr>
            </w:pPr>
          </w:p>
        </w:tc>
      </w:tr>
      <w:tr>
        <w:trPr>
          <w:trHeight w:val="211"/>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Ongoing service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arrangements </w:t>
            </w:r>
            <w:r>
              <w:rPr>
                <w:rFonts w:ascii="Times New Roman" w:cs="Times New Roman" w:eastAsia="Times New Roman" w:hAnsi="Times New Roman"/>
                <w:sz w:val="15"/>
                <w:szCs w:val="15"/>
                <w:color w:val="auto"/>
              </w:rPr>
              <w:t>(1)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r>
      <w:tr>
        <w:trPr>
          <w:trHeight w:val="223"/>
        </w:trPr>
        <w:tc>
          <w:tcPr>
            <w:tcW w:w="2560" w:type="dxa"/>
            <w:vAlign w:val="bottom"/>
            <w:tcBorders>
              <w:top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Total annuities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Equipment &amp; software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r>
      <w:tr>
        <w:trPr>
          <w:trHeight w:val="23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Film and chemicals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9"/>
                <w:szCs w:val="19"/>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0" w:right="600" w:hanging="552"/>
        <w:spacing w:after="0" w:line="282" w:lineRule="auto"/>
        <w:tabs>
          <w:tab w:leader="none" w:pos="5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Service revenue in the Consolidated Statement of Operations includes the ongoing service revenue shown above as well as one-time service revenue.</w:t>
      </w:r>
    </w:p>
    <w:p>
      <w:pPr>
        <w:spacing w:after="0" w:line="188" w:lineRule="exact"/>
        <w:rPr>
          <w:rFonts w:ascii="Times New Roman" w:cs="Times New Roman" w:eastAsia="Times New Roman" w:hAnsi="Times New Roman"/>
          <w:sz w:val="15"/>
          <w:szCs w:val="15"/>
          <w:color w:val="auto"/>
        </w:rPr>
      </w:pPr>
    </w:p>
    <w:p>
      <w:pPr>
        <w:ind w:left="560" w:hanging="552"/>
        <w:spacing w:after="0"/>
        <w:tabs>
          <w:tab w:leader="none" w:pos="5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includes revenue from non-recurring engineering services, tenant rent and related property management services and licensing.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Portfolio Summary: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4"/>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10"/>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10"/>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7"/>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Digital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Printing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Growth engines </w:t>
            </w:r>
            <w:r>
              <w:rPr>
                <w:rFonts w:ascii="Times New Roman" w:cs="Times New Roman" w:eastAsia="Times New Roman" w:hAnsi="Times New Roman"/>
                <w:sz w:val="15"/>
                <w:szCs w:val="15"/>
                <w:color w:val="auto"/>
              </w:rPr>
              <w:t>(1)</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4"/>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Strategic other businesses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Planned declining</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businesses </w:t>
            </w:r>
            <w:r>
              <w:rPr>
                <w:rFonts w:ascii="Times New Roman" w:cs="Times New Roman" w:eastAsia="Times New Roman" w:hAnsi="Times New Roman"/>
                <w:sz w:val="15"/>
                <w:szCs w:val="15"/>
                <w:color w:val="auto"/>
              </w:rPr>
              <w:t>(3)</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5"/>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1"/>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10"/>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10"/>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7"/>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Digital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Printing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Growth engines </w:t>
            </w:r>
            <w:r>
              <w:rPr>
                <w:rFonts w:ascii="Times New Roman" w:cs="Times New Roman" w:eastAsia="Times New Roman" w:hAnsi="Times New Roman"/>
                <w:sz w:val="15"/>
                <w:szCs w:val="15"/>
                <w:color w:val="auto"/>
              </w:rPr>
              <w:t>(1)</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4"/>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Strategic other businesses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Planned declining</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businesses </w:t>
            </w:r>
            <w:r>
              <w:rPr>
                <w:rFonts w:ascii="Times New Roman" w:cs="Times New Roman" w:eastAsia="Times New Roman" w:hAnsi="Times New Roman"/>
                <w:sz w:val="15"/>
                <w:szCs w:val="15"/>
                <w:color w:val="auto"/>
              </w:rPr>
              <w:t>(3)</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5"/>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4"/>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10"/>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10"/>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7"/>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Digital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Printing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Growth engines </w:t>
            </w:r>
            <w:r>
              <w:rPr>
                <w:rFonts w:ascii="Times New Roman" w:cs="Times New Roman" w:eastAsia="Times New Roman" w:hAnsi="Times New Roman"/>
                <w:sz w:val="15"/>
                <w:szCs w:val="15"/>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Strategic other businesses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Planned declining</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businesses </w:t>
            </w:r>
            <w:r>
              <w:rPr>
                <w:rFonts w:ascii="Times New Roman" w:cs="Times New Roman" w:eastAsia="Times New Roman" w:hAnsi="Times New Roman"/>
                <w:sz w:val="15"/>
                <w:szCs w:val="15"/>
                <w:color w:val="auto"/>
              </w:rPr>
              <w:t>(3)</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1"/>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10"/>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10"/>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7"/>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Digital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Printing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Growth engines </w:t>
            </w:r>
            <w:r>
              <w:rPr>
                <w:rFonts w:ascii="Times New Roman" w:cs="Times New Roman" w:eastAsia="Times New Roman" w:hAnsi="Times New Roman"/>
                <w:sz w:val="15"/>
                <w:szCs w:val="15"/>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Strategic other businesses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Planned declining</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businesses </w:t>
            </w:r>
            <w:r>
              <w:rPr>
                <w:rFonts w:ascii="Times New Roman" w:cs="Times New Roman" w:eastAsia="Times New Roman" w:hAnsi="Times New Roman"/>
                <w:sz w:val="15"/>
                <w:szCs w:val="15"/>
                <w:color w:val="auto"/>
              </w:rPr>
              <w:t>(3)</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FF0FC"/>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8"/>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6"/>
          </w:tcPr>
          <w:p>
            <w:pPr>
              <w:ind w:left="9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left="580" w:right="420" w:hanging="572"/>
        <w:spacing w:after="0" w:line="263" w:lineRule="auto"/>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Growth engines consist of Sonora in the Traditional Printing segment, PROSPER and Software in the Digital Printing segment, and Advanced Materials and Functional Printing in the Advanced Materials and Chemicals segment, excluding intellectual property (“IP”) licensing.</w:t>
      </w:r>
    </w:p>
    <w:p>
      <w:pPr>
        <w:spacing w:after="0" w:line="111" w:lineRule="exact"/>
        <w:rPr>
          <w:rFonts w:ascii="Times New Roman" w:cs="Times New Roman" w:eastAsia="Times New Roman" w:hAnsi="Times New Roman"/>
          <w:sz w:val="14"/>
          <w:szCs w:val="14"/>
          <w:color w:val="auto"/>
        </w:rPr>
      </w:pPr>
    </w:p>
    <w:p>
      <w:pPr>
        <w:ind w:left="580" w:right="80" w:hanging="572"/>
        <w:spacing w:after="0" w:line="231" w:lineRule="auto"/>
        <w:tabs>
          <w:tab w:leader="none" w:pos="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Strategic other businesses include plates (excluding Sonora plates) and Computer to Plate (“CTP”) equipment and related service in the Traditional Printing segment; Nexpress and related toner business in the Digital Printing segment and Motion Picture and Industrial Film and Chemicals (including external inks) and IP licensing in the Advanced Materials and Chemicals segment; the Brand segment and All Other.</w:t>
      </w:r>
    </w:p>
    <w:p>
      <w:pPr>
        <w:spacing w:after="0" w:line="131" w:lineRule="exact"/>
        <w:rPr>
          <w:rFonts w:ascii="Times New Roman" w:cs="Times New Roman" w:eastAsia="Times New Roman" w:hAnsi="Times New Roman"/>
          <w:sz w:val="15"/>
          <w:szCs w:val="15"/>
          <w:color w:val="auto"/>
        </w:rPr>
      </w:pPr>
    </w:p>
    <w:p>
      <w:pPr>
        <w:ind w:left="580" w:hanging="572"/>
        <w:spacing w:after="0" w:line="226" w:lineRule="auto"/>
        <w:tabs>
          <w:tab w:leader="none" w:pos="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VERSAMARK and Digimaster in the Digital Printing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Geography </w:t>
      </w:r>
      <w:r>
        <w:rPr>
          <w:rFonts w:ascii="Times New Roman" w:cs="Times New Roman" w:eastAsia="Times New Roman" w:hAnsi="Times New Roman"/>
          <w:sz w:val="15"/>
          <w:szCs w:val="15"/>
          <w:b w:val="1"/>
          <w:bCs w:val="1"/>
          <w:color w:val="auto"/>
        </w:rPr>
        <w:t>(1):</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05"/>
        </w:trPr>
        <w:tc>
          <w:tcPr>
            <w:tcW w:w="2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Europe, Middle East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Africa</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r>
      <w:tr>
        <w:trPr>
          <w:trHeight w:val="22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1"/>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8"/>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Materials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05"/>
        </w:trPr>
        <w:tc>
          <w:tcPr>
            <w:tcW w:w="2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Europe, Middle</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 and Africa</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r>
      <w:tr>
        <w:trPr>
          <w:trHeight w:val="23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June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Advanced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Materials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3"/>
        </w:trPr>
        <w:tc>
          <w:tcPr>
            <w:tcW w:w="2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7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FF0FC"/>
          </w:tcPr>
          <w:p>
            <w:pPr>
              <w:spacing w:after="0"/>
              <w:rPr>
                <w:sz w:val="19"/>
                <w:szCs w:val="19"/>
                <w:color w:val="auto"/>
              </w:rPr>
            </w:pPr>
          </w:p>
        </w:tc>
      </w:tr>
      <w:tr>
        <w:trPr>
          <w:trHeight w:val="205"/>
        </w:trPr>
        <w:tc>
          <w:tcPr>
            <w:tcW w:w="2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Europe, Middle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 and Africa</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0"/>
                <w:szCs w:val="20"/>
                <w:color w:val="auto"/>
              </w:rPr>
            </w:pPr>
          </w:p>
        </w:tc>
      </w:tr>
      <w:tr>
        <w:trPr>
          <w:trHeight w:val="22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FF0FC"/>
          </w:tcPr>
          <w:p>
            <w:pPr>
              <w:spacing w:after="0"/>
              <w:rPr>
                <w:sz w:val="19"/>
                <w:szCs w:val="19"/>
                <w:color w:val="auto"/>
              </w:rPr>
            </w:pPr>
          </w:p>
        </w:tc>
      </w:tr>
      <w:tr>
        <w:trPr>
          <w:trHeight w:val="230"/>
        </w:trPr>
        <w:tc>
          <w:tcPr>
            <w:tcW w:w="2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FF0FC"/>
            </w:tcBorders>
          </w:tcPr>
          <w:p>
            <w:pPr>
              <w:spacing w:after="0"/>
              <w:rPr>
                <w:sz w:val="19"/>
                <w:szCs w:val="19"/>
                <w:color w:val="auto"/>
              </w:rPr>
            </w:pPr>
          </w:p>
        </w:tc>
      </w:tr>
      <w:tr>
        <w:trPr>
          <w:trHeight w:val="223"/>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1"/>
        </w:trPr>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7"/>
        </w:trPr>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Advanced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Materials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Traditional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Digital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Printing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Chemicals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Brand</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CFF0FC"/>
            </w:tcBorders>
          </w:tcPr>
          <w:p>
            <w:pPr>
              <w:spacing w:after="0"/>
              <w:rPr>
                <w:sz w:val="19"/>
                <w:szCs w:val="19"/>
                <w:color w:val="auto"/>
              </w:rPr>
            </w:pPr>
          </w:p>
        </w:tc>
      </w:tr>
      <w:tr>
        <w:trPr>
          <w:trHeight w:val="223"/>
        </w:trPr>
        <w:tc>
          <w:tcPr>
            <w:tcW w:w="2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7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shd w:val="clear" w:color="auto" w:fill="CFF0FC"/>
          </w:tcPr>
          <w:p>
            <w:pPr>
              <w:spacing w:after="0"/>
              <w:rPr>
                <w:sz w:val="19"/>
                <w:szCs w:val="19"/>
                <w:color w:val="auto"/>
              </w:rPr>
            </w:pPr>
          </w:p>
        </w:tc>
      </w:tr>
      <w:tr>
        <w:trPr>
          <w:trHeight w:val="205"/>
        </w:trPr>
        <w:tc>
          <w:tcPr>
            <w:tcW w:w="2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Europe, Middle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 and Africa</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20"/>
                <w:szCs w:val="20"/>
                <w:color w:val="auto"/>
              </w:rPr>
            </w:pPr>
          </w:p>
        </w:tc>
      </w:tr>
      <w:tr>
        <w:trPr>
          <w:trHeight w:val="230"/>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FF0FC"/>
          </w:tcPr>
          <w:p>
            <w:pPr>
              <w:spacing w:after="0"/>
              <w:rPr>
                <w:sz w:val="19"/>
                <w:szCs w:val="19"/>
                <w:color w:val="auto"/>
              </w:rPr>
            </w:pPr>
          </w:p>
        </w:tc>
      </w:tr>
      <w:tr>
        <w:trPr>
          <w:trHeight w:val="229"/>
        </w:trPr>
        <w:tc>
          <w:tcPr>
            <w:tcW w:w="2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CFF0FC"/>
            </w:tcBorders>
          </w:tcPr>
          <w:p>
            <w:pPr>
              <w:spacing w:after="0"/>
              <w:rPr>
                <w:sz w:val="19"/>
                <w:szCs w:val="19"/>
                <w:color w:val="auto"/>
              </w:rPr>
            </w:pPr>
          </w:p>
        </w:tc>
      </w:tr>
      <w:tr>
        <w:trPr>
          <w:trHeight w:val="223"/>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hanging="368"/>
        <w:spacing w:after="0"/>
        <w:tabs>
          <w:tab w:leader="none" w:pos="7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Sales are reported in the geographic area in which they originate.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June 30, 2022 and December 31, 2021 was $1 million and $3 million, respectively, and is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June 30, 2022 and December 31, 2021 were $61 million and $57 million, respectively, in the Consolidated Statement of Financial Position, of which $48 million and $43 million are reported in Other current liabilities, respectively, and $13 million and $14 million are reported in Other long-term liabilities, respectively.</w:t>
      </w:r>
    </w:p>
    <w:p>
      <w:pPr>
        <w:spacing w:after="0" w:line="2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 recognized for the three and six months ended June 30, 2022 and 2021 that was included in the contract liability balance at the beginning of the year was $12 million and $29 million, respectively, in 2022 and $6 million and $31 million, respectively, in 2021 and primarily represented revenue from prepaid service contracts and equipment revenue recognition. Contract liabilities as of June 30, 2022 included $22 million and $33 million of cash payments received during the three and six months ended June 30, 2022 respectively. Contract liabilities as of June 30, 2021 included $22 million and $26 million of cash payments received during the three and six months ended June 30, 2021,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1" w:name="page22"/>
    <w:bookmarkEnd w:id="21"/>
    <w:p>
      <w:pPr>
        <w:ind w:right="80"/>
        <w:spacing w:after="0" w:line="256" w:lineRule="auto"/>
        <w:rPr>
          <w:sz w:val="20"/>
          <w:szCs w:val="20"/>
          <w:color w:val="auto"/>
        </w:rPr>
      </w:pPr>
      <w:r>
        <w:rPr>
          <w:rFonts w:ascii="Times New Roman" w:cs="Times New Roman" w:eastAsia="Times New Roman" w:hAnsi="Times New Roman"/>
          <w:sz w:val="18"/>
          <w:szCs w:val="18"/>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June 30, 2022, there was approximately $65 million of unrecognized revenue from unsatisfied performance obligations. Approximately 15% of the revenue from unsatisfied performance obligations is expected to be recognized in the remainder of 2022, 30% in 2023, 30% in the two-year period 2024 through 2025 and 25% thereafter.</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10: OTHER OPERATING INCOME</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11"/>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7"/>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(in millions)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(income):</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lef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4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71"/>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left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7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OTHER (INCOME) CHARGES</w:t>
            </w: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52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9"/>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(in millions)</w:t>
            </w:r>
          </w:p>
        </w:tc>
        <w:tc>
          <w:tcPr>
            <w:tcW w:w="280" w:type="dxa"/>
            <w:vAlign w:val="bottom"/>
          </w:tcPr>
          <w:p>
            <w:pPr>
              <w:spacing w:after="0"/>
              <w:rPr>
                <w:sz w:val="19"/>
                <w:szCs w:val="19"/>
                <w:color w:val="auto"/>
              </w:rPr>
            </w:pPr>
          </w:p>
        </w:tc>
        <w:tc>
          <w:tcPr>
            <w:tcW w:w="9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Change in fair value of embedded conversion</w:t>
            </w:r>
          </w:p>
        </w:tc>
        <w:tc>
          <w:tcPr>
            <w:tcW w:w="2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lef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features derivative liability </w:t>
            </w:r>
            <w:r>
              <w:rPr>
                <w:rFonts w:ascii="Times New Roman" w:cs="Times New Roman" w:eastAsia="Times New Roman" w:hAnsi="Times New Roman"/>
                <w:sz w:val="15"/>
                <w:szCs w:val="15"/>
                <w:color w:val="auto"/>
              </w:rPr>
              <w:t>(1)</w:t>
            </w:r>
          </w:p>
        </w:tc>
        <w:tc>
          <w:tcPr>
            <w:tcW w:w="60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c>
          <w:tcPr>
            <w:tcW w:w="2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Refer to Note 18, “Financial Instruments”.</w:t>
            </w: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46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Kodak’s income tax provision and effective tax rate were as follows: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7"/>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11"/>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7"/>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9"/>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80" w:type="dxa"/>
            <w:vAlign w:val="bottom"/>
          </w:tcPr>
          <w:p>
            <w:pPr>
              <w:spacing w:after="0"/>
              <w:rPr>
                <w:sz w:val="19"/>
                <w:szCs w:val="19"/>
                <w:color w:val="auto"/>
              </w:rPr>
            </w:pPr>
          </w:p>
        </w:tc>
        <w:tc>
          <w:tcPr>
            <w:tcW w:w="9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left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15.4%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shd w:val="clear" w:color="auto" w:fill="CFF0FC"/>
          </w:tcPr>
          <w:p>
            <w:pPr>
              <w:spacing w:after="0" w:line="20" w:lineRule="exact"/>
              <w:rPr>
                <w:sz w:val="1"/>
                <w:szCs w:val="1"/>
                <w:color w:val="auto"/>
              </w:rPr>
            </w:pPr>
          </w:p>
        </w:tc>
        <w:tc>
          <w:tcPr>
            <w:tcW w:w="32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 at U.S. statutory tax rate</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Difference between tax at effective vs. statutory rate</w:t>
            </w:r>
          </w:p>
        </w:tc>
        <w:tc>
          <w:tcPr>
            <w:tcW w:w="28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19"/>
                <w:szCs w:val="19"/>
                <w:color w:val="auto"/>
              </w:rPr>
            </w:pPr>
          </w:p>
        </w:tc>
        <w:tc>
          <w:tcPr>
            <w:tcW w:w="4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0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and (3) a benefit associated with foreign withholding taxes on undistributed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the difference between Kodak’s effective tax rate and the U.S. statutory rate of 21.0% is primarily attributable to:</w:t>
      </w:r>
    </w:p>
    <w:p>
      <w:pPr>
        <w:spacing w:after="0" w:line="27" w:lineRule="exact"/>
        <w:rPr>
          <w:sz w:val="20"/>
          <w:szCs w:val="20"/>
          <w:color w:val="auto"/>
        </w:rPr>
      </w:pPr>
    </w:p>
    <w:p>
      <w:pPr>
        <w:ind w:right="80" w:firstLine="8"/>
        <w:spacing w:after="0" w:line="255"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2" w:name="page23"/>
    <w:bookmarkEnd w:id="22"/>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2022, Kodak agreed to terms with a taxing authority outside the U.S. and settled open tax audits for years 2015 through 2018. This settlement included a cash payment of $2 million which is reflected in the provision for taxes in the year-to-date period, and a decrease in net deferred tax assets of $2 million which was fully offset by a corresponding change in the valuation allowance.</w:t>
      </w:r>
    </w:p>
    <w:p>
      <w:pPr>
        <w:spacing w:after="0" w:line="20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2021, the difference between Kodak’s effective tax rate and the U.S. statutory rate of 21.0% is primarily attributable to: (1) the impact related to existing valuation allowances associated with changes in net deferred tax assets from current earnings and losses and (2) the results from operations in jurisdictions outside the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2021, the difference between Kodak’s effective tax rate and the U.S. statutory rate of 21.0% is primarily attributable to:</w:t>
      </w:r>
    </w:p>
    <w:p>
      <w:pPr>
        <w:spacing w:after="0" w:line="27" w:lineRule="exact"/>
        <w:rPr>
          <w:sz w:val="20"/>
          <w:szCs w:val="20"/>
          <w:color w:val="auto"/>
        </w:rPr>
      </w:pPr>
    </w:p>
    <w:p>
      <w:pPr>
        <w:ind w:right="120" w:firstLine="8"/>
        <w:spacing w:after="0" w:line="255"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21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2021, Kodak agreed to terms with a taxing authority outside the U.S. and settled open tax audits for years prior to and including 2014. For these years, Kodak originally recorded liabilities for unrecognized tax positions totaling $3 million (plus interest of approximately $4 million), which were substantially offset by pre-paid assets.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RETIREMENT PLANS AND OTHER POSTRETIREMENT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net periodic benefit cost for all major U.S. and non-U.S. defined benefit plans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Non-U.S.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Non-U.S.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Non-U.S.</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Non-U.S.</w:t>
            </w:r>
          </w:p>
        </w:tc>
        <w:tc>
          <w:tcPr>
            <w:tcW w:w="100" w:type="dxa"/>
            <w:vAlign w:val="bottom"/>
          </w:tcPr>
          <w:p>
            <w:pPr>
              <w:spacing w:after="0"/>
              <w:rPr>
                <w:sz w:val="19"/>
                <w:szCs w:val="19"/>
                <w:color w:val="auto"/>
              </w:rPr>
            </w:pPr>
          </w:p>
        </w:tc>
      </w:tr>
      <w:tr>
        <w:trPr>
          <w:trHeight w:val="201"/>
        </w:trPr>
        <w:tc>
          <w:tcPr>
            <w:tcW w:w="266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Major defined benefit</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8"/>
        </w:trPr>
        <w:tc>
          <w:tcPr>
            <w:tcW w:w="2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30"/>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(84)</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credit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Actuarial loss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05"/>
        </w:trPr>
        <w:tc>
          <w:tcPr>
            <w:tcW w:w="2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pension (income) expense</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from major plans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23"/>
        </w:trPr>
        <w:tc>
          <w:tcPr>
            <w:tcW w:w="2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pension (income) expense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Kodak Retirement Income Plan (“KRIP”) was remeasured on May 31, 2022 due to a plan amendment. The plan amendment increased the employees’ crediting rates from 9% or 10% of pay based on employee classification to 12% or 13% of pay, retroactive to January 1, 2022. The plan amendment also provided a one-time service credit to eligible employees’ cash balance accounts.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result of the remeasurement, KRIP’s projected benefit obligation decreased $345 million primarily driven by an increase in the discount rate ($376 million) partially offset by the impacts from the plan amendments ($28 million) and changes in other demographic assumptions ($3 million). The discount rate assumption used in the May 31, 2022 remeasurement was 4.16% compared to 2.54% used in the December 31, 2021 remeasurement. The remeasurement decreased the fair value of KRIP’s plan assets by $236 million. The expected long-term rate of return on plan assets assumption used in the May 31, 2022 remeasurement was unchanged from the rate used in the previous year-end remeasurement (5.20%). The net impact of the remeasurement increased the U.S. Plan’s funded status by $109 million.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Basic earnings per share computations are based on the weighted-average number of shares of common stock outstanding during the period. Diluted earnings per share computations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amounts used to calculate basic and diluted earnings per share for the three and six months ended June 30, 2022 and 2021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9"/>
                <w:szCs w:val="19"/>
                <w:color w:val="auto"/>
              </w:rPr>
            </w:pPr>
          </w:p>
        </w:tc>
        <w:tc>
          <w:tcPr>
            <w:tcW w:w="23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Series B preferred stock cash and deemed dividends</w:t>
            </w:r>
          </w:p>
        </w:tc>
        <w:tc>
          <w:tcPr>
            <w:tcW w:w="14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Series C preferred stock in-kind and deemed dividends</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Series A preferred stock cash and deemed dividends</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Plus: Expiration of Series A preferred stock embedded</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derivative</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Earnings attributable to Series C preferred shareholders</w:t>
            </w:r>
          </w:p>
        </w:tc>
        <w:tc>
          <w:tcPr>
            <w:tcW w:w="14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 - basic</w:t>
            </w: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 back: Series B preferred stock cash and deemed dividends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Series C preferred stock in-kind and deemed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dividends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bottom w:val="single" w:sz="8" w:color="auto"/>
            </w:tcBorders>
            <w:gridSpan w:val="4"/>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 of shares)</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C preferred stock</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options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computation of diluted earnings per share for the three and six months ended June 30, 2022 excluded the impact of (1) the assumed conversion of $25 million of Convertible Notes issued in 2021, (2) the assumed conversion of 1.1 million shares of Series C Preferred Stock and (3) the assumed exercise of 3.6 million outstanding employee stock options in each period because the effects would have been anti-dilutive.</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computation of diluted earnings per share for the six months ended June 30, 2022 excluded the impact of the assumed conversion of 1.0 million shares of Series B Preferred Stock and the assumed vesting of 0.2 million unvested restricted stock units because the effects would have been anti-dilutive.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computation of diluted earnings per share for the three and six months ended June 30, 2021 excluded the impact of (1) the assumed conversion of $25 million of Convertible Notes issued in 2021, (2) the assumed exercise of 3.2 million outstanding employee stock options in both periods and (3) the assumed vesting of 0.3 million unvested restricted stock units in both periods, because the effects would have been anti-dilutive.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15: SHAREHOLDERS’ EQUITY</w:t>
      </w:r>
    </w:p>
    <w:p>
      <w:pPr>
        <w:spacing w:after="0" w:line="25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has 560 million shares of authorized stock, consisting of: (i) 500 million shares of common stock, par value $0.01 per share and (ii) 60 million shares of preferred stock, no par value, issuable in one or more series.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there were 79.0 million and 78.7 million shares of common stock outstanding,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Preferred stock issued and outstanding as of June 30, 2022 and December 31, 2021 consisted of 1.0 million shares of Series B Preferred Stock and 1.1 million shares of Series C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stock consisted of approximately 0.8 million shares as of both June 30, 2022 and December 31, 2021.</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COMPREHENSIVE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Other comprehensive income (loss),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 plan changes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Newly established net gain (loss)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Tax Provision</w:t>
            </w: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Newly established net gain (loss), net of tax</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 xml:space="preserve">Amortization of prior service credit </w:t>
            </w:r>
            <w:r>
              <w:rPr>
                <w:rFonts w:ascii="Times New Roman" w:cs="Times New Roman" w:eastAsia="Times New Roman" w:hAnsi="Times New Roman"/>
                <w:sz w:val="15"/>
                <w:szCs w:val="15"/>
                <w:color w:val="auto"/>
              </w:rPr>
              <w:t>(1)</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5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 xml:space="preserve">Amortization of actuarial losses </w:t>
            </w:r>
            <w:r>
              <w:rPr>
                <w:rFonts w:ascii="Times New Roman" w:cs="Times New Roman" w:eastAsia="Times New Roman" w:hAnsi="Times New Roman"/>
                <w:sz w:val="15"/>
                <w:szCs w:val="15"/>
                <w:color w:val="auto"/>
              </w:rPr>
              <w:t>(1)</w:t>
            </w: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reclassification adjustments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r>
      <w:tr>
        <w:trPr>
          <w:trHeight w:val="230"/>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provision</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6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05"/>
        </w:trPr>
        <w:tc>
          <w:tcPr>
            <w:tcW w:w="4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Pension and other postretirement benefit plan changes,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20"/>
                <w:szCs w:val="20"/>
                <w:color w:val="auto"/>
              </w:rPr>
            </w:pPr>
          </w:p>
        </w:tc>
      </w:tr>
      <w:tr>
        <w:trPr>
          <w:trHeight w:val="223"/>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ind w:left="920" w:hanging="359"/>
        <w:spacing w:after="0"/>
        <w:tabs>
          <w:tab w:leader="none" w:pos="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Reclassified to Total Net Periodic Benefit Cost - refer to Note 13,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Kodak has four reportable segments: Traditional Printing, Digital Printing, Advanced Materials and Chemicals and Brand. A description of Kodak’s reportable segments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Traditional Printing</w:t>
      </w:r>
      <w:r>
        <w:rPr>
          <w:rFonts w:ascii="Times New Roman" w:cs="Times New Roman" w:eastAsia="Times New Roman" w:hAnsi="Times New Roman"/>
          <w:sz w:val="18"/>
          <w:szCs w:val="18"/>
          <w:color w:val="auto"/>
        </w:rPr>
        <w:t>: The Traditional Printing segment is comprised of Prepress Solutions.</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Digital Printing</w:t>
      </w:r>
      <w:r>
        <w:rPr>
          <w:rFonts w:ascii="Times New Roman" w:cs="Times New Roman" w:eastAsia="Times New Roman" w:hAnsi="Times New Roman"/>
          <w:sz w:val="18"/>
          <w:szCs w:val="18"/>
          <w:color w:val="auto"/>
        </w:rPr>
        <w:t>: The Digital Printing segment is comprised of four lines of business: the Electrophotographic Printing Solutions business, the PROSPER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the VERSAMARK business and the Kodak Software business.</w:t>
      </w:r>
    </w:p>
    <w:p>
      <w:pPr>
        <w:spacing w:after="0" w:line="1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Advanced Materials and Chemicals: </w:t>
      </w:r>
      <w:r>
        <w:rPr>
          <w:rFonts w:ascii="Times New Roman" w:cs="Times New Roman" w:eastAsia="Times New Roman" w:hAnsi="Times New Roman"/>
          <w:sz w:val="18"/>
          <w:szCs w:val="18"/>
          <w:color w:val="auto"/>
        </w:rPr>
        <w:t>The Advanced Materials and Chemicals segment is comprised of three lines of business: Industrial Film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Chemicals, Motion Picture and Advanced Materials and Functional Printing.</w:t>
      </w: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Brand</w:t>
      </w:r>
      <w:r>
        <w:rPr>
          <w:rFonts w:ascii="Times New Roman" w:cs="Times New Roman" w:eastAsia="Times New Roman" w:hAnsi="Times New Roman"/>
          <w:sz w:val="18"/>
          <w:szCs w:val="18"/>
          <w:color w:val="auto"/>
        </w:rPr>
        <w:t>: The Brand segment contains the brand licensing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r>
        <w:rPr>
          <w:rFonts w:ascii="Times New Roman" w:cs="Times New Roman" w:eastAsia="Times New Roman" w:hAnsi="Times New Roman"/>
          <w:sz w:val="18"/>
          <w:szCs w:val="18"/>
          <w:color w:val="auto"/>
        </w:rPr>
        <w:t>: All Other is comprised of the operations of the Eastman Business Park, a more than 1,200-acre technology center and industrial complex</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Printing</w:t>
            </w:r>
          </w:p>
        </w:tc>
        <w:tc>
          <w:tcPr>
            <w:tcW w:w="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Digital Printing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Materials and Chemicals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r>
      <w:tr>
        <w:trPr>
          <w:trHeight w:val="20"/>
        </w:trPr>
        <w:tc>
          <w:tcPr>
            <w:tcW w:w="58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2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Segment Operational EBITDA and Consolidated Earnings from Operations Before Income Taxes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Printing</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Digital Printing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Materials and Chemicals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Brand</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of reportable segments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Consulting and other costs </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Idle costs </w:t>
            </w:r>
            <w:r>
              <w:rPr>
                <w:rFonts w:ascii="Times New Roman" w:cs="Times New Roman" w:eastAsia="Times New Roman" w:hAnsi="Times New Roman"/>
                <w:sz w:val="15"/>
                <w:szCs w:val="15"/>
                <w:color w:val="auto"/>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operating income, net </w:t>
            </w:r>
            <w:r>
              <w:rPr>
                <w:rFonts w:ascii="Times New Roman" w:cs="Times New Roman" w:eastAsia="Times New Roman" w:hAnsi="Times New Roman"/>
                <w:sz w:val="15"/>
                <w:szCs w:val="15"/>
                <w:color w:val="auto"/>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Pension income excluding service cost component </w:t>
            </w:r>
            <w:r>
              <w:rPr>
                <w:rFonts w:ascii="Times New Roman" w:cs="Times New Roman" w:eastAsia="Times New Roman" w:hAnsi="Times New Roman"/>
                <w:sz w:val="15"/>
                <w:szCs w:val="15"/>
                <w:color w:val="auto"/>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income (charges), net </w:t>
            </w:r>
            <w:r>
              <w:rPr>
                <w:rFonts w:ascii="Times New Roman" w:cs="Times New Roman" w:eastAsia="Times New Roman" w:hAnsi="Times New Roman"/>
                <w:sz w:val="15"/>
                <w:szCs w:val="15"/>
                <w:color w:val="auto"/>
              </w:rPr>
              <w:t>(3)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5"/>
        </w:trPr>
        <w:tc>
          <w:tcPr>
            <w:tcW w:w="580" w:type="dxa"/>
            <w:vAlign w:val="bottom"/>
          </w:tcPr>
          <w:p>
            <w:pPr>
              <w:spacing w:after="0"/>
              <w:rPr>
                <w:sz w:val="17"/>
                <w:szCs w:val="17"/>
                <w:color w:val="auto"/>
              </w:rPr>
            </w:pPr>
          </w:p>
        </w:tc>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Consolidated earnings from operations before</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0"/>
                <w:szCs w:val="20"/>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940" w:right="620" w:hanging="365"/>
        <w:spacing w:after="0" w:line="282" w:lineRule="auto"/>
        <w:tabs>
          <w:tab w:leader="none" w:pos="9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Consulting and other costs are primarily professional services and internal costs associated with certain corporate strategic initiatives, investigations and litigation.</w:t>
      </w:r>
    </w:p>
    <w:p>
      <w:pPr>
        <w:spacing w:after="0" w:line="53" w:lineRule="exact"/>
        <w:rPr>
          <w:rFonts w:ascii="Times New Roman" w:cs="Times New Roman" w:eastAsia="Times New Roman" w:hAnsi="Times New Roman"/>
          <w:sz w:val="15"/>
          <w:szCs w:val="15"/>
          <w:color w:val="auto"/>
        </w:rPr>
      </w:pPr>
    </w:p>
    <w:p>
      <w:pPr>
        <w:ind w:left="940" w:hanging="365"/>
        <w:spacing w:after="0" w:line="282" w:lineRule="auto"/>
        <w:tabs>
          <w:tab w:leader="none" w:pos="9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53" w:lineRule="exact"/>
        <w:rPr>
          <w:rFonts w:ascii="Times New Roman" w:cs="Times New Roman" w:eastAsia="Times New Roman" w:hAnsi="Times New Roman"/>
          <w:sz w:val="15"/>
          <w:szCs w:val="15"/>
          <w:color w:val="auto"/>
        </w:rPr>
      </w:pPr>
    </w:p>
    <w:p>
      <w:pPr>
        <w:ind w:left="940" w:hanging="365"/>
        <w:spacing w:after="0"/>
        <w:tabs>
          <w:tab w:leader="none" w:pos="9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reported in the Consolidated Statement of Operations.</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26" w:name="page27"/>
    <w:bookmarkEnd w:id="26"/>
    <w:p>
      <w:pPr>
        <w:ind w:right="40"/>
        <w:spacing w:after="0" w:line="261" w:lineRule="auto"/>
        <w:rPr>
          <w:sz w:val="20"/>
          <w:szCs w:val="20"/>
          <w:color w:val="auto"/>
        </w:rPr>
      </w:pPr>
      <w:r>
        <w:rPr>
          <w:rFonts w:ascii="Times New Roman" w:cs="Times New Roman" w:eastAsia="Times New Roman" w:hAnsi="Times New Roman"/>
          <w:sz w:val="18"/>
          <w:szCs w:val="18"/>
          <w:color w:val="auto"/>
        </w:rPr>
        <w:t>Kodak decreased workers’ compensation reserves by approximately $4 million and $8 million in the three and six months ended June 30, 2022, driven by changes in discount rates. The decrease in reserves in the three months ended June 30, 2022 impacted gross profit by approximately $2 million and Selling, general and administrative expenses (“SG&amp;A”) by approximately $2 million. The decrease in reserves in the six months ended June 30, 2022 impacted gross profit by approximately $5 million and Selling, general and administrative expenses by approximately $3 million.</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Kodak decreased workers’ compensation reserves by approximately $3 million in the second quarter of 2021, driven by changes in discount rates. The decrease in reserves in the second quarter of 2021 impacted gross profit by approximately $2 million and Selling, general and administrative expenses by approximately $1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Measure of Profit and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Kodak’s segment measure of profit and loss is an adjusted earnings before interest, taxes, depreciation and amortization (“Operational EBITDA”).</w:t>
      </w:r>
    </w:p>
    <w:p>
      <w:pPr>
        <w:spacing w:after="0" w:line="2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demonstrated in the above table, Operational EBITDA represents the earnings from operations excluding the provision for income taxes; non-service cost components of pension and other postemployment benefits (“OPEB”) income; depreciation and amortization expense; restructuring costs; stock-based compensation expense; consulting and other costs; idle costs; other operating income, net (unless otherwise indicated); interest expense and other income (charges), net.</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Kodak’s segments are measured using Operational EBITDA both before and after allocation of corporate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FINANCIAL INSTRUMENTS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21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Kodak’s foreign currency forward contracts are not designated as hedges and are marked to market through net income at the same time that the exposed assets and liabilities are remeasured through net income (both in Other (income) charges, net in the Consolidated Statement of Operations). The notional amount of such contracts open at June 30, 2022 and December 31, 2021 was approximately $294 million and $322 million, respectively. The majority of the contracts of this type held by Kodak as of June 30, 2022 and December 31, 2021 are denominated in euros, Chinese renminbi and Japanese yen.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effect of foreign currency forward contracts in the results of operations is shown in the following table:</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0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05"/>
        </w:trPr>
        <w:tc>
          <w:tcPr>
            <w:tcW w:w="52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(gain) from derivatives not designated as</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hedging instruments</w:t>
            </w:r>
          </w:p>
        </w:tc>
        <w:tc>
          <w:tcPr>
            <w:tcW w:w="740" w:type="dxa"/>
            <w:vAlign w:val="bottom"/>
            <w:shd w:val="clear" w:color="auto" w:fill="CFF0FC"/>
          </w:tcPr>
          <w:p>
            <w:pPr>
              <w:jc w:val="right"/>
              <w:ind w:right="5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 had no derivatives designated as hedging instruments for the three and six months ended June 30, 2022 and 2021.</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concluded that the 2021 Convertible Notes are considered more akin to a debt-type instrument and that the economic characteristics and risks of certain of the embedded conversion features are not considered clearly and closely related to the Convertible Notes. The embedded conversion features not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Accordingly, these embedded conversion features were bifurcated from the Convertible Notes and separately accounted for on a combined basis as a single derivative asset or liability. The derivative was in a liability position at June 30, 2022 and December 31, 2021 and was reported in Other long-term liabilities in the Consolidated Statement of Financial Position. The derivative is being accounted for at fair value with changes in fair value included in Other (income) charges, net in the Consolidated Statement of Operations.</w:t>
      </w:r>
    </w:p>
    <w:p>
      <w:pPr>
        <w:spacing w:after="0" w:line="21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concluded that the Series B Preferred Stock and the Series C Preferred Stock are considered more akin to a debt-type instrument and that the economic characteristics and risks of the conversion in the event of a Fundamental Change is not considered clearly and closely related to the Series B and Series C Preferred Stock. Accordingly, this embedded conversion feature was bifurcated from both the Series B and Series C Preferred Stock and both are separately accounted for as a single derivative asset or liability.</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Both derivatives were in a liability position at June 30, 2022 and December 31, 2021 and were reported in Other long-term liabilities in the Consolidated Statement of Financial Position. The derivatives are being accounted for at fair value with changes in fair value included in Other (income) charges, net in the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both June 30, 2022 and December 31, 2021 was $0 million. The gross fair value of foreign currency forward contracts in a liability position as of June 30, 2022 and December 31, 2021 was $1 million and $0 million, respectively.</w:t>
      </w:r>
    </w:p>
    <w:p>
      <w:pPr>
        <w:spacing w:after="0" w:line="21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Transfers between levels of the fair value hierarchy are recognized based on the actual date of the event or change in circumstances that caused the transfer. There were no transfers between levels of the fair value hierarchy during the three and six months ended June 30, 2022.</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fair value of the embedded conversion features derivatives was calculated using unobservable inputs (Level 3 fair measurements). The value of the embedded derivatives associated with the Convertible Notes and Series B and Series C Preferred Stock were calculated using a binomial lattice model.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key inputs in the determination of fair value for the embedded conversion features: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Convertible Notes:</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4"/>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Valuation Date</w:t>
            </w:r>
          </w:p>
        </w:tc>
        <w:tc>
          <w:tcPr>
            <w:tcW w:w="1120" w:type="dxa"/>
            <w:vAlign w:val="bottom"/>
          </w:tcPr>
          <w:p>
            <w:pPr>
              <w:spacing w:after="0"/>
              <w:rPr>
                <w:sz w:val="24"/>
                <w:szCs w:val="24"/>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120" w:type="dxa"/>
            <w:vAlign w:val="bottom"/>
          </w:tcPr>
          <w:p>
            <w:pPr>
              <w:spacing w:after="0"/>
              <w:rPr>
                <w:sz w:val="19"/>
                <w:szCs w:val="19"/>
                <w:color w:val="auto"/>
              </w:rPr>
            </w:pPr>
          </w:p>
        </w:tc>
      </w:tr>
      <w:tr>
        <w:trPr>
          <w:trHeight w:val="238"/>
        </w:trPr>
        <w:tc>
          <w:tcPr>
            <w:tcW w:w="1140" w:type="dxa"/>
            <w:vAlign w:val="bottom"/>
          </w:tcPr>
          <w:p>
            <w:pPr>
              <w:spacing w:after="0"/>
              <w:rPr>
                <w:sz w:val="20"/>
                <w:szCs w:val="20"/>
                <w:color w:val="auto"/>
              </w:rPr>
            </w:pPr>
          </w:p>
        </w:tc>
        <w:tc>
          <w:tcPr>
            <w:tcW w:w="4300" w:type="dxa"/>
            <w:vAlign w:val="bottom"/>
            <w:tcBorders>
              <w:bottom w:val="single" w:sz="8" w:color="CFF0FC"/>
            </w:tcBorders>
          </w:tcPr>
          <w:p>
            <w:pPr>
              <w:spacing w:after="0"/>
              <w:rPr>
                <w:sz w:val="20"/>
                <w:szCs w:val="20"/>
                <w:color w:val="auto"/>
              </w:rPr>
            </w:pPr>
          </w:p>
        </w:tc>
        <w:tc>
          <w:tcPr>
            <w:tcW w:w="17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Total value of embedded derivative liability ($ millions)</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Kodak's closing stock price</w:t>
            </w:r>
          </w:p>
        </w:tc>
        <w:tc>
          <w:tcPr>
            <w:tcW w:w="18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36.00%</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 free rate</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Implied credit spread on the Convertible Notes</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18.89%</w:t>
            </w:r>
          </w:p>
        </w:tc>
        <w:tc>
          <w:tcPr>
            <w:tcW w:w="112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4"/>
        </w:trPr>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Valuation Date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3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value of embedded derivative liability ($ millions)</w:t>
            </w: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Kodak's closing stock price</w:t>
            </w:r>
          </w:p>
        </w:tc>
        <w:tc>
          <w:tcPr>
            <w:tcW w:w="10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9"/>
                <w:szCs w:val="19"/>
                <w:color w:val="auto"/>
              </w:rPr>
            </w:pP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36.00%</w:t>
            </w:r>
          </w:p>
        </w:tc>
      </w:tr>
      <w:tr>
        <w:trPr>
          <w:trHeight w:val="229"/>
        </w:trPr>
        <w:tc>
          <w:tcPr>
            <w:tcW w:w="114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 free rate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114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Implied credit spread on the preferred stock</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26.38%</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r>
      <w:tr>
        <w:trPr>
          <w:trHeight w:val="459"/>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4"/>
        </w:trPr>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Valuation Date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5"/>
        </w:trPr>
        <w:tc>
          <w:tcPr>
            <w:tcW w:w="1140" w:type="dxa"/>
            <w:vAlign w:val="bottom"/>
          </w:tcPr>
          <w:p>
            <w:pPr>
              <w:spacing w:after="0"/>
              <w:rPr>
                <w:sz w:val="17"/>
                <w:szCs w:val="17"/>
                <w:color w:val="auto"/>
              </w:rPr>
            </w:pPr>
          </w:p>
        </w:tc>
        <w:tc>
          <w:tcPr>
            <w:tcW w:w="518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value of embedded derivative liability</w:t>
            </w:r>
          </w:p>
        </w:tc>
        <w:tc>
          <w:tcPr>
            <w:tcW w:w="9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 millions)</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0"/>
                <w:szCs w:val="20"/>
                <w:color w:val="auto"/>
              </w:rPr>
            </w:pPr>
          </w:p>
        </w:tc>
      </w:tr>
      <w:tr>
        <w:trPr>
          <w:trHeight w:val="229"/>
        </w:trPr>
        <w:tc>
          <w:tcPr>
            <w:tcW w:w="114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Kodak's closing stock price</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9"/>
                <w:szCs w:val="19"/>
                <w:color w:val="auto"/>
              </w:rPr>
            </w:pPr>
          </w:p>
        </w:tc>
        <w:tc>
          <w:tcPr>
            <w:tcW w:w="8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36.00%</w:t>
            </w:r>
          </w:p>
        </w:tc>
      </w:tr>
      <w:tr>
        <w:trPr>
          <w:trHeight w:val="229"/>
        </w:trPr>
        <w:tc>
          <w:tcPr>
            <w:tcW w:w="114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 free rate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114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Implied credit spread on the preferred stock</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21.39%</w:t>
            </w:r>
          </w:p>
        </w:tc>
      </w:tr>
    </w:tbl>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Fundamental Change values at issuance were calculated as the difference between the total value of the Convertible Notes, Series B or Series C Preferred Stock, as applicable, and the sum of the net present value of the cash flows if the Convertible Notes are repaid at their maturity date or Series B and Series C Preferred Stock are redeemed on their redemption date and the values of the other embedded derivatives. The Fundamental Change values reduce the value of the embedded conversion features derivative liability. Other than events that alter the likelihood of a fundamental change or reorganization event, the value of the Fundamental Change reflects the value as of the issuance date, amortized for the passage of time.</w:t>
      </w:r>
    </w:p>
    <w:p>
      <w:pPr>
        <w:spacing w:after="0" w:line="2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$272 million and $269 million at June 30, 2022 and December 31, 2021, respectively.</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and the current portion of long-term debt approximate their fair values at both June 30, 2022 and December 31, 2021.</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13, 2022 Kodak invested $25 million of the proceeds received from the Delayed Draw Term Loans to acquire a minority preferred equity interest in Wildcat Discovery Technologies, Inc. (“Wildcat”), a private technology company that uses proprietary methods to research and develop new battery materials. Kodak has also entered into an agreement to provide coating and engineering services in collaboration with Wildcat to develop and scale film coating technologies.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CAUTIONARY STATEMENT PURSUANT TO SAFE HARBOR PROVISIONS OF THE PRIVATE SECURITIES LITIGATION REFORM ACT OF 1995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10-Q includes “forward–looking statements” as that term is defined under the Private Securities Litigation Reform Act of 1995.</w:t>
      </w:r>
    </w:p>
    <w:p>
      <w:pPr>
        <w:spacing w:after="0" w:line="2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2021 under the headings “Business,” “Risk Factors,” “Legal Proceedings,” and/or “Management’s Discussion and Analysis of Financial Condition and Results of Operations–Liquidity and Capital Resources,” in the corresponding sections of this report on Form 10-Q and the Company’s quarterly report on Form 10-Q for the quarter ended March 31, 2022, and in other filings the Company makes with the SEC from time to time, as well as the following:</w:t>
      </w:r>
    </w:p>
    <w:p>
      <w:pPr>
        <w:spacing w:after="0" w:line="79" w:lineRule="exact"/>
        <w:rPr>
          <w:sz w:val="20"/>
          <w:szCs w:val="20"/>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improve and sustain its operating structure, cash flow, profitability and other financial results;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achieve strategic objectives, cash forecasts, financial projections, and projected growth;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achieve the financial and operational results contained in its business plans;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comply with the covenants in its various credit facilities;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fund continued investments, capital needs and restructuring payments and service its debt and Series B Preferred Stock and Series C Preferred Stock;</w:t>
      </w:r>
    </w:p>
    <w:p>
      <w:pPr>
        <w:spacing w:after="0" w:line="53" w:lineRule="exact"/>
        <w:rPr>
          <w:rFonts w:ascii="Times New Roman" w:cs="Times New Roman" w:eastAsia="Times New Roman" w:hAnsi="Times New Roman"/>
          <w:sz w:val="18"/>
          <w:szCs w:val="18"/>
          <w:color w:val="auto"/>
        </w:rPr>
      </w:pPr>
    </w:p>
    <w:p>
      <w:pPr>
        <w:ind w:left="1000" w:right="80" w:hanging="493"/>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COVID-19 pandemic;</w:t>
      </w:r>
    </w:p>
    <w:p>
      <w:pPr>
        <w:spacing w:after="0" w:line="67"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economic environment or medical epidemics such as the COVID-19 pandemic, including the restrictions and other actions taken in response to the COVID-19 pandemic, and Kodak’s ability to effectively mitigate or recoup associated increased costs of materials, labor, shipping and operations;</w:t>
      </w:r>
    </w:p>
    <w:p>
      <w:pPr>
        <w:spacing w:after="0" w:line="67" w:lineRule="exact"/>
        <w:rPr>
          <w:rFonts w:ascii="Times New Roman" w:cs="Times New Roman" w:eastAsia="Times New Roman" w:hAnsi="Times New Roman"/>
          <w:sz w:val="18"/>
          <w:szCs w:val="18"/>
          <w:color w:val="auto"/>
        </w:rPr>
      </w:pPr>
    </w:p>
    <w:p>
      <w:pPr>
        <w:ind w:left="1000" w:right="5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war in Ukraine and the international response thereto on Kodak’s business and operations, including the cost of and availability of aluminum and other raw materials and components, shipping costs, transit times and energy costs;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commodity prices, interest rates and tariff rates;</w:t>
      </w:r>
    </w:p>
    <w:p>
      <w:pPr>
        <w:spacing w:after="0" w:line="117" w:lineRule="exact"/>
        <w:rPr>
          <w:rFonts w:ascii="Times New Roman" w:cs="Times New Roman" w:eastAsia="Times New Roman" w:hAnsi="Times New Roman"/>
          <w:sz w:val="18"/>
          <w:szCs w:val="18"/>
          <w:color w:val="auto"/>
        </w:rPr>
      </w:pPr>
    </w:p>
    <w:p>
      <w:pPr>
        <w:jc w:val="both"/>
        <w:ind w:left="1000" w:right="220" w:hanging="493"/>
        <w:spacing w:after="0" w:line="222" w:lineRule="exact"/>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investigations, litigation and claims arising out of the circumstances surrounding the announcement on July 28, 2020, by the U.S. International Development Finance Corporation of the signing of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binding letter of interest to provide a subsidiary of Kodak with a potential loan to support the launch of an initiative for the manufacture of pharmaceutical ingredients for essential generic drugs;</w:t>
      </w:r>
    </w:p>
    <w:p>
      <w:pPr>
        <w:spacing w:after="0" w:line="91" w:lineRule="exact"/>
        <w:rPr>
          <w:rFonts w:ascii="Times New Roman" w:cs="Times New Roman" w:eastAsia="Times New Roman" w:hAnsi="Times New Roman"/>
          <w:sz w:val="17"/>
          <w:szCs w:val="17"/>
          <w:color w:val="auto"/>
        </w:rPr>
      </w:pPr>
    </w:p>
    <w:p>
      <w:pPr>
        <w:jc w:val="both"/>
        <w:ind w:left="1000" w:right="280" w:hanging="493"/>
        <w:spacing w:after="0" w:line="312"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p>
      <w:pPr>
        <w:spacing w:after="0" w:line="31" w:lineRule="exact"/>
        <w:rPr>
          <w:rFonts w:ascii="Times New Roman" w:cs="Times New Roman" w:eastAsia="Times New Roman" w:hAnsi="Times New Roman"/>
          <w:sz w:val="17"/>
          <w:szCs w:val="17"/>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effectively compete with large, well-financed industry participants;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0" w:name="page31"/>
    <w:bookmarkEnd w:id="30"/>
    <w:p>
      <w:pPr>
        <w:ind w:left="1000" w:right="8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sufficient availability of borrowings and letters of credit under the Amended ABL Credit Agreement and L/C Facility Agreement, Kodak’s ability to obtain additional financing if and as needed and Kodak’s ability to provide or facilitate financing for its customers;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effect strategic transactions, such as investments, acquisitions, strategic alliances, divestitures and similar transactions, or to achieve the benefits sought to be achieved from such strategic transactions; and</w:t>
      </w:r>
    </w:p>
    <w:p>
      <w:pPr>
        <w:spacing w:after="0" w:line="24" w:lineRule="exact"/>
        <w:rPr>
          <w:rFonts w:ascii="Times New Roman" w:cs="Times New Roman" w:eastAsia="Times New Roman" w:hAnsi="Times New Roman"/>
          <w:sz w:val="18"/>
          <w:szCs w:val="18"/>
          <w:color w:val="auto"/>
        </w:rPr>
      </w:pPr>
    </w:p>
    <w:p>
      <w:pPr>
        <w:ind w:left="1000" w:right="380" w:hanging="493"/>
        <w:spacing w:after="0" w:line="239" w:lineRule="exact"/>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force majeure events,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or other data security incidents that could disrupt or otherwise harm Kodak’s operations.</w:t>
      </w:r>
    </w:p>
    <w:p>
      <w:pPr>
        <w:spacing w:after="0" w:line="1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Future events and other factors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Kodak undertakes no obligation to update or revise forward–looking statements to reflect events or circumstances that arise after the date made or to reflect the occurrence of unanticipated events,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Kodak is a global manufacturer focused on commercial print and advanced materials and chemicals. Kodak provides industry-leading hardware, software, consumables and services primarily to customers in commercial print, packaging, publishing, manufacturing and entertainment. With 31,000 patents earned over 130 years of R&amp;D, Kodak believes in the power of technology and science to enhance what the world sees and creates. Kodak’s innovative, award-winning products, combined with its customer-first approach, allows Kodak to attract customers worldwide. Kodak is committed to environmental stewardship, including industry leadership in developing sustainable solutions for print.</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Consolidated revenues in the three and six months ended June 30, 2022 were $321 million and $611 million, respectively, improvements of $30 million and $55 million when compared to the three and six months ended June 30, 2021, respectively (10% improvement in each period). Currency impacted revenue unfavorably in the three and six months ended June 30, 2022 compared to the three and six months ended June 30, 2021 ($19 million and $29 million, respectively).</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Traditional Printing’s revenues, which accounted for 60% of Kodak’s total revenues for both the three and six months ended June 30, 2022, improved by $25 million and $49 million compared to the prior year quarter and year-to-date periods, respectively (15% improvement in each period). Volume for SONORA Process Free Plates improved by 8% and 15%, respectively, compared to the same periods in 2021. Digital Printing revenues declined $4 million (6%) and $12 million (10%) in the three and six months ended June 30, 2022, respectively, while Advanced Materials and Chemicals revenue improved $7 million (13%) and $15 million (15%), respectively.</w:t>
      </w:r>
    </w:p>
    <w:p>
      <w:pPr>
        <w:spacing w:after="0" w:line="18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Impact of COVID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19 and Other Global Events</w:t>
      </w:r>
      <w:r>
        <w:rPr>
          <w:rFonts w:ascii="Times New Roman" w:cs="Times New Roman" w:eastAsia="Times New Roman" w:hAnsi="Times New Roman"/>
          <w:sz w:val="18"/>
          <w:szCs w:val="18"/>
          <w:b w:val="1"/>
          <w:bCs w:val="1"/>
          <w:i w:val="1"/>
          <w:iCs w:val="1"/>
          <w:color w:val="auto"/>
        </w:rPr>
        <w:t>:</w:t>
      </w:r>
    </w:p>
    <w:p>
      <w:pPr>
        <w:spacing w:after="0" w:line="5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ongoing global impacts associated with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 war in Ukraine and other global events continue to impact Kodak’s operations.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 is experiencing supply chain disruptions, shortages in materials and labor, and increased labor, material and distribution costs. Kodak has</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implemented numerous measures to mitigate these challenges, including increasing safety stock on certain materials, increasing lead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times, providing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suppliers with longer forecasts of future demand, certifying additional sources or substitute materials where possible and implementing pricing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While Kodak has been able to meet current demand and has implemented numerous measures to mitigate these challenges, the full impact of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 war in Ukraine and other global events on Kodak’s operations and financial performance remains uncertain and will depend 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such as the duration of supply chain disruptions, the ability to secure raw materials and components, the ability to offset higher labor,</w:t>
      </w:r>
    </w:p>
    <w:p>
      <w:pPr>
        <w:spacing w:after="0" w:line="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material and distribution costs through pricing actions and the duration of the COVID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19 pandemic, including vaccination coverage, infection rates, as well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local government restrictions. Kodak continues to work closely with government and health officials in the jurisdictions where it operates to protect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worldwide, with particular measures in place for those working in plants and distribution facilities. Kodak closed its manufacturing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in Shanghai, China in April 2022 in response to a mandatory government lockdown. The mandatory government lockdown ended on June 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Kodak’s Shanghai, China manufacturing facility has resumed operations. The temporary closure did not have a material impact on Kodak’s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None of Kodak’s other manufacturing facilities have been ordered to close by governmental authorities.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Kodak continues to monitor the rapidly evolving events surrounding the war in Ukraine and the various sanctions imposed in response to the war. Kodak is in compliance with all sanctions. Kodak is experiencing worldwide supply constraints for aluminum and electronic components, and increased energy and transportation costs due in part to the war in Ukraine.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right="180"/>
        <w:spacing w:after="0" w:line="282" w:lineRule="auto"/>
        <w:rPr>
          <w:sz w:val="20"/>
          <w:szCs w:val="20"/>
          <w:color w:val="auto"/>
        </w:rPr>
      </w:pPr>
      <w:r>
        <w:rPr>
          <w:rFonts w:ascii="Times New Roman" w:cs="Times New Roman" w:eastAsia="Times New Roman" w:hAnsi="Times New Roman"/>
          <w:sz w:val="18"/>
          <w:szCs w:val="18"/>
          <w:color w:val="auto"/>
        </w:rPr>
        <w:t>The extent to which the military conflict in Ukraine will impact the global economy and Kodak’s business and operations remains uncertain. Kodak may continue to face further supply chain disruptions and increased costs.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war in Ukraine and the international response have disrupted Kodak’s ability to operate its Russian subsidiary in the ordinary course, affecting its ability to pay vendors and employees, receive amounts owed from customers in Russia and deliver product. The direct operations of Kodak’s Russian subsidiary are not material to the Company’s financial statements (less than 1% of total consolidated revenues for 2021), and there were no material impacts to the consolidated results as of and for the quarter and year-to-date periods ended June 30, 2022. Kodak is in the process of an orderly winding down of its Russian subsidiary and direct Russian operations.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Both the Traditional Printing and Digital Printing segments have been impacted by supply chain disruptions, travel restrictions, higher raw material costs and increased labor costs. To mitigate the impact of higher aluminum, energy and packaging costs, the Traditional Printing segment implemented certain pricing actions including surcharges on purchases of plates largely beginning in the latter part of the second quarter of 2021 that continue to be periodically reviewed and adjusted accordingly. Both segments have implemented numerous measures to mitigate the supply chain disruptions while meeting current demand, but Kodak expects the ability to continue to secure raw materials and components, and the ability to offset higher raw material costs through surcharges for the Traditional Printing segment, will remain a challenge throughout 2022.</w:t>
      </w:r>
    </w:p>
    <w:p>
      <w:pPr>
        <w:spacing w:after="0" w:line="21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Advanced Materials and Chemicals segment has experienced supply chain disruptions and shortages associated with raw materials as well as labor shortages in certain manufacturing areas. The segment has implemented numerous measures to mitigate these challenges while meeting current demand, however, the duration and extent of supply chain disruptions and labor shortages remain unclear.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Kodak’s strategy</w:t>
      </w:r>
      <w:r>
        <w:rPr>
          <w:rFonts w:ascii="Times New Roman" w:cs="Times New Roman" w:eastAsia="Times New Roman" w:hAnsi="Times New Roman"/>
          <w:sz w:val="18"/>
          <w:szCs w:val="18"/>
          <w:b w:val="1"/>
          <w:bCs w:val="1"/>
          <w:i w:val="1"/>
          <w:i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film industry and segments within the print industry face competition from digital substitution. Kodak’s strategy is to:</w:t>
      </w:r>
    </w:p>
    <w:p>
      <w:pPr>
        <w:spacing w:after="0" w:line="234" w:lineRule="exact"/>
        <w:rPr>
          <w:sz w:val="20"/>
          <w:szCs w:val="20"/>
          <w:color w:val="auto"/>
        </w:rPr>
      </w:pPr>
    </w:p>
    <w:p>
      <w:pPr>
        <w:ind w:left="1000" w:right="120" w:hanging="371"/>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188" w:lineRule="exact"/>
        <w:rPr>
          <w:rFonts w:ascii="Times New Roman" w:cs="Times New Roman" w:eastAsia="Times New Roman" w:hAnsi="Times New Roman"/>
          <w:sz w:val="18"/>
          <w:szCs w:val="18"/>
          <w:color w:val="auto"/>
        </w:rPr>
      </w:pPr>
    </w:p>
    <w:p>
      <w:pPr>
        <w:ind w:left="1000" w:hanging="371"/>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revenues through a focus on customers across Kodak’s print divisions, increasing overall share;</w:t>
      </w:r>
    </w:p>
    <w:p>
      <w:pPr>
        <w:spacing w:after="0" w:line="252" w:lineRule="exact"/>
        <w:rPr>
          <w:rFonts w:ascii="Times New Roman" w:cs="Times New Roman" w:eastAsia="Times New Roman" w:hAnsi="Times New Roman"/>
          <w:sz w:val="18"/>
          <w:szCs w:val="18"/>
          <w:color w:val="auto"/>
        </w:rPr>
      </w:pPr>
    </w:p>
    <w:p>
      <w:pPr>
        <w:ind w:left="1000" w:hanging="371"/>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use of film and expand the applications of Kodak’s film and chemicals to best utilize the existing infrastructure; and</w:t>
      </w:r>
    </w:p>
    <w:p>
      <w:pPr>
        <w:spacing w:after="0" w:line="238" w:lineRule="exact"/>
        <w:rPr>
          <w:rFonts w:ascii="Times New Roman" w:cs="Times New Roman" w:eastAsia="Times New Roman" w:hAnsi="Times New Roman"/>
          <w:sz w:val="18"/>
          <w:szCs w:val="18"/>
          <w:color w:val="auto"/>
        </w:rPr>
      </w:pPr>
    </w:p>
    <w:p>
      <w:pPr>
        <w:ind w:left="980" w:hanging="35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streamline processes to drive cost reductions and improve operating leverage.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opportunities and challenges related to Kodak’s strategy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ind w:left="360" w:hanging="359"/>
        <w:spacing w:after="0" w:line="201" w:lineRule="exact"/>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 is experiencing challenges from higher prices and availability of raw materials, digital substitution and competitive pricing pressures. Kodak seeks to mitigate the impact of increases in manufacturing costs, including aluminum prices, through a combination of surcharges and price increases, improved production efficiency and cost reduction initiatives. In addition, Kodak seeks to offset the impact of short-term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market dynamics on pricing and volume pressures through innovations in Kodak product lines, including investing in digital print technologies.</w:t>
      </w:r>
    </w:p>
    <w:p>
      <w:pPr>
        <w:spacing w:after="0" w:line="202" w:lineRule="exact"/>
        <w:rPr>
          <w:rFonts w:ascii="Times New Roman" w:cs="Times New Roman" w:eastAsia="Times New Roman" w:hAnsi="Times New Roman"/>
          <w:sz w:val="18"/>
          <w:szCs w:val="18"/>
          <w:color w:val="auto"/>
        </w:rPr>
      </w:pPr>
    </w:p>
    <w:p>
      <w:pPr>
        <w:ind w:left="360" w:right="20" w:hanging="359"/>
        <w:spacing w:after="0" w:line="255"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Digital Printing, the PROSPER business is expected to grow as the legacy VERSAMARK business continues to decline as a percentage of the segment’s total revenue. The PROSPER Inkjet Systems business is expected to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w:t>
      </w:r>
    </w:p>
    <w:p>
      <w:pPr>
        <w:spacing w:after="0" w:line="215" w:lineRule="exact"/>
        <w:rPr>
          <w:rFonts w:ascii="Times New Roman" w:cs="Times New Roman" w:eastAsia="Times New Roman" w:hAnsi="Times New Roman"/>
          <w:sz w:val="18"/>
          <w:szCs w:val="18"/>
          <w:color w:val="auto"/>
        </w:rPr>
      </w:pPr>
    </w:p>
    <w:p>
      <w:pPr>
        <w:ind w:left="380" w:right="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Kodak officially launched the KODAK PROSPER ULTRA 520 Digital Press utilizing Kodak’s ULTRASTREAM inkjet technology, which offers offset print quality in a smaller footprint. The Electrophotographic Printing Solutions business launched a new digital press at the end of the second quarter of 2022, the KODAK ASCEND, aimed at the growing retail, point of purchase and small packaging markets.</w:t>
      </w:r>
    </w:p>
    <w:p>
      <w:pPr>
        <w:spacing w:after="0" w:line="206" w:lineRule="exact"/>
        <w:rPr>
          <w:rFonts w:ascii="Times New Roman" w:cs="Times New Roman" w:eastAsia="Times New Roman" w:hAnsi="Times New Roman"/>
          <w:sz w:val="18"/>
          <w:szCs w:val="18"/>
          <w:color w:val="auto"/>
        </w:rPr>
      </w:pPr>
    </w:p>
    <w:p>
      <w:pPr>
        <w:ind w:left="360" w:right="120" w:hanging="359"/>
        <w:spacing w:after="0" w:line="282"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Materials and Chemicals is using Kodak’s deep expertise in chemistry and strengths in deposition and coating processes that come from decades of experience in film manufacturing to work on new initiatives:</w:t>
      </w:r>
    </w:p>
    <w:p>
      <w:pPr>
        <w:spacing w:after="0" w:line="173" w:lineRule="exact"/>
        <w:rPr>
          <w:rFonts w:ascii="Times New Roman" w:cs="Times New Roman" w:eastAsia="Times New Roman" w:hAnsi="Times New Roman"/>
          <w:sz w:val="18"/>
          <w:szCs w:val="18"/>
          <w:color w:val="auto"/>
        </w:rPr>
      </w:pPr>
    </w:p>
    <w:p>
      <w:pPr>
        <w:ind w:left="740" w:right="20" w:hanging="365"/>
        <w:spacing w:after="0" w:line="25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Electric Vehicle (“EV”)/Energy Storage Battery Material Manufacturing</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i w:val="1"/>
          <w:iCs w:val="1"/>
          <w:color w:val="auto"/>
        </w:rPr>
        <w:t>-</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Coating of substrates is a critical aspect of manufacturing</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materials for batteries and Kodak plans to capitalize on its expertise in coating technology to develop opportunities in this area. Kodak is currently in the process of expanding its pilot coating facility. On July 13, 2022, Kodak invested $25 million to acquire a minority preferred equity interest in Wildcat Discovery Technologies, Inc. (“Wildcat”), a private technology company that uses proprietary methods to research and develop new battery materials, including an EV battery. Kodak has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w:t>
      </w:r>
    </w:p>
    <w:p>
      <w:pPr>
        <w:spacing w:after="0" w:line="200" w:lineRule="exact"/>
        <w:rPr>
          <w:rFonts w:ascii="Times New Roman" w:cs="Times New Roman" w:eastAsia="Times New Roman" w:hAnsi="Times New Roman"/>
          <w:sz w:val="18"/>
          <w:szCs w:val="18"/>
          <w:color w:val="auto"/>
        </w:rPr>
      </w:pPr>
    </w:p>
    <w:p>
      <w:pPr>
        <w:ind w:left="740" w:right="200" w:hanging="365"/>
        <w:spacing w:after="0" w:line="224" w:lineRule="exact"/>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Light-Blocking Technology - Kodak plans to leverage a proprietary technology initially developed for electrophotographic toners to</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commercialize a carbon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less fabric coating designed to offer superior light management, from complete blackout to selective light filtering, and coating compatibility with an unmatched range of fabrics. Kodak is installing a production-scale coating machine to coat fabrics in Eastman Business Park, located in Rochester, NY.</w:t>
      </w:r>
    </w:p>
    <w:p>
      <w:pPr>
        <w:spacing w:after="0" w:line="199" w:lineRule="exact"/>
        <w:rPr>
          <w:rFonts w:ascii="Times New Roman" w:cs="Times New Roman" w:eastAsia="Times New Roman" w:hAnsi="Times New Roman"/>
          <w:sz w:val="18"/>
          <w:szCs w:val="18"/>
          <w:color w:val="auto"/>
        </w:rPr>
      </w:pPr>
    </w:p>
    <w:p>
      <w:pPr>
        <w:ind w:left="740" w:right="40" w:hanging="365"/>
        <w:spacing w:after="0" w:line="225" w:lineRule="exact"/>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Transparent Antennas - Kodak plans to leverage its proprietary copper micro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wire technologies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resolution printing expertise to</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markets.</w:t>
      </w:r>
    </w:p>
    <w:p>
      <w:pPr>
        <w:spacing w:after="0" w:line="213" w:lineRule="exact"/>
        <w:rPr>
          <w:rFonts w:ascii="Times New Roman" w:cs="Times New Roman" w:eastAsia="Times New Roman" w:hAnsi="Times New Roman"/>
          <w:sz w:val="18"/>
          <w:szCs w:val="18"/>
          <w:color w:val="auto"/>
        </w:rPr>
      </w:pPr>
    </w:p>
    <w:p>
      <w:pPr>
        <w:ind w:left="740" w:right="140" w:hanging="365"/>
        <w:spacing w:after="0" w:line="254"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Reagent Manufacturing - Kodak plans to capitalize on its existing chemical manufacturing expertise, including current production of</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unregulated Key Starting Materials for pharmaceuticals, to implement an expansion into manufacturing Diagnostic Test Reagent solutions. Kodak has started construction of a lab and manufacturing facility to manufacture reagents for healthcare applications within an existing building located at Eastman Business Park.</w:t>
      </w:r>
    </w:p>
    <w:p>
      <w:pPr>
        <w:spacing w:after="0" w:line="213" w:lineRule="exact"/>
        <w:rPr>
          <w:rFonts w:ascii="Times New Roman" w:cs="Times New Roman" w:eastAsia="Times New Roman" w:hAnsi="Times New Roman"/>
          <w:sz w:val="18"/>
          <w:szCs w:val="18"/>
          <w:color w:val="auto"/>
        </w:rPr>
      </w:pPr>
    </w:p>
    <w:p>
      <w:pPr>
        <w:ind w:left="360" w:right="320" w:hanging="359"/>
        <w:spacing w:after="0" w:line="282"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and related component manufacturing operations and Kodak Research Laboratories utilize capacity at Eastman Business Park, which helps cost absorption for both Kodak operations and tenants at Eastman Business Park.</w:t>
      </w:r>
    </w:p>
    <w:p>
      <w:pPr>
        <w:spacing w:after="0" w:line="148" w:lineRule="exact"/>
        <w:rPr>
          <w:rFonts w:ascii="Times New Roman" w:cs="Times New Roman" w:eastAsia="Times New Roman" w:hAnsi="Times New Roman"/>
          <w:sz w:val="18"/>
          <w:szCs w:val="18"/>
          <w:color w:val="auto"/>
        </w:rPr>
      </w:pPr>
    </w:p>
    <w:p>
      <w:pPr>
        <w:ind w:left="360" w:right="160" w:hanging="359"/>
        <w:spacing w:after="0" w:line="282"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 plans to capitalize on its intellectual property through new business or licensing opportunities in 3D printing materials, smart material applications, and printed electronics markets.</w:t>
      </w:r>
    </w:p>
    <w:p>
      <w:pPr>
        <w:spacing w:after="0" w:line="16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80" w:top="32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RESULTS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8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8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8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8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1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80" w:type="dxa"/>
            <w:vAlign w:val="bottom"/>
            <w:tcBorders>
              <w:bottom w:val="single" w:sz="8" w:color="CFF0FC"/>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80" w:type="dxa"/>
            <w:vAlign w:val="bottom"/>
            <w:tcBorders>
              <w:bottom w:val="single" w:sz="8" w:color="CFF0FC"/>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0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0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costs</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 and other</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income, net</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Earnings (loss) from operations before interest</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 pension income excluding service cost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component, other (income) charges, net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income taxes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Pension income excluding service cost component</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charges, net</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 before</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2022 revenues improved $30 million compared with the same period in 2021, driven by improved pricing within Traditional Printing ($50 million), improved pricing and product mix and increased volume within Advanced Materials and Chemicals ($5 million and $3 million, respectively) and improved pricing in Digital Printing ($2 million). Partially offsetting these favorable impacts was lower volume in Traditional Printing and Digital Printing ($8 million and $3 million, respectively) and unfavorable foreign currency ($19 million). See segment discussions for additional details.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2022 revenues improved $55 million compared with the same period in 2021, primarily due to improved pricing within Traditional Printing ($72 million), improved pricing and product mix and increased volume within Advanced Materials and Chemicals ($10 million and $5 million, respectively) and improved volume in Brand ($2 million). Partially offsetting these favorable impacts was lower volume in Digital Printing ($9 million) and unfavorable foreign currency ($29 million). See segment discussions for additional details.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480"/>
        <w:spacing w:after="0" w:line="253" w:lineRule="auto"/>
        <w:rPr>
          <w:sz w:val="20"/>
          <w:szCs w:val="20"/>
          <w:color w:val="auto"/>
        </w:rPr>
      </w:pPr>
      <w:r>
        <w:rPr>
          <w:rFonts w:ascii="Times New Roman" w:cs="Times New Roman" w:eastAsia="Times New Roman" w:hAnsi="Times New Roman"/>
          <w:sz w:val="18"/>
          <w:szCs w:val="18"/>
          <w:color w:val="auto"/>
        </w:rPr>
        <w:t>Gross profit for the three months ended June 30, 2022 improved approximately $3 million compared with the same period in 2021, primarily due to improved pricing within Traditional Printing ($50 million) and improved pricing and product mix in Advanced Materials and Chemicals ($4 million). Partially offsetting these favorable impacts was higher aluminum costs in Traditional Printing ($29 million), higher manufacturing costs in Traditional Printing ($14 million) and Advanced Materials and Chemicals ($4 million) and unfavorable foreign currency ($4 million). See segment discussions for additional details.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Gross profit for the six months ended June 30, 2022 declined approximately $4 million compared with the same period in 2021, primarily due to higher aluminum costs in Traditional Printing ($44 million), higher manufacturing costs in Traditional Printing ($28 million), Digital Printing ($6 million) and Advanced Materials and Chemicals ($7 million) and unfavorable foreign currency ($6 million). Partially offsetting these unfavorable impacts was improved pricing in Traditional Printing ($72 million), improved pricing and product mix and higher volume in Advanced Materials and Chemicals (each $4 million), higher margins in Digital Printing and improved volume in Brand (each $2 million) and a decrease in workers’ compensation reserves ($2 million). See segment discussions for additional details.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Consolidated SG&amp;A decreased $1 million and $4 million in the three and six months ended June 30, 2022, respectively. The decrease in the three months ending June 30, 2022 was primarily due to lower consulting and other costs primarily associated with investigations and litigation and favorable foreign currency (each $1 million) compared to the prior year period, partially offset by an increase in selling and administrative costs ($1 million). The decrease in the six months ending June 30, 2022 was primarily due to lower consulting and other costs primarily associated with investigations and litigation ($4 million), a decrease in workers’ compensation reserves ($2 million), lower equity based compensation ($1 million) and favorable foreign currency ($2 million) partially offset by an increase in selling and administrative costs ($5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R&amp;D expenses increased $1 million and $2 million in the three and six months ended June 30, 2022,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Income Excluding Service Cost Component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Pension income excluding service cost component increased $1 million and $6 million in the three and six months ended June 30, 2022, respectively. As a result of the remeasurement of the KRIP plan on May 31, 2022, total pension income from continuing operations before special termination benefits, curtailments and settlements is expected to be approximately $88 million in 2022, a decrease of $25 million from the previous estimate driven by an increase in the discount rate.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5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Kodak has four reportable segments: Traditional Printing, Digital Printing, Advanced Materials and Chemicals, and Brand. The balance of Kodak’s operations, which do not meet the criteria of a reportable segment, are reported in All Other and primarily represent the Eastman Business Park operations. Refer to the 2021 Form 10-K for a description of the Company’s segments.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Printing</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Digital Printing</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Materials and Chemicals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total</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r>
      <w:tr>
        <w:trPr>
          <w:trHeight w:val="20"/>
        </w:trPr>
        <w:tc>
          <w:tcPr>
            <w:tcW w:w="58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Segment Operational EBITDA and Consolidated Earnings from Operations Before Income Taxes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Traditional Printing</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Digital Printing</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Materials and Chemicals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Consulting and other costs </w:t>
            </w:r>
            <w:r>
              <w:rPr>
                <w:rFonts w:ascii="Times New Roman" w:cs="Times New Roman" w:eastAsia="Times New Roman" w:hAnsi="Times New Roman"/>
                <w:sz w:val="15"/>
                <w:szCs w:val="15"/>
                <w:color w:val="auto"/>
              </w:rPr>
              <w:t>(1)</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Idle costs </w:t>
            </w:r>
            <w:r>
              <w:rPr>
                <w:rFonts w:ascii="Times New Roman" w:cs="Times New Roman" w:eastAsia="Times New Roman" w:hAnsi="Times New Roman"/>
                <w:sz w:val="15"/>
                <w:szCs w:val="15"/>
                <w:color w:val="auto"/>
              </w:rPr>
              <w:t>(2)</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operating income, net </w:t>
            </w:r>
            <w:r>
              <w:rPr>
                <w:rFonts w:ascii="Times New Roman" w:cs="Times New Roman" w:eastAsia="Times New Roman" w:hAnsi="Times New Roman"/>
                <w:sz w:val="15"/>
                <w:szCs w:val="15"/>
                <w:color w:val="auto"/>
              </w:rPr>
              <w:t>(3)</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1"/>
        </w:trPr>
        <w:tc>
          <w:tcPr>
            <w:tcW w:w="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income excluding service cost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component </w:t>
            </w:r>
            <w:r>
              <w:rPr>
                <w:rFonts w:ascii="Times New Roman" w:cs="Times New Roman" w:eastAsia="Times New Roman" w:hAnsi="Times New Roman"/>
                <w:sz w:val="15"/>
                <w:szCs w:val="15"/>
                <w:color w:val="auto"/>
              </w:rPr>
              <w:t>(3)</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income (charges), net </w:t>
            </w:r>
            <w:r>
              <w:rPr>
                <w:rFonts w:ascii="Times New Roman" w:cs="Times New Roman" w:eastAsia="Times New Roman" w:hAnsi="Times New Roman"/>
                <w:sz w:val="15"/>
                <w:szCs w:val="15"/>
                <w:color w:val="auto"/>
              </w:rPr>
              <w:t>(3)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5"/>
        </w:trPr>
        <w:tc>
          <w:tcPr>
            <w:tcW w:w="580" w:type="dxa"/>
            <w:vAlign w:val="bottom"/>
          </w:tcPr>
          <w:p>
            <w:pPr>
              <w:spacing w:after="0"/>
              <w:rPr>
                <w:sz w:val="17"/>
                <w:szCs w:val="17"/>
                <w:color w:val="auto"/>
              </w:rPr>
            </w:pPr>
          </w:p>
        </w:tc>
        <w:tc>
          <w:tcPr>
            <w:tcW w:w="52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Consolidated earnings from operations</w:t>
            </w: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5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before income taxes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451"/>
        <w:spacing w:after="0" w:line="282"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Consulting and other costs are primarily professional services and internal costs associated with certain corporate strategic initiatives, investigations and litigation.</w:t>
      </w:r>
    </w:p>
    <w:p>
      <w:pPr>
        <w:spacing w:after="0" w:line="53" w:lineRule="exact"/>
        <w:rPr>
          <w:rFonts w:ascii="Times New Roman" w:cs="Times New Roman" w:eastAsia="Times New Roman" w:hAnsi="Times New Roman"/>
          <w:sz w:val="15"/>
          <w:szCs w:val="15"/>
          <w:color w:val="auto"/>
        </w:rPr>
      </w:pPr>
    </w:p>
    <w:p>
      <w:pPr>
        <w:ind w:left="540" w:right="140" w:hanging="451"/>
        <w:spacing w:after="0" w:line="282"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53" w:lineRule="exact"/>
        <w:rPr>
          <w:rFonts w:ascii="Times New Roman" w:cs="Times New Roman" w:eastAsia="Times New Roman" w:hAnsi="Times New Roman"/>
          <w:sz w:val="15"/>
          <w:szCs w:val="15"/>
          <w:color w:val="auto"/>
        </w:rPr>
      </w:pPr>
    </w:p>
    <w:p>
      <w:pPr>
        <w:ind w:left="540" w:hanging="451"/>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reported in the Consolidated Statement of Operations.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36" w:name="page37"/>
    <w:bookmarkEnd w:id="36"/>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Kodak decreased workers’ compensation reserves by approximately $4 million and $8 million in the three and six months ended June 30, 2022, driven by changes in discount rates. The decrease in reserves in the three months ended June 30, 2022 impacted gross profit by approximately $2 million and SG&amp;A expenses by approximately $2 million. The decrease in reserves in the six months ended June 30, 2022 impacted gross profit by approximately $5 million and SG&amp;A expenses by approximately $3 million.</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Kodak decreased workers’ compensation reserves by approximately $3 million in the second quarter of 2021, driven by changes in discount rates. The decrease in reserves in the second quarter of 2021 impacted gross profit by approximately $2 million and SG&amp;A expenses by approximately $1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Measure of Profit and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Kodak’s segment measure of profit and loss is an adjusted earnings before interest, taxes, depreciation and amortization (“Operational</w:t>
      </w:r>
    </w:p>
    <w:p>
      <w:pPr>
        <w:spacing w:after="0" w:line="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EBITDA”). Operational EBITDA represents the earnings from operations excluding the provision for income taxes; non-service cost components of pension and OPEB income; depreciation and amortization expense; restructuring costs; stock-based compensation expense; consulting and other costs; idle costs; other operating income, net (unless otherwise indicated); interest expense and other income (charges), net.</w:t>
      </w:r>
    </w:p>
    <w:p>
      <w:pPr>
        <w:spacing w:after="0" w:line="213"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TRADITIONAL PRINTING SEGMENT</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306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9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increase in Traditional Printing revenues for the three months ended June 30, 2022 of approximately $25 million reflected improved pricing in Prepress Solutions consumables ($49 million) partially offset by reduced volumes in Prepress Solutions consumables and equipment ($5 million and $4 million, respectively) and unfavorable foreign currency ($15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increase in Traditional Printing revenues for the six months ended June 30, 2022 of approximately $49 million reflected improved pricing and volume in Prepress Solutions consumables ($72 million and $4 million, respectively) partially offset by reduced volumes in Prepress Solutions equipment ($3 million) and unfavorable foreign currency ($23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jc w:val="both"/>
        <w:ind w:right="580"/>
        <w:spacing w:after="0" w:line="255" w:lineRule="auto"/>
        <w:rPr>
          <w:sz w:val="20"/>
          <w:szCs w:val="20"/>
          <w:color w:val="auto"/>
        </w:rPr>
      </w:pPr>
      <w:r>
        <w:rPr>
          <w:rFonts w:ascii="Times New Roman" w:cs="Times New Roman" w:eastAsia="Times New Roman" w:hAnsi="Times New Roman"/>
          <w:sz w:val="18"/>
          <w:szCs w:val="18"/>
          <w:color w:val="auto"/>
        </w:rPr>
        <w:t>Traditional Printing Operational EBITDA for the three months ended June 30, 2022 improved $4 million reflecting price improvements in Prepress Solutions consumables ($49 million) partially offset by higher aluminum costs ($29 million), increased manufacturing costs ($14 million) driven by increases in other costs such as utilities, transportation and supplies and unfavorable foreign currency ($2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Traditional Printing Operational EBITDA for the six months ended June 30, 2022 declined $3 million reflecting higher aluminum costs ($44 million), increased manufacturing costs ($28 million) driven by increases in other costs such as utilities, transportation and supplies as well as higher selling and administrative costs ($1 million) and unfavorable foreign currency ($2 million). The higher costs were partially offset by pricing improvements ($72 million) in Prepress Solutions consumables.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DIGITAL PRINTING SEGMENT</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20" w:type="dxa"/>
            <w:vAlign w:val="bottom"/>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00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16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The decline in Digital Printing revenues for the three months ended June 30, 2022 of approximately $4 million primarily reflected volume declines in Electrophotographic Printing Solutions equipment ($2 million) and unfavorable foreign currency ($3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decline in Digital Printing revenues for the six months ended June 30, 2022 of approximately $12 million primarily reflected volume declines in PROSPER equipment and components ($4 million and $1 million, respectively), volume declines in Electrophotographic Printing Solutions equipment and VERSAMARK consumables and service ($3 million and $1 million, respectively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unfavorable foreign currency ($5 million) partially offset by improved pricing in PROSPER annuities and improved product mix in Electrophotographic Printing Solutions (both $1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Digital Printing Operational EBITDA for the three months ended June 30, 2022 declined $4 million primarily reflecting increased manufacturing costs ($1 million) and higher SG&amp;A and R&amp;D costs ($2 million) partially offset by higher margins on Electrophotographic Printing Solutions equipment ($1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Digital Printing Operational EBITDA for the six months ended June 30, 2022 declined $9 million primarily reflecting increased manufacturing costs ($6 million), higher SG&amp;A and R&amp;D costs ($3 million), unfavorable pricing in Electrophotographic Printing Solutions consumables and service ($1 million) and unfavorable foreign currency ($1 million) partially offset by higher margins on Electrophotographic Printing Solutions equipment and a decrease in workers’ compensation reserves (each $2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MATERIALS AND CHEMICALS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8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306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5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2240" w:type="dxa"/>
            <w:vAlign w:val="bottom"/>
            <w:gridSpan w:val="2"/>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Advanced Materials and Chemicals revenues for the three months ended June 30, 2022 improved $7 million primarily from pricing and product mix improvements and increased volume in Industrial Film and Chemicals ($5 million and $2 million,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Advanced Materials and Chemicals revenues for the six months ended June 30, 2022 improved $15 million primarily from volume improvements in Industrial Film and Chemicals and Motion Picture ($7 million and $4 million, respectively) and improved pricing and product mix in Industrial Film and Chemicals ($5 million) partially offset by unfavorable foreign currency ($1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31"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color w:val="auto"/>
        </w:rPr>
        <w:t>Advanced Materials and Chemicals Operational EBITDA was flat for the three months ended June 30, 2022 reflecting pricing and product mix improvements in Industrial Film and Chemicals ($4 million), offset by increased manufacturing costs for Industrial Film and Chemicals ($4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Advanced Materials and Chemicals Operational EBITDA improved $1 million for the six months ended June 30, 2022 reflecting improved pricing and product mix and increased volume in Industrial Film and Chemicals ($4 million and $3 million, respectively), increased volume in Motion Picture ($1 million) and a reduction in workers’ compensation reserves ($2 million). The favorable impacts were partially offset by increased manufacturing costs for Industrial Film and Chemicals ($7 million), increased SG&amp;A costs ($1 million) and unfavorable foreign currency ($1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BRAND SEGMENT</w:t>
            </w: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3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8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306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100" w:type="dxa"/>
            <w:vAlign w:val="bottom"/>
          </w:tcPr>
          <w:p>
            <w:pPr>
              <w:spacing w:after="0"/>
              <w:rPr>
                <w:sz w:val="19"/>
                <w:szCs w:val="19"/>
                <w:color w:val="auto"/>
              </w:rPr>
            </w:pPr>
          </w:p>
        </w:tc>
      </w:tr>
      <w:tr>
        <w:trPr>
          <w:trHeight w:val="223"/>
        </w:trPr>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2260" w:type="dxa"/>
            <w:vAlign w:val="bottom"/>
            <w:gridSpan w:val="2"/>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Brand revenues and operational EBITDA improved $1 million and $2 million in the three and six months ended June 30, 2022 compared to the prior year quarter and year-to-date period due to increased volume.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 AND OTHER</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Kodak recorded less than $1 million of charges for the three and six months ended June 30, 2022 in Restructuring costs and other in the Consolidated Statement of Operations.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Kodak made cash payments related to restructuring of approximately $1 million and $3 million during the three and six months ended June 30, 2022, respectively.</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restructuring actions implemented in the first six months of 2022 are expected to generate future annual cash savings of approximately $1 million, which are expected to reduce future annual SG&amp;A expenses. The majority of the annual savings were already in effect by the end of the second quarter of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Assessment of Liquidity</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Kodak ended the quarter with a cash balance of $289 million, a decrease of $73 million from December 31, 2021. On June 15, 2022, Kodak exercised its right to draw down in full an additional $50 million in aggregate principal pursuant to the Term Loan Credit Agreement and received net proceeds of $49 million. On July 13, 2022, Kodak invested $25 million of the proceeds received from the Delayed Draw Term Loans to acquire a minority preferred equity interest in Wildcat, a private technology company that uses proprietary methods to research and develop new battery materials.</w:t>
      </w:r>
    </w:p>
    <w:p>
      <w:pPr>
        <w:spacing w:after="0" w:line="216" w:lineRule="exact"/>
        <w:rPr>
          <w:sz w:val="20"/>
          <w:szCs w:val="20"/>
          <w:color w:val="auto"/>
        </w:rPr>
      </w:pPr>
    </w:p>
    <w:p>
      <w:pPr>
        <w:ind w:right="240"/>
        <w:spacing w:after="0" w:line="219" w:lineRule="exact"/>
        <w:rPr>
          <w:sz w:val="20"/>
          <w:szCs w:val="20"/>
          <w:color w:val="auto"/>
        </w:rPr>
      </w:pPr>
      <w:r>
        <w:rPr>
          <w:rFonts w:ascii="Times New Roman" w:cs="Times New Roman" w:eastAsia="Times New Roman" w:hAnsi="Times New Roman"/>
          <w:sz w:val="18"/>
          <w:szCs w:val="18"/>
          <w:color w:val="auto"/>
        </w:rPr>
        <w:t>The financing transactions entered into during the first quarter of 2021 and the full draw down of the Delayed Draw Term Loans in the second quarter of 2022 provided additional liquidity to the Company to fund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going operations and obligations, invest in growth opportunities in Kodak’s businesses of print and advanced materials and chemicals and for corporate infrastructure investments expected to contribute to improvements in cash flow. Kodak’s plans to return to sustainable positive cash flow include growing revenues profitably, reducing operating expenses, continuing to simplify the organizational structure, generating cash from selling and leasing underutilized assets and implementing ways to reduce cash collateral needs. Kodak believes the expected cash provided from operating activities, together with the current levels of cash and cash equivalents, available borrowing capacity under the Amended ABL Credit Agreement and additional liquidity measures will be sufficient to meet the Company’s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requirements, as further described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t>Kodak’s products are sold and serviced in numerous countries across the globe with more than half of sales generated outside the U.S. Current global economic conditions remain highly volatile due to conditions associated with the on-going COVID-19 pandemic, the war in Ukraine and other global events. Kodak businesses are experiencing supply chain disruptions, shortages in materials and labor, and increased labor, commodity and distribution costs. While manufacturing volumes have improved since 2020 at the height of the pandemic, the economic uncertainty surrounding the COVID-19 pandemic, the war in Ukraine, the current inflationary environment and other global events represents an additional element of complexity in Kodak’s plans to return to sustainable positive cash flow. The Company cannot predict the duration and scope of the COVID-19 pandemic, the war in Ukraine, as well as other factors such as the ability to continue to secure raw materials and components, the impact of rising costs of labor, commodity and distribution costs, or how quickly and to what extent normal economic and operating conditions can resume.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4"/>
          </w:tcPr>
          <w:p>
            <w:pPr>
              <w:ind w:left="540"/>
              <w:spacing w:after="0"/>
              <w:rPr>
                <w:sz w:val="20"/>
                <w:szCs w:val="20"/>
                <w:color w:val="auto"/>
              </w:rPr>
            </w:pPr>
            <w:r>
              <w:rPr>
                <w:rFonts w:ascii="Times New Roman" w:cs="Times New Roman" w:eastAsia="Times New Roman" w:hAnsi="Times New Roman"/>
                <w:sz w:val="16"/>
                <w:szCs w:val="16"/>
                <w:color w:val="auto"/>
              </w:rPr>
              <w:t>(in millions)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920" w:type="dxa"/>
            <w:vAlign w:val="bottom"/>
            <w:gridSpan w:val="6"/>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Year-Over-</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20" w:type="dxa"/>
            <w:vAlign w:val="bottom"/>
            <w:gridSpan w:val="6"/>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Year Change</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CFF0FC"/>
            </w:tcBorders>
            <w:gridSpan w:val="4"/>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5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2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Borders>
              <w:top w:val="single" w:sz="8" w:color="CFF0FC"/>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Borders>
              <w:top w:val="single" w:sz="8" w:color="CFF0FC"/>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CFF0FC"/>
            </w:tcBorders>
            <w:gridSpan w:val="4"/>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5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40" w:type="dxa"/>
            <w:vAlign w:val="bottom"/>
            <w:tcBorders>
              <w:top w:val="single" w:sz="8" w:color="CFF0FC"/>
            </w:tcBorders>
            <w:gridSpan w:val="2"/>
          </w:tcPr>
          <w:p>
            <w:pPr>
              <w:spacing w:after="0"/>
              <w:rPr>
                <w:sz w:val="19"/>
                <w:szCs w:val="19"/>
                <w:color w:val="auto"/>
              </w:rPr>
            </w:pPr>
          </w:p>
        </w:tc>
        <w:tc>
          <w:tcPr>
            <w:tcW w:w="5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FF0FC"/>
            </w:tcBorders>
          </w:tcPr>
          <w:p>
            <w:pPr>
              <w:spacing w:after="0"/>
              <w:rPr>
                <w:sz w:val="19"/>
                <w:szCs w:val="19"/>
                <w:color w:val="auto"/>
              </w:rPr>
            </w:pPr>
          </w:p>
        </w:tc>
        <w:tc>
          <w:tcPr>
            <w:tcW w:w="50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Borders>
              <w:top w:val="single" w:sz="8" w:color="CFF0FC"/>
            </w:tcBorders>
            <w:gridSpan w:val="4"/>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5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540" w:type="dxa"/>
            <w:vAlign w:val="bottom"/>
            <w:tcBorders>
              <w:top w:val="single" w:sz="8" w:color="auto"/>
            </w:tcBorders>
            <w:shd w:val="clear" w:color="auto" w:fill="CFF0FC"/>
          </w:tcPr>
          <w:p>
            <w:pPr>
              <w:spacing w:after="0" w:line="20" w:lineRule="exact"/>
              <w:rPr>
                <w:sz w:val="1"/>
                <w:szCs w:val="1"/>
                <w:color w:val="auto"/>
              </w:rPr>
            </w:pPr>
          </w:p>
        </w:tc>
        <w:tc>
          <w:tcPr>
            <w:tcW w:w="208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20" w:type="dxa"/>
            <w:vAlign w:val="bottom"/>
            <w:gridSpan w:val="6"/>
          </w:tcPr>
          <w:p>
            <w:pPr>
              <w:ind w:left="1140"/>
              <w:spacing w:after="0" w:line="205" w:lineRule="exact"/>
              <w:rPr>
                <w:sz w:val="20"/>
                <w:szCs w:val="20"/>
                <w:color w:val="auto"/>
              </w:rPr>
            </w:pPr>
            <w:r>
              <w:rPr>
                <w:rFonts w:ascii="Times New Roman" w:cs="Times New Roman" w:eastAsia="Times New Roman" w:hAnsi="Times New Roman"/>
                <w:sz w:val="18"/>
                <w:szCs w:val="18"/>
                <w:color w:val="auto"/>
              </w:rPr>
              <w:t>Net (decrease) increase in cash, cash equivalents and</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213</w:t>
            </w:r>
          </w:p>
        </w:tc>
        <w:tc>
          <w:tcPr>
            <w:tcW w:w="200" w:type="dxa"/>
            <w:vAlign w:val="bottom"/>
          </w:tcPr>
          <w:p>
            <w:pPr>
              <w:spacing w:after="0"/>
              <w:rPr>
                <w:sz w:val="20"/>
                <w:szCs w:val="20"/>
                <w:color w:val="auto"/>
              </w:rPr>
            </w:pPr>
          </w:p>
        </w:tc>
        <w:tc>
          <w:tcPr>
            <w:tcW w:w="5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increased $82 million for the six months ended June 30, 2022 as compared with the corresponding period in 2021 primarily due to an increase in trade receivables driven by revenue growth, increased investment in inventory to strengthen the ability to supply customers, increase in cash used for accounts payable and lower cash earnings.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increased $4 million for the six months ended June 30, 2022 as compared with the corresponding period in 2021 due to an increase in capital expenditures.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change in net cash provided by financing activities for the six months ended June 30, 2022 compared to corresponding period in 2021 was primarily driven by the net proceeds of $247 million received in the prior year period from the refinancing transactions partially offset by net proceeds of $49 million received in the second quarter of 2022 from the Delayed Draw Term Loans as well as lower preferred stock dividend payments in the current year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3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Available liquidity includes cash balances and the unused portion of the Amended ABL Credit Agreement. The amount of available liquidity is subject to fluctuations and includes cash balances held by various entities worldwide. At June 30, 2022 and December 31, 2021 approximately $203 million and $250 million, respectively, of cash and cash equivalents were held within the U.S. and approximately $86 million and $112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As of June 30, 2022 and December 31, 2021, outstanding inter-company loans to the U.S. were $390 million and $418 million, respectively, which includes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inter-company loans from Kodak’s international finance center of $91 million and $119 million, respectively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China, where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million and $42 million of cash and cash equivalents was held as of June 30, 2022 and December 31, 2021, respectively, there are limitations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 balances that may impact the ability to make cash available to other jurisdictions in the world. Under the terms of the Amended ABL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Company is permitted to invest up to $75 million in Restricted Subsidiaries that are not Loan Parties and in joint ventures or Unrestricted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that are not party to the Amended ABL Credit Agreement.</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had issued approximately $46 million letters of credit under the Amended ABL Credit Agreement and $44 million letters of credit under the L/C Facility Agreement as of June 30, 2022 and December 31, 2021. The letters of credit under the L/C Facility Agreement are collateralized by cash collateral (L/C Cash Collateral). The L/C Cash Collateral was $45 million at June 30, 2022 which was classified as Restricted Cash.</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Amended ABL Credit Agreement and L/C Facility Agreement the Company is required to maintain Minimum Liquidity of at least $80 million, which is tested on the last day of each fiscal quarter. Minimum Liquidity was $203 million and $250 million at June 30, 2022 and December 31, 2021, respectively. If Minimum Liquidity falls below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both the Amended ABL Credit Agreement and the ABL Credit Agreement the Company is required to maintain Excess Availability above 12.5% of lender commitments ($11.25 million as of both June 30, 2022 and December 31, 2021), which is tested at the end of each month. Excess Availability was $35 million and $27 million as of June 30, 2022 and December 31, 2021,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w:t>
      </w:r>
    </w:p>
    <w:p>
      <w:pPr>
        <w:spacing w:after="0" w:line="21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June 30, 2022 and December 31, 2021, Kodak is not required to have a minimum Fixed Charge Coverage Ratio of 1.0 to 1.0.</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0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Kodak intends to continue to maintain Excess Availability above the minimum threshold. The borrowing base is supported by Eligible Receivables, Eligible Inventory and Eligible Equipment. As noted above, since Excess Availability was greater than 12.5% of lender commitments Kodak was not required to have a minimum Fixed Charge Coverage Ratio of 1.0 to 1.0. As of June 30, 2022 Fixed Charges (as defined in the ABL Credit Agreement) exceeded EBITDA by approximately $67 million, therefore the Fixed Charges Coverage Ratio was less than 1.0 to 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Resources</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 Term Loan Credit Agreement included a commitment to provide Delayed Draw Term Loans in an aggregate principal amount of $50 million on or before February 26, 2023. The Company drew down the $50 million of Delayed Draw Term Loans on June 15,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Uses of Cash Related to Financing Transactions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holders of the Term Loans are entitled to quarterly cash interest payments at a rate of 8.5% per annum and holders of the Series B Preferred Stock are entitled to cumulative dividends payable quarterly in cash at a rate of 4.0% per annum. The Convertible Notes do not require any debt service until maturity on May 28, 2026 and holders of the Series C Preferred Stock are entitled to cumulative dividends payable quarterly “in-kind” in the form of additional shares of Series C Preferred Stock at a rate of 5.0% per annum. All dividends have been paid when due.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Other Collateral Requirements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York State Workers’ Compensation Board (“NYSWCB”) requires security deposits related to self-insured workers’ compensation</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obligations. The security deposit required by NYSWCB is based on actuarial calculations of the Company’s obligations and company specific factors such as its declining workforce and reducing exposure. The NYSWCB calculation also includes a financial contingency based on the employer’s credit rating and a calculation of unallocated loss adjustment expenses. In 2020 the NYSWCB waived both of these charges to provide employers relief while they managed the economic impacts of the COVID-19 pandemic. In 2021 the NYSWCB waived the financial contingency based on the Company’s credit rating. The waived security deposit was $17 million in 2020 and increased to $39 million in 2021. After excluding the waived amount for 2021, the increase to the security deposit required by NYSWCB is $19 million. The Company agreed to post additional collateral of approximately $4 million over a five-year period, starting in 2021, to satisfy the security deposit obligation. The collateral obligation can be satisfied by issuing letters of credit or through other means. The security deposit required by NYSWCB will be re-calculated annually. Therefore, the amount of additional collateral required may change each year.</w:t>
      </w:r>
    </w:p>
    <w:p>
      <w:pPr>
        <w:spacing w:after="0" w:line="2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the Company’s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and Postretirement Plans</w:t>
      </w:r>
    </w:p>
    <w:p>
      <w:pPr>
        <w:spacing w:after="0" w:line="31" w:lineRule="exact"/>
        <w:rPr>
          <w:sz w:val="20"/>
          <w:szCs w:val="20"/>
          <w:color w:val="auto"/>
        </w:rPr>
      </w:pPr>
    </w:p>
    <w:p>
      <w:pPr>
        <w:jc w:val="both"/>
        <w:ind w:right="500"/>
        <w:spacing w:after="0" w:line="255" w:lineRule="auto"/>
        <w:rPr>
          <w:sz w:val="20"/>
          <w:szCs w:val="20"/>
          <w:color w:val="auto"/>
        </w:rPr>
      </w:pPr>
      <w:r>
        <w:rPr>
          <w:rFonts w:ascii="Times New Roman" w:cs="Times New Roman" w:eastAsia="Times New Roman" w:hAnsi="Times New Roman"/>
          <w:sz w:val="18"/>
          <w:szCs w:val="18"/>
          <w:color w:val="auto"/>
        </w:rPr>
        <w:t>Kodak made net contributions (funded plans) or paid benefits (unfunded plans) totaling approximately $6 million to its defined benefit pension and postretirement benefit plans in the first six months of 2022. For the balance of 2022, the forecasted contribution (funded plans) and benefit payment (unfunded plans) requirements for its pension and postretirement plans are approximately $8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31" w:lineRule="exact"/>
        <w:rPr>
          <w:sz w:val="20"/>
          <w:szCs w:val="20"/>
          <w:color w:val="auto"/>
        </w:rPr>
      </w:pPr>
    </w:p>
    <w:p>
      <w:pPr>
        <w:ind w:right="60"/>
        <w:spacing w:after="0" w:line="223" w:lineRule="exact"/>
        <w:rPr>
          <w:sz w:val="20"/>
          <w:szCs w:val="20"/>
          <w:color w:val="auto"/>
        </w:rPr>
      </w:pPr>
      <w:r>
        <w:rPr>
          <w:rFonts w:ascii="Times New Roman" w:cs="Times New Roman" w:eastAsia="Times New Roman" w:hAnsi="Times New Roman"/>
          <w:sz w:val="18"/>
          <w:szCs w:val="18"/>
          <w:color w:val="auto"/>
        </w:rPr>
        <w:t>Cash flow from investing activities included $9 million of capital expenditures for the six months ended June 30, 2022. Kodak expects approximately $35 million to $50 million of total capital expenditures for 2022. The expected increase in capital expenditures in 2022 is driven by investments in growth initiatives and back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office automation.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International Development Finance Corporation Non-Binding Letter of Interest</w:t>
      </w:r>
    </w:p>
    <w:p>
      <w:pPr>
        <w:spacing w:after="0" w:line="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On July 28, 2020, the U.S. International Development Finance Corporation (“DFC”) signed a non-binding letter of interest to provide a subsidiary of the Company with a potential $765 million loan to support the launch of Kodak Pharmaceuticals, an initiative that would manufacture pharmaceutical ingredients for essential generic drugs. The letter of interest was entered into by the DFC pursuant to authority under the Defense Production Act granted to the DFC by Presidential Executive Order 13922. The Company has previously reported that, given the time that has elapsed and the changes in administration at the federal government and the DFC, the Company has been operating on the basis that the DFC Loan as envisioned at the time of the DFC Announcement would not proceed. On April 22, 2022, the Company received a letter from the DFC advising the Company that the authority conferred on the DFC by Executive Order 13922 expired on March 27, 2022 and that, consequently, the DFC is unable to consider the project further and the Company’s application has been closed.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w:t>
      </w:r>
    </w:p>
    <w:p>
      <w:pPr>
        <w:spacing w:after="0" w:line="182" w:lineRule="exact"/>
        <w:rPr>
          <w:sz w:val="20"/>
          <w:szCs w:val="20"/>
          <w:color w:val="auto"/>
        </w:rPr>
      </w:pPr>
    </w:p>
    <w:p>
      <w:pPr>
        <w:ind w:right="620"/>
        <w:spacing w:after="0" w:line="250" w:lineRule="exact"/>
        <w:rPr>
          <w:sz w:val="20"/>
          <w:szCs w:val="20"/>
          <w:color w:val="auto"/>
        </w:rPr>
      </w:pPr>
      <w:r>
        <w:rPr>
          <w:rFonts w:ascii="Times New Roman" w:cs="Times New Roman" w:eastAsia="Times New Roman" w:hAnsi="Times New Roman"/>
          <w:sz w:val="18"/>
          <w:szCs w:val="18"/>
          <w:color w:val="auto"/>
        </w:rPr>
        <w:t>Kodak’s exposure to changes in interest rates results from its investing and borrowing activities used to meet its liquidity needs.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is generally used to finance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while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is used to meet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2" w:name="page43"/>
    <w:bookmarkEnd w:id="42"/>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Using a sensitivity analysis based on estimated fair value of open foreign currency forward contracts using available forward rates, if the U.S. dollar had been 10% stronger at June 30, 2022 and December 31, 2021, the fair value of open forward contracts would have decreased $10 million and $14 million, respectively. Such changes in fair value would be substantially offset by the revaluation or settlement of the underlying positions hedged.</w:t>
      </w:r>
    </w:p>
    <w:p>
      <w:pPr>
        <w:spacing w:after="0" w:line="174" w:lineRule="exact"/>
        <w:rPr>
          <w:sz w:val="20"/>
          <w:szCs w:val="20"/>
          <w:color w:val="auto"/>
        </w:rPr>
      </w:pPr>
    </w:p>
    <w:p>
      <w:pPr>
        <w:ind w:right="200"/>
        <w:spacing w:after="0" w:line="240" w:lineRule="exact"/>
        <w:rPr>
          <w:sz w:val="20"/>
          <w:szCs w:val="20"/>
          <w:color w:val="auto"/>
        </w:rPr>
      </w:pPr>
      <w:r>
        <w:rPr>
          <w:rFonts w:ascii="Times New Roman" w:cs="Times New Roman" w:eastAsia="Times New Roman" w:hAnsi="Times New Roman"/>
          <w:sz w:val="17"/>
          <w:szCs w:val="17"/>
          <w:color w:val="auto"/>
        </w:rPr>
        <w:t>The majority of the Company’s debt is fixed rate debt. The fair market value of fixed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rate debt is sensitive to changes in interest rates. At both June 30, 2022 and December 31, 2021, a 10% change in market interest rates would change the fair value of the Company’s debt by approximately $1 million.</w:t>
      </w:r>
    </w:p>
    <w:p>
      <w:pPr>
        <w:spacing w:after="0" w:line="196"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Kodak’s financial instrument counterparties are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June 30, 2022 was not significant to Kodak.</w:t>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See Note 7, “Commitments and Contingencies” in the Notes to the Financial Statements included in Part I, Item 1, “Financial Statements and Supplementary Data” for information regarding certain legal proceedings in which Kodak is involved.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the Risk Factors set forth in Part I, Item 1A. of the 2021 Form 10-K for a detailed discussion of risk factors that could materially affect Kodak’s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ind w:left="560" w:right="4960" w:hanging="552"/>
        <w:spacing w:after="0" w:line="532" w:lineRule="auto"/>
        <w:tabs>
          <w:tab w:leader="none" w:pos="55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during the quarter ended June 30, 2022 </w:t>
      </w:r>
      <w:r>
        <w:rPr>
          <w:rFonts w:ascii="Times New Roman" w:cs="Times New Roman" w:eastAsia="Times New Roman" w:hAnsi="Times New Roman"/>
          <w:sz w:val="18"/>
          <w:szCs w:val="18"/>
          <w:color w:val="auto"/>
        </w:rPr>
        <w:t>None.</w:t>
      </w:r>
    </w:p>
    <w:p>
      <w:pPr>
        <w:ind w:left="560" w:hanging="552"/>
        <w:spacing w:after="0"/>
        <w:tabs>
          <w:tab w:leader="none" w:pos="5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 during the quarter ended June 30, 2022</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May Yet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2"/>
                <w:szCs w:val="12"/>
                <w:b w:val="1"/>
                <w:bCs w:val="1"/>
                <w:color w:val="auto"/>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through 30</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May 1 through 31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through 30</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40" w:hanging="368"/>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These purchases were made to satisfy tax withholding obligations in connection with the vesting of restricted stock units issued to employees.</w:t>
      </w:r>
    </w:p>
    <w:p>
      <w:pPr>
        <w:spacing w:after="0" w:line="263"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Kodak does not have a publicly announced repurchase plan or program.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33" w:right="6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gridSpan w:val="15"/>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Eastman Kodak Company</w:t>
            </w:r>
          </w:p>
        </w:tc>
      </w:tr>
      <w:tr>
        <w:trPr>
          <w:trHeight w:val="238"/>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60" w:type="dxa"/>
            <w:vAlign w:val="bottom"/>
            <w:gridSpan w:val="15"/>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243"/>
        </w:trPr>
        <w:tc>
          <w:tcPr>
            <w:tcW w:w="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right w:val="single" w:sz="8" w:color="auto"/>
            </w:tcBorders>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right w:val="single" w:sz="8" w:color="auto"/>
            </w:tcBorders>
          </w:tcPr>
          <w:p>
            <w:pPr>
              <w:spacing w:after="0"/>
              <w:rPr>
                <w:sz w:val="14"/>
                <w:szCs w:val="14"/>
                <w:color w:val="auto"/>
              </w:rPr>
            </w:pPr>
          </w:p>
        </w:tc>
        <w:tc>
          <w:tcPr>
            <w:tcW w:w="9840" w:type="dxa"/>
            <w:vAlign w:val="bottom"/>
            <w:tcBorders>
              <w:bottom w:val="single" w:sz="8" w:color="0000EE"/>
            </w:tcBorders>
            <w:gridSpan w:val="12"/>
          </w:tcPr>
          <w:p>
            <w:pPr>
              <w:spacing w:after="0" w:line="169"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Second Amended and Restated Certificate of Incorporation of Eastman Kodak Company (Incorporated by reference to Exhibit 4.1 of the</w:t>
              </w:r>
            </w:hyperlink>
          </w:p>
        </w:tc>
        <w:tc>
          <w:tcPr>
            <w:tcW w:w="240" w:type="dxa"/>
            <w:vAlign w:val="bottom"/>
            <w:tcBorders>
              <w:right w:val="single" w:sz="8" w:color="auto"/>
            </w:tcBorders>
            <w:gridSpan w:val="5"/>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Company’s Registration Statement on Form S-8 as filed on September 3, 2013).</w:t>
              </w:r>
            </w:hyperlink>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right w:val="single" w:sz="8" w:color="auto"/>
            </w:tcBorders>
          </w:tcPr>
          <w:p>
            <w:pPr>
              <w:spacing w:after="0"/>
              <w:rPr>
                <w:sz w:val="14"/>
                <w:szCs w:val="14"/>
                <w:color w:val="auto"/>
              </w:rPr>
            </w:pPr>
          </w:p>
        </w:tc>
        <w:tc>
          <w:tcPr>
            <w:tcW w:w="10080" w:type="dxa"/>
            <w:vAlign w:val="bottom"/>
            <w:tcBorders>
              <w:right w:val="single" w:sz="8" w:color="auto"/>
            </w:tcBorders>
            <w:gridSpan w:val="17"/>
          </w:tcPr>
          <w:p>
            <w:pPr>
              <w:spacing w:after="0" w:line="169"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 by</w:t>
              </w:r>
            </w:hyperlink>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reference to Exhibit 3.1 of the Company’s Current Report on Form 8-K as filed November 16, 2016).</w:t>
              </w:r>
            </w:hyperlink>
          </w:p>
        </w:tc>
        <w:tc>
          <w:tcPr>
            <w:tcW w:w="40" w:type="dxa"/>
            <w:vAlign w:val="bottom"/>
            <w:tcBorders>
              <w:right w:val="single" w:sz="8" w:color="auto"/>
            </w:tcBorders>
          </w:tcPr>
          <w:p>
            <w:pPr>
              <w:spacing w:after="0"/>
              <w:rPr>
                <w:sz w:val="17"/>
                <w:szCs w:val="17"/>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right w:val="single" w:sz="8" w:color="auto"/>
            </w:tcBorders>
          </w:tcPr>
          <w:p>
            <w:pPr>
              <w:spacing w:after="0"/>
              <w:rPr>
                <w:sz w:val="14"/>
                <w:szCs w:val="14"/>
                <w:color w:val="auto"/>
              </w:rPr>
            </w:pPr>
          </w:p>
        </w:tc>
        <w:tc>
          <w:tcPr>
            <w:tcW w:w="1002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 by</w:t>
              </w:r>
            </w:hyperlink>
          </w:p>
        </w:tc>
        <w:tc>
          <w:tcPr>
            <w:tcW w:w="60" w:type="dxa"/>
            <w:vAlign w:val="bottom"/>
            <w:tcBorders>
              <w:right w:val="single" w:sz="8" w:color="auto"/>
            </w:tcBorders>
            <w:gridSpan w:val="2"/>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reference to Exhibit (3.1) of the Company’s Current Report on Form 8-K as filed September 12, 2019).</w:t>
              </w:r>
            </w:hyperlink>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right w:val="single" w:sz="8" w:color="auto"/>
            </w:tcBorders>
          </w:tcPr>
          <w:p>
            <w:pPr>
              <w:spacing w:after="0"/>
              <w:rPr>
                <w:sz w:val="14"/>
                <w:szCs w:val="14"/>
                <w:color w:val="auto"/>
              </w:rPr>
            </w:pPr>
          </w:p>
        </w:tc>
        <w:tc>
          <w:tcPr>
            <w:tcW w:w="1002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 by</w:t>
              </w:r>
            </w:hyperlink>
          </w:p>
        </w:tc>
        <w:tc>
          <w:tcPr>
            <w:tcW w:w="60" w:type="dxa"/>
            <w:vAlign w:val="bottom"/>
            <w:tcBorders>
              <w:right w:val="single" w:sz="8" w:color="auto"/>
            </w:tcBorders>
            <w:gridSpan w:val="2"/>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reference to Exhibit (3.2) of the Company’s Current Report on Form 8-K as filed September 12, 2019).</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right w:val="single" w:sz="8" w:color="auto"/>
            </w:tcBorders>
          </w:tcPr>
          <w:p>
            <w:pPr>
              <w:spacing w:after="0"/>
              <w:rPr>
                <w:sz w:val="14"/>
                <w:szCs w:val="14"/>
                <w:color w:val="auto"/>
              </w:rPr>
            </w:pPr>
          </w:p>
        </w:tc>
        <w:tc>
          <w:tcPr>
            <w:tcW w:w="1002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 by</w:t>
              </w:r>
            </w:hyperlink>
          </w:p>
        </w:tc>
        <w:tc>
          <w:tcPr>
            <w:tcW w:w="60" w:type="dxa"/>
            <w:vAlign w:val="bottom"/>
            <w:tcBorders>
              <w:right w:val="single" w:sz="8" w:color="auto"/>
            </w:tcBorders>
            <w:gridSpan w:val="2"/>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7"/>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reference to Exhibit 3.1 of the Company’s Current Report on Form 8-K as filed December 29, 2020).</w:t>
              </w:r>
            </w:hyperlink>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right w:val="single" w:sz="8" w:color="auto"/>
            </w:tcBorders>
          </w:tcPr>
          <w:p>
            <w:pPr>
              <w:spacing w:after="0"/>
              <w:rPr>
                <w:sz w:val="14"/>
                <w:szCs w:val="14"/>
                <w:color w:val="auto"/>
              </w:rPr>
            </w:pPr>
          </w:p>
        </w:tc>
        <w:tc>
          <w:tcPr>
            <w:tcW w:w="1002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 by</w:t>
              </w:r>
            </w:hyperlink>
          </w:p>
        </w:tc>
        <w:tc>
          <w:tcPr>
            <w:tcW w:w="60" w:type="dxa"/>
            <w:vAlign w:val="bottom"/>
            <w:tcBorders>
              <w:right w:val="single" w:sz="8" w:color="auto"/>
            </w:tcBorders>
            <w:gridSpan w:val="2"/>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reference to Exhibit 3.1 of the Company’s Current Report on Form 8-K as filed March 1, 2021).</w:t>
              </w:r>
            </w:hyperlink>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right w:val="single" w:sz="8" w:color="auto"/>
            </w:tcBorders>
          </w:tcPr>
          <w:p>
            <w:pPr>
              <w:spacing w:after="0"/>
              <w:rPr>
                <w:sz w:val="14"/>
                <w:szCs w:val="14"/>
                <w:color w:val="auto"/>
              </w:rPr>
            </w:pPr>
          </w:p>
        </w:tc>
        <w:tc>
          <w:tcPr>
            <w:tcW w:w="1002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Certificate of Amendment to the Second Amended and Restated Certificate of Incorporation of Eastman Kodak Company (Incorporated by</w:t>
              </w:r>
            </w:hyperlink>
          </w:p>
        </w:tc>
        <w:tc>
          <w:tcPr>
            <w:tcW w:w="60" w:type="dxa"/>
            <w:vAlign w:val="bottom"/>
            <w:tcBorders>
              <w:right w:val="single" w:sz="8" w:color="auto"/>
            </w:tcBorders>
            <w:gridSpan w:val="2"/>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7"/>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reference to Exhibit 3.2 of the Company’s Current Report on Form 8-K as filed March 1, 2021).</w:t>
              </w:r>
            </w:hyperlink>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right w:val="single" w:sz="8" w:color="auto"/>
            </w:tcBorders>
          </w:tcPr>
          <w:p>
            <w:pPr>
              <w:spacing w:after="0"/>
              <w:rPr>
                <w:sz w:val="14"/>
                <w:szCs w:val="14"/>
                <w:color w:val="auto"/>
              </w:rPr>
            </w:pPr>
          </w:p>
        </w:tc>
        <w:tc>
          <w:tcPr>
            <w:tcW w:w="9460" w:type="dxa"/>
            <w:vAlign w:val="bottom"/>
            <w:tcBorders>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Fourth Amended and Restated By-Laws of Eastman Kodak Company (Incorporated by reference to Exhibit (3.5) of the Company’s</w:t>
              </w:r>
            </w:hyperlink>
          </w:p>
        </w:tc>
        <w:tc>
          <w:tcPr>
            <w:tcW w:w="620" w:type="dxa"/>
            <w:vAlign w:val="bottom"/>
            <w:tcBorders>
              <w:right w:val="single" w:sz="8" w:color="auto"/>
            </w:tcBorders>
            <w:gridSpan w:val="6"/>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7"/>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Quarterly Report on Form 10-Q for the quarterly period ended March 31, 2020 as filed on May 12, 2020).</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right w:val="single" w:sz="8" w:color="auto"/>
            </w:tcBorders>
          </w:tcPr>
          <w:p>
            <w:pPr>
              <w:spacing w:after="0"/>
              <w:rPr>
                <w:sz w:val="14"/>
                <w:szCs w:val="14"/>
                <w:color w:val="auto"/>
              </w:rPr>
            </w:pPr>
          </w:p>
        </w:tc>
        <w:tc>
          <w:tcPr>
            <w:tcW w:w="10080" w:type="dxa"/>
            <w:vAlign w:val="bottom"/>
            <w:tcBorders>
              <w:right w:val="single" w:sz="8" w:color="auto"/>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EE"/>
              </w:rPr>
              <w:t>Certification signed by James V. Continenza, filed herewith</w:t>
            </w:r>
            <w:r>
              <w:rPr>
                <w:rFonts w:ascii="Times New Roman" w:cs="Times New Roman" w:eastAsia="Times New Roman" w:hAnsi="Times New Roman"/>
                <w:sz w:val="18"/>
                <w:szCs w:val="18"/>
                <w:color w:val="000000"/>
              </w:rPr>
              <w:t>.</w:t>
            </w:r>
          </w:p>
        </w:tc>
      </w:tr>
      <w:tr>
        <w:trPr>
          <w:trHeight w:val="48"/>
        </w:trPr>
        <w:tc>
          <w:tcPr>
            <w:tcW w:w="40" w:type="dxa"/>
            <w:vAlign w:val="bottom"/>
            <w:tcBorders>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10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160" w:type="dxa"/>
            <w:vAlign w:val="bottom"/>
            <w:tcBorders>
              <w:top w:val="single" w:sz="8" w:color="0000EE"/>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right w:val="single" w:sz="8" w:color="auto"/>
            </w:tcBorders>
          </w:tcPr>
          <w:p>
            <w:pPr>
              <w:spacing w:after="0"/>
              <w:rPr>
                <w:sz w:val="14"/>
                <w:szCs w:val="14"/>
                <w:color w:val="auto"/>
              </w:rPr>
            </w:pPr>
          </w:p>
        </w:tc>
        <w:tc>
          <w:tcPr>
            <w:tcW w:w="10080" w:type="dxa"/>
            <w:vAlign w:val="bottom"/>
            <w:tcBorders>
              <w:right w:val="single" w:sz="8" w:color="auto"/>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EE"/>
              </w:rPr>
              <w:t>Certification signed by David E. Bullwinkle, filed herewith.</w:t>
            </w:r>
          </w:p>
        </w:tc>
      </w:tr>
      <w:tr>
        <w:trPr>
          <w:trHeight w:val="48"/>
        </w:trPr>
        <w:tc>
          <w:tcPr>
            <w:tcW w:w="40" w:type="dxa"/>
            <w:vAlign w:val="bottom"/>
            <w:tcBorders>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10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1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right w:val="single" w:sz="8" w:color="auto"/>
            </w:tcBorders>
          </w:tcPr>
          <w:p>
            <w:pPr>
              <w:spacing w:after="0"/>
              <w:rPr>
                <w:sz w:val="14"/>
                <w:szCs w:val="14"/>
                <w:color w:val="auto"/>
              </w:rPr>
            </w:pPr>
          </w:p>
        </w:tc>
        <w:tc>
          <w:tcPr>
            <w:tcW w:w="10000" w:type="dxa"/>
            <w:vAlign w:val="bottom"/>
            <w:tcBorders>
              <w:bottom w:val="single" w:sz="8" w:color="0000EE"/>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signed by James</w:t>
            </w:r>
          </w:p>
        </w:tc>
        <w:tc>
          <w:tcPr>
            <w:tcW w:w="80" w:type="dxa"/>
            <w:vAlign w:val="bottom"/>
            <w:tcBorders>
              <w:right w:val="single" w:sz="8" w:color="auto"/>
            </w:tcBorders>
            <w:gridSpan w:val="3"/>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80" w:type="dxa"/>
            <w:vAlign w:val="bottom"/>
            <w:tcBorders>
              <w:right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V. Continenza, filed herewith</w:t>
            </w:r>
            <w:r>
              <w:rPr>
                <w:rFonts w:ascii="Times New Roman" w:cs="Times New Roman" w:eastAsia="Times New Roman" w:hAnsi="Times New Roman"/>
                <w:sz w:val="18"/>
                <w:szCs w:val="18"/>
                <w:color w:val="000000"/>
              </w:rPr>
              <w:t>.</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right w:val="single" w:sz="8" w:color="auto"/>
            </w:tcBorders>
          </w:tcPr>
          <w:p>
            <w:pPr>
              <w:spacing w:after="0"/>
              <w:rPr>
                <w:sz w:val="14"/>
                <w:szCs w:val="14"/>
                <w:color w:val="auto"/>
              </w:rPr>
            </w:pPr>
          </w:p>
        </w:tc>
        <w:tc>
          <w:tcPr>
            <w:tcW w:w="10080" w:type="dxa"/>
            <w:vAlign w:val="bottom"/>
            <w:tcBorders>
              <w:right w:val="single" w:sz="8" w:color="auto"/>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signed by David</w:t>
            </w:r>
          </w:p>
        </w:tc>
      </w:tr>
      <w:tr>
        <w:trPr>
          <w:trHeight w:val="196"/>
        </w:trPr>
        <w:tc>
          <w:tcPr>
            <w:tcW w:w="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9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 Bullwinkle, filed herewith.</w:t>
            </w:r>
          </w:p>
        </w:tc>
        <w:tc>
          <w:tcPr>
            <w:tcW w:w="140" w:type="dxa"/>
            <w:vAlign w:val="bottom"/>
            <w:tcBorders>
              <w:right w:val="single" w:sz="8" w:color="auto"/>
            </w:tcBorders>
            <w:gridSpan w:val="4"/>
          </w:tcPr>
          <w:p>
            <w:pPr>
              <w:spacing w:after="0"/>
              <w:rPr>
                <w:sz w:val="17"/>
                <w:szCs w:val="17"/>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119"/>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119"/>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119"/>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119"/>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Linkbase.</w:t>
            </w:r>
          </w:p>
        </w:tc>
      </w:tr>
      <w:tr>
        <w:trPr>
          <w:trHeight w:val="119"/>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119"/>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right w:val="single" w:sz="8" w:color="auto"/>
            </w:tcBorders>
          </w:tcPr>
          <w:p>
            <w:pPr>
              <w:spacing w:after="0"/>
              <w:rPr>
                <w:sz w:val="20"/>
                <w:szCs w:val="20"/>
                <w:color w:val="auto"/>
              </w:rPr>
            </w:pPr>
          </w:p>
        </w:tc>
        <w:tc>
          <w:tcPr>
            <w:tcW w:w="10080" w:type="dxa"/>
            <w:vAlign w:val="bottom"/>
            <w:tcBorders>
              <w:bottom w:val="single" w:sz="8" w:color="auto"/>
              <w:right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r>
        <w:trPr>
          <w:trHeight w:val="673"/>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5"/>
          </w:tcPr>
          <w:p>
            <w:pPr>
              <w:jc w:val="center"/>
              <w:ind w:left="3090"/>
              <w:spacing w:after="0"/>
              <w:rPr>
                <w:sz w:val="20"/>
                <w:szCs w:val="20"/>
                <w:color w:val="auto"/>
              </w:rPr>
            </w:pPr>
            <w:r>
              <w:rPr>
                <w:rFonts w:ascii="Times New Roman" w:cs="Times New Roman" w:eastAsia="Times New Roman" w:hAnsi="Times New Roman"/>
                <w:sz w:val="18"/>
                <w:szCs w:val="18"/>
                <w:color w:val="auto"/>
                <w:w w:val="99"/>
              </w:rPr>
              <w:t>[45]</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tc>
      </w:tr>
      <w:tr>
        <w:trPr>
          <w:trHeight w:val="243"/>
        </w:trPr>
        <w:tc>
          <w:tcPr>
            <w:tcW w:w="35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729"/>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August 9, 2022</w:t>
            </w:r>
          </w:p>
        </w:tc>
        <w:tc>
          <w:tcPr>
            <w:tcW w:w="26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Richard T. Michaels</w:t>
            </w:r>
          </w:p>
        </w:tc>
      </w:tr>
      <w:tr>
        <w:trPr>
          <w:trHeight w:val="187"/>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Richard T. Michaels</w:t>
            </w: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Accounting Officer and Corporate Controller</w:t>
            </w:r>
          </w:p>
        </w:tc>
      </w:tr>
      <w:tr>
        <w:trPr>
          <w:trHeight w:val="238"/>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Accounting Officer and Authorized Signatory)</w:t>
            </w:r>
          </w:p>
        </w:tc>
      </w:tr>
      <w:tr>
        <w:trPr>
          <w:trHeight w:val="675"/>
        </w:trPr>
        <w:tc>
          <w:tcPr>
            <w:tcW w:w="3540" w:type="dxa"/>
            <w:vAlign w:val="bottom"/>
          </w:tcPr>
          <w:p>
            <w:pPr>
              <w:spacing w:after="0"/>
              <w:rPr>
                <w:sz w:val="24"/>
                <w:szCs w:val="24"/>
                <w:color w:val="auto"/>
              </w:rPr>
            </w:pPr>
          </w:p>
        </w:tc>
        <w:tc>
          <w:tcPr>
            <w:tcW w:w="2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[46]</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V. Continenza, certify that:</w:t>
      </w:r>
    </w:p>
    <w:p>
      <w:pPr>
        <w:spacing w:after="0" w:line="225"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Eastman Kodak Company;</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40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80" w:right="120" w:firstLine="2"/>
        <w:spacing w:after="0" w:line="266" w:lineRule="auto"/>
        <w:tabs>
          <w:tab w:leader="none" w:pos="6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340" w:firstLine="2"/>
        <w:spacing w:after="0" w:line="266" w:lineRule="auto"/>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940" w:firstLine="2"/>
        <w:spacing w:after="0" w:line="312" w:lineRule="auto"/>
        <w:tabs>
          <w:tab w:leader="none" w:pos="61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380" w:firstLine="2"/>
        <w:spacing w:after="0" w:line="266" w:lineRule="auto"/>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80" w:right="340" w:firstLine="2"/>
        <w:spacing w:after="0" w:line="282" w:lineRule="auto"/>
        <w:tabs>
          <w:tab w:leader="none" w:pos="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right="300" w:firstLine="2"/>
        <w:spacing w:after="0" w:line="282" w:lineRule="auto"/>
        <w:tabs>
          <w:tab w:leader="none" w:pos="6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V. Continenza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ectPr>
          <w:pgSz w:w="11900" w:h="16838" w:orient="portrait"/>
          <w:cols w:equalWidth="0" w:num="1">
            <w:col w:w="11240"/>
          </w:cols>
          <w:pgMar w:left="320" w:top="33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Bullwinkle, certify that:</w:t>
      </w:r>
    </w:p>
    <w:p>
      <w:pPr>
        <w:spacing w:after="0" w:line="225"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Eastman Kodak Company;</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40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80" w:right="120" w:firstLine="2"/>
        <w:spacing w:after="0" w:line="266" w:lineRule="auto"/>
        <w:tabs>
          <w:tab w:leader="none" w:pos="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340" w:firstLine="2"/>
        <w:spacing w:after="0" w:line="266"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940" w:firstLine="2"/>
        <w:spacing w:after="0" w:line="312" w:lineRule="auto"/>
        <w:tabs>
          <w:tab w:leader="none" w:pos="61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380" w:firstLine="2"/>
        <w:spacing w:after="0" w:line="266"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80" w:right="340" w:firstLine="2"/>
        <w:spacing w:after="0" w:line="282" w:lineRule="auto"/>
        <w:tabs>
          <w:tab w:leader="none" w:pos="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right="300" w:firstLine="2"/>
        <w:spacing w:after="0" w:line="282" w:lineRule="auto"/>
        <w:tabs>
          <w:tab w:leader="none" w:pos="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Bullwinkle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ectPr>
          <w:pgSz w:w="11900" w:h="16838" w:orient="portrait"/>
          <w:cols w:equalWidth="0" w:num="1">
            <w:col w:w="11240"/>
          </w:cols>
          <w:pgMar w:left="320" w:top="33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Eastman Kodak Company (the "Company") on Form 10-Q for the period ended June 30, 2022,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720" w:hanging="244"/>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244"/>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1342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James V. Continenza</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August 9, 2022</w:t>
      </w:r>
    </w:p>
    <w:p>
      <w:pPr>
        <w:sectPr>
          <w:pgSz w:w="11900" w:h="16838" w:orient="portrait"/>
          <w:cols w:equalWidth="0" w:num="1">
            <w:col w:w="11240"/>
          </w:cols>
          <w:pgMar w:left="320" w:top="33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Eastman Kodak Company (the "Company") on Form 10-Q for the period ended June 30, 2022,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203" w:lineRule="exact"/>
        <w:rPr>
          <w:sz w:val="20"/>
          <w:szCs w:val="20"/>
          <w:color w:val="auto"/>
        </w:rPr>
      </w:pPr>
    </w:p>
    <w:p>
      <w:pPr>
        <w:ind w:left="720" w:hanging="244"/>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244"/>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1342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David E. Bullwinkle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August 9, 2022</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62" Type="http://schemas.openxmlformats.org/officeDocument/2006/relationships/hyperlink" Target="http://www.sec.gov/Archives/edgar/data/31235/000119312513354928/d591063dex41.htm" TargetMode="External"/><Relationship Id="rId63" Type="http://schemas.openxmlformats.org/officeDocument/2006/relationships/hyperlink" Target="http://www.sec.gov/Archives/edgar/data/31235/000156459016029358/kodk-ex31_26.htm" TargetMode="External"/><Relationship Id="rId64" Type="http://schemas.openxmlformats.org/officeDocument/2006/relationships/hyperlink" Target="http://www.sec.gov/Archives/edgar/data/31235/000156459020058718/kodk-ex31_14.htm" TargetMode="External"/><Relationship Id="rId65" Type="http://schemas.openxmlformats.org/officeDocument/2006/relationships/hyperlink" Target="http://www.sec.gov/Archives/edgar/data/31235/000119312521062328/d468860dex31.htm" TargetMode="External"/><Relationship Id="rId66" Type="http://schemas.openxmlformats.org/officeDocument/2006/relationships/hyperlink" Target="http://www.sec.gov/Archives/edgar/data/31235/000119312521062328/d468860dex32.htm" TargetMode="External"/><Relationship Id="rId67" Type="http://schemas.openxmlformats.org/officeDocument/2006/relationships/hyperlink" Target="http://www.sec.gov/Archives/edgar/data/31235/000156459020024666/kodk-ex35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2022-08-09T17:16:36Z</dcterms:created>
  <dcterms:modified xsi:type="dcterms:W3CDTF">2022-08-09T17:16:36Z</dcterms:modified>
</cp:coreProperties>
</file>