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Table of Contents</w:t>
      </w:r>
    </w:p>
    <w:p>
      <w:pPr>
        <w:jc w:val="center"/>
        <w:ind w:right="-19"/>
        <w:spacing w:after="0" w:line="234" w:lineRule="auto"/>
        <w:rPr>
          <w:sz w:val="20"/>
          <w:szCs w:val="20"/>
          <w:color w:val="auto"/>
        </w:rPr>
      </w:pPr>
      <w:r>
        <w:rPr>
          <w:rFonts w:ascii="Arial" w:cs="Arial" w:eastAsia="Arial" w:hAnsi="Arial"/>
          <w:sz w:val="18"/>
          <w:szCs w:val="18"/>
          <w:b w:val="1"/>
          <w:bCs w:val="1"/>
          <w:color w:val="auto"/>
        </w:rPr>
        <w:t>UNITED STATES</w:t>
      </w:r>
    </w:p>
    <w:p>
      <w:pPr>
        <w:jc w:val="center"/>
        <w:ind w:right="-19"/>
        <w:spacing w:after="0" w:line="238" w:lineRule="auto"/>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8" w:lineRule="exact"/>
        <w:rPr>
          <w:sz w:val="24"/>
          <w:szCs w:val="24"/>
          <w:color w:val="auto"/>
        </w:rPr>
      </w:pPr>
    </w:p>
    <w:p>
      <w:pPr>
        <w:ind w:left="2880" w:right="3180" w:hanging="2872"/>
        <w:spacing w:after="0" w:line="237" w:lineRule="auto"/>
        <w:tabs>
          <w:tab w:leader="none" w:pos="61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For the quarterly period ended: </w:t>
      </w:r>
      <w:r>
        <w:rPr>
          <w:rFonts w:ascii="Arial" w:cs="Arial" w:eastAsia="Arial" w:hAnsi="Arial"/>
          <w:sz w:val="18"/>
          <w:szCs w:val="18"/>
          <w:color w:val="auto"/>
        </w:rPr>
        <w:t>September 30, 2022</w:t>
      </w:r>
    </w:p>
    <w:p>
      <w:pPr>
        <w:jc w:val="center"/>
        <w:ind w:right="-19"/>
        <w:spacing w:after="0" w:line="230" w:lineRule="auto"/>
        <w:rPr>
          <w:sz w:val="20"/>
          <w:szCs w:val="20"/>
          <w:color w:val="auto"/>
        </w:rPr>
      </w:pPr>
      <w:r>
        <w:rPr>
          <w:rFonts w:ascii="Arial" w:cs="Arial" w:eastAsia="Arial" w:hAnsi="Arial"/>
          <w:sz w:val="18"/>
          <w:szCs w:val="18"/>
          <w:b w:val="1"/>
          <w:bCs w:val="1"/>
          <w:color w:val="auto"/>
        </w:rPr>
        <w:t>or</w:t>
      </w:r>
    </w:p>
    <w:p>
      <w:pPr>
        <w:ind w:left="620" w:hanging="612"/>
        <w:spacing w:after="0"/>
        <w:tabs>
          <w:tab w:leader="none" w:pos="6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76"/>
        </w:trPr>
        <w:tc>
          <w:tcPr>
            <w:tcW w:w="10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360" w:type="dxa"/>
            <w:vAlign w:val="bottom"/>
            <w:gridSpan w:val="4"/>
          </w:tcPr>
          <w:p>
            <w:pPr>
              <w:ind w:left="240"/>
              <w:spacing w:after="0" w:line="176" w:lineRule="exact"/>
              <w:rPr>
                <w:sz w:val="20"/>
                <w:szCs w:val="20"/>
                <w:color w:val="auto"/>
              </w:rPr>
            </w:pPr>
            <w:r>
              <w:rPr>
                <w:rFonts w:ascii="Arial" w:cs="Arial" w:eastAsia="Arial" w:hAnsi="Arial"/>
                <w:sz w:val="18"/>
                <w:szCs w:val="18"/>
                <w:b w:val="1"/>
                <w:bCs w:val="1"/>
                <w:color w:val="auto"/>
              </w:rPr>
              <w:t>For the transition period from</w:t>
            </w:r>
          </w:p>
        </w:tc>
        <w:tc>
          <w:tcPr>
            <w:tcW w:w="410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to</w:t>
            </w:r>
          </w:p>
        </w:tc>
      </w:tr>
      <w:tr>
        <w:trPr>
          <w:trHeight w:val="20"/>
        </w:trPr>
        <w:tc>
          <w:tcPr>
            <w:tcW w:w="1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187"/>
        </w:trPr>
        <w:tc>
          <w:tcPr>
            <w:tcW w:w="10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360" w:type="dxa"/>
            <w:vAlign w:val="bottom"/>
            <w:gridSpan w:val="4"/>
          </w:tcPr>
          <w:p>
            <w:pPr>
              <w:jc w:val="center"/>
              <w:ind w:left="915"/>
              <w:spacing w:after="0" w:line="187" w:lineRule="exact"/>
              <w:rPr>
                <w:sz w:val="20"/>
                <w:szCs w:val="20"/>
                <w:color w:val="auto"/>
              </w:rPr>
            </w:pPr>
            <w:r>
              <w:rPr>
                <w:rFonts w:ascii="Arial" w:cs="Arial" w:eastAsia="Arial" w:hAnsi="Arial"/>
                <w:sz w:val="18"/>
                <w:szCs w:val="18"/>
                <w:b w:val="1"/>
                <w:bCs w:val="1"/>
                <w:color w:val="auto"/>
                <w:w w:val="99"/>
              </w:rPr>
              <w:t>Commission File Number</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320" w:type="dxa"/>
            <w:vAlign w:val="bottom"/>
          </w:tcPr>
          <w:p>
            <w:pPr>
              <w:spacing w:after="0"/>
              <w:rPr>
                <w:sz w:val="16"/>
                <w:szCs w:val="16"/>
                <w:color w:val="auto"/>
              </w:rPr>
            </w:pPr>
          </w:p>
        </w:tc>
      </w:tr>
      <w:tr>
        <w:trPr>
          <w:trHeight w:val="193"/>
        </w:trPr>
        <w:tc>
          <w:tcPr>
            <w:tcW w:w="10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760" w:type="dxa"/>
            <w:vAlign w:val="bottom"/>
            <w:gridSpan w:val="2"/>
          </w:tcPr>
          <w:p>
            <w:pPr>
              <w:jc w:val="right"/>
              <w:ind w:right="150"/>
              <w:spacing w:after="0" w:line="193" w:lineRule="exact"/>
              <w:rPr>
                <w:sz w:val="20"/>
                <w:szCs w:val="20"/>
                <w:color w:val="auto"/>
              </w:rPr>
            </w:pPr>
            <w:r>
              <w:rPr>
                <w:rFonts w:ascii="Arial" w:cs="Arial" w:eastAsia="Arial" w:hAnsi="Arial"/>
                <w:sz w:val="18"/>
                <w:szCs w:val="18"/>
                <w:b w:val="1"/>
                <w:bCs w:val="1"/>
                <w:color w:val="auto"/>
              </w:rPr>
              <w:t>1-00087</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320" w:type="dxa"/>
            <w:vAlign w:val="bottom"/>
          </w:tcPr>
          <w:p>
            <w:pPr>
              <w:spacing w:after="0"/>
              <w:rPr>
                <w:sz w:val="16"/>
                <w:szCs w:val="16"/>
                <w:color w:val="auto"/>
              </w:rPr>
            </w:pPr>
          </w:p>
        </w:tc>
      </w:tr>
      <w:tr>
        <w:trPr>
          <w:trHeight w:val="280"/>
        </w:trPr>
        <w:tc>
          <w:tcPr>
            <w:tcW w:w="10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460" w:type="dxa"/>
            <w:vAlign w:val="bottom"/>
            <w:gridSpan w:val="8"/>
          </w:tcPr>
          <w:p>
            <w:pPr>
              <w:jc w:val="center"/>
              <w:ind w:right="2999"/>
              <w:spacing w:after="0"/>
              <w:rPr>
                <w:sz w:val="20"/>
                <w:szCs w:val="20"/>
                <w:color w:val="auto"/>
              </w:rPr>
            </w:pPr>
            <w:r>
              <w:rPr>
                <w:rFonts w:ascii="Arial" w:cs="Arial" w:eastAsia="Arial" w:hAnsi="Arial"/>
                <w:sz w:val="22"/>
                <w:szCs w:val="22"/>
                <w:b w:val="1"/>
                <w:bCs w:val="1"/>
                <w:color w:val="auto"/>
                <w:w w:val="97"/>
              </w:rPr>
              <w:t>EASTMAN KODAK COMPANY</w:t>
            </w:r>
          </w:p>
        </w:tc>
      </w:tr>
      <w:tr>
        <w:trPr>
          <w:trHeight w:val="172"/>
        </w:trPr>
        <w:tc>
          <w:tcPr>
            <w:tcW w:w="10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460" w:type="dxa"/>
            <w:vAlign w:val="bottom"/>
            <w:gridSpan w:val="8"/>
          </w:tcPr>
          <w:p>
            <w:pPr>
              <w:jc w:val="center"/>
              <w:ind w:right="3019"/>
              <w:spacing w:after="0"/>
              <w:rPr>
                <w:sz w:val="20"/>
                <w:szCs w:val="20"/>
                <w:color w:val="auto"/>
              </w:rPr>
            </w:pPr>
            <w:r>
              <w:rPr>
                <w:rFonts w:ascii="Arial" w:cs="Arial" w:eastAsia="Arial" w:hAnsi="Arial"/>
                <w:sz w:val="14"/>
                <w:szCs w:val="14"/>
                <w:color w:val="auto"/>
              </w:rPr>
              <w:t>(Exact name of registrant as specified in its charter)</w:t>
            </w:r>
          </w:p>
        </w:tc>
      </w:tr>
      <w:tr>
        <w:trPr>
          <w:trHeight w:val="395"/>
        </w:trPr>
        <w:tc>
          <w:tcPr>
            <w:tcW w:w="1060" w:type="dxa"/>
            <w:vAlign w:val="bottom"/>
          </w:tcPr>
          <w:p>
            <w:pPr>
              <w:spacing w:after="0"/>
              <w:rPr>
                <w:sz w:val="24"/>
                <w:szCs w:val="24"/>
                <w:color w:val="auto"/>
              </w:rPr>
            </w:pPr>
          </w:p>
        </w:tc>
        <w:tc>
          <w:tcPr>
            <w:tcW w:w="2380" w:type="dxa"/>
            <w:vAlign w:val="bottom"/>
          </w:tcPr>
          <w:p>
            <w:pPr>
              <w:jc w:val="center"/>
              <w:ind w:left="1055"/>
              <w:spacing w:after="0"/>
              <w:rPr>
                <w:sz w:val="20"/>
                <w:szCs w:val="20"/>
                <w:color w:val="auto"/>
              </w:rPr>
            </w:pPr>
            <w:r>
              <w:rPr>
                <w:rFonts w:ascii="Arial" w:cs="Arial" w:eastAsia="Arial" w:hAnsi="Arial"/>
                <w:sz w:val="18"/>
                <w:szCs w:val="18"/>
                <w:b w:val="1"/>
                <w:bCs w:val="1"/>
                <w:color w:val="auto"/>
              </w:rPr>
              <w:t>New Jersey</w:t>
            </w: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00" w:type="dxa"/>
            <w:vAlign w:val="bottom"/>
            <w:gridSpan w:val="4"/>
          </w:tcPr>
          <w:p>
            <w:pPr>
              <w:jc w:val="right"/>
              <w:ind w:right="1899"/>
              <w:spacing w:after="0"/>
              <w:rPr>
                <w:sz w:val="20"/>
                <w:szCs w:val="20"/>
                <w:color w:val="auto"/>
              </w:rPr>
            </w:pPr>
            <w:r>
              <w:rPr>
                <w:rFonts w:ascii="Arial" w:cs="Arial" w:eastAsia="Arial" w:hAnsi="Arial"/>
                <w:sz w:val="18"/>
                <w:szCs w:val="18"/>
                <w:b w:val="1"/>
                <w:bCs w:val="1"/>
                <w:color w:val="auto"/>
              </w:rPr>
              <w:t>16-0417150</w:t>
            </w:r>
          </w:p>
        </w:tc>
      </w:tr>
      <w:tr>
        <w:trPr>
          <w:trHeight w:val="172"/>
        </w:trPr>
        <w:tc>
          <w:tcPr>
            <w:tcW w:w="6800" w:type="dxa"/>
            <w:vAlign w:val="bottom"/>
            <w:gridSpan w:val="6"/>
          </w:tcPr>
          <w:p>
            <w:pPr>
              <w:jc w:val="center"/>
              <w:ind w:right="1160"/>
              <w:spacing w:after="0"/>
              <w:rPr>
                <w:sz w:val="20"/>
                <w:szCs w:val="20"/>
                <w:color w:val="auto"/>
              </w:rPr>
            </w:pPr>
            <w:r>
              <w:rPr>
                <w:rFonts w:ascii="Arial" w:cs="Arial" w:eastAsia="Arial" w:hAnsi="Arial"/>
                <w:sz w:val="14"/>
                <w:szCs w:val="14"/>
                <w:color w:val="auto"/>
              </w:rPr>
              <w:t>(State or other jurisdiction of incorporation or organization)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0" w:type="dxa"/>
            <w:vAlign w:val="bottom"/>
            <w:gridSpan w:val="2"/>
          </w:tcPr>
          <w:p>
            <w:pPr>
              <w:jc w:val="center"/>
              <w:ind w:right="1059"/>
              <w:spacing w:after="0"/>
              <w:rPr>
                <w:sz w:val="20"/>
                <w:szCs w:val="20"/>
                <w:color w:val="auto"/>
              </w:rPr>
            </w:pPr>
            <w:r>
              <w:rPr>
                <w:rFonts w:ascii="Arial" w:cs="Arial" w:eastAsia="Arial" w:hAnsi="Arial"/>
                <w:sz w:val="14"/>
                <w:szCs w:val="14"/>
                <w:color w:val="auto"/>
              </w:rPr>
              <w:t>(IRS Employer Identification No.)</w:t>
            </w:r>
          </w:p>
        </w:tc>
      </w:tr>
      <w:tr>
        <w:trPr>
          <w:trHeight w:val="395"/>
        </w:trPr>
        <w:tc>
          <w:tcPr>
            <w:tcW w:w="6800" w:type="dxa"/>
            <w:vAlign w:val="bottom"/>
            <w:gridSpan w:val="6"/>
          </w:tcPr>
          <w:p>
            <w:pPr>
              <w:jc w:val="center"/>
              <w:ind w:right="1160"/>
              <w:spacing w:after="0"/>
              <w:rPr>
                <w:sz w:val="20"/>
                <w:szCs w:val="20"/>
                <w:color w:val="auto"/>
              </w:rPr>
            </w:pPr>
            <w:r>
              <w:rPr>
                <w:rFonts w:ascii="Arial" w:cs="Arial" w:eastAsia="Arial" w:hAnsi="Arial"/>
                <w:sz w:val="18"/>
                <w:szCs w:val="18"/>
                <w:b w:val="1"/>
                <w:bCs w:val="1"/>
                <w:color w:val="auto"/>
                <w:w w:val="98"/>
              </w:rPr>
              <w:t>343 STATE STREET, ROCHESTER, New York</w:t>
            </w:r>
          </w:p>
        </w:tc>
        <w:tc>
          <w:tcPr>
            <w:tcW w:w="4100" w:type="dxa"/>
            <w:vAlign w:val="bottom"/>
            <w:gridSpan w:val="4"/>
          </w:tcPr>
          <w:p>
            <w:pPr>
              <w:jc w:val="right"/>
              <w:ind w:right="2139"/>
              <w:spacing w:after="0"/>
              <w:rPr>
                <w:sz w:val="20"/>
                <w:szCs w:val="20"/>
                <w:color w:val="auto"/>
              </w:rPr>
            </w:pPr>
            <w:r>
              <w:rPr>
                <w:rFonts w:ascii="Arial" w:cs="Arial" w:eastAsia="Arial" w:hAnsi="Arial"/>
                <w:sz w:val="18"/>
                <w:szCs w:val="18"/>
                <w:b w:val="1"/>
                <w:bCs w:val="1"/>
                <w:color w:val="auto"/>
              </w:rPr>
              <w:t>14650</w:t>
            </w:r>
          </w:p>
        </w:tc>
      </w:tr>
      <w:tr>
        <w:trPr>
          <w:trHeight w:val="144"/>
        </w:trPr>
        <w:tc>
          <w:tcPr>
            <w:tcW w:w="1060" w:type="dxa"/>
            <w:vAlign w:val="bottom"/>
          </w:tcPr>
          <w:p>
            <w:pPr>
              <w:spacing w:after="0"/>
              <w:rPr>
                <w:sz w:val="12"/>
                <w:szCs w:val="12"/>
                <w:color w:val="auto"/>
              </w:rPr>
            </w:pPr>
          </w:p>
        </w:tc>
        <w:tc>
          <w:tcPr>
            <w:tcW w:w="5740" w:type="dxa"/>
            <w:vAlign w:val="bottom"/>
            <w:gridSpan w:val="5"/>
          </w:tcPr>
          <w:p>
            <w:pPr>
              <w:jc w:val="center"/>
              <w:ind w:right="2240"/>
              <w:spacing w:after="0" w:line="144" w:lineRule="exact"/>
              <w:rPr>
                <w:sz w:val="20"/>
                <w:szCs w:val="20"/>
                <w:color w:val="auto"/>
              </w:rPr>
            </w:pPr>
            <w:r>
              <w:rPr>
                <w:rFonts w:ascii="Arial" w:cs="Arial" w:eastAsia="Arial" w:hAnsi="Arial"/>
                <w:sz w:val="14"/>
                <w:szCs w:val="14"/>
                <w:color w:val="auto"/>
              </w:rPr>
              <w:t>(Address of principal executive offices)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320" w:type="dxa"/>
            <w:vAlign w:val="bottom"/>
          </w:tcPr>
          <w:p>
            <w:pPr>
              <w:jc w:val="center"/>
              <w:ind w:right="1519"/>
              <w:spacing w:after="0" w:line="144" w:lineRule="exact"/>
              <w:rPr>
                <w:sz w:val="20"/>
                <w:szCs w:val="20"/>
                <w:color w:val="auto"/>
              </w:rPr>
            </w:pPr>
            <w:r>
              <w:rPr>
                <w:rFonts w:ascii="Arial" w:cs="Arial" w:eastAsia="Arial" w:hAnsi="Arial"/>
                <w:sz w:val="14"/>
                <w:szCs w:val="14"/>
                <w:color w:val="auto"/>
              </w:rPr>
              <w:t>(Zip Code)</w:t>
            </w:r>
          </w:p>
        </w:tc>
      </w:tr>
      <w:tr>
        <w:trPr>
          <w:trHeight w:val="180"/>
        </w:trPr>
        <w:tc>
          <w:tcPr>
            <w:tcW w:w="10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760" w:type="dxa"/>
            <w:vAlign w:val="bottom"/>
            <w:gridSpan w:val="2"/>
          </w:tcPr>
          <w:p>
            <w:pPr>
              <w:jc w:val="right"/>
              <w:spacing w:after="0"/>
              <w:rPr>
                <w:sz w:val="20"/>
                <w:szCs w:val="20"/>
                <w:color w:val="auto"/>
              </w:rPr>
            </w:pPr>
            <w:r>
              <w:rPr>
                <w:rFonts w:ascii="Arial" w:cs="Arial" w:eastAsia="Arial" w:hAnsi="Arial"/>
                <w:sz w:val="14"/>
                <w:szCs w:val="14"/>
                <w:b w:val="1"/>
                <w:bCs w:val="1"/>
                <w:color w:val="auto"/>
              </w:rPr>
              <w:t>(585) 724-4000</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320" w:type="dxa"/>
            <w:vAlign w:val="bottom"/>
          </w:tcPr>
          <w:p>
            <w:pPr>
              <w:spacing w:after="0"/>
              <w:rPr>
                <w:sz w:val="15"/>
                <w:szCs w:val="15"/>
                <w:color w:val="auto"/>
              </w:rPr>
            </w:pPr>
          </w:p>
        </w:tc>
      </w:tr>
      <w:tr>
        <w:trPr>
          <w:trHeight w:val="156"/>
        </w:trPr>
        <w:tc>
          <w:tcPr>
            <w:tcW w:w="10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7460" w:type="dxa"/>
            <w:vAlign w:val="bottom"/>
            <w:gridSpan w:val="8"/>
          </w:tcPr>
          <w:p>
            <w:pPr>
              <w:jc w:val="center"/>
              <w:ind w:right="2999"/>
              <w:spacing w:after="0" w:line="157" w:lineRule="exact"/>
              <w:rPr>
                <w:sz w:val="20"/>
                <w:szCs w:val="20"/>
                <w:color w:val="auto"/>
              </w:rPr>
            </w:pPr>
            <w:r>
              <w:rPr>
                <w:rFonts w:ascii="Arial" w:cs="Arial" w:eastAsia="Arial" w:hAnsi="Arial"/>
                <w:sz w:val="14"/>
                <w:szCs w:val="14"/>
                <w:color w:val="auto"/>
              </w:rPr>
              <w:t>(Registrant’s telephone number, including area code)</w:t>
            </w:r>
          </w:p>
        </w:tc>
      </w:tr>
      <w:tr>
        <w:trPr>
          <w:trHeight w:val="181"/>
        </w:trPr>
        <w:tc>
          <w:tcPr>
            <w:tcW w:w="1060" w:type="dxa"/>
            <w:vAlign w:val="bottom"/>
          </w:tcPr>
          <w:p>
            <w:pPr>
              <w:spacing w:after="0"/>
              <w:rPr>
                <w:sz w:val="15"/>
                <w:szCs w:val="15"/>
                <w:color w:val="auto"/>
              </w:rPr>
            </w:pPr>
          </w:p>
        </w:tc>
        <w:tc>
          <w:tcPr>
            <w:tcW w:w="9840" w:type="dxa"/>
            <w:vAlign w:val="bottom"/>
            <w:gridSpan w:val="9"/>
          </w:tcPr>
          <w:p>
            <w:pPr>
              <w:jc w:val="center"/>
              <w:ind w:right="639"/>
              <w:spacing w:after="0" w:line="181" w:lineRule="exact"/>
              <w:rPr>
                <w:sz w:val="20"/>
                <w:szCs w:val="20"/>
                <w:color w:val="auto"/>
              </w:rPr>
            </w:pPr>
            <w:r>
              <w:rPr>
                <w:rFonts w:ascii="Arial" w:cs="Arial" w:eastAsia="Arial" w:hAnsi="Arial"/>
                <w:sz w:val="18"/>
                <w:szCs w:val="18"/>
                <w:color w:val="auto"/>
                <w:w w:val="99"/>
              </w:rPr>
              <w:t>Securities registered pursuant to Section 12(b) of the Act:</w:t>
            </w:r>
          </w:p>
        </w:tc>
      </w:tr>
      <w:tr>
        <w:trPr>
          <w:trHeight w:val="198"/>
        </w:trPr>
        <w:tc>
          <w:tcPr>
            <w:tcW w:w="1060" w:type="dxa"/>
            <w:vAlign w:val="bottom"/>
          </w:tcPr>
          <w:p>
            <w:pPr>
              <w:spacing w:after="0"/>
              <w:rPr>
                <w:sz w:val="17"/>
                <w:szCs w:val="17"/>
                <w:color w:val="auto"/>
              </w:rPr>
            </w:pPr>
          </w:p>
        </w:tc>
        <w:tc>
          <w:tcPr>
            <w:tcW w:w="2380" w:type="dxa"/>
            <w:vAlign w:val="bottom"/>
          </w:tcPr>
          <w:p>
            <w:pPr>
              <w:spacing w:after="0" w:line="198" w:lineRule="exact"/>
              <w:rPr>
                <w:sz w:val="20"/>
                <w:szCs w:val="20"/>
                <w:color w:val="auto"/>
              </w:rPr>
            </w:pPr>
            <w:r>
              <w:rPr>
                <w:rFonts w:ascii="Arial" w:cs="Arial" w:eastAsia="Arial" w:hAnsi="Arial"/>
                <w:sz w:val="18"/>
                <w:szCs w:val="18"/>
                <w:b w:val="1"/>
                <w:bCs w:val="1"/>
                <w:color w:val="auto"/>
                <w:w w:val="99"/>
              </w:rPr>
              <w:t>Title of each class Common</w:t>
            </w:r>
          </w:p>
        </w:tc>
        <w:tc>
          <w:tcPr>
            <w:tcW w:w="1400" w:type="dxa"/>
            <w:vAlign w:val="bottom"/>
          </w:tcPr>
          <w:p>
            <w:pPr>
              <w:spacing w:after="0"/>
              <w:rPr>
                <w:sz w:val="17"/>
                <w:szCs w:val="17"/>
                <w:color w:val="auto"/>
              </w:rPr>
            </w:pPr>
          </w:p>
        </w:tc>
        <w:tc>
          <w:tcPr>
            <w:tcW w:w="1960" w:type="dxa"/>
            <w:vAlign w:val="bottom"/>
            <w:gridSpan w:val="3"/>
          </w:tcPr>
          <w:p>
            <w:pPr>
              <w:jc w:val="center"/>
              <w:ind w:right="400"/>
              <w:spacing w:after="0" w:line="198" w:lineRule="exact"/>
              <w:rPr>
                <w:sz w:val="20"/>
                <w:szCs w:val="20"/>
                <w:color w:val="auto"/>
              </w:rPr>
            </w:pPr>
            <w:r>
              <w:rPr>
                <w:rFonts w:ascii="Arial" w:cs="Arial" w:eastAsia="Arial" w:hAnsi="Arial"/>
                <w:sz w:val="18"/>
                <w:szCs w:val="18"/>
                <w:b w:val="1"/>
                <w:bCs w:val="1"/>
                <w:color w:val="auto"/>
                <w:w w:val="98"/>
              </w:rPr>
              <w:t>Trading Symbol(s)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1400" w:type="dxa"/>
            <w:vAlign w:val="bottom"/>
          </w:tcPr>
          <w:p>
            <w:pPr>
              <w:spacing w:after="0"/>
              <w:rPr>
                <w:sz w:val="19"/>
                <w:szCs w:val="19"/>
                <w:color w:val="auto"/>
              </w:rPr>
            </w:pPr>
          </w:p>
        </w:tc>
        <w:tc>
          <w:tcPr>
            <w:tcW w:w="1960" w:type="dxa"/>
            <w:vAlign w:val="bottom"/>
            <w:gridSpan w:val="3"/>
          </w:tcPr>
          <w:p>
            <w:pPr>
              <w:jc w:val="center"/>
              <w:ind w:right="400"/>
              <w:spacing w:after="0"/>
              <w:rPr>
                <w:sz w:val="20"/>
                <w:szCs w:val="20"/>
                <w:color w:val="auto"/>
              </w:rPr>
            </w:pPr>
            <w:r>
              <w:rPr>
                <w:rFonts w:ascii="Arial" w:cs="Arial" w:eastAsia="Arial" w:hAnsi="Arial"/>
                <w:sz w:val="18"/>
                <w:szCs w:val="18"/>
                <w:color w:val="auto"/>
              </w:rPr>
              <w:t>KODK</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20" w:type="dxa"/>
            <w:vAlign w:val="bottom"/>
          </w:tcPr>
          <w:p>
            <w:pPr>
              <w:jc w:val="center"/>
              <w:ind w:right="419"/>
              <w:spacing w:after="0"/>
              <w:rPr>
                <w:sz w:val="20"/>
                <w:szCs w:val="20"/>
                <w:color w:val="auto"/>
              </w:rPr>
            </w:pPr>
            <w:r>
              <w:rPr>
                <w:rFonts w:ascii="Arial" w:cs="Arial" w:eastAsia="Arial" w:hAnsi="Arial"/>
                <w:sz w:val="18"/>
                <w:szCs w:val="18"/>
                <w:color w:val="auto"/>
                <w:w w:val="98"/>
              </w:rPr>
              <w:t>New York Stock Exchange</w:t>
            </w:r>
          </w:p>
        </w:tc>
      </w:tr>
    </w:tbl>
    <w:p>
      <w:pPr>
        <w:spacing w:after="0" w:line="148" w:lineRule="exact"/>
        <w:rPr>
          <w:sz w:val="24"/>
          <w:szCs w:val="24"/>
          <w:color w:val="auto"/>
        </w:rPr>
      </w:pPr>
    </w:p>
    <w:p>
      <w:pPr>
        <w:ind w:right="4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ind w:right="24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7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8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182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258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1820"/>
              <w:spacing w:after="0" w:line="202" w:lineRule="exact"/>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58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62" w:lineRule="exact"/>
        <w:rPr>
          <w:sz w:val="24"/>
          <w:szCs w:val="24"/>
          <w:color w:val="auto"/>
        </w:rPr>
      </w:pPr>
    </w:p>
    <w:p>
      <w:pPr>
        <w:ind w:right="18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4"/>
          <w:szCs w:val="24"/>
          <w:color w:val="auto"/>
        </w:rPr>
      </w:pPr>
    </w:p>
    <w:p>
      <w:pPr>
        <w:ind w:right="1180"/>
        <w:spacing w:after="0" w:line="33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1, 2022, the registrant had 79,101,776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280" w:type="dxa"/>
            <w:vAlign w:val="bottom"/>
            <w:gridSpan w:val="20"/>
          </w:tcPr>
          <w:p>
            <w:pPr>
              <w:spacing w:after="0"/>
              <w:rPr>
                <w:sz w:val="20"/>
                <w:szCs w:val="20"/>
                <w:color w:val="auto"/>
              </w:rPr>
            </w:pPr>
            <w:r>
              <w:rPr>
                <w:rFonts w:ascii="Arial" w:cs="Arial" w:eastAsia="Arial" w:hAnsi="Arial"/>
                <w:sz w:val="18"/>
                <w:szCs w:val="18"/>
                <w:color w:val="0000EE"/>
              </w:rPr>
              <w:t>Table of Contents</w:t>
            </w: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6"/>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0" w:type="dxa"/>
            <w:vAlign w:val="bottom"/>
            <w:gridSpan w:val="10"/>
          </w:tcPr>
          <w:p>
            <w:pPr>
              <w:jc w:val="center"/>
              <w:ind w:right="1720"/>
              <w:spacing w:after="0"/>
              <w:rPr>
                <w:sz w:val="20"/>
                <w:szCs w:val="20"/>
                <w:color w:val="auto"/>
              </w:rPr>
            </w:pPr>
            <w:r>
              <w:rPr>
                <w:rFonts w:ascii="Arial" w:cs="Arial" w:eastAsia="Arial" w:hAnsi="Arial"/>
                <w:sz w:val="18"/>
                <w:szCs w:val="18"/>
                <w:b w:val="1"/>
                <w:bCs w:val="1"/>
                <w:color w:val="auto"/>
                <w:w w:val="99"/>
              </w:rPr>
              <w:t>EASTMAN KODAK COMPANY</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740" w:type="dxa"/>
            <w:vAlign w:val="bottom"/>
            <w:gridSpan w:val="9"/>
          </w:tcPr>
          <w:p>
            <w:pPr>
              <w:jc w:val="center"/>
              <w:ind w:right="2560"/>
              <w:spacing w:after="0"/>
              <w:rPr>
                <w:sz w:val="20"/>
                <w:szCs w:val="20"/>
                <w:color w:val="auto"/>
              </w:rPr>
            </w:pPr>
            <w:r>
              <w:rPr>
                <w:rFonts w:ascii="Arial" w:cs="Arial" w:eastAsia="Arial" w:hAnsi="Arial"/>
                <w:sz w:val="18"/>
                <w:szCs w:val="18"/>
                <w:b w:val="1"/>
                <w:bCs w:val="1"/>
                <w:color w:val="auto"/>
                <w:w w:val="99"/>
              </w:rPr>
              <w:t>Form 10-Q</w:t>
            </w: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40" w:type="dxa"/>
            <w:vAlign w:val="bottom"/>
            <w:gridSpan w:val="9"/>
          </w:tcPr>
          <w:p>
            <w:pPr>
              <w:jc w:val="center"/>
              <w:ind w:right="2580"/>
              <w:spacing w:after="0"/>
              <w:rPr>
                <w:sz w:val="20"/>
                <w:szCs w:val="20"/>
                <w:color w:val="auto"/>
              </w:rPr>
            </w:pPr>
            <w:r>
              <w:rPr>
                <w:rFonts w:ascii="Arial" w:cs="Arial" w:eastAsia="Arial" w:hAnsi="Arial"/>
                <w:sz w:val="18"/>
                <w:szCs w:val="18"/>
                <w:b w:val="1"/>
                <w:bCs w:val="1"/>
                <w:color w:val="auto"/>
                <w:w w:val="99"/>
              </w:rPr>
              <w:t>September 30, 2022</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40" w:type="dxa"/>
            <w:vAlign w:val="bottom"/>
            <w:gridSpan w:val="9"/>
          </w:tcPr>
          <w:p>
            <w:pPr>
              <w:jc w:val="center"/>
              <w:ind w:right="2560"/>
              <w:spacing w:after="0"/>
              <w:rPr>
                <w:sz w:val="20"/>
                <w:szCs w:val="20"/>
                <w:color w:val="auto"/>
              </w:rPr>
            </w:pPr>
            <w:r>
              <w:rPr>
                <w:rFonts w:ascii="Arial" w:cs="Arial" w:eastAsia="Arial" w:hAnsi="Arial"/>
                <w:sz w:val="18"/>
                <w:szCs w:val="18"/>
                <w:b w:val="1"/>
                <w:bCs w:val="1"/>
                <w:color w:val="auto"/>
                <w:w w:val="98"/>
              </w:rPr>
              <w:t>Table of Contents</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0" w:type="dxa"/>
            <w:vAlign w:val="bottom"/>
            <w:gridSpan w:val="10"/>
            <w:vMerge w:val="restart"/>
          </w:tcPr>
          <w:p>
            <w:pPr>
              <w:jc w:val="center"/>
              <w:ind w:right="1900"/>
              <w:spacing w:after="0"/>
              <w:rPr>
                <w:sz w:val="20"/>
                <w:szCs w:val="20"/>
                <w:color w:val="auto"/>
              </w:rPr>
            </w:pPr>
            <w:r>
              <w:rPr>
                <w:rFonts w:ascii="Arial" w:cs="Arial" w:eastAsia="Arial" w:hAnsi="Arial"/>
                <w:sz w:val="18"/>
                <w:szCs w:val="18"/>
                <w:b w:val="1"/>
                <w:bCs w:val="1"/>
                <w:color w:val="auto"/>
                <w:w w:val="99"/>
              </w:rPr>
              <w:t>Part I.</w:t>
            </w:r>
            <w:r>
              <w:rPr>
                <w:rFonts w:ascii="Arial" w:cs="Arial" w:eastAsia="Arial" w:hAnsi="Arial"/>
                <w:sz w:val="18"/>
                <w:szCs w:val="18"/>
                <w:color w:val="auto"/>
                <w:w w:val="99"/>
              </w:rPr>
              <w:t>—</w:t>
            </w:r>
            <w:r>
              <w:rPr>
                <w:rFonts w:ascii="Arial" w:cs="Arial" w:eastAsia="Arial" w:hAnsi="Arial"/>
                <w:sz w:val="18"/>
                <w:szCs w:val="18"/>
                <w:b w:val="1"/>
                <w:bCs w:val="1"/>
                <w:color w:val="auto"/>
                <w:w w:val="99"/>
              </w:rPr>
              <w:t>Financial Information</w:t>
            </w:r>
          </w:p>
        </w:tc>
        <w:tc>
          <w:tcPr>
            <w:tcW w:w="1960" w:type="dxa"/>
            <w:vAlign w:val="bottom"/>
            <w:gridSpan w:val="5"/>
          </w:tcPr>
          <w:p>
            <w:pPr>
              <w:ind w:left="10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0" w:type="dxa"/>
            <w:vAlign w:val="bottom"/>
            <w:gridSpan w:val="10"/>
            <w:vMerge w:val="continue"/>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8140" w:type="dxa"/>
            <w:vAlign w:val="bottom"/>
            <w:gridSpan w:val="19"/>
          </w:tcPr>
          <w:p>
            <w:pPr>
              <w:spacing w:after="0"/>
              <w:rPr>
                <w:sz w:val="20"/>
                <w:szCs w:val="20"/>
                <w:color w:val="auto"/>
              </w:rPr>
            </w:pPr>
            <w:r>
              <w:rPr>
                <w:rFonts w:ascii="Arial" w:cs="Arial" w:eastAsia="Arial" w:hAnsi="Arial"/>
                <w:sz w:val="18"/>
                <w:szCs w:val="18"/>
                <w:color w:val="0000EE"/>
              </w:rPr>
              <w:t>Financial Statements</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140" w:type="dxa"/>
            <w:vAlign w:val="bottom"/>
            <w:gridSpan w:val="19"/>
          </w:tcPr>
          <w:p>
            <w:pPr>
              <w:spacing w:after="0" w:line="182" w:lineRule="exact"/>
              <w:rPr>
                <w:sz w:val="20"/>
                <w:szCs w:val="20"/>
                <w:color w:val="auto"/>
              </w:rPr>
            </w:pPr>
            <w:r>
              <w:rPr>
                <w:rFonts w:ascii="Arial" w:cs="Arial" w:eastAsia="Arial" w:hAnsi="Arial"/>
                <w:sz w:val="18"/>
                <w:szCs w:val="18"/>
                <w:color w:val="0000EE"/>
              </w:rPr>
              <w:t>Consolidated Statement of Operations (Unaudited)</w:t>
            </w:r>
          </w:p>
        </w:tc>
        <w:tc>
          <w:tcPr>
            <w:tcW w:w="1400" w:type="dxa"/>
            <w:vAlign w:val="bottom"/>
            <w:gridSpan w:val="4"/>
          </w:tcPr>
          <w:p>
            <w:pPr>
              <w:jc w:val="center"/>
              <w:ind w:left="1090"/>
              <w:spacing w:after="0" w:line="182" w:lineRule="exact"/>
              <w:rPr>
                <w:sz w:val="20"/>
                <w:szCs w:val="20"/>
                <w:color w:val="auto"/>
              </w:rPr>
            </w:pPr>
            <w:r>
              <w:rPr>
                <w:rFonts w:ascii="Arial" w:cs="Arial" w:eastAsia="Arial" w:hAnsi="Arial"/>
                <w:sz w:val="18"/>
                <w:szCs w:val="18"/>
                <w:color w:val="0000EE"/>
                <w:w w:val="99"/>
              </w:rPr>
              <w:t>3</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40" w:type="dxa"/>
            <w:vAlign w:val="bottom"/>
          </w:tcPr>
          <w:p>
            <w:pPr>
              <w:spacing w:after="0"/>
              <w:rPr>
                <w:sz w:val="15"/>
                <w:szCs w:val="15"/>
                <w:color w:val="auto"/>
              </w:rPr>
            </w:pPr>
          </w:p>
        </w:tc>
        <w:tc>
          <w:tcPr>
            <w:tcW w:w="8140" w:type="dxa"/>
            <w:vAlign w:val="bottom"/>
            <w:gridSpan w:val="19"/>
          </w:tcPr>
          <w:p>
            <w:pPr>
              <w:spacing w:after="0" w:line="182" w:lineRule="exact"/>
              <w:rPr>
                <w:sz w:val="20"/>
                <w:szCs w:val="20"/>
                <w:color w:val="auto"/>
              </w:rPr>
            </w:pPr>
            <w:r>
              <w:rPr>
                <w:rFonts w:ascii="Arial" w:cs="Arial" w:eastAsia="Arial" w:hAnsi="Arial"/>
                <w:sz w:val="18"/>
                <w:szCs w:val="18"/>
                <w:color w:val="0000EE"/>
              </w:rPr>
              <w:t>Consolidated Statement of Comprehensive Income (Unaudited)</w:t>
            </w:r>
          </w:p>
        </w:tc>
        <w:tc>
          <w:tcPr>
            <w:tcW w:w="1400" w:type="dxa"/>
            <w:vAlign w:val="bottom"/>
            <w:gridSpan w:val="4"/>
          </w:tcPr>
          <w:p>
            <w:pPr>
              <w:jc w:val="center"/>
              <w:ind w:left="1090"/>
              <w:spacing w:after="0" w:line="182" w:lineRule="exact"/>
              <w:rPr>
                <w:sz w:val="20"/>
                <w:szCs w:val="20"/>
                <w:color w:val="auto"/>
              </w:rPr>
            </w:pPr>
            <w:r>
              <w:rPr>
                <w:rFonts w:ascii="Arial" w:cs="Arial" w:eastAsia="Arial" w:hAnsi="Arial"/>
                <w:sz w:val="18"/>
                <w:szCs w:val="18"/>
                <w:color w:val="0000EE"/>
                <w:w w:val="99"/>
              </w:rPr>
              <w:t>4</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4580" w:type="dxa"/>
            <w:vAlign w:val="bottom"/>
            <w:gridSpan w:val="14"/>
          </w:tcPr>
          <w:p>
            <w:pPr>
              <w:spacing w:after="0" w:line="182" w:lineRule="exact"/>
              <w:rPr>
                <w:sz w:val="20"/>
                <w:szCs w:val="20"/>
                <w:color w:val="auto"/>
              </w:rPr>
            </w:pPr>
            <w:r>
              <w:rPr>
                <w:rFonts w:ascii="Arial" w:cs="Arial" w:eastAsia="Arial" w:hAnsi="Arial"/>
                <w:sz w:val="18"/>
                <w:szCs w:val="18"/>
                <w:color w:val="0000EE"/>
                <w:w w:val="99"/>
              </w:rPr>
              <w:t>Consolidated Statement of Financial Position (Unaudited)</w:t>
            </w:r>
          </w:p>
        </w:tc>
        <w:tc>
          <w:tcPr>
            <w:tcW w:w="480" w:type="dxa"/>
            <w:vAlign w:val="bottom"/>
            <w:gridSpan w:val="3"/>
          </w:tcPr>
          <w:p>
            <w:pPr>
              <w:spacing w:after="0"/>
              <w:rPr>
                <w:sz w:val="15"/>
                <w:szCs w:val="15"/>
                <w:color w:val="auto"/>
              </w:rPr>
            </w:pPr>
          </w:p>
        </w:tc>
        <w:tc>
          <w:tcPr>
            <w:tcW w:w="3080" w:type="dxa"/>
            <w:vAlign w:val="bottom"/>
            <w:gridSpan w:val="2"/>
          </w:tcPr>
          <w:p>
            <w:pPr>
              <w:spacing w:after="0"/>
              <w:rPr>
                <w:sz w:val="15"/>
                <w:szCs w:val="15"/>
                <w:color w:val="auto"/>
              </w:rPr>
            </w:pPr>
          </w:p>
        </w:tc>
        <w:tc>
          <w:tcPr>
            <w:tcW w:w="1240" w:type="dxa"/>
            <w:vAlign w:val="bottom"/>
            <w:gridSpan w:val="2"/>
          </w:tcPr>
          <w:p>
            <w:pPr>
              <w:spacing w:after="0"/>
              <w:rPr>
                <w:sz w:val="15"/>
                <w:szCs w:val="15"/>
                <w:color w:val="auto"/>
              </w:rPr>
            </w:pPr>
          </w:p>
        </w:tc>
        <w:tc>
          <w:tcPr>
            <w:tcW w:w="160" w:type="dxa"/>
            <w:vAlign w:val="bottom"/>
            <w:gridSpan w:val="2"/>
          </w:tcPr>
          <w:p>
            <w:pPr>
              <w:jc w:val="center"/>
              <w:ind w:right="60"/>
              <w:spacing w:after="0" w:line="182" w:lineRule="exact"/>
              <w:rPr>
                <w:sz w:val="20"/>
                <w:szCs w:val="20"/>
                <w:color w:val="auto"/>
              </w:rPr>
            </w:pPr>
            <w:r>
              <w:rPr>
                <w:rFonts w:ascii="Arial" w:cs="Arial" w:eastAsia="Arial" w:hAnsi="Arial"/>
                <w:sz w:val="18"/>
                <w:szCs w:val="18"/>
                <w:color w:val="0000EE"/>
                <w:w w:val="99"/>
              </w:rPr>
              <w:t>5</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4580" w:type="dxa"/>
            <w:vAlign w:val="bottom"/>
            <w:gridSpan w:val="14"/>
          </w:tcPr>
          <w:p>
            <w:pPr>
              <w:spacing w:after="0" w:line="182" w:lineRule="exact"/>
              <w:rPr>
                <w:sz w:val="20"/>
                <w:szCs w:val="20"/>
                <w:color w:val="auto"/>
              </w:rPr>
            </w:pPr>
            <w:r>
              <w:rPr>
                <w:rFonts w:ascii="Arial" w:cs="Arial" w:eastAsia="Arial" w:hAnsi="Arial"/>
                <w:sz w:val="18"/>
                <w:szCs w:val="18"/>
                <w:color w:val="0000EE"/>
              </w:rPr>
              <w:t>Consolidated Statement of Cash Flows (Unaudited)</w:t>
            </w:r>
          </w:p>
        </w:tc>
        <w:tc>
          <w:tcPr>
            <w:tcW w:w="3560" w:type="dxa"/>
            <w:vAlign w:val="bottom"/>
            <w:gridSpan w:val="5"/>
          </w:tcPr>
          <w:p>
            <w:pPr>
              <w:spacing w:after="0"/>
              <w:rPr>
                <w:sz w:val="15"/>
                <w:szCs w:val="15"/>
                <w:color w:val="auto"/>
              </w:rPr>
            </w:pPr>
          </w:p>
        </w:tc>
        <w:tc>
          <w:tcPr>
            <w:tcW w:w="1240" w:type="dxa"/>
            <w:vAlign w:val="bottom"/>
            <w:gridSpan w:val="2"/>
          </w:tcPr>
          <w:p>
            <w:pPr>
              <w:spacing w:after="0"/>
              <w:rPr>
                <w:sz w:val="15"/>
                <w:szCs w:val="15"/>
                <w:color w:val="auto"/>
              </w:rPr>
            </w:pPr>
          </w:p>
        </w:tc>
        <w:tc>
          <w:tcPr>
            <w:tcW w:w="160" w:type="dxa"/>
            <w:vAlign w:val="bottom"/>
            <w:gridSpan w:val="2"/>
          </w:tcPr>
          <w:p>
            <w:pPr>
              <w:jc w:val="center"/>
              <w:ind w:right="60"/>
              <w:spacing w:after="0" w:line="182" w:lineRule="exact"/>
              <w:rPr>
                <w:sz w:val="20"/>
                <w:szCs w:val="20"/>
                <w:color w:val="auto"/>
              </w:rPr>
            </w:pPr>
            <w:r>
              <w:rPr>
                <w:rFonts w:ascii="Arial" w:cs="Arial" w:eastAsia="Arial" w:hAnsi="Arial"/>
                <w:sz w:val="18"/>
                <w:szCs w:val="18"/>
                <w:color w:val="0000EE"/>
                <w:w w:val="99"/>
              </w:rPr>
              <w:t>6</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4340" w:type="dxa"/>
            <w:vAlign w:val="bottom"/>
            <w:gridSpan w:val="13"/>
          </w:tcPr>
          <w:p>
            <w:pPr>
              <w:spacing w:after="0" w:line="182" w:lineRule="exact"/>
              <w:rPr>
                <w:sz w:val="20"/>
                <w:szCs w:val="20"/>
                <w:color w:val="auto"/>
              </w:rPr>
            </w:pPr>
            <w:r>
              <w:rPr>
                <w:rFonts w:ascii="Arial" w:cs="Arial" w:eastAsia="Arial" w:hAnsi="Arial"/>
                <w:sz w:val="18"/>
                <w:szCs w:val="18"/>
                <w:color w:val="0000EE"/>
                <w:w w:val="99"/>
              </w:rPr>
              <w:t>Consolidated Statement of Equity (Deficit) (Unaudited)</w:t>
            </w:r>
          </w:p>
        </w:tc>
        <w:tc>
          <w:tcPr>
            <w:tcW w:w="3800" w:type="dxa"/>
            <w:vAlign w:val="bottom"/>
            <w:gridSpan w:val="6"/>
          </w:tcPr>
          <w:p>
            <w:pPr>
              <w:spacing w:after="0"/>
              <w:rPr>
                <w:sz w:val="15"/>
                <w:szCs w:val="15"/>
                <w:color w:val="auto"/>
              </w:rPr>
            </w:pPr>
          </w:p>
        </w:tc>
        <w:tc>
          <w:tcPr>
            <w:tcW w:w="1240" w:type="dxa"/>
            <w:vAlign w:val="bottom"/>
            <w:gridSpan w:val="2"/>
          </w:tcPr>
          <w:p>
            <w:pPr>
              <w:spacing w:after="0"/>
              <w:rPr>
                <w:sz w:val="15"/>
                <w:szCs w:val="15"/>
                <w:color w:val="auto"/>
              </w:rPr>
            </w:pPr>
          </w:p>
        </w:tc>
        <w:tc>
          <w:tcPr>
            <w:tcW w:w="160" w:type="dxa"/>
            <w:vAlign w:val="bottom"/>
            <w:gridSpan w:val="2"/>
          </w:tcPr>
          <w:p>
            <w:pPr>
              <w:jc w:val="center"/>
              <w:ind w:right="60"/>
              <w:spacing w:after="0" w:line="182" w:lineRule="exact"/>
              <w:rPr>
                <w:sz w:val="20"/>
                <w:szCs w:val="20"/>
                <w:color w:val="auto"/>
              </w:rPr>
            </w:pPr>
            <w:r>
              <w:rPr>
                <w:rFonts w:ascii="Arial" w:cs="Arial" w:eastAsia="Arial" w:hAnsi="Arial"/>
                <w:sz w:val="18"/>
                <w:szCs w:val="18"/>
                <w:color w:val="0000EE"/>
                <w:w w:val="99"/>
              </w:rPr>
              <w:t>7</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3400" w:type="dxa"/>
            <w:vAlign w:val="bottom"/>
            <w:gridSpan w:val="10"/>
          </w:tcPr>
          <w:p>
            <w:pPr>
              <w:spacing w:after="0" w:line="182" w:lineRule="exact"/>
              <w:rPr>
                <w:sz w:val="20"/>
                <w:szCs w:val="20"/>
                <w:color w:val="auto"/>
              </w:rPr>
            </w:pPr>
            <w:r>
              <w:rPr>
                <w:rFonts w:ascii="Arial" w:cs="Arial" w:eastAsia="Arial" w:hAnsi="Arial"/>
                <w:sz w:val="18"/>
                <w:szCs w:val="18"/>
                <w:color w:val="0000EE"/>
                <w:w w:val="99"/>
              </w:rPr>
              <w:t>Notes to Financial Statements (Unaudited)</w:t>
            </w:r>
          </w:p>
        </w:tc>
        <w:tc>
          <w:tcPr>
            <w:tcW w:w="940" w:type="dxa"/>
            <w:vAlign w:val="bottom"/>
            <w:gridSpan w:val="3"/>
          </w:tcPr>
          <w:p>
            <w:pPr>
              <w:spacing w:after="0"/>
              <w:rPr>
                <w:sz w:val="15"/>
                <w:szCs w:val="15"/>
                <w:color w:val="auto"/>
              </w:rPr>
            </w:pPr>
          </w:p>
        </w:tc>
        <w:tc>
          <w:tcPr>
            <w:tcW w:w="3800" w:type="dxa"/>
            <w:vAlign w:val="bottom"/>
            <w:gridSpan w:val="6"/>
          </w:tcPr>
          <w:p>
            <w:pPr>
              <w:spacing w:after="0"/>
              <w:rPr>
                <w:sz w:val="15"/>
                <w:szCs w:val="15"/>
                <w:color w:val="auto"/>
              </w:rPr>
            </w:pPr>
          </w:p>
        </w:tc>
        <w:tc>
          <w:tcPr>
            <w:tcW w:w="1240" w:type="dxa"/>
            <w:vAlign w:val="bottom"/>
            <w:gridSpan w:val="2"/>
          </w:tcPr>
          <w:p>
            <w:pPr>
              <w:spacing w:after="0"/>
              <w:rPr>
                <w:sz w:val="15"/>
                <w:szCs w:val="15"/>
                <w:color w:val="auto"/>
              </w:rPr>
            </w:pPr>
          </w:p>
        </w:tc>
        <w:tc>
          <w:tcPr>
            <w:tcW w:w="160" w:type="dxa"/>
            <w:vAlign w:val="bottom"/>
            <w:gridSpan w:val="2"/>
          </w:tcPr>
          <w:p>
            <w:pPr>
              <w:jc w:val="center"/>
              <w:ind w:right="60"/>
              <w:spacing w:after="0" w:line="182" w:lineRule="exact"/>
              <w:rPr>
                <w:sz w:val="20"/>
                <w:szCs w:val="20"/>
                <w:color w:val="auto"/>
              </w:rPr>
            </w:pPr>
            <w:r>
              <w:rPr>
                <w:rFonts w:ascii="Arial" w:cs="Arial" w:eastAsia="Arial" w:hAnsi="Arial"/>
                <w:sz w:val="18"/>
                <w:szCs w:val="18"/>
                <w:color w:val="0000EE"/>
                <w:w w:val="99"/>
              </w:rPr>
              <w:t>9</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7080" w:type="dxa"/>
            <w:vAlign w:val="bottom"/>
            <w:gridSpan w:val="18"/>
          </w:tcPr>
          <w:p>
            <w:pPr>
              <w:spacing w:after="0" w:line="182" w:lineRule="exact"/>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1060" w:type="dxa"/>
            <w:vAlign w:val="bottom"/>
          </w:tcPr>
          <w:p>
            <w:pPr>
              <w:spacing w:after="0"/>
              <w:rPr>
                <w:sz w:val="15"/>
                <w:szCs w:val="15"/>
                <w:color w:val="auto"/>
              </w:rPr>
            </w:pPr>
          </w:p>
        </w:tc>
        <w:tc>
          <w:tcPr>
            <w:tcW w:w="1960" w:type="dxa"/>
            <w:vAlign w:val="bottom"/>
            <w:gridSpan w:val="5"/>
          </w:tcPr>
          <w:p>
            <w:pPr>
              <w:jc w:val="center"/>
              <w:ind w:left="550"/>
              <w:spacing w:after="0" w:line="182" w:lineRule="exact"/>
              <w:rPr>
                <w:sz w:val="20"/>
                <w:szCs w:val="20"/>
                <w:color w:val="auto"/>
              </w:rPr>
            </w:pPr>
            <w:r>
              <w:rPr>
                <w:rFonts w:ascii="Arial" w:cs="Arial" w:eastAsia="Arial" w:hAnsi="Arial"/>
                <w:sz w:val="18"/>
                <w:szCs w:val="18"/>
                <w:color w:val="0000EE"/>
                <w:w w:val="99"/>
              </w:rPr>
              <w:t>33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540" w:type="dxa"/>
            <w:vAlign w:val="bottom"/>
            <w:gridSpan w:val="9"/>
          </w:tcPr>
          <w:p>
            <w:pPr>
              <w:spacing w:after="0" w:line="182" w:lineRule="exact"/>
              <w:rPr>
                <w:sz w:val="20"/>
                <w:szCs w:val="20"/>
                <w:color w:val="auto"/>
              </w:rPr>
            </w:pPr>
            <w:r>
              <w:rPr>
                <w:rFonts w:ascii="Arial" w:cs="Arial" w:eastAsia="Arial" w:hAnsi="Arial"/>
                <w:sz w:val="18"/>
                <w:szCs w:val="18"/>
                <w:color w:val="0000EE"/>
                <w:w w:val="99"/>
              </w:rPr>
              <w:t>Liquidity and Capital Resources</w:t>
            </w:r>
          </w:p>
        </w:tc>
        <w:tc>
          <w:tcPr>
            <w:tcW w:w="4540" w:type="dxa"/>
            <w:vAlign w:val="bottom"/>
            <w:gridSpan w:val="9"/>
          </w:tcPr>
          <w:p>
            <w:pPr>
              <w:spacing w:after="0"/>
              <w:rPr>
                <w:sz w:val="15"/>
                <w:szCs w:val="15"/>
                <w:color w:val="auto"/>
              </w:rPr>
            </w:pPr>
          </w:p>
        </w:tc>
        <w:tc>
          <w:tcPr>
            <w:tcW w:w="1060" w:type="dxa"/>
            <w:vAlign w:val="bottom"/>
          </w:tcPr>
          <w:p>
            <w:pPr>
              <w:spacing w:after="0"/>
              <w:rPr>
                <w:sz w:val="15"/>
                <w:szCs w:val="15"/>
                <w:color w:val="auto"/>
              </w:rPr>
            </w:pPr>
          </w:p>
        </w:tc>
        <w:tc>
          <w:tcPr>
            <w:tcW w:w="1960" w:type="dxa"/>
            <w:vAlign w:val="bottom"/>
            <w:gridSpan w:val="5"/>
          </w:tcPr>
          <w:p>
            <w:pPr>
              <w:jc w:val="center"/>
              <w:ind w:left="550"/>
              <w:spacing w:after="0" w:line="182" w:lineRule="exact"/>
              <w:rPr>
                <w:sz w:val="20"/>
                <w:szCs w:val="20"/>
                <w:color w:val="auto"/>
              </w:rPr>
            </w:pPr>
            <w:r>
              <w:rPr>
                <w:rFonts w:ascii="Arial" w:cs="Arial" w:eastAsia="Arial" w:hAnsi="Arial"/>
                <w:sz w:val="18"/>
                <w:szCs w:val="18"/>
                <w:color w:val="0000EE"/>
                <w:w w:val="99"/>
              </w:rPr>
              <w:t>44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4720" w:type="dxa"/>
            <w:vAlign w:val="bottom"/>
            <w:gridSpan w:val="15"/>
          </w:tcPr>
          <w:p>
            <w:pPr>
              <w:spacing w:after="0" w:line="182" w:lineRule="exact"/>
              <w:rPr>
                <w:sz w:val="20"/>
                <w:szCs w:val="20"/>
                <w:color w:val="auto"/>
              </w:rPr>
            </w:pPr>
            <w:r>
              <w:rPr>
                <w:rFonts w:ascii="Arial" w:cs="Arial" w:eastAsia="Arial" w:hAnsi="Arial"/>
                <w:sz w:val="18"/>
                <w:szCs w:val="18"/>
                <w:color w:val="0000EE"/>
                <w:w w:val="99"/>
              </w:rPr>
              <w:t>Quantitative and Qualitative Disclosures About Market Risk</w:t>
            </w:r>
          </w:p>
        </w:tc>
        <w:tc>
          <w:tcPr>
            <w:tcW w:w="3420" w:type="dxa"/>
            <w:vAlign w:val="bottom"/>
            <w:gridSpan w:val="4"/>
          </w:tcPr>
          <w:p>
            <w:pPr>
              <w:spacing w:after="0"/>
              <w:rPr>
                <w:sz w:val="15"/>
                <w:szCs w:val="15"/>
                <w:color w:val="auto"/>
              </w:rPr>
            </w:pPr>
          </w:p>
        </w:tc>
        <w:tc>
          <w:tcPr>
            <w:tcW w:w="1960" w:type="dxa"/>
            <w:vAlign w:val="bottom"/>
            <w:gridSpan w:val="5"/>
          </w:tcPr>
          <w:p>
            <w:pPr>
              <w:jc w:val="center"/>
              <w:ind w:left="550"/>
              <w:spacing w:after="0" w:line="182" w:lineRule="exact"/>
              <w:rPr>
                <w:sz w:val="20"/>
                <w:szCs w:val="20"/>
                <w:color w:val="auto"/>
              </w:rPr>
            </w:pPr>
            <w:r>
              <w:rPr>
                <w:rFonts w:ascii="Arial" w:cs="Arial" w:eastAsia="Arial" w:hAnsi="Arial"/>
                <w:sz w:val="18"/>
                <w:szCs w:val="18"/>
                <w:color w:val="0000EE"/>
                <w:w w:val="99"/>
              </w:rPr>
              <w:t>48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20" w:type="dxa"/>
            <w:vAlign w:val="bottom"/>
            <w:gridSpan w:val="7"/>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4720" w:type="dxa"/>
            <w:vAlign w:val="bottom"/>
            <w:gridSpan w:val="15"/>
          </w:tcPr>
          <w:p>
            <w:pPr>
              <w:spacing w:after="0" w:line="182" w:lineRule="exact"/>
              <w:rPr>
                <w:sz w:val="20"/>
                <w:szCs w:val="20"/>
                <w:color w:val="auto"/>
              </w:rPr>
            </w:pPr>
            <w:r>
              <w:rPr>
                <w:rFonts w:ascii="Arial" w:cs="Arial" w:eastAsia="Arial" w:hAnsi="Arial"/>
                <w:sz w:val="18"/>
                <w:szCs w:val="18"/>
                <w:color w:val="0000EE"/>
              </w:rPr>
              <w:t>Controls and Procedures</w:t>
            </w:r>
          </w:p>
        </w:tc>
        <w:tc>
          <w:tcPr>
            <w:tcW w:w="3420" w:type="dxa"/>
            <w:vAlign w:val="bottom"/>
            <w:gridSpan w:val="4"/>
          </w:tcPr>
          <w:p>
            <w:pPr>
              <w:spacing w:after="0"/>
              <w:rPr>
                <w:sz w:val="15"/>
                <w:szCs w:val="15"/>
                <w:color w:val="auto"/>
              </w:rPr>
            </w:pPr>
          </w:p>
        </w:tc>
        <w:tc>
          <w:tcPr>
            <w:tcW w:w="1960" w:type="dxa"/>
            <w:vAlign w:val="bottom"/>
            <w:gridSpan w:val="5"/>
          </w:tcPr>
          <w:p>
            <w:pPr>
              <w:jc w:val="center"/>
              <w:ind w:left="550"/>
              <w:spacing w:after="0" w:line="182" w:lineRule="exact"/>
              <w:rPr>
                <w:sz w:val="20"/>
                <w:szCs w:val="20"/>
                <w:color w:val="auto"/>
              </w:rPr>
            </w:pPr>
            <w:r>
              <w:rPr>
                <w:rFonts w:ascii="Arial" w:cs="Arial" w:eastAsia="Arial" w:hAnsi="Arial"/>
                <w:sz w:val="18"/>
                <w:szCs w:val="18"/>
                <w:color w:val="0000EE"/>
                <w:w w:val="99"/>
              </w:rPr>
              <w:t>48</w:t>
            </w:r>
          </w:p>
        </w:tc>
        <w:tc>
          <w:tcPr>
            <w:tcW w:w="0" w:type="dxa"/>
            <w:vAlign w:val="bottom"/>
          </w:tcPr>
          <w:p>
            <w:pPr>
              <w:spacing w:after="0"/>
              <w:rPr>
                <w:sz w:val="1"/>
                <w:szCs w:val="1"/>
                <w:color w:val="auto"/>
              </w:rPr>
            </w:pPr>
          </w:p>
        </w:tc>
      </w:tr>
      <w:tr>
        <w:trPr>
          <w:trHeight w:val="426"/>
        </w:trPr>
        <w:tc>
          <w:tcPr>
            <w:tcW w:w="11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5600" w:type="dxa"/>
            <w:vAlign w:val="bottom"/>
            <w:gridSpan w:val="10"/>
          </w:tcPr>
          <w:p>
            <w:pPr>
              <w:jc w:val="center"/>
              <w:ind w:right="1900"/>
              <w:spacing w:after="0"/>
              <w:rPr>
                <w:sz w:val="20"/>
                <w:szCs w:val="20"/>
                <w:color w:val="auto"/>
              </w:rPr>
            </w:pPr>
            <w:r>
              <w:rPr>
                <w:rFonts w:ascii="Arial" w:cs="Arial" w:eastAsia="Arial" w:hAnsi="Arial"/>
                <w:sz w:val="18"/>
                <w:szCs w:val="18"/>
                <w:b w:val="1"/>
                <w:bCs w:val="1"/>
                <w:color w:val="auto"/>
                <w:w w:val="99"/>
              </w:rPr>
              <w:t xml:space="preserve">Part II. </w:t>
            </w:r>
            <w:r>
              <w:rPr>
                <w:rFonts w:ascii="Arial" w:cs="Arial" w:eastAsia="Arial" w:hAnsi="Arial"/>
                <w:sz w:val="18"/>
                <w:szCs w:val="18"/>
                <w:color w:val="auto"/>
                <w:w w:val="99"/>
              </w:rPr>
              <w:t>—</w:t>
            </w:r>
            <w:r>
              <w:rPr>
                <w:rFonts w:ascii="Arial" w:cs="Arial" w:eastAsia="Arial" w:hAnsi="Arial"/>
                <w:sz w:val="18"/>
                <w:szCs w:val="18"/>
                <w:b w:val="1"/>
                <w:bCs w:val="1"/>
                <w:color w:val="auto"/>
                <w:w w:val="99"/>
              </w:rPr>
              <w:t>Other Information</w:t>
            </w:r>
          </w:p>
        </w:tc>
        <w:tc>
          <w:tcPr>
            <w:tcW w:w="12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sz w:val="20"/>
                <w:szCs w:val="20"/>
                <w:color w:val="auto"/>
              </w:rPr>
            </w:pPr>
            <w:r>
              <w:rPr>
                <w:rFonts w:ascii="Arial" w:cs="Arial" w:eastAsia="Arial" w:hAnsi="Arial"/>
                <w:sz w:val="18"/>
                <w:szCs w:val="18"/>
                <w:color w:val="0000EE"/>
                <w:w w:val="99"/>
              </w:rPr>
              <w:t>Legal Proceedings</w:t>
            </w:r>
          </w:p>
        </w:tc>
        <w:tc>
          <w:tcPr>
            <w:tcW w:w="6640" w:type="dxa"/>
            <w:vAlign w:val="bottom"/>
            <w:gridSpan w:val="13"/>
          </w:tcPr>
          <w:p>
            <w:pPr>
              <w:spacing w:after="0"/>
              <w:rPr>
                <w:sz w:val="24"/>
                <w:szCs w:val="24"/>
                <w:color w:val="auto"/>
              </w:rPr>
            </w:pPr>
          </w:p>
        </w:tc>
        <w:tc>
          <w:tcPr>
            <w:tcW w:w="1960" w:type="dxa"/>
            <w:vAlign w:val="bottom"/>
            <w:gridSpan w:val="5"/>
          </w:tcPr>
          <w:p>
            <w:pPr>
              <w:jc w:val="center"/>
              <w:ind w:left="550"/>
              <w:spacing w:after="0"/>
              <w:rPr>
                <w:sz w:val="20"/>
                <w:szCs w:val="20"/>
                <w:color w:val="auto"/>
              </w:rPr>
            </w:pPr>
            <w:r>
              <w:rPr>
                <w:rFonts w:ascii="Arial" w:cs="Arial" w:eastAsia="Arial" w:hAnsi="Arial"/>
                <w:sz w:val="18"/>
                <w:szCs w:val="18"/>
                <w:color w:val="0000EE"/>
                <w:w w:val="99"/>
              </w:rPr>
              <w:t>48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line="182" w:lineRule="exact"/>
              <w:rPr>
                <w:sz w:val="20"/>
                <w:szCs w:val="20"/>
                <w:color w:val="auto"/>
              </w:rPr>
            </w:pPr>
            <w:r>
              <w:rPr>
                <w:rFonts w:ascii="Arial" w:cs="Arial" w:eastAsia="Arial" w:hAnsi="Arial"/>
                <w:sz w:val="18"/>
                <w:szCs w:val="18"/>
                <w:color w:val="0000EE"/>
              </w:rPr>
              <w:t>Risk Factors</w:t>
            </w:r>
          </w:p>
        </w:tc>
        <w:tc>
          <w:tcPr>
            <w:tcW w:w="6640" w:type="dxa"/>
            <w:vAlign w:val="bottom"/>
            <w:gridSpan w:val="13"/>
          </w:tcPr>
          <w:p>
            <w:pPr>
              <w:spacing w:after="0"/>
              <w:rPr>
                <w:sz w:val="15"/>
                <w:szCs w:val="15"/>
                <w:color w:val="auto"/>
              </w:rPr>
            </w:pPr>
          </w:p>
        </w:tc>
        <w:tc>
          <w:tcPr>
            <w:tcW w:w="1960" w:type="dxa"/>
            <w:vAlign w:val="bottom"/>
            <w:gridSpan w:val="5"/>
          </w:tcPr>
          <w:p>
            <w:pPr>
              <w:jc w:val="center"/>
              <w:ind w:left="550"/>
              <w:spacing w:after="0" w:line="182" w:lineRule="exact"/>
              <w:rPr>
                <w:sz w:val="20"/>
                <w:szCs w:val="20"/>
                <w:color w:val="auto"/>
              </w:rPr>
            </w:pPr>
            <w:r>
              <w:rPr>
                <w:rFonts w:ascii="Arial" w:cs="Arial" w:eastAsia="Arial" w:hAnsi="Arial"/>
                <w:sz w:val="18"/>
                <w:szCs w:val="18"/>
                <w:color w:val="0000EE"/>
                <w:w w:val="99"/>
              </w:rPr>
              <w:t>49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40" w:type="dxa"/>
            <w:vAlign w:val="bottom"/>
            <w:gridSpan w:val="11"/>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4860" w:type="dxa"/>
            <w:vAlign w:val="bottom"/>
            <w:gridSpan w:val="16"/>
          </w:tcPr>
          <w:p>
            <w:pPr>
              <w:spacing w:after="0" w:line="182" w:lineRule="exact"/>
              <w:rPr>
                <w:sz w:val="20"/>
                <w:szCs w:val="20"/>
                <w:color w:val="auto"/>
              </w:rPr>
            </w:pPr>
            <w:r>
              <w:rPr>
                <w:rFonts w:ascii="Arial" w:cs="Arial" w:eastAsia="Arial" w:hAnsi="Arial"/>
                <w:sz w:val="18"/>
                <w:szCs w:val="18"/>
                <w:color w:val="0000EE"/>
                <w:w w:val="99"/>
              </w:rPr>
              <w:t>Unregistered Sales of Equity Securities and Use of Proceeds</w:t>
            </w:r>
          </w:p>
        </w:tc>
        <w:tc>
          <w:tcPr>
            <w:tcW w:w="3280" w:type="dxa"/>
            <w:vAlign w:val="bottom"/>
            <w:gridSpan w:val="3"/>
          </w:tcPr>
          <w:p>
            <w:pPr>
              <w:spacing w:after="0"/>
              <w:rPr>
                <w:sz w:val="15"/>
                <w:szCs w:val="15"/>
                <w:color w:val="auto"/>
              </w:rPr>
            </w:pPr>
          </w:p>
        </w:tc>
        <w:tc>
          <w:tcPr>
            <w:tcW w:w="1960" w:type="dxa"/>
            <w:vAlign w:val="bottom"/>
            <w:gridSpan w:val="5"/>
          </w:tcPr>
          <w:p>
            <w:pPr>
              <w:jc w:val="center"/>
              <w:ind w:left="550"/>
              <w:spacing w:after="0" w:line="182" w:lineRule="exact"/>
              <w:rPr>
                <w:sz w:val="20"/>
                <w:szCs w:val="20"/>
                <w:color w:val="auto"/>
              </w:rPr>
            </w:pPr>
            <w:r>
              <w:rPr>
                <w:rFonts w:ascii="Arial" w:cs="Arial" w:eastAsia="Arial" w:hAnsi="Arial"/>
                <w:sz w:val="18"/>
                <w:szCs w:val="18"/>
                <w:color w:val="0000EE"/>
                <w:w w:val="99"/>
              </w:rPr>
              <w:t>49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540" w:type="dxa"/>
            <w:vAlign w:val="bottom"/>
            <w:gridSpan w:val="11"/>
            <w:shd w:val="clear" w:color="auto" w:fill="0000EE"/>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640" w:type="dxa"/>
            <w:vAlign w:val="bottom"/>
            <w:gridSpan w:val="2"/>
          </w:tcPr>
          <w:p>
            <w:pPr>
              <w:spacing w:after="0" w:line="182" w:lineRule="exact"/>
              <w:rPr>
                <w:sz w:val="20"/>
                <w:szCs w:val="20"/>
                <w:color w:val="auto"/>
              </w:rPr>
            </w:pPr>
            <w:r>
              <w:rPr>
                <w:rFonts w:ascii="Arial" w:cs="Arial" w:eastAsia="Arial" w:hAnsi="Arial"/>
                <w:sz w:val="18"/>
                <w:szCs w:val="18"/>
                <w:color w:val="0000EE"/>
                <w:w w:val="98"/>
              </w:rPr>
              <w:t>Exhibits</w:t>
            </w:r>
          </w:p>
        </w:tc>
        <w:tc>
          <w:tcPr>
            <w:tcW w:w="4220" w:type="dxa"/>
            <w:vAlign w:val="bottom"/>
            <w:gridSpan w:val="14"/>
          </w:tcPr>
          <w:p>
            <w:pPr>
              <w:spacing w:after="0"/>
              <w:rPr>
                <w:sz w:val="15"/>
                <w:szCs w:val="15"/>
                <w:color w:val="auto"/>
              </w:rPr>
            </w:pPr>
          </w:p>
        </w:tc>
        <w:tc>
          <w:tcPr>
            <w:tcW w:w="3280" w:type="dxa"/>
            <w:vAlign w:val="bottom"/>
            <w:gridSpan w:val="3"/>
          </w:tcPr>
          <w:p>
            <w:pPr>
              <w:spacing w:after="0"/>
              <w:rPr>
                <w:sz w:val="15"/>
                <w:szCs w:val="15"/>
                <w:color w:val="auto"/>
              </w:rPr>
            </w:pPr>
          </w:p>
        </w:tc>
        <w:tc>
          <w:tcPr>
            <w:tcW w:w="1960" w:type="dxa"/>
            <w:vAlign w:val="bottom"/>
            <w:gridSpan w:val="5"/>
          </w:tcPr>
          <w:p>
            <w:pPr>
              <w:jc w:val="center"/>
              <w:ind w:left="550"/>
              <w:spacing w:after="0" w:line="182" w:lineRule="exact"/>
              <w:rPr>
                <w:sz w:val="20"/>
                <w:szCs w:val="20"/>
                <w:color w:val="auto"/>
              </w:rPr>
            </w:pPr>
            <w:r>
              <w:rPr>
                <w:rFonts w:ascii="Arial" w:cs="Arial" w:eastAsia="Arial" w:hAnsi="Arial"/>
                <w:sz w:val="18"/>
                <w:szCs w:val="18"/>
                <w:color w:val="0000EE"/>
                <w:w w:val="99"/>
              </w:rPr>
              <w:t>50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140" w:type="dxa"/>
            <w:vAlign w:val="bottom"/>
            <w:gridSpan w:val="19"/>
          </w:tcPr>
          <w:p>
            <w:pPr>
              <w:spacing w:after="0" w:line="182" w:lineRule="exact"/>
              <w:rPr>
                <w:sz w:val="20"/>
                <w:szCs w:val="20"/>
                <w:color w:val="auto"/>
              </w:rPr>
            </w:pPr>
            <w:r>
              <w:rPr>
                <w:rFonts w:ascii="Arial" w:cs="Arial" w:eastAsia="Arial" w:hAnsi="Arial"/>
                <w:sz w:val="18"/>
                <w:szCs w:val="18"/>
                <w:color w:val="0000EE"/>
              </w:rPr>
              <w:t>Index to Exhibits</w:t>
            </w:r>
          </w:p>
        </w:tc>
        <w:tc>
          <w:tcPr>
            <w:tcW w:w="1960" w:type="dxa"/>
            <w:vAlign w:val="bottom"/>
            <w:gridSpan w:val="5"/>
          </w:tcPr>
          <w:p>
            <w:pPr>
              <w:jc w:val="center"/>
              <w:ind w:left="550"/>
              <w:spacing w:after="0" w:line="182" w:lineRule="exact"/>
              <w:rPr>
                <w:sz w:val="20"/>
                <w:szCs w:val="20"/>
                <w:color w:val="auto"/>
              </w:rPr>
            </w:pPr>
            <w:r>
              <w:rPr>
                <w:rFonts w:ascii="Arial" w:cs="Arial" w:eastAsia="Arial" w:hAnsi="Arial"/>
                <w:sz w:val="18"/>
                <w:szCs w:val="18"/>
                <w:color w:val="0000EE"/>
                <w:w w:val="99"/>
              </w:rPr>
              <w:t>50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20" w:type="dxa"/>
            <w:vAlign w:val="bottom"/>
            <w:gridSpan w:val="5"/>
          </w:tcPr>
          <w:p>
            <w:pPr>
              <w:spacing w:after="0" w:line="182" w:lineRule="exact"/>
              <w:rPr>
                <w:sz w:val="20"/>
                <w:szCs w:val="20"/>
                <w:color w:val="auto"/>
              </w:rPr>
            </w:pPr>
            <w:r>
              <w:rPr>
                <w:rFonts w:ascii="Arial" w:cs="Arial" w:eastAsia="Arial" w:hAnsi="Arial"/>
                <w:sz w:val="18"/>
                <w:szCs w:val="18"/>
                <w:color w:val="0000EE"/>
              </w:rPr>
              <w:t>Signatures</w:t>
            </w:r>
          </w:p>
        </w:tc>
        <w:tc>
          <w:tcPr>
            <w:tcW w:w="6820" w:type="dxa"/>
            <w:vAlign w:val="bottom"/>
            <w:gridSpan w:val="14"/>
          </w:tcPr>
          <w:p>
            <w:pPr>
              <w:spacing w:after="0"/>
              <w:rPr>
                <w:sz w:val="15"/>
                <w:szCs w:val="15"/>
                <w:color w:val="auto"/>
              </w:rPr>
            </w:pPr>
          </w:p>
        </w:tc>
        <w:tc>
          <w:tcPr>
            <w:tcW w:w="1960" w:type="dxa"/>
            <w:vAlign w:val="bottom"/>
            <w:gridSpan w:val="5"/>
          </w:tcPr>
          <w:p>
            <w:pPr>
              <w:jc w:val="center"/>
              <w:ind w:left="550"/>
              <w:spacing w:after="0" w:line="182" w:lineRule="exact"/>
              <w:rPr>
                <w:sz w:val="20"/>
                <w:szCs w:val="20"/>
                <w:color w:val="auto"/>
              </w:rPr>
            </w:pPr>
            <w:r>
              <w:rPr>
                <w:rFonts w:ascii="Arial" w:cs="Arial" w:eastAsia="Arial" w:hAnsi="Arial"/>
                <w:sz w:val="18"/>
                <w:szCs w:val="18"/>
                <w:color w:val="0000EE"/>
                <w:w w:val="99"/>
              </w:rPr>
              <w:t>51</w:t>
            </w:r>
          </w:p>
        </w:tc>
        <w:tc>
          <w:tcPr>
            <w:tcW w:w="0" w:type="dxa"/>
            <w:vAlign w:val="bottom"/>
          </w:tcPr>
          <w:p>
            <w:pPr>
              <w:spacing w:after="0"/>
              <w:rPr>
                <w:sz w:val="1"/>
                <w:szCs w:val="1"/>
                <w:color w:val="auto"/>
              </w:rPr>
            </w:pPr>
          </w:p>
        </w:tc>
      </w:tr>
      <w:tr>
        <w:trPr>
          <w:trHeight w:val="426"/>
        </w:trPr>
        <w:tc>
          <w:tcPr>
            <w:tcW w:w="1140" w:type="dxa"/>
            <w:vAlign w:val="bottom"/>
          </w:tcPr>
          <w:p>
            <w:pPr>
              <w:spacing w:after="0"/>
              <w:rPr>
                <w:sz w:val="24"/>
                <w:szCs w:val="24"/>
                <w:color w:val="auto"/>
              </w:rPr>
            </w:pPr>
          </w:p>
        </w:tc>
        <w:tc>
          <w:tcPr>
            <w:tcW w:w="860" w:type="dxa"/>
            <w:vAlign w:val="bottom"/>
            <w:tcBorders>
              <w:top w:val="single" w:sz="8" w:color="0000EE"/>
            </w:tcBorders>
            <w:gridSpan w:val="3"/>
          </w:tcPr>
          <w:p>
            <w:pPr>
              <w:spacing w:after="0"/>
              <w:rPr>
                <w:sz w:val="24"/>
                <w:szCs w:val="24"/>
                <w:color w:val="auto"/>
              </w:rPr>
            </w:pPr>
          </w:p>
        </w:tc>
        <w:tc>
          <w:tcPr>
            <w:tcW w:w="3860" w:type="dxa"/>
            <w:vAlign w:val="bottom"/>
            <w:gridSpan w:val="12"/>
          </w:tcPr>
          <w:p>
            <w:pPr>
              <w:jc w:val="center"/>
              <w:ind w:left="329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80" w:type="dxa"/>
            <w:vAlign w:val="bottom"/>
          </w:tcPr>
          <w:p>
            <w:pPr>
              <w:spacing w:after="0"/>
              <w:rPr>
                <w:sz w:val="20"/>
                <w:szCs w:val="20"/>
                <w:color w:val="auto"/>
              </w:rPr>
            </w:pPr>
            <w:r>
              <w:rPr>
                <w:rFonts w:ascii="Arial" w:cs="Arial" w:eastAsia="Arial" w:hAnsi="Arial"/>
                <w:sz w:val="18"/>
                <w:szCs w:val="18"/>
                <w:color w:val="auto"/>
              </w:rPr>
              <w:t>(in millions, except per share data)</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320" w:type="dxa"/>
            <w:vAlign w:val="bottom"/>
            <w:gridSpan w:val="5"/>
          </w:tcPr>
          <w:p>
            <w:pPr>
              <w:ind w:left="1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5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23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ind w:left="14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500"/>
              <w:spacing w:after="0" w:line="202" w:lineRule="exact"/>
              <w:rPr>
                <w:sz w:val="20"/>
                <w:szCs w:val="20"/>
                <w:color w:val="auto"/>
              </w:rPr>
            </w:pPr>
            <w:r>
              <w:rPr>
                <w:rFonts w:ascii="Arial" w:cs="Arial" w:eastAsia="Arial" w:hAnsi="Arial"/>
                <w:sz w:val="18"/>
                <w:szCs w:val="18"/>
                <w:color w:val="auto"/>
              </w:rPr>
              <w:t>Sales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234</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231</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734</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Services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7"/>
                <w:szCs w:val="17"/>
                <w:color w:val="auto"/>
              </w:rPr>
            </w:pPr>
          </w:p>
        </w:tc>
        <w:tc>
          <w:tcPr>
            <w:tcW w:w="11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289</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287</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900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revenues</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500"/>
              <w:spacing w:after="0" w:line="202" w:lineRule="exact"/>
              <w:rPr>
                <w:sz w:val="20"/>
                <w:szCs w:val="20"/>
                <w:color w:val="auto"/>
              </w:rPr>
            </w:pPr>
            <w:r>
              <w:rPr>
                <w:rFonts w:ascii="Arial" w:cs="Arial" w:eastAsia="Arial" w:hAnsi="Arial"/>
                <w:sz w:val="18"/>
                <w:szCs w:val="18"/>
                <w:color w:val="auto"/>
              </w:rPr>
              <w:t>Sales</w:t>
            </w:r>
          </w:p>
        </w:tc>
        <w:tc>
          <w:tcPr>
            <w:tcW w:w="22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208</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206</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662</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Services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Arial" w:cs="Arial" w:eastAsia="Arial" w:hAnsi="Arial"/>
                <w:sz w:val="18"/>
                <w:szCs w:val="18"/>
                <w:color w:val="auto"/>
              </w:rPr>
              <w:t>Total cost of revenues</w:t>
            </w:r>
          </w:p>
        </w:tc>
        <w:tc>
          <w:tcPr>
            <w:tcW w:w="220" w:type="dxa"/>
            <w:vAlign w:val="bottom"/>
          </w:tcPr>
          <w:p>
            <w:pPr>
              <w:spacing w:after="0"/>
              <w:rPr>
                <w:sz w:val="17"/>
                <w:szCs w:val="17"/>
                <w:color w:val="auto"/>
              </w:rPr>
            </w:pPr>
          </w:p>
        </w:tc>
        <w:tc>
          <w:tcPr>
            <w:tcW w:w="11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246</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244</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773</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39</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43</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123</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22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operating expense (income), net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5"/>
        </w:trPr>
        <w:tc>
          <w:tcPr>
            <w:tcW w:w="59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Loss from operations before interest expense, pension income excluding</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3" w:lineRule="exact"/>
              <w:rPr>
                <w:sz w:val="20"/>
                <w:szCs w:val="20"/>
                <w:color w:val="auto"/>
              </w:rPr>
            </w:pPr>
            <w:r>
              <w:rPr>
                <w:rFonts w:ascii="Arial" w:cs="Arial" w:eastAsia="Arial" w:hAnsi="Arial"/>
                <w:sz w:val="18"/>
                <w:szCs w:val="18"/>
                <w:color w:val="auto"/>
              </w:rPr>
              <w:t>service cost component, other (income) charges, net and income taxes</w:t>
            </w:r>
          </w:p>
        </w:tc>
        <w:tc>
          <w:tcPr>
            <w:tcW w:w="220" w:type="dxa"/>
            <w:vAlign w:val="bottom"/>
          </w:tcPr>
          <w:p>
            <w:pPr>
              <w:spacing w:after="0"/>
              <w:rPr>
                <w:sz w:val="17"/>
                <w:szCs w:val="17"/>
                <w:color w:val="auto"/>
              </w:rPr>
            </w:pPr>
          </w:p>
        </w:tc>
        <w:tc>
          <w:tcPr>
            <w:tcW w:w="116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7"/>
                <w:szCs w:val="17"/>
                <w:color w:val="auto"/>
              </w:rPr>
            </w:pPr>
          </w:p>
        </w:tc>
        <w:tc>
          <w:tcPr>
            <w:tcW w:w="11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7"/>
                <w:szCs w:val="17"/>
                <w:color w:val="auto"/>
              </w:rPr>
            </w:pPr>
          </w:p>
        </w:tc>
        <w:tc>
          <w:tcPr>
            <w:tcW w:w="11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(25)</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Pension income excluding service cost component</w:t>
            </w:r>
          </w:p>
        </w:tc>
        <w:tc>
          <w:tcPr>
            <w:tcW w:w="22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w:t>
            </w:r>
          </w:p>
        </w:tc>
        <w:tc>
          <w:tcPr>
            <w:tcW w:w="22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w:t>
            </w:r>
          </w:p>
        </w:tc>
        <w:tc>
          <w:tcPr>
            <w:tcW w:w="220" w:type="dxa"/>
            <w:vAlign w:val="bottom"/>
          </w:tcPr>
          <w:p>
            <w:pPr>
              <w:spacing w:after="0"/>
              <w:rPr>
                <w:sz w:val="17"/>
                <w:szCs w:val="17"/>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(77)</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charges, net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Arial" w:cs="Arial" w:eastAsia="Arial" w:hAnsi="Arial"/>
                <w:sz w:val="18"/>
                <w:szCs w:val="18"/>
                <w:color w:val="auto"/>
              </w:rPr>
              <w:t>Earnings from operations before income taxes</w:t>
            </w:r>
          </w:p>
        </w:tc>
        <w:tc>
          <w:tcPr>
            <w:tcW w:w="220" w:type="dxa"/>
            <w:vAlign w:val="bottom"/>
          </w:tcPr>
          <w:p>
            <w:pPr>
              <w:spacing w:after="0"/>
              <w:rPr>
                <w:sz w:val="17"/>
                <w:szCs w:val="17"/>
                <w:color w:val="auto"/>
              </w:rPr>
            </w:pPr>
          </w:p>
        </w:tc>
        <w:tc>
          <w:tcPr>
            <w:tcW w:w="11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21</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tcPr>
          <w:p>
            <w:pPr>
              <w:spacing w:after="0" w:line="182" w:lineRule="exact"/>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line="182" w:lineRule="exact"/>
              <w:rPr>
                <w:sz w:val="20"/>
                <w:szCs w:val="20"/>
                <w:color w:val="auto"/>
              </w:rPr>
            </w:pPr>
            <w:r>
              <w:rPr>
                <w:rFonts w:ascii="Arial" w:cs="Arial" w:eastAsia="Arial" w:hAnsi="Arial"/>
                <w:sz w:val="18"/>
                <w:szCs w:val="18"/>
                <w:color w:val="auto"/>
              </w:rPr>
              <w:t>2</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8</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19</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Basic net (loss) income per share attributable to Eastman Kodak</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(0.01)</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0.06</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0.11</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163"/>
        </w:trPr>
        <w:tc>
          <w:tcPr>
            <w:tcW w:w="5980" w:type="dxa"/>
            <w:vAlign w:val="bottom"/>
          </w:tcPr>
          <w:p>
            <w:pPr>
              <w:ind w:left="180"/>
              <w:spacing w:after="0" w:line="143" w:lineRule="exact"/>
              <w:rPr>
                <w:sz w:val="20"/>
                <w:szCs w:val="20"/>
                <w:color w:val="auto"/>
              </w:rPr>
            </w:pPr>
            <w:r>
              <w:rPr>
                <w:rFonts w:ascii="Arial" w:cs="Arial" w:eastAsia="Arial" w:hAnsi="Arial"/>
                <w:sz w:val="16"/>
                <w:szCs w:val="16"/>
                <w:color w:val="auto"/>
              </w:rPr>
              <w:t>Company common shareholders</w:t>
            </w:r>
          </w:p>
        </w:tc>
        <w:tc>
          <w:tcPr>
            <w:tcW w:w="22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Diluted net (loss) income per share attributable to Eastman Kodak</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0.11</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line="143" w:lineRule="exact"/>
              <w:rPr>
                <w:sz w:val="20"/>
                <w:szCs w:val="20"/>
                <w:color w:val="auto"/>
              </w:rPr>
            </w:pPr>
            <w:r>
              <w:rPr>
                <w:rFonts w:ascii="Arial" w:cs="Arial" w:eastAsia="Arial" w:hAnsi="Arial"/>
                <w:sz w:val="16"/>
                <w:szCs w:val="16"/>
                <w:color w:val="auto"/>
              </w:rPr>
              <w:t>Company common shareholders</w:t>
            </w:r>
          </w:p>
        </w:tc>
        <w:tc>
          <w:tcPr>
            <w:tcW w:w="220" w:type="dxa"/>
            <w:vAlign w:val="bottom"/>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9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common shares used in basic and diluted net income per</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share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Basic</w:t>
            </w:r>
          </w:p>
        </w:tc>
        <w:tc>
          <w:tcPr>
            <w:tcW w:w="22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79.0</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78.6</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78.9</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79.0</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80.6</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80.7</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INCOME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80" w:type="dxa"/>
            <w:vAlign w:val="bottom"/>
          </w:tcPr>
          <w:p>
            <w:pPr>
              <w:spacing w:after="0"/>
              <w:rPr>
                <w:sz w:val="20"/>
                <w:szCs w:val="20"/>
                <w:color w:val="auto"/>
              </w:rPr>
            </w:pPr>
            <w:r>
              <w:rPr>
                <w:rFonts w:ascii="Arial" w:cs="Arial" w:eastAsia="Arial" w:hAnsi="Arial"/>
                <w:sz w:val="18"/>
                <w:szCs w:val="18"/>
                <w:color w:val="auto"/>
              </w:rPr>
              <w:t>(in millions)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5980" w:type="dxa"/>
            <w:vAlign w:val="bottom"/>
          </w:tcPr>
          <w:p>
            <w:pPr>
              <w:spacing w:after="0"/>
              <w:rPr>
                <w:sz w:val="24"/>
                <w:szCs w:val="24"/>
                <w:color w:val="auto"/>
              </w:rPr>
            </w:pPr>
          </w:p>
        </w:tc>
        <w:tc>
          <w:tcPr>
            <w:tcW w:w="2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ind w:left="1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5980" w:type="dxa"/>
            <w:vAlign w:val="bottom"/>
          </w:tcPr>
          <w:p>
            <w:pPr>
              <w:spacing w:after="0"/>
              <w:rPr>
                <w:sz w:val="19"/>
                <w:szCs w:val="19"/>
                <w:color w:val="auto"/>
              </w:rPr>
            </w:pPr>
          </w:p>
        </w:tc>
        <w:tc>
          <w:tcPr>
            <w:tcW w:w="22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5"/>
          </w:tcPr>
          <w:p>
            <w:pPr>
              <w:ind w:left="3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ind w:left="14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9"/>
              </w:rPr>
              <w:t>2</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Currency translation adjustments</w:t>
            </w:r>
          </w:p>
        </w:tc>
        <w:tc>
          <w:tcPr>
            <w:tcW w:w="8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(1)</w:t>
            </w:r>
          </w:p>
        </w:tc>
        <w:tc>
          <w:tcPr>
            <w:tcW w:w="8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Pension and other postretirement benefit plan obligation activity, net of</w:t>
            </w:r>
          </w:p>
        </w:tc>
        <w:tc>
          <w:tcPr>
            <w:tcW w:w="860" w:type="dxa"/>
            <w:vAlign w:val="bottom"/>
          </w:tcPr>
          <w:p>
            <w:pPr>
              <w:spacing w:after="0"/>
              <w:rPr>
                <w:sz w:val="17"/>
                <w:szCs w:val="17"/>
                <w:color w:val="auto"/>
              </w:rPr>
            </w:pPr>
          </w:p>
        </w:tc>
        <w:tc>
          <w:tcPr>
            <w:tcW w:w="260" w:type="dxa"/>
            <w:vAlign w:val="bottom"/>
            <w:vMerge w:val="restart"/>
          </w:tcPr>
          <w:p>
            <w:pPr>
              <w:jc w:val="center"/>
              <w:ind w:left="70"/>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7"/>
                <w:szCs w:val="17"/>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7"/>
                <w:szCs w:val="17"/>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0"/>
        </w:trPr>
        <w:tc>
          <w:tcPr>
            <w:tcW w:w="5980" w:type="dxa"/>
            <w:vAlign w:val="bottom"/>
          </w:tcPr>
          <w:p>
            <w:pPr>
              <w:spacing w:after="0" w:line="190" w:lineRule="exact"/>
              <w:rPr>
                <w:sz w:val="20"/>
                <w:szCs w:val="20"/>
                <w:color w:val="auto"/>
              </w:rPr>
            </w:pPr>
            <w:r>
              <w:rPr>
                <w:rFonts w:ascii="Arial" w:cs="Arial" w:eastAsia="Arial" w:hAnsi="Arial"/>
                <w:sz w:val="18"/>
                <w:szCs w:val="18"/>
                <w:color w:val="auto"/>
              </w:rPr>
              <w:t>tax</w:t>
            </w:r>
          </w:p>
        </w:tc>
        <w:tc>
          <w:tcPr>
            <w:tcW w:w="86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income, net of tax</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9"/>
              </w:rPr>
              <w:t>1</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tcPr>
          <w:p>
            <w:pPr>
              <w:spacing w:after="0" w:line="182" w:lineRule="exact"/>
              <w:rPr>
                <w:sz w:val="20"/>
                <w:szCs w:val="20"/>
                <w:color w:val="auto"/>
              </w:rPr>
            </w:pPr>
            <w:r>
              <w:rPr>
                <w:rFonts w:ascii="Arial" w:cs="Arial" w:eastAsia="Arial" w:hAnsi="Arial"/>
                <w:sz w:val="18"/>
                <w:szCs w:val="18"/>
                <w:color w:val="auto"/>
              </w:rPr>
              <w:t>COMPREHENSIVE INCOME, NET OF TAX</w:t>
            </w:r>
          </w:p>
        </w:tc>
        <w:tc>
          <w:tcPr>
            <w:tcW w:w="860" w:type="dxa"/>
            <w:vAlign w:val="bottom"/>
          </w:tcPr>
          <w:p>
            <w:pPr>
              <w:jc w:val="right"/>
              <w:ind w:right="670"/>
              <w:spacing w:after="0" w:line="182" w:lineRule="exact"/>
              <w:rPr>
                <w:sz w:val="20"/>
                <w:szCs w:val="20"/>
                <w:color w:val="auto"/>
              </w:rPr>
            </w:pPr>
            <w:r>
              <w:rPr>
                <w:rFonts w:ascii="Arial" w:cs="Arial" w:eastAsia="Arial" w:hAnsi="Arial"/>
                <w:sz w:val="18"/>
                <w:szCs w:val="18"/>
                <w:color w:val="auto"/>
                <w:w w:val="79"/>
              </w:rPr>
              <w:t>$</w:t>
            </w:r>
          </w:p>
        </w:tc>
        <w:tc>
          <w:tcPr>
            <w:tcW w:w="260" w:type="dxa"/>
            <w:vAlign w:val="bottom"/>
          </w:tcPr>
          <w:p>
            <w:pPr>
              <w:jc w:val="center"/>
              <w:ind w:left="70"/>
              <w:spacing w:after="0" w:line="182" w:lineRule="exact"/>
              <w:rPr>
                <w:sz w:val="20"/>
                <w:szCs w:val="20"/>
                <w:color w:val="auto"/>
              </w:rPr>
            </w:pPr>
            <w:r>
              <w:rPr>
                <w:rFonts w:ascii="Arial" w:cs="Arial" w:eastAsia="Arial" w:hAnsi="Arial"/>
                <w:sz w:val="18"/>
                <w:szCs w:val="18"/>
                <w:color w:val="auto"/>
                <w:w w:val="99"/>
              </w:rPr>
              <w:t>3</w:t>
            </w:r>
          </w:p>
        </w:tc>
        <w:tc>
          <w:tcPr>
            <w:tcW w:w="260" w:type="dxa"/>
            <w:vAlign w:val="bottom"/>
          </w:tcPr>
          <w:p>
            <w:pPr>
              <w:spacing w:after="0"/>
              <w:rPr>
                <w:sz w:val="17"/>
                <w:szCs w:val="17"/>
                <w:color w:val="auto"/>
              </w:rPr>
            </w:pPr>
          </w:p>
        </w:tc>
        <w:tc>
          <w:tcPr>
            <w:tcW w:w="840" w:type="dxa"/>
            <w:vAlign w:val="bottom"/>
          </w:tcPr>
          <w:p>
            <w:pPr>
              <w:jc w:val="right"/>
              <w:ind w:right="650"/>
              <w:spacing w:after="0" w:line="182" w:lineRule="exact"/>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15</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125</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EASTMAN KODAK COMPANY</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FINANCIAL POSITION (Unaudited)</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September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80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216</w:t>
            </w:r>
          </w:p>
        </w:tc>
        <w:tc>
          <w:tcPr>
            <w:tcW w:w="120" w:type="dxa"/>
            <w:vAlign w:val="bottom"/>
          </w:tcPr>
          <w:p>
            <w:pPr>
              <w:spacing w:after="0"/>
              <w:rPr>
                <w:sz w:val="17"/>
                <w:szCs w:val="17"/>
                <w:color w:val="auto"/>
              </w:rPr>
            </w:pP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362</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Trade receivables, net of allowances of $6 and $7, respectively</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175</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273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219</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Current assets held for sale</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ind w:left="500"/>
              <w:spacing w:after="0" w:line="196" w:lineRule="exact"/>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807</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Property, plant and equipment, net of accumulated depreciation of $440 and $441, respectively</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140</w:t>
            </w:r>
          </w:p>
        </w:tc>
      </w:tr>
      <w:tr>
        <w:trPr>
          <w:trHeight w:val="202"/>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Pension and other postretirement assets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1,022</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w:t>
            </w:r>
          </w:p>
        </w:tc>
        <w:tc>
          <w:tcPr>
            <w:tcW w:w="100" w:type="dxa"/>
            <w:vAlign w:val="bottom"/>
          </w:tcPr>
          <w:p>
            <w:pPr>
              <w:spacing w:after="0"/>
              <w:rPr>
                <w:sz w:val="17"/>
                <w:szCs w:val="17"/>
                <w:color w:val="auto"/>
              </w:rPr>
            </w:pPr>
          </w:p>
        </w:tc>
      </w:tr>
      <w:tr>
        <w:trPr>
          <w:trHeight w:val="236"/>
        </w:trPr>
        <w:tc>
          <w:tcPr>
            <w:tcW w:w="8000" w:type="dxa"/>
            <w:vAlign w:val="bottom"/>
            <w:gridSpan w:val="2"/>
            <w:shd w:val="clear" w:color="auto" w:fill="CCEEFF"/>
          </w:tcPr>
          <w:p>
            <w:pPr>
              <w:ind w:left="500"/>
              <w:spacing w:after="0" w:line="182" w:lineRule="exact"/>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2,259</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b w:val="1"/>
                <w:bCs w:val="1"/>
                <w:color w:val="auto"/>
              </w:rPr>
              <w:t>2,171</w:t>
            </w:r>
          </w:p>
        </w:tc>
      </w:tr>
      <w:tr>
        <w:trPr>
          <w:trHeight w:val="183"/>
        </w:trPr>
        <w:tc>
          <w:tcPr>
            <w:tcW w:w="1280" w:type="dxa"/>
            <w:vAlign w:val="bottom"/>
            <w:tcBorders>
              <w:top w:val="single" w:sz="8" w:color="CCEEFF"/>
            </w:tcBorders>
          </w:tcPr>
          <w:p>
            <w:pPr>
              <w:spacing w:after="0"/>
              <w:rPr>
                <w:sz w:val="15"/>
                <w:szCs w:val="15"/>
                <w:color w:val="auto"/>
              </w:rPr>
            </w:pPr>
          </w:p>
        </w:tc>
        <w:tc>
          <w:tcPr>
            <w:tcW w:w="67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REDEEMABLE CONVERTIBLE PREFERRED STOCK AND EQUITY</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Accounts payable, trade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120" w:type="dxa"/>
            <w:vAlign w:val="bottom"/>
          </w:tcPr>
          <w:p>
            <w:pPr>
              <w:spacing w:after="0"/>
              <w:rPr>
                <w:sz w:val="17"/>
                <w:szCs w:val="17"/>
                <w:color w:val="auto"/>
              </w:rPr>
            </w:pP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153</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Current portion of operating leases</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500"/>
              <w:spacing w:after="0" w:line="196"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297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309</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253</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Pension and other postretirement liabilities</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336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382</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leases, net of current portion</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ind w:left="500"/>
              <w:spacing w:after="0" w:line="196" w:lineRule="exact"/>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1,157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1,194</w:t>
            </w:r>
          </w:p>
        </w:tc>
      </w:tr>
      <w:tr>
        <w:trPr>
          <w:trHeight w:val="196"/>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8)</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 no par value, $100 per share liquidation preference</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196</w:t>
            </w:r>
          </w:p>
        </w:tc>
      </w:tr>
      <w:tr>
        <w:trPr>
          <w:trHeight w:val="203"/>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Common stock, $0.01 par value</w:t>
            </w:r>
          </w:p>
        </w:tc>
        <w:tc>
          <w:tcPr>
            <w:tcW w:w="12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1,166</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Treasury stock, at cost</w:t>
            </w:r>
          </w:p>
        </w:tc>
        <w:tc>
          <w:tcPr>
            <w:tcW w:w="120" w:type="dxa"/>
            <w:vAlign w:val="bottom"/>
          </w:tcPr>
          <w:p>
            <w:pPr>
              <w:spacing w:after="0"/>
              <w:rPr>
                <w:sz w:val="17"/>
                <w:szCs w:val="17"/>
                <w:color w:val="auto"/>
              </w:rPr>
            </w:pP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(596)</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221</w:t>
            </w:r>
          </w:p>
        </w:tc>
        <w:tc>
          <w:tcPr>
            <w:tcW w:w="100" w:type="dxa"/>
            <w:vAlign w:val="bottom"/>
          </w:tcPr>
          <w:p>
            <w:pPr>
              <w:spacing w:after="0"/>
              <w:rPr>
                <w:sz w:val="17"/>
                <w:szCs w:val="17"/>
                <w:color w:val="auto"/>
              </w:rPr>
            </w:pPr>
          </w:p>
        </w:tc>
      </w:tr>
      <w:tr>
        <w:trPr>
          <w:trHeight w:val="196"/>
        </w:trPr>
        <w:tc>
          <w:tcPr>
            <w:tcW w:w="800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500"/>
              <w:spacing w:after="0" w:line="182" w:lineRule="exact"/>
              <w:rPr>
                <w:sz w:val="20"/>
                <w:szCs w:val="20"/>
                <w:color w:val="auto"/>
              </w:rPr>
            </w:pPr>
            <w:r>
              <w:rPr>
                <w:rFonts w:ascii="Arial" w:cs="Arial" w:eastAsia="Arial" w:hAnsi="Arial"/>
                <w:sz w:val="18"/>
                <w:szCs w:val="18"/>
                <w:b w:val="1"/>
                <w:bCs w:val="1"/>
                <w:color w:val="auto"/>
              </w:rPr>
              <w:t>TOTAL LIABILITIES, REDEEMABLE CONVERTIBLE PREFERRED STOCK AND EQUITY</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2,259</w:t>
            </w:r>
          </w:p>
        </w:tc>
        <w:tc>
          <w:tcPr>
            <w:tcW w:w="120" w:type="dxa"/>
            <w:vAlign w:val="bottom"/>
          </w:tcPr>
          <w:p>
            <w:pPr>
              <w:spacing w:after="0"/>
              <w:rPr>
                <w:sz w:val="17"/>
                <w:szCs w:val="17"/>
                <w:color w:val="auto"/>
              </w:rPr>
            </w:pPr>
          </w:p>
        </w:tc>
        <w:tc>
          <w:tcPr>
            <w:tcW w:w="2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82" w:lineRule="exact"/>
              <w:rPr>
                <w:sz w:val="20"/>
                <w:szCs w:val="20"/>
                <w:color w:val="auto"/>
              </w:rPr>
            </w:pPr>
            <w:r>
              <w:rPr>
                <w:rFonts w:ascii="Arial" w:cs="Arial" w:eastAsia="Arial" w:hAnsi="Arial"/>
                <w:sz w:val="18"/>
                <w:szCs w:val="18"/>
                <w:b w:val="1"/>
                <w:bCs w:val="1"/>
                <w:color w:val="auto"/>
              </w:rPr>
              <w:t>2,171</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EASTMAN KODAK COMPANY</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CASH FLOWS (Unaudited)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12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8000" w:type="dxa"/>
            <w:vAlign w:val="bottom"/>
            <w:gridSpan w:val="2"/>
          </w:tcPr>
          <w:p>
            <w:pPr>
              <w:spacing w:after="0" w:line="196" w:lineRule="exact"/>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c>
          <w:tcPr>
            <w:tcW w:w="6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to net cash used in operating activities: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Pension income</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(63)</w:t>
            </w: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Change in fair value of the Preferred Stock and Convertible Notes embedded derivatives</w:t>
            </w:r>
          </w:p>
        </w:tc>
        <w:tc>
          <w:tcPr>
            <w:tcW w:w="32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Net loss on sales of assets</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Non-cash changes in workers' compensation reserves</w:t>
            </w:r>
          </w:p>
        </w:tc>
        <w:tc>
          <w:tcPr>
            <w:tcW w:w="32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Stock based compensation</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w:t>
            </w: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Benefit from deferred income taxes</w:t>
            </w:r>
          </w:p>
        </w:tc>
        <w:tc>
          <w:tcPr>
            <w:tcW w:w="32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(Increase) decrease in trade receivables</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w:t>
            </w: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Increase in inventories</w:t>
            </w:r>
          </w:p>
        </w:tc>
        <w:tc>
          <w:tcPr>
            <w:tcW w:w="32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Increase in trade payables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w:t>
            </w: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Decrease in liabilities excluding borrowings and trade payables</w:t>
            </w:r>
          </w:p>
        </w:tc>
        <w:tc>
          <w:tcPr>
            <w:tcW w:w="32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w:t>
            </w:r>
          </w:p>
        </w:tc>
      </w:tr>
      <w:tr>
        <w:trPr>
          <w:trHeight w:val="203"/>
        </w:trPr>
        <w:tc>
          <w:tcPr>
            <w:tcW w:w="800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items, net</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660"/>
              <w:spacing w:after="0" w:line="196" w:lineRule="exact"/>
              <w:rPr>
                <w:sz w:val="20"/>
                <w:szCs w:val="20"/>
                <w:color w:val="auto"/>
              </w:rPr>
            </w:pPr>
            <w:r>
              <w:rPr>
                <w:rFonts w:ascii="Arial" w:cs="Arial" w:eastAsia="Arial" w:hAnsi="Arial"/>
                <w:sz w:val="18"/>
                <w:szCs w:val="18"/>
                <w:color w:val="auto"/>
              </w:rPr>
              <w:t>Total adjustments</w:t>
            </w:r>
          </w:p>
        </w:tc>
        <w:tc>
          <w:tcPr>
            <w:tcW w:w="320" w:type="dxa"/>
            <w:vAlign w:val="bottom"/>
          </w:tcPr>
          <w:p>
            <w:pPr>
              <w:spacing w:after="0"/>
              <w:rPr>
                <w:sz w:val="17"/>
                <w:szCs w:val="17"/>
                <w:color w:val="auto"/>
              </w:rPr>
            </w:pPr>
          </w:p>
        </w:tc>
        <w:tc>
          <w:tcPr>
            <w:tcW w:w="12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(149)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(63)</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ind w:left="660"/>
              <w:spacing w:after="0" w:line="196" w:lineRule="exact"/>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(33)</w:t>
            </w: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Additions to properties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Purchase of preferred equity interest</w:t>
            </w:r>
          </w:p>
        </w:tc>
        <w:tc>
          <w:tcPr>
            <w:tcW w:w="32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Net proceeds from sales of assets</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23"/>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Net proceeds from Term Loan Credit Agreement</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215</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Net proceeds from Convertible Notes</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w:t>
            </w: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Net proceeds from Series C Preferred Stock</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99</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Proceeds from sale of common stock</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w:t>
            </w: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Repurchase of Series A Preferred Stock</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(100)</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Debt issuance costs</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w:t>
            </w: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Preferred stock cash dividend payments</w:t>
            </w:r>
          </w:p>
        </w:tc>
        <w:tc>
          <w:tcPr>
            <w:tcW w:w="32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Treasury stock purchases</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196"/>
        </w:trPr>
        <w:tc>
          <w:tcPr>
            <w:tcW w:w="8000" w:type="dxa"/>
            <w:vAlign w:val="bottom"/>
            <w:tcBorders>
              <w:top w:val="single" w:sz="8" w:color="CCEEFF"/>
            </w:tcBorders>
            <w:gridSpan w:val="2"/>
          </w:tcPr>
          <w:p>
            <w:pPr>
              <w:ind w:left="66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w:t>
            </w:r>
          </w:p>
        </w:tc>
        <w:tc>
          <w:tcPr>
            <w:tcW w:w="100" w:type="dxa"/>
            <w:vAlign w:val="bottom"/>
            <w:tcBorders>
              <w:top w:val="single" w:sz="8" w:color="CCEEFF"/>
            </w:tcBorders>
          </w:tcPr>
          <w:p>
            <w:pPr>
              <w:spacing w:after="0"/>
              <w:rPr>
                <w:sz w:val="17"/>
                <w:szCs w:val="17"/>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Effect of exchange rate changes on cash, cash equivalents and restricted cash</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8000" w:type="dxa"/>
            <w:vAlign w:val="bottom"/>
            <w:gridSpan w:val="2"/>
          </w:tcPr>
          <w:p>
            <w:pPr>
              <w:spacing w:after="0" w:line="196" w:lineRule="exact"/>
              <w:rPr>
                <w:sz w:val="20"/>
                <w:szCs w:val="20"/>
                <w:color w:val="auto"/>
              </w:rPr>
            </w:pPr>
            <w:r>
              <w:rPr>
                <w:rFonts w:ascii="Arial" w:cs="Arial" w:eastAsia="Arial" w:hAnsi="Arial"/>
                <w:sz w:val="18"/>
                <w:szCs w:val="18"/>
                <w:color w:val="auto"/>
              </w:rPr>
              <w:t>Net (decrease) increase in cash, cash equivalents and restricted cash</w:t>
            </w:r>
          </w:p>
        </w:tc>
        <w:tc>
          <w:tcPr>
            <w:tcW w:w="320" w:type="dxa"/>
            <w:vAlign w:val="bottom"/>
          </w:tcPr>
          <w:p>
            <w:pPr>
              <w:spacing w:after="0"/>
              <w:rPr>
                <w:sz w:val="17"/>
                <w:szCs w:val="17"/>
                <w:color w:val="auto"/>
              </w:rPr>
            </w:pPr>
          </w:p>
        </w:tc>
        <w:tc>
          <w:tcPr>
            <w:tcW w:w="12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(143)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195</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 beginning of period</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spacing w:after="0" w:line="182" w:lineRule="exact"/>
              <w:rPr>
                <w:sz w:val="20"/>
                <w:szCs w:val="20"/>
                <w:color w:val="auto"/>
              </w:rPr>
            </w:pPr>
            <w:r>
              <w:rPr>
                <w:rFonts w:ascii="Arial" w:cs="Arial" w:eastAsia="Arial" w:hAnsi="Arial"/>
                <w:sz w:val="18"/>
                <w:szCs w:val="18"/>
                <w:color w:val="auto"/>
              </w:rPr>
              <w:t>Cash, cash equivalents and restricted cash, end of period</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280</w:t>
            </w:r>
          </w:p>
        </w:tc>
        <w:tc>
          <w:tcPr>
            <w:tcW w:w="120" w:type="dxa"/>
            <w:vAlign w:val="bottom"/>
          </w:tcPr>
          <w:p>
            <w:pPr>
              <w:spacing w:after="0"/>
              <w:rPr>
                <w:sz w:val="17"/>
                <w:szCs w:val="17"/>
                <w:color w:val="auto"/>
              </w:rPr>
            </w:pPr>
          </w:p>
        </w:tc>
        <w:tc>
          <w:tcPr>
            <w:tcW w:w="600" w:type="dxa"/>
            <w:vAlign w:val="bottom"/>
            <w:gridSpan w:val="2"/>
          </w:tcPr>
          <w:p>
            <w:pPr>
              <w:jc w:val="right"/>
              <w:ind w:right="420"/>
              <w:spacing w:after="0" w:line="18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451</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EQUITY (DEFICIT) (Unaudited)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rPr>
              <w:t>Nine-Month Period Ending September 30, 2022</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gridSpan w:val="12"/>
          </w:tcPr>
          <w:p>
            <w:pPr>
              <w:jc w:val="right"/>
              <w:ind w:right="600"/>
              <w:spacing w:after="0"/>
              <w:rPr>
                <w:sz w:val="20"/>
                <w:szCs w:val="20"/>
                <w:color w:val="auto"/>
              </w:rPr>
            </w:pPr>
            <w:r>
              <w:rPr>
                <w:rFonts w:ascii="Arial" w:cs="Arial" w:eastAsia="Arial" w:hAnsi="Arial"/>
                <w:sz w:val="14"/>
                <w:szCs w:val="14"/>
                <w:b w:val="1"/>
                <w:bCs w:val="1"/>
                <w:color w:val="auto"/>
              </w:rPr>
              <w:t>Eastman Kodak Company Common Shareholders</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center"/>
              <w:ind w:right="140"/>
              <w:spacing w:after="0" w:line="143"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 in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Preferred</w:t>
            </w:r>
          </w:p>
        </w:tc>
        <w:tc>
          <w:tcPr>
            <w:tcW w:w="0" w:type="dxa"/>
            <w:vAlign w:val="bottom"/>
          </w:tcPr>
          <w:p>
            <w:pPr>
              <w:spacing w:after="0"/>
              <w:rPr>
                <w:sz w:val="1"/>
                <w:szCs w:val="1"/>
                <w:color w:val="auto"/>
              </w:rPr>
            </w:pPr>
          </w:p>
        </w:tc>
      </w:tr>
      <w:tr>
        <w:trPr>
          <w:trHeight w:val="175"/>
        </w:trPr>
        <w:tc>
          <w:tcPr>
            <w:tcW w:w="3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Equity (deficit) as of December 31, 2021</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440"/>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1,166</w:t>
            </w: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(596)</w:t>
            </w: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221</w:t>
            </w:r>
          </w:p>
        </w:tc>
        <w:tc>
          <w:tcPr>
            <w:tcW w:w="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781</w:t>
            </w:r>
          </w:p>
        </w:tc>
        <w:tc>
          <w:tcPr>
            <w:tcW w:w="1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7"/>
                <w:szCs w:val="17"/>
                <w:color w:val="auto"/>
              </w:rPr>
            </w:pPr>
          </w:p>
        </w:tc>
        <w:tc>
          <w:tcPr>
            <w:tcW w:w="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340"/>
              <w:spacing w:after="0" w:line="202" w:lineRule="exact"/>
              <w:rPr>
                <w:sz w:val="20"/>
                <w:szCs w:val="20"/>
                <w:color w:val="auto"/>
              </w:rPr>
            </w:pPr>
            <w:r>
              <w:rPr>
                <w:rFonts w:ascii="Arial" w:cs="Arial" w:eastAsia="Arial" w:hAnsi="Arial"/>
                <w:sz w:val="18"/>
                <w:szCs w:val="18"/>
                <w:color w:val="auto"/>
              </w:rPr>
              <w:t>Currency translation adjustments</w:t>
            </w:r>
          </w:p>
        </w:tc>
        <w:tc>
          <w:tcPr>
            <w:tcW w:w="140" w:type="dxa"/>
            <w:vAlign w:val="bottom"/>
          </w:tcPr>
          <w:p>
            <w:pPr>
              <w:spacing w:after="0"/>
              <w:rPr>
                <w:sz w:val="17"/>
                <w:szCs w:val="17"/>
                <w:color w:val="auto"/>
              </w:rPr>
            </w:pPr>
          </w:p>
        </w:tc>
        <w:tc>
          <w:tcPr>
            <w:tcW w:w="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 cash dividends</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Preferred stock in-kind dividends</w:t>
            </w:r>
          </w:p>
        </w:tc>
        <w:tc>
          <w:tcPr>
            <w:tcW w:w="140" w:type="dxa"/>
            <w:vAlign w:val="bottom"/>
          </w:tcPr>
          <w:p>
            <w:pPr>
              <w:spacing w:after="0"/>
              <w:rPr>
                <w:sz w:val="17"/>
                <w:szCs w:val="17"/>
                <w:color w:val="auto"/>
              </w:rPr>
            </w:pPr>
          </w:p>
        </w:tc>
        <w:tc>
          <w:tcPr>
            <w:tcW w:w="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 deemed dividends</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7"/>
                <w:szCs w:val="17"/>
                <w:color w:val="auto"/>
              </w:rPr>
            </w:pPr>
          </w:p>
        </w:tc>
        <w:tc>
          <w:tcPr>
            <w:tcW w:w="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Equity (deficit) as of March 31, 2022</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440"/>
              <w:spacing w:after="0" w:line="182"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1,165</w:t>
            </w:r>
          </w:p>
        </w:tc>
        <w:tc>
          <w:tcPr>
            <w:tcW w:w="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(599)</w:t>
            </w:r>
          </w:p>
        </w:tc>
        <w:tc>
          <w:tcPr>
            <w:tcW w:w="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226</w:t>
            </w:r>
          </w:p>
        </w:tc>
        <w:tc>
          <w:tcPr>
            <w:tcW w:w="2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782</w:t>
            </w:r>
          </w:p>
        </w:tc>
        <w:tc>
          <w:tcPr>
            <w:tcW w:w="180" w:type="dxa"/>
            <w:vAlign w:val="bottom"/>
            <w:gridSpan w:val="2"/>
            <w:shd w:val="clear" w:color="auto" w:fill="CCEEFF"/>
          </w:tcPr>
          <w:p>
            <w:pPr>
              <w:ind w:left="8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80" w:type="dxa"/>
            <w:vAlign w:val="bottom"/>
          </w:tcPr>
          <w:p>
            <w:pPr>
              <w:spacing w:after="0" w:line="183" w:lineRule="exact"/>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5"/>
                <w:szCs w:val="15"/>
                <w:color w:val="auto"/>
              </w:rPr>
            </w:pPr>
          </w:p>
        </w:tc>
        <w:tc>
          <w:tcPr>
            <w:tcW w:w="740" w:type="dxa"/>
            <w:vAlign w:val="bottom"/>
            <w:gridSpan w:val="2"/>
          </w:tcPr>
          <w:p>
            <w:pPr>
              <w:ind w:left="440"/>
              <w:spacing w:after="0" w:line="18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00"/>
              <w:spacing w:after="0" w:line="18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line="183" w:lineRule="exact"/>
              <w:rPr>
                <w:sz w:val="20"/>
                <w:szCs w:val="20"/>
                <w:color w:val="auto"/>
              </w:rPr>
            </w:pPr>
            <w:r>
              <w:rPr>
                <w:rFonts w:ascii="Arial" w:cs="Arial" w:eastAsia="Arial" w:hAnsi="Arial"/>
                <w:sz w:val="18"/>
                <w:szCs w:val="18"/>
                <w:color w:val="auto"/>
              </w:rPr>
              <w:t>20</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line="18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20"/>
              <w:spacing w:after="0" w:line="18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40"/>
              <w:spacing w:after="0" w:line="183" w:lineRule="exact"/>
              <w:rPr>
                <w:sz w:val="20"/>
                <w:szCs w:val="20"/>
                <w:color w:val="auto"/>
              </w:rPr>
            </w:pPr>
            <w:r>
              <w:rPr>
                <w:rFonts w:ascii="Arial" w:cs="Arial" w:eastAsia="Arial" w:hAnsi="Arial"/>
                <w:sz w:val="18"/>
                <w:szCs w:val="18"/>
                <w:color w:val="auto"/>
              </w:rPr>
              <w:t>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340"/>
              <w:spacing w:after="0" w:line="202" w:lineRule="exact"/>
              <w:rPr>
                <w:sz w:val="20"/>
                <w:szCs w:val="20"/>
                <w:color w:val="auto"/>
              </w:rPr>
            </w:pPr>
            <w:r>
              <w:rPr>
                <w:rFonts w:ascii="Arial" w:cs="Arial" w:eastAsia="Arial" w:hAnsi="Arial"/>
                <w:sz w:val="18"/>
                <w:szCs w:val="18"/>
                <w:color w:val="auto"/>
              </w:rPr>
              <w:t>Currency translation adjustments</w:t>
            </w:r>
          </w:p>
        </w:tc>
        <w:tc>
          <w:tcPr>
            <w:tcW w:w="140" w:type="dxa"/>
            <w:vAlign w:val="bottom"/>
          </w:tcPr>
          <w:p>
            <w:pPr>
              <w:spacing w:after="0"/>
              <w:rPr>
                <w:sz w:val="17"/>
                <w:szCs w:val="17"/>
                <w:color w:val="auto"/>
              </w:rPr>
            </w:pPr>
          </w:p>
        </w:tc>
        <w:tc>
          <w:tcPr>
            <w:tcW w:w="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Pension and other postretirement liability</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Preferred stock cash dividends</w:t>
            </w:r>
          </w:p>
        </w:tc>
        <w:tc>
          <w:tcPr>
            <w:tcW w:w="140" w:type="dxa"/>
            <w:vAlign w:val="bottom"/>
          </w:tcPr>
          <w:p>
            <w:pPr>
              <w:spacing w:after="0"/>
              <w:rPr>
                <w:sz w:val="17"/>
                <w:szCs w:val="17"/>
                <w:color w:val="auto"/>
              </w:rPr>
            </w:pPr>
          </w:p>
        </w:tc>
        <w:tc>
          <w:tcPr>
            <w:tcW w:w="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 in-kind dividends</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7"/>
                <w:szCs w:val="17"/>
                <w:color w:val="auto"/>
              </w:rPr>
            </w:pPr>
          </w:p>
        </w:tc>
        <w:tc>
          <w:tcPr>
            <w:tcW w:w="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Equity (deficit) as of June 30, 2022</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440"/>
              <w:spacing w:after="0" w:line="182"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1,164</w:t>
            </w:r>
          </w:p>
        </w:tc>
        <w:tc>
          <w:tcPr>
            <w:tcW w:w="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(579)</w:t>
            </w:r>
          </w:p>
        </w:tc>
        <w:tc>
          <w:tcPr>
            <w:tcW w:w="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326</w:t>
            </w:r>
          </w:p>
        </w:tc>
        <w:tc>
          <w:tcPr>
            <w:tcW w:w="2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901</w:t>
            </w:r>
          </w:p>
        </w:tc>
        <w:tc>
          <w:tcPr>
            <w:tcW w:w="180" w:type="dxa"/>
            <w:vAlign w:val="bottom"/>
            <w:gridSpan w:val="2"/>
            <w:shd w:val="clear" w:color="auto" w:fill="CCEEFF"/>
          </w:tcPr>
          <w:p>
            <w:pPr>
              <w:ind w:left="8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80" w:type="dxa"/>
            <w:vAlign w:val="bottom"/>
          </w:tcPr>
          <w:p>
            <w:pPr>
              <w:spacing w:after="0" w:line="183" w:lineRule="exact"/>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5"/>
                <w:szCs w:val="15"/>
                <w:color w:val="auto"/>
              </w:rPr>
            </w:pPr>
          </w:p>
        </w:tc>
        <w:tc>
          <w:tcPr>
            <w:tcW w:w="740" w:type="dxa"/>
            <w:vAlign w:val="bottom"/>
            <w:gridSpan w:val="2"/>
          </w:tcPr>
          <w:p>
            <w:pPr>
              <w:ind w:left="440"/>
              <w:spacing w:after="0" w:line="18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00"/>
              <w:spacing w:after="0" w:line="18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line="183"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line="18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20"/>
              <w:spacing w:after="0" w:line="18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40"/>
              <w:spacing w:after="0" w:line="183"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80" w:type="dxa"/>
            <w:vAlign w:val="bottom"/>
          </w:tcPr>
          <w:p>
            <w:pPr>
              <w:ind w:left="340"/>
              <w:spacing w:after="0" w:line="202" w:lineRule="exact"/>
              <w:rPr>
                <w:sz w:val="20"/>
                <w:szCs w:val="20"/>
                <w:color w:val="auto"/>
              </w:rPr>
            </w:pPr>
            <w:r>
              <w:rPr>
                <w:rFonts w:ascii="Arial" w:cs="Arial" w:eastAsia="Arial" w:hAnsi="Arial"/>
                <w:sz w:val="18"/>
                <w:szCs w:val="18"/>
                <w:color w:val="auto"/>
              </w:rPr>
              <w:t>Currency translation adjustments</w:t>
            </w:r>
          </w:p>
        </w:tc>
        <w:tc>
          <w:tcPr>
            <w:tcW w:w="140" w:type="dxa"/>
            <w:vAlign w:val="bottom"/>
          </w:tcPr>
          <w:p>
            <w:pPr>
              <w:spacing w:after="0"/>
              <w:rPr>
                <w:sz w:val="17"/>
                <w:szCs w:val="17"/>
                <w:color w:val="auto"/>
              </w:rPr>
            </w:pPr>
          </w:p>
        </w:tc>
        <w:tc>
          <w:tcPr>
            <w:tcW w:w="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Pension and other postretirement liability</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Preferred stock cash dividends</w:t>
            </w:r>
          </w:p>
        </w:tc>
        <w:tc>
          <w:tcPr>
            <w:tcW w:w="140" w:type="dxa"/>
            <w:vAlign w:val="bottom"/>
          </w:tcPr>
          <w:p>
            <w:pPr>
              <w:spacing w:after="0"/>
              <w:rPr>
                <w:sz w:val="17"/>
                <w:szCs w:val="17"/>
                <w:color w:val="auto"/>
              </w:rPr>
            </w:pPr>
          </w:p>
        </w:tc>
        <w:tc>
          <w:tcPr>
            <w:tcW w:w="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 in-kind dividends</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Treasury stock purchases </w:t>
            </w:r>
            <w:r>
              <w:rPr>
                <w:rFonts w:ascii="Arial" w:cs="Arial" w:eastAsia="Arial" w:hAnsi="Arial"/>
                <w:sz w:val="14"/>
                <w:szCs w:val="14"/>
                <w:color w:val="auto"/>
              </w:rPr>
              <w:t>(1)</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tcPr>
          <w:p>
            <w:pPr>
              <w:spacing w:after="0" w:line="182" w:lineRule="exact"/>
              <w:rPr>
                <w:sz w:val="20"/>
                <w:szCs w:val="20"/>
                <w:color w:val="auto"/>
              </w:rPr>
            </w:pPr>
            <w:r>
              <w:rPr>
                <w:rFonts w:ascii="Arial" w:cs="Arial" w:eastAsia="Arial" w:hAnsi="Arial"/>
                <w:sz w:val="18"/>
                <w:szCs w:val="18"/>
                <w:color w:val="auto"/>
              </w:rPr>
              <w:t>Equity (deficit) as of September 30, 2022</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ind w:left="440"/>
              <w:spacing w:after="0" w:line="182"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1,162</w:t>
            </w:r>
          </w:p>
        </w:tc>
        <w:tc>
          <w:tcPr>
            <w:tcW w:w="18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(577)</w:t>
            </w:r>
          </w:p>
        </w:tc>
        <w:tc>
          <w:tcPr>
            <w:tcW w:w="18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327</w:t>
            </w:r>
          </w:p>
        </w:tc>
        <w:tc>
          <w:tcPr>
            <w:tcW w:w="2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(11)</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901</w:t>
            </w:r>
          </w:p>
        </w:tc>
        <w:tc>
          <w:tcPr>
            <w:tcW w:w="180" w:type="dxa"/>
            <w:vAlign w:val="bottom"/>
            <w:gridSpan w:val="2"/>
          </w:tcPr>
          <w:p>
            <w:pPr>
              <w:ind w:left="8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EQUITY (DEFICIT) (Unaudited) (cont</w:t>
      </w:r>
      <w:r>
        <w:rPr>
          <w:rFonts w:ascii="Arial" w:cs="Arial" w:eastAsia="Arial" w:hAnsi="Arial"/>
          <w:sz w:val="18"/>
          <w:szCs w:val="18"/>
          <w:color w:val="auto"/>
        </w:rPr>
        <w:t>’</w:t>
      </w:r>
      <w:r>
        <w:rPr>
          <w:rFonts w:ascii="Arial" w:cs="Arial" w:eastAsia="Arial" w:hAnsi="Arial"/>
          <w:sz w:val="18"/>
          <w:szCs w:val="18"/>
          <w:b w:val="1"/>
          <w:bCs w:val="1"/>
          <w:color w:val="auto"/>
        </w:rPr>
        <w:t>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rPr>
              <w:t>Nine-Month Period Ending September 30, 2021</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gridSpan w:val="12"/>
          </w:tcPr>
          <w:p>
            <w:pPr>
              <w:jc w:val="right"/>
              <w:ind w:right="600"/>
              <w:spacing w:after="0"/>
              <w:rPr>
                <w:sz w:val="20"/>
                <w:szCs w:val="20"/>
                <w:color w:val="auto"/>
              </w:rPr>
            </w:pPr>
            <w:r>
              <w:rPr>
                <w:rFonts w:ascii="Arial" w:cs="Arial" w:eastAsia="Arial" w:hAnsi="Arial"/>
                <w:sz w:val="14"/>
                <w:szCs w:val="14"/>
                <w:b w:val="1"/>
                <w:bCs w:val="1"/>
                <w:color w:val="auto"/>
              </w:rPr>
              <w:t>Eastman Kodak Company Common Shareholders</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center"/>
              <w:ind w:right="140"/>
              <w:spacing w:after="0" w:line="143"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 in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Preferred</w:t>
            </w:r>
          </w:p>
        </w:tc>
        <w:tc>
          <w:tcPr>
            <w:tcW w:w="0" w:type="dxa"/>
            <w:vAlign w:val="bottom"/>
          </w:tcPr>
          <w:p>
            <w:pPr>
              <w:spacing w:after="0"/>
              <w:rPr>
                <w:sz w:val="1"/>
                <w:szCs w:val="1"/>
                <w:color w:val="auto"/>
              </w:rPr>
            </w:pPr>
          </w:p>
        </w:tc>
      </w:tr>
      <w:tr>
        <w:trPr>
          <w:trHeight w:val="175"/>
        </w:trPr>
        <w:tc>
          <w:tcPr>
            <w:tcW w:w="3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Equity (deficit) as of December 31, 2020</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440"/>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1,152</w:t>
            </w: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(620)</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(446)</w:t>
            </w:r>
          </w:p>
        </w:tc>
        <w:tc>
          <w:tcPr>
            <w:tcW w:w="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77</w:t>
            </w:r>
          </w:p>
        </w:tc>
        <w:tc>
          <w:tcPr>
            <w:tcW w:w="1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7"/>
                <w:szCs w:val="17"/>
                <w:color w:val="auto"/>
              </w:rPr>
            </w:pPr>
          </w:p>
        </w:tc>
        <w:tc>
          <w:tcPr>
            <w:tcW w:w="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340"/>
              <w:spacing w:after="0" w:line="202" w:lineRule="exact"/>
              <w:rPr>
                <w:sz w:val="20"/>
                <w:szCs w:val="20"/>
                <w:color w:val="auto"/>
              </w:rPr>
            </w:pPr>
            <w:r>
              <w:rPr>
                <w:rFonts w:ascii="Arial" w:cs="Arial" w:eastAsia="Arial" w:hAnsi="Arial"/>
                <w:sz w:val="18"/>
                <w:szCs w:val="18"/>
                <w:color w:val="auto"/>
              </w:rPr>
              <w:t>Currency translation adjustments</w:t>
            </w:r>
          </w:p>
        </w:tc>
        <w:tc>
          <w:tcPr>
            <w:tcW w:w="140" w:type="dxa"/>
            <w:vAlign w:val="bottom"/>
          </w:tcPr>
          <w:p>
            <w:pPr>
              <w:spacing w:after="0"/>
              <w:rPr>
                <w:sz w:val="17"/>
                <w:szCs w:val="17"/>
                <w:color w:val="auto"/>
              </w:rPr>
            </w:pPr>
          </w:p>
        </w:tc>
        <w:tc>
          <w:tcPr>
            <w:tcW w:w="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Pension and other postretirement liability</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Repurchase of Series A preferred stock</w:t>
            </w:r>
          </w:p>
        </w:tc>
        <w:tc>
          <w:tcPr>
            <w:tcW w:w="140" w:type="dxa"/>
            <w:vAlign w:val="bottom"/>
          </w:tcPr>
          <w:p>
            <w:pPr>
              <w:spacing w:after="0"/>
              <w:rPr>
                <w:sz w:val="17"/>
                <w:szCs w:val="17"/>
                <w:color w:val="auto"/>
              </w:rPr>
            </w:pPr>
          </w:p>
        </w:tc>
        <w:tc>
          <w:tcPr>
            <w:tcW w:w="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Exchange of Series A preferred stock</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2"/>
        </w:trPr>
        <w:tc>
          <w:tcPr>
            <w:tcW w:w="3980" w:type="dxa"/>
            <w:vAlign w:val="bottom"/>
          </w:tcPr>
          <w:p>
            <w:pPr>
              <w:spacing w:after="0" w:line="201" w:lineRule="exact"/>
              <w:rPr>
                <w:sz w:val="20"/>
                <w:szCs w:val="20"/>
                <w:color w:val="auto"/>
              </w:rPr>
            </w:pPr>
            <w:r>
              <w:rPr>
                <w:rFonts w:ascii="Arial" w:cs="Arial" w:eastAsia="Arial" w:hAnsi="Arial"/>
                <w:sz w:val="18"/>
                <w:szCs w:val="18"/>
                <w:color w:val="auto"/>
              </w:rPr>
              <w:t>Expiration of Series A preferred stock</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line="203" w:lineRule="exact"/>
              <w:rPr>
                <w:sz w:val="20"/>
                <w:szCs w:val="20"/>
                <w:color w:val="auto"/>
              </w:rPr>
            </w:pPr>
            <w:r>
              <w:rPr>
                <w:rFonts w:ascii="Arial" w:cs="Arial" w:eastAsia="Arial" w:hAnsi="Arial"/>
                <w:sz w:val="18"/>
                <w:szCs w:val="18"/>
                <w:color w:val="auto"/>
              </w:rPr>
              <w:t>embedded derivative</w:t>
            </w:r>
          </w:p>
        </w:tc>
        <w:tc>
          <w:tcPr>
            <w:tcW w:w="140" w:type="dxa"/>
            <w:vAlign w:val="bottom"/>
          </w:tcPr>
          <w:p>
            <w:pPr>
              <w:spacing w:after="0"/>
              <w:rPr>
                <w:sz w:val="17"/>
                <w:szCs w:val="17"/>
                <w:color w:val="auto"/>
              </w:rPr>
            </w:pPr>
          </w:p>
        </w:tc>
        <w:tc>
          <w:tcPr>
            <w:tcW w:w="740" w:type="dxa"/>
            <w:vAlign w:val="bottom"/>
            <w:gridSpan w:val="2"/>
          </w:tcPr>
          <w:p>
            <w:pPr>
              <w:ind w:left="44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11</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convertible, redeemable Series B</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preferred stock, net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Issuance of common stock</w:t>
            </w:r>
          </w:p>
        </w:tc>
        <w:tc>
          <w:tcPr>
            <w:tcW w:w="140" w:type="dxa"/>
            <w:vAlign w:val="bottom"/>
          </w:tcPr>
          <w:p>
            <w:pPr>
              <w:spacing w:after="0"/>
              <w:rPr>
                <w:sz w:val="17"/>
                <w:szCs w:val="17"/>
                <w:color w:val="auto"/>
              </w:rPr>
            </w:pPr>
          </w:p>
        </w:tc>
        <w:tc>
          <w:tcPr>
            <w:tcW w:w="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convertible, redeemable Series C</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preferred stock, net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Preferred stock cash dividends</w:t>
            </w:r>
          </w:p>
        </w:tc>
        <w:tc>
          <w:tcPr>
            <w:tcW w:w="140" w:type="dxa"/>
            <w:vAlign w:val="bottom"/>
          </w:tcPr>
          <w:p>
            <w:pPr>
              <w:spacing w:after="0"/>
              <w:rPr>
                <w:sz w:val="17"/>
                <w:szCs w:val="17"/>
                <w:color w:val="auto"/>
              </w:rPr>
            </w:pPr>
          </w:p>
        </w:tc>
        <w:tc>
          <w:tcPr>
            <w:tcW w:w="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 deemed dividends</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Preferred stock in-kind dividends</w:t>
            </w:r>
          </w:p>
        </w:tc>
        <w:tc>
          <w:tcPr>
            <w:tcW w:w="140" w:type="dxa"/>
            <w:vAlign w:val="bottom"/>
          </w:tcPr>
          <w:p>
            <w:pPr>
              <w:spacing w:after="0"/>
              <w:rPr>
                <w:sz w:val="17"/>
                <w:szCs w:val="17"/>
                <w:color w:val="auto"/>
              </w:rPr>
            </w:pPr>
          </w:p>
        </w:tc>
        <w:tc>
          <w:tcPr>
            <w:tcW w:w="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Purchase of treasury stock </w:t>
            </w:r>
            <w:r>
              <w:rPr>
                <w:rFonts w:ascii="Arial" w:cs="Arial" w:eastAsia="Arial" w:hAnsi="Arial"/>
                <w:sz w:val="14"/>
                <w:szCs w:val="14"/>
                <w:color w:val="auto"/>
              </w:rPr>
              <w:t>(1)</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7"/>
                <w:szCs w:val="17"/>
                <w:color w:val="auto"/>
              </w:rPr>
            </w:pPr>
          </w:p>
        </w:tc>
        <w:tc>
          <w:tcPr>
            <w:tcW w:w="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Equity (deficit) as of March 31, 2021</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440"/>
              <w:spacing w:after="0" w:line="182"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1,169</w:t>
            </w:r>
          </w:p>
        </w:tc>
        <w:tc>
          <w:tcPr>
            <w:tcW w:w="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(614)</w:t>
            </w:r>
          </w:p>
        </w:tc>
        <w:tc>
          <w:tcPr>
            <w:tcW w:w="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(441)</w:t>
            </w:r>
          </w:p>
        </w:tc>
        <w:tc>
          <w:tcPr>
            <w:tcW w:w="2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104</w:t>
            </w:r>
          </w:p>
        </w:tc>
        <w:tc>
          <w:tcPr>
            <w:tcW w:w="180" w:type="dxa"/>
            <w:vAlign w:val="bottom"/>
            <w:gridSpan w:val="2"/>
            <w:shd w:val="clear" w:color="auto" w:fill="CCEEFF"/>
          </w:tcPr>
          <w:p>
            <w:pPr>
              <w:ind w:left="8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80" w:type="dxa"/>
            <w:vAlign w:val="bottom"/>
          </w:tcPr>
          <w:p>
            <w:pPr>
              <w:spacing w:after="0" w:line="183" w:lineRule="exact"/>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5"/>
                <w:szCs w:val="15"/>
                <w:color w:val="auto"/>
              </w:rPr>
            </w:pPr>
          </w:p>
        </w:tc>
        <w:tc>
          <w:tcPr>
            <w:tcW w:w="740" w:type="dxa"/>
            <w:vAlign w:val="bottom"/>
            <w:gridSpan w:val="2"/>
          </w:tcPr>
          <w:p>
            <w:pPr>
              <w:ind w:left="440"/>
              <w:spacing w:after="0" w:line="18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00"/>
              <w:spacing w:after="0" w:line="18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line="183"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line="18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20"/>
              <w:spacing w:after="0" w:line="18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40"/>
              <w:spacing w:after="0" w:line="183" w:lineRule="exact"/>
              <w:rPr>
                <w:sz w:val="20"/>
                <w:szCs w:val="20"/>
                <w:color w:val="auto"/>
              </w:rPr>
            </w:pPr>
            <w:r>
              <w:rPr>
                <w:rFonts w:ascii="Arial" w:cs="Arial" w:eastAsia="Arial" w:hAnsi="Arial"/>
                <w:sz w:val="18"/>
                <w:szCs w:val="18"/>
                <w:color w:val="auto"/>
              </w:rPr>
              <w:t>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340"/>
              <w:spacing w:after="0" w:line="202" w:lineRule="exact"/>
              <w:rPr>
                <w:sz w:val="20"/>
                <w:szCs w:val="20"/>
                <w:color w:val="auto"/>
              </w:rPr>
            </w:pPr>
            <w:r>
              <w:rPr>
                <w:rFonts w:ascii="Arial" w:cs="Arial" w:eastAsia="Arial" w:hAnsi="Arial"/>
                <w:sz w:val="18"/>
                <w:szCs w:val="18"/>
                <w:color w:val="auto"/>
              </w:rPr>
              <w:t>Currency translation adjustments</w:t>
            </w:r>
          </w:p>
        </w:tc>
        <w:tc>
          <w:tcPr>
            <w:tcW w:w="140" w:type="dxa"/>
            <w:vAlign w:val="bottom"/>
          </w:tcPr>
          <w:p>
            <w:pPr>
              <w:spacing w:after="0"/>
              <w:rPr>
                <w:sz w:val="17"/>
                <w:szCs w:val="17"/>
                <w:color w:val="auto"/>
              </w:rPr>
            </w:pPr>
          </w:p>
        </w:tc>
        <w:tc>
          <w:tcPr>
            <w:tcW w:w="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Pension and other postretirement liability</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Preferred stock cash dividends</w:t>
            </w:r>
          </w:p>
        </w:tc>
        <w:tc>
          <w:tcPr>
            <w:tcW w:w="140" w:type="dxa"/>
            <w:vAlign w:val="bottom"/>
          </w:tcPr>
          <w:p>
            <w:pPr>
              <w:spacing w:after="0"/>
              <w:rPr>
                <w:sz w:val="17"/>
                <w:szCs w:val="17"/>
                <w:color w:val="auto"/>
              </w:rPr>
            </w:pPr>
          </w:p>
        </w:tc>
        <w:tc>
          <w:tcPr>
            <w:tcW w:w="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 in-kind dividends</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398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7"/>
                <w:szCs w:val="17"/>
                <w:color w:val="auto"/>
              </w:rPr>
            </w:pPr>
          </w:p>
        </w:tc>
        <w:tc>
          <w:tcPr>
            <w:tcW w:w="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Equity (deficit) as of June 30, 2021</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440"/>
              <w:spacing w:after="0" w:line="182"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1,167</w:t>
            </w:r>
          </w:p>
        </w:tc>
        <w:tc>
          <w:tcPr>
            <w:tcW w:w="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(598)</w:t>
            </w:r>
          </w:p>
        </w:tc>
        <w:tc>
          <w:tcPr>
            <w:tcW w:w="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(429)</w:t>
            </w:r>
          </w:p>
        </w:tc>
        <w:tc>
          <w:tcPr>
            <w:tcW w:w="2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130</w:t>
            </w:r>
          </w:p>
        </w:tc>
        <w:tc>
          <w:tcPr>
            <w:tcW w:w="180" w:type="dxa"/>
            <w:vAlign w:val="bottom"/>
            <w:gridSpan w:val="2"/>
            <w:shd w:val="clear" w:color="auto" w:fill="CCEEFF"/>
          </w:tcPr>
          <w:p>
            <w:pPr>
              <w:ind w:left="8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80" w:type="dxa"/>
            <w:vAlign w:val="bottom"/>
          </w:tcPr>
          <w:p>
            <w:pPr>
              <w:spacing w:after="0" w:line="183" w:lineRule="exact"/>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5"/>
                <w:szCs w:val="15"/>
                <w:color w:val="auto"/>
              </w:rPr>
            </w:pPr>
          </w:p>
        </w:tc>
        <w:tc>
          <w:tcPr>
            <w:tcW w:w="740" w:type="dxa"/>
            <w:vAlign w:val="bottom"/>
            <w:gridSpan w:val="2"/>
          </w:tcPr>
          <w:p>
            <w:pPr>
              <w:ind w:left="440"/>
              <w:spacing w:after="0" w:line="18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00"/>
              <w:spacing w:after="0" w:line="18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line="183"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line="18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20"/>
              <w:spacing w:after="0" w:line="18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40"/>
              <w:spacing w:after="0" w:line="183" w:lineRule="exact"/>
              <w:rPr>
                <w:sz w:val="20"/>
                <w:szCs w:val="20"/>
                <w:color w:val="auto"/>
              </w:rPr>
            </w:pPr>
            <w:r>
              <w:rPr>
                <w:rFonts w:ascii="Arial" w:cs="Arial" w:eastAsia="Arial" w:hAnsi="Arial"/>
                <w:sz w:val="18"/>
                <w:szCs w:val="18"/>
                <w:color w:val="auto"/>
              </w:rPr>
              <w:t>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80" w:type="dxa"/>
            <w:vAlign w:val="bottom"/>
          </w:tcPr>
          <w:p>
            <w:pPr>
              <w:ind w:left="340"/>
              <w:spacing w:after="0" w:line="201" w:lineRule="exact"/>
              <w:rPr>
                <w:sz w:val="20"/>
                <w:szCs w:val="20"/>
                <w:color w:val="auto"/>
              </w:rPr>
            </w:pPr>
            <w:r>
              <w:rPr>
                <w:rFonts w:ascii="Arial" w:cs="Arial" w:eastAsia="Arial" w:hAnsi="Arial"/>
                <w:sz w:val="18"/>
                <w:szCs w:val="18"/>
                <w:color w:val="auto"/>
              </w:rPr>
              <w:t>Pension and other postretirement liability</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500"/>
              <w:spacing w:after="0" w:line="203" w:lineRule="exact"/>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7"/>
                <w:szCs w:val="17"/>
                <w:color w:val="auto"/>
              </w:rPr>
            </w:pPr>
          </w:p>
        </w:tc>
        <w:tc>
          <w:tcPr>
            <w:tcW w:w="740" w:type="dxa"/>
            <w:vAlign w:val="bottom"/>
            <w:gridSpan w:val="2"/>
          </w:tcPr>
          <w:p>
            <w:pPr>
              <w:ind w:left="44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 Preferred stock cash dividends</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Series C Preferred stock in-kind dividends</w:t>
            </w:r>
          </w:p>
        </w:tc>
        <w:tc>
          <w:tcPr>
            <w:tcW w:w="140" w:type="dxa"/>
            <w:vAlign w:val="bottom"/>
          </w:tcPr>
          <w:p>
            <w:pPr>
              <w:spacing w:after="0"/>
              <w:rPr>
                <w:sz w:val="17"/>
                <w:szCs w:val="17"/>
                <w:color w:val="auto"/>
              </w:rPr>
            </w:pPr>
          </w:p>
        </w:tc>
        <w:tc>
          <w:tcPr>
            <w:tcW w:w="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 deemed dividends</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7"/>
                <w:szCs w:val="17"/>
                <w:color w:val="auto"/>
              </w:rPr>
            </w:pPr>
          </w:p>
        </w:tc>
        <w:tc>
          <w:tcPr>
            <w:tcW w:w="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Equity (deficit) as of September 30, 2021</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440"/>
              <w:spacing w:after="0" w:line="182"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1,166</w:t>
            </w:r>
          </w:p>
        </w:tc>
        <w:tc>
          <w:tcPr>
            <w:tcW w:w="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(590)</w:t>
            </w:r>
          </w:p>
        </w:tc>
        <w:tc>
          <w:tcPr>
            <w:tcW w:w="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(422)</w:t>
            </w:r>
          </w:p>
        </w:tc>
        <w:tc>
          <w:tcPr>
            <w:tcW w:w="2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144</w:t>
            </w:r>
          </w:p>
        </w:tc>
        <w:tc>
          <w:tcPr>
            <w:tcW w:w="180" w:type="dxa"/>
            <w:vAlign w:val="bottom"/>
            <w:gridSpan w:val="2"/>
            <w:shd w:val="clear" w:color="auto" w:fill="CCEEFF"/>
          </w:tcPr>
          <w:p>
            <w:pPr>
              <w:ind w:left="8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5"/>
          <w:szCs w:val="15"/>
          <w:b w:val="1"/>
          <w:bCs w:val="1"/>
          <w:color w:val="auto"/>
        </w:rPr>
      </w:pPr>
      <w:r>
        <w:rPr>
          <w:rFonts w:ascii="Arial" w:cs="Arial" w:eastAsia="Arial" w:hAnsi="Arial"/>
          <w:sz w:val="18"/>
          <w:szCs w:val="18"/>
          <w:color w:val="auto"/>
        </w:rPr>
        <w:t>Represents purchases of common stock to satisfy tax withholding obligations.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ind w:left="55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(Unaudited)</w:t>
      </w:r>
    </w:p>
    <w:p>
      <w:pPr>
        <w:spacing w:after="0" w:line="176" w:lineRule="exact"/>
        <w:rPr>
          <w:sz w:val="20"/>
          <w:szCs w:val="20"/>
          <w:color w:val="auto"/>
        </w:rPr>
      </w:pPr>
    </w:p>
    <w:p>
      <w:pPr>
        <w:ind w:right="3820"/>
        <w:spacing w:after="0" w:line="482" w:lineRule="auto"/>
        <w:rPr>
          <w:sz w:val="20"/>
          <w:szCs w:val="20"/>
          <w:color w:val="auto"/>
        </w:rPr>
      </w:pPr>
      <w:r>
        <w:rPr>
          <w:rFonts w:ascii="Arial" w:cs="Arial" w:eastAsia="Arial" w:hAnsi="Arial"/>
          <w:sz w:val="18"/>
          <w:szCs w:val="18"/>
          <w:b w:val="1"/>
          <w:bCs w:val="1"/>
          <w:color w:val="auto"/>
        </w:rPr>
        <w:t>NOTE 1: BASIS OF PRESENTATION AND RECENT ACCOUNTING PRONOUNCEMENTS BASIS OF PRESENTATION</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and all companies directly or indirectly controlled, either through majority ownership or otherwise (“Kodak” or the “Company”). The results of operations for the interim periods are not necessarily indicative of the results for the entire fiscal year. These consolidated interim statements should be read in conjunction with the Company’s Annual Report on Form 10-K for the year ended December 31, 2021 (the “2021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r>
        <w:rPr>
          <w:rFonts w:ascii="Arial" w:cs="Arial" w:eastAsia="Arial" w:hAnsi="Arial"/>
          <w:sz w:val="18"/>
          <w:szCs w:val="18"/>
          <w:color w:val="auto"/>
        </w:rPr>
        <w:t>s</w:t>
      </w:r>
    </w:p>
    <w:p>
      <w:pPr>
        <w:spacing w:after="0" w:line="216"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Certain amounts from previous periods have been reclassified to conform to the current period classification in the disaggregated revenue information for the Digital Printing segment.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 accounting pronouncements have been adopted in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June 2016, the Financial Accounting Standards Board issued Accounting Standards Update (“ASU”) 2016-13, “Financial Instruments— Credit Losses (Topic 326): Measurement of Credit Losses on Financial Instruments”. ASU 2016-13 (as amended by ASUs 2018-19, 2019-04, 2019-05, 2019-10, 2019-11, 2020-02, 2020-03 and 2022-02)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ASU is effective January 1, 2023, for Kodak, and interim periods within that fiscal year. Early adoption is permitted. Kodak is currently evaluating the impact of this ASU.</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RESTRICTED CASH</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Statement of</w:t>
      </w:r>
    </w:p>
    <w:p>
      <w:pPr>
        <w:spacing w:after="0"/>
        <w:rPr>
          <w:sz w:val="20"/>
          <w:szCs w:val="20"/>
          <w:color w:val="auto"/>
        </w:rPr>
      </w:pPr>
      <w:r>
        <w:rPr>
          <w:rFonts w:ascii="Arial" w:cs="Arial" w:eastAsia="Arial" w:hAnsi="Arial"/>
          <w:sz w:val="18"/>
          <w:szCs w:val="18"/>
          <w:color w:val="auto"/>
        </w:rPr>
        <w:t>Financial Position that sums to the total of such amounts shown in the Statement of Cash Flows: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 millions)</w:t>
      </w:r>
    </w:p>
    <w:p>
      <w:pPr>
        <w:ind w:left="1140"/>
        <w:spacing w:after="0" w:line="234" w:lineRule="auto"/>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-127000</wp:posOffset>
            </wp:positionV>
            <wp:extent cx="5700395" cy="128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0395" cy="12827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Restricted cash reported in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-1905</wp:posOffset>
            </wp:positionV>
            <wp:extent cx="570039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Restricted cash</w:t>
      </w:r>
    </w:p>
    <w:p>
      <w:pPr>
        <w:ind w:left="1300" w:right="40" w:hanging="161"/>
        <w:spacing w:after="0" w:line="246" w:lineRule="auto"/>
        <w:rPr>
          <w:sz w:val="20"/>
          <w:szCs w:val="20"/>
          <w:color w:val="auto"/>
        </w:rPr>
      </w:pPr>
      <w:r>
        <w:rPr>
          <w:rFonts w:ascii="Arial" w:cs="Arial" w:eastAsia="Arial" w:hAnsi="Arial"/>
          <w:sz w:val="18"/>
          <w:szCs w:val="18"/>
          <w:color w:val="auto"/>
        </w:rPr>
        <w:t>Total cash, cash equivalents and restricted cash shown in the Statement of Cash Flows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r>
      <w:tr>
        <w:trPr>
          <w:trHeight w:val="195"/>
        </w:trPr>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216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362</w:t>
            </w:r>
          </w:p>
        </w:tc>
        <w:tc>
          <w:tcPr>
            <w:tcW w:w="20" w:type="dxa"/>
            <w:vAlign w:val="bottom"/>
          </w:tcPr>
          <w:p>
            <w:pPr>
              <w:spacing w:after="0"/>
              <w:rPr>
                <w:sz w:val="16"/>
                <w:szCs w:val="16"/>
                <w:color w:val="auto"/>
              </w:rPr>
            </w:pPr>
          </w:p>
        </w:tc>
      </w:tr>
      <w:tr>
        <w:trPr>
          <w:trHeight w:val="203"/>
        </w:trPr>
        <w:tc>
          <w:tcPr>
            <w:tcW w:w="140" w:type="dxa"/>
            <w:vAlign w:val="bottom"/>
          </w:tcPr>
          <w:p>
            <w:pPr>
              <w:spacing w:after="0"/>
              <w:rPr>
                <w:sz w:val="17"/>
                <w:szCs w:val="17"/>
                <w:color w:val="auto"/>
              </w:rPr>
            </w:pPr>
          </w:p>
        </w:tc>
        <w:tc>
          <w:tcPr>
            <w:tcW w:w="1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w:t>
            </w:r>
          </w:p>
        </w:tc>
      </w:tr>
      <w:tr>
        <w:trPr>
          <w:trHeight w:val="203"/>
        </w:trPr>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57</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r>
      <w:tr>
        <w:trPr>
          <w:trHeight w:val="358"/>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423</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1" w:lineRule="exact"/>
        <w:rPr>
          <w:sz w:val="20"/>
          <w:szCs w:val="20"/>
          <w:color w:val="auto"/>
        </w:rPr>
      </w:pPr>
    </w:p>
    <w:p>
      <w:pPr>
        <w:sectPr>
          <w:pgSz w:w="11900" w:h="16838" w:orient="portrait"/>
          <w:cols w:equalWidth="0" w:num="2">
            <w:col w:w="6060" w:space="720"/>
            <w:col w:w="4440"/>
          </w:cols>
          <w:pgMar w:left="320" w:top="125" w:right="359" w:bottom="1440" w:gutter="0" w:footer="0" w:header="0"/>
          <w:type w:val="continuous"/>
        </w:sectPr>
      </w:pPr>
    </w:p>
    <w:p>
      <w:pPr>
        <w:ind w:right="480"/>
        <w:spacing w:after="0" w:line="246" w:lineRule="auto"/>
        <w:rPr>
          <w:sz w:val="20"/>
          <w:szCs w:val="20"/>
          <w:color w:val="auto"/>
        </w:rPr>
      </w:pPr>
      <w:r>
        <w:rPr>
          <w:rFonts w:ascii="Arial" w:cs="Arial" w:eastAsia="Arial" w:hAnsi="Arial"/>
          <w:sz w:val="18"/>
          <w:szCs w:val="18"/>
          <w:color w:val="auto"/>
        </w:rPr>
        <w:t>Restricted cash reported in Other current assets on the Consolidated Statement of Financial Position primarily represents amounts that support hedging activities.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Restricted cash includes $44 million and $45 million as of September 30, 2022 and December 31, 2021, respectively, representing the cash collateral required to be posted by the Company under the Letter of Credit Facility (“L/C Cash Collateral”). In addition, Restricted cash as of September 30, 2022 and December 31, 2021 includes an escrow of $5 million and $4 million, respectively, in China to secure various ongoing obligations under the agreements for a strategic relationship with Lucky HuaGuang Graphics Co. Ltd. Restricted cash also included $6 million and $3 million of security posted related to Brazilian legal contingencies as of September 30, 2022 and December 31, 2021, respectively.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NOTE 3: INVENTORIES, NET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1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25"/>
        </w:trPr>
        <w:tc>
          <w:tcPr>
            <w:tcW w:w="112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123</w:t>
            </w:r>
          </w:p>
        </w:tc>
        <w:tc>
          <w:tcPr>
            <w:tcW w:w="36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7"/>
                <w:szCs w:val="17"/>
                <w:color w:val="auto"/>
              </w:rPr>
            </w:pP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spacing w:after="0"/>
              <w:rPr>
                <w:sz w:val="17"/>
                <w:szCs w:val="17"/>
                <w:color w:val="auto"/>
              </w:rPr>
            </w:pPr>
          </w:p>
        </w:tc>
        <w:tc>
          <w:tcPr>
            <w:tcW w:w="142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66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273</w:t>
            </w:r>
          </w:p>
        </w:tc>
        <w:tc>
          <w:tcPr>
            <w:tcW w:w="36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219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OTHER LONG-TERM ASSETS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1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4"/>
                <w:szCs w:val="2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112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Preferred equity investment</w:t>
            </w:r>
          </w:p>
        </w:tc>
        <w:tc>
          <w:tcPr>
            <w:tcW w:w="140" w:type="dxa"/>
            <w:vAlign w:val="bottom"/>
            <w:shd w:val="clear" w:color="auto" w:fill="CCEEFF"/>
          </w:tcPr>
          <w:p>
            <w:pPr>
              <w:spacing w:after="0"/>
              <w:rPr>
                <w:sz w:val="17"/>
                <w:szCs w:val="17"/>
                <w:color w:val="auto"/>
              </w:rPr>
            </w:pPr>
          </w:p>
        </w:tc>
        <w:tc>
          <w:tcPr>
            <w:tcW w:w="1420" w:type="dxa"/>
            <w:vAlign w:val="bottom"/>
            <w:tcBorders>
              <w:right w:val="single" w:sz="8" w:color="CCEEFF"/>
            </w:tcBorders>
            <w:gridSpan w:val="2"/>
            <w:shd w:val="clear" w:color="auto" w:fill="CCEEFF"/>
          </w:tcPr>
          <w:p>
            <w:pPr>
              <w:jc w:val="right"/>
              <w:ind w:right="99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89"/>
              </w:rPr>
              <w:t>25</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Estimated workers' compensation recoveries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Long-term receivables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89"/>
              </w:rPr>
              <w:t>10</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89"/>
              </w:rPr>
              <w:t>26</w:t>
            </w:r>
          </w:p>
        </w:tc>
        <w:tc>
          <w:tcPr>
            <w:tcW w:w="12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tcPr>
          <w:p>
            <w:pPr>
              <w:spacing w:after="0"/>
              <w:rPr>
                <w:sz w:val="18"/>
                <w:szCs w:val="18"/>
                <w:color w:val="auto"/>
              </w:rPr>
            </w:pPr>
          </w:p>
        </w:tc>
        <w:tc>
          <w:tcPr>
            <w:tcW w:w="56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ind w:right="990"/>
              <w:spacing w:after="0" w:line="182" w:lineRule="exact"/>
              <w:rPr>
                <w:sz w:val="20"/>
                <w:szCs w:val="20"/>
                <w:color w:val="auto"/>
              </w:rPr>
            </w:pPr>
            <w:r>
              <w:rPr>
                <w:rFonts w:ascii="Arial" w:cs="Arial" w:eastAsia="Arial" w:hAnsi="Arial"/>
                <w:sz w:val="18"/>
                <w:szCs w:val="18"/>
                <w:color w:val="auto"/>
                <w:w w:val="99"/>
              </w:rPr>
              <w:t>$</w:t>
            </w:r>
          </w:p>
        </w:tc>
        <w:tc>
          <w:tcPr>
            <w:tcW w:w="360" w:type="dxa"/>
            <w:vAlign w:val="bottom"/>
            <w:tcBorders>
              <w:right w:val="single" w:sz="8" w:color="CCEEFF"/>
            </w:tcBorders>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w w:val="89"/>
              </w:rPr>
              <w:t>75</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On July 13, 2022 Kodak invested $ 25 million of the proceeds received from the Delayed Draw Term Loans to acquire a minority preferred equity interest in Wildcat Discovery Technologies, Inc. (“Wildcat”), a private technology company that uses proprietary methods to research and develop new battery materials. Kodak has also entered into an agreement to provide coating and engineering services in collaboration with Wildcat to develop and scale film coating technologies. The Wildcat investment will be accounted for using the cost method. Refer to Note 5,"Debt and Finance Leases" for the definition of Delayed Draw Term Loans.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AND FINANCE LEASES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Debt and finance leases and related maturities and interest rates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rPr>
              <w:t>Weighted-Average</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(in millions)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Type</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00" w:type="dxa"/>
            <w:vAlign w:val="bottom"/>
          </w:tcPr>
          <w:p>
            <w:pPr>
              <w:spacing w:after="0"/>
              <w:rPr>
                <w:sz w:val="17"/>
                <w:szCs w:val="17"/>
                <w:color w:val="auto"/>
              </w:rPr>
            </w:pPr>
          </w:p>
        </w:tc>
        <w:tc>
          <w:tcPr>
            <w:tcW w:w="23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Effective Interest Rate</w:t>
            </w:r>
          </w:p>
        </w:tc>
        <w:tc>
          <w:tcPr>
            <w:tcW w:w="140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portion:</w:t>
            </w:r>
          </w:p>
        </w:tc>
        <w:tc>
          <w:tcPr>
            <w:tcW w:w="15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99"/>
              </w:rPr>
              <w:t>RED-Rochester,</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11.48% $</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jc w:val="center"/>
              <w:spacing w:after="0" w:line="190" w:lineRule="exact"/>
              <w:rPr>
                <w:sz w:val="20"/>
                <w:szCs w:val="20"/>
                <w:color w:val="auto"/>
              </w:rPr>
            </w:pPr>
            <w:r>
              <w:rPr>
                <w:rFonts w:ascii="Arial" w:cs="Arial" w:eastAsia="Arial" w:hAnsi="Arial"/>
                <w:sz w:val="18"/>
                <w:szCs w:val="18"/>
                <w:color w:val="auto"/>
              </w:rPr>
              <w:t>LLC</w:t>
            </w:r>
          </w:p>
        </w:tc>
        <w:tc>
          <w:tcPr>
            <w:tcW w:w="106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99"/>
              </w:rPr>
              <w:t>2033</w:t>
            </w:r>
          </w:p>
        </w:tc>
        <w:tc>
          <w:tcPr>
            <w:tcW w:w="2480" w:type="dxa"/>
            <w:vAlign w:val="bottom"/>
            <w:gridSpan w:val="4"/>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820" w:type="dxa"/>
            <w:vAlign w:val="bottom"/>
          </w:tcPr>
          <w:p>
            <w:pPr>
              <w:spacing w:after="0" w:line="196" w:lineRule="exact"/>
              <w:rPr>
                <w:sz w:val="20"/>
                <w:szCs w:val="20"/>
                <w:color w:val="auto"/>
              </w:rPr>
            </w:pPr>
            <w:r>
              <w:rPr>
                <w:rFonts w:ascii="Arial" w:cs="Arial" w:eastAsia="Arial" w:hAnsi="Arial"/>
                <w:sz w:val="18"/>
                <w:szCs w:val="18"/>
                <w:color w:val="auto"/>
              </w:rPr>
              <w:t>Non-current portion:</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Term loans</w:t>
            </w:r>
          </w:p>
        </w:tc>
        <w:tc>
          <w:tcPr>
            <w:tcW w:w="10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2026</w:t>
            </w:r>
          </w:p>
        </w:tc>
        <w:tc>
          <w:tcPr>
            <w:tcW w:w="2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w w:val="99"/>
              </w:rPr>
              <w:t>Convertible debt</w:t>
            </w:r>
          </w:p>
        </w:tc>
        <w:tc>
          <w:tcPr>
            <w:tcW w:w="10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2026</w:t>
            </w:r>
          </w:p>
        </w:tc>
        <w:tc>
          <w:tcPr>
            <w:tcW w:w="2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RED-Rochester,</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LLC</w:t>
            </w:r>
          </w:p>
        </w:tc>
        <w:tc>
          <w:tcPr>
            <w:tcW w:w="1060" w:type="dxa"/>
            <w:vAlign w:val="bottom"/>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2033</w:t>
            </w:r>
          </w:p>
        </w:tc>
        <w:tc>
          <w:tcPr>
            <w:tcW w:w="22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11.48%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rPr>
              <w:t>Finance leases</w:t>
            </w:r>
          </w:p>
        </w:tc>
        <w:tc>
          <w:tcPr>
            <w:tcW w:w="80" w:type="dxa"/>
            <w:vAlign w:val="bottom"/>
          </w:tcPr>
          <w:p>
            <w:pPr>
              <w:spacing w:after="0"/>
              <w:rPr>
                <w:sz w:val="17"/>
                <w:szCs w:val="17"/>
                <w:color w:val="auto"/>
              </w:rPr>
            </w:pP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8"/>
              </w:rPr>
              <w:t>Various</w:t>
            </w:r>
          </w:p>
        </w:tc>
        <w:tc>
          <w:tcPr>
            <w:tcW w:w="100" w:type="dxa"/>
            <w:vAlign w:val="bottom"/>
          </w:tcPr>
          <w:p>
            <w:pPr>
              <w:spacing w:after="0"/>
              <w:rPr>
                <w:sz w:val="17"/>
                <w:szCs w:val="17"/>
                <w:color w:val="auto"/>
              </w:rPr>
            </w:pPr>
          </w:p>
        </w:tc>
        <w:tc>
          <w:tcPr>
            <w:tcW w:w="2380" w:type="dxa"/>
            <w:vAlign w:val="bottom"/>
            <w:gridSpan w:val="3"/>
          </w:tcPr>
          <w:p>
            <w:pPr>
              <w:jc w:val="center"/>
              <w:ind w:right="380"/>
              <w:spacing w:after="0" w:line="202" w:lineRule="exact"/>
              <w:rPr>
                <w:sz w:val="20"/>
                <w:szCs w:val="20"/>
                <w:color w:val="auto"/>
              </w:rPr>
            </w:pPr>
            <w:r>
              <w:rPr>
                <w:rFonts w:ascii="Arial" w:cs="Arial" w:eastAsia="Arial" w:hAnsi="Arial"/>
                <w:sz w:val="18"/>
                <w:szCs w:val="18"/>
                <w:color w:val="auto"/>
                <w:w w:val="98"/>
              </w:rPr>
              <w:t>Various</w:t>
            </w: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Other debt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Various</w:t>
            </w:r>
          </w:p>
        </w:tc>
        <w:tc>
          <w:tcPr>
            <w:tcW w:w="100" w:type="dxa"/>
            <w:vAlign w:val="bottom"/>
            <w:shd w:val="clear" w:color="auto" w:fill="CCEEFF"/>
          </w:tcPr>
          <w:p>
            <w:pPr>
              <w:spacing w:after="0"/>
              <w:rPr>
                <w:sz w:val="17"/>
                <w:szCs w:val="17"/>
                <w:color w:val="auto"/>
              </w:rPr>
            </w:pPr>
          </w:p>
        </w:tc>
        <w:tc>
          <w:tcPr>
            <w:tcW w:w="2380" w:type="dxa"/>
            <w:vAlign w:val="bottom"/>
            <w:gridSpan w:val="3"/>
            <w:shd w:val="clear" w:color="auto" w:fill="CCEEFF"/>
          </w:tcPr>
          <w:p>
            <w:pPr>
              <w:jc w:val="center"/>
              <w:ind w:right="380"/>
              <w:spacing w:after="0" w:line="202" w:lineRule="exact"/>
              <w:rPr>
                <w:sz w:val="20"/>
                <w:szCs w:val="20"/>
                <w:color w:val="auto"/>
              </w:rPr>
            </w:pPr>
            <w:r>
              <w:rPr>
                <w:rFonts w:ascii="Arial" w:cs="Arial" w:eastAsia="Arial" w:hAnsi="Arial"/>
                <w:sz w:val="18"/>
                <w:szCs w:val="18"/>
                <w:color w:val="auto"/>
                <w:w w:val="98"/>
              </w:rPr>
              <w:t>Various</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312</w:t>
            </w:r>
          </w:p>
        </w:tc>
        <w:tc>
          <w:tcPr>
            <w:tcW w:w="1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253</w:t>
            </w: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80" w:type="dxa"/>
            <w:vAlign w:val="bottom"/>
            <w:gridSpan w:val="4"/>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580" w:type="dxa"/>
            <w:vAlign w:val="bottom"/>
          </w:tcPr>
          <w:p>
            <w:pPr>
              <w:spacing w:after="0"/>
              <w:rPr>
                <w:sz w:val="24"/>
                <w:szCs w:val="24"/>
                <w:color w:val="auto"/>
              </w:rPr>
            </w:pPr>
          </w:p>
        </w:tc>
        <w:tc>
          <w:tcPr>
            <w:tcW w:w="182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2280" w:type="dxa"/>
            <w:vAlign w:val="bottom"/>
            <w:tcBorders>
              <w:top w:val="single" w:sz="8" w:color="CCEEFF"/>
            </w:tcBorders>
            <w:gridSpan w:val="2"/>
          </w:tcPr>
          <w:p>
            <w:pPr>
              <w:jc w:val="right"/>
              <w:ind w:right="1419"/>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Annual maturities of debt and finance leases outstanding at September 30, 2022 were as follows:</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Carrying</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Maturity</w:t>
            </w:r>
          </w:p>
        </w:tc>
      </w:tr>
      <w:tr>
        <w:trPr>
          <w:trHeight w:val="203"/>
        </w:trPr>
        <w:tc>
          <w:tcPr>
            <w:tcW w:w="5660" w:type="dxa"/>
            <w:vAlign w:val="bottom"/>
          </w:tcPr>
          <w:p>
            <w:pPr>
              <w:spacing w:after="0"/>
              <w:rPr>
                <w:sz w:val="17"/>
                <w:szCs w:val="17"/>
                <w:color w:val="auto"/>
              </w:rPr>
            </w:pPr>
          </w:p>
        </w:tc>
        <w:tc>
          <w:tcPr>
            <w:tcW w:w="11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Value</w:t>
            </w:r>
          </w:p>
        </w:tc>
        <w:tc>
          <w:tcPr>
            <w:tcW w:w="3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70"/>
              <w:spacing w:after="0" w:line="203" w:lineRule="exact"/>
              <w:rPr>
                <w:sz w:val="20"/>
                <w:szCs w:val="20"/>
                <w:color w:val="auto"/>
              </w:rPr>
            </w:pPr>
            <w:r>
              <w:rPr>
                <w:rFonts w:ascii="Arial" w:cs="Arial" w:eastAsia="Arial" w:hAnsi="Arial"/>
                <w:sz w:val="18"/>
                <w:szCs w:val="18"/>
                <w:color w:val="auto"/>
                <w:w w:val="95"/>
              </w:rPr>
              <w:t>Value</w:t>
            </w:r>
          </w:p>
        </w:tc>
        <w:tc>
          <w:tcPr>
            <w:tcW w:w="80" w:type="dxa"/>
            <w:vAlign w:val="bottom"/>
          </w:tcPr>
          <w:p>
            <w:pPr>
              <w:spacing w:after="0"/>
              <w:rPr>
                <w:sz w:val="17"/>
                <w:szCs w:val="17"/>
                <w:color w:val="auto"/>
              </w:rPr>
            </w:pPr>
          </w:p>
        </w:tc>
      </w:tr>
      <w:tr>
        <w:trPr>
          <w:trHeight w:val="196"/>
        </w:trPr>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Q4 2022</w:t>
            </w:r>
          </w:p>
        </w:tc>
        <w:tc>
          <w:tcPr>
            <w:tcW w:w="1180" w:type="dxa"/>
            <w:vAlign w:val="bottom"/>
            <w:shd w:val="clear" w:color="auto" w:fill="CCEEFF"/>
          </w:tcPr>
          <w:p>
            <w:pPr>
              <w:jc w:val="right"/>
              <w:ind w:right="99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1180" w:type="dxa"/>
            <w:vAlign w:val="bottom"/>
          </w:tcPr>
          <w:p>
            <w:pPr>
              <w:spacing w:after="0"/>
              <w:rPr>
                <w:sz w:val="17"/>
                <w:szCs w:val="17"/>
                <w:color w:val="auto"/>
              </w:rPr>
            </w:pPr>
          </w:p>
        </w:tc>
        <w:tc>
          <w:tcPr>
            <w:tcW w:w="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1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w:t>
            </w:r>
          </w:p>
        </w:tc>
      </w:tr>
      <w:tr>
        <w:trPr>
          <w:trHeight w:val="203"/>
        </w:trPr>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2024</w:t>
            </w:r>
          </w:p>
        </w:tc>
        <w:tc>
          <w:tcPr>
            <w:tcW w:w="1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w:t>
            </w: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1180" w:type="dxa"/>
            <w:vAlign w:val="bottom"/>
          </w:tcPr>
          <w:p>
            <w:pPr>
              <w:spacing w:after="0"/>
              <w:rPr>
                <w:sz w:val="17"/>
                <w:szCs w:val="17"/>
                <w:color w:val="auto"/>
              </w:rPr>
            </w:pPr>
          </w:p>
        </w:tc>
        <w:tc>
          <w:tcPr>
            <w:tcW w:w="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1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r>
      <w:tr>
        <w:trPr>
          <w:trHeight w:val="203"/>
        </w:trPr>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2026</w:t>
            </w:r>
          </w:p>
        </w:tc>
        <w:tc>
          <w:tcPr>
            <w:tcW w:w="1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300</w:t>
            </w:r>
          </w:p>
        </w:tc>
        <w:tc>
          <w:tcPr>
            <w:tcW w:w="2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367</w:t>
            </w: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2027 and thereafter</w:t>
            </w:r>
          </w:p>
        </w:tc>
        <w:tc>
          <w:tcPr>
            <w:tcW w:w="1180" w:type="dxa"/>
            <w:vAlign w:val="bottom"/>
          </w:tcPr>
          <w:p>
            <w:pPr>
              <w:spacing w:after="0"/>
              <w:rPr>
                <w:sz w:val="17"/>
                <w:szCs w:val="17"/>
                <w:color w:val="auto"/>
              </w:rPr>
            </w:pPr>
          </w:p>
        </w:tc>
        <w:tc>
          <w:tcPr>
            <w:tcW w:w="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w:t>
            </w:r>
          </w:p>
        </w:tc>
        <w:tc>
          <w:tcPr>
            <w:tcW w:w="280" w:type="dxa"/>
            <w:vAlign w:val="bottom"/>
          </w:tcPr>
          <w:p>
            <w:pPr>
              <w:spacing w:after="0"/>
              <w:rPr>
                <w:sz w:val="17"/>
                <w:szCs w:val="17"/>
                <w:color w:val="auto"/>
              </w:rPr>
            </w:pPr>
          </w:p>
        </w:tc>
        <w:tc>
          <w:tcPr>
            <w:tcW w:w="1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w:t>
            </w:r>
          </w:p>
        </w:tc>
      </w:tr>
      <w:tr>
        <w:trPr>
          <w:trHeight w:val="20"/>
        </w:trPr>
        <w:tc>
          <w:tcPr>
            <w:tcW w:w="56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jc w:val="right"/>
              <w:ind w:right="990"/>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313</w:t>
            </w:r>
          </w:p>
        </w:tc>
        <w:tc>
          <w:tcPr>
            <w:tcW w:w="280" w:type="dxa"/>
            <w:vAlign w:val="bottom"/>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380</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Credit Agreement</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February 26, 2021, the Company entered into a Credit Agreement (the “Term Loan Credit Agreement”) with certain funds affiliated with Kennedy Lewis Investment Management LLC (“KLIM”) as lenders (the “Term Loan Lenders”) and Alter Domus (US) LLC, as administrative agent. Pursuant to the Term Loan Credit Agreement, the Term Loan Lenders provided the Company with (i) an initial term loan in the amount of $225 million, which was drawn in full on the same date, and (ii) a commitment to provide delayed draw term loans in an aggregate principal amount of up to $50 million on or before February 26, 2023 (the “Delayed Draw Term Loans” and collectively, with the initial term loan, the “Term Loans”). Net proceeds from the Term Loan Credit Agreement received on February 26, 2021 were $215 million ($225 million aggregate principal less $10 million in debt transaction costs). The delayed draw term loans were drawn down in full on June 15, 2022. Net proceeds received on June 15, 2022 were $ 49 million ($50 million of aggregate principal less $1 million in debt transaction costs). The maturity date of the Term Loans is February 26, 2026 and the Term Loans are non-amortizing.</w:t>
      </w:r>
    </w:p>
    <w:p>
      <w:pPr>
        <w:spacing w:after="0" w:line="19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Term Loans bear interest at a rate of 8.5% per annum payable quarterly in cash and 4.0% per annum payable in cash on the maturity date or quarterly, at EKC’s option, for an aggregate interest rate of 12.5% per annum. The payment of interest only at the maturity date has the same effect as delivering additional debt instruments to the Term Loan Lenders and therefore is considered Paid-in-Kind (“PIK”). The Company elected the 4.0% per annum in PIK which is being added to the carrying value of the debt through the term. Interest expense is being recorded using the effective interest method.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Term Loans are guaranteed by the Company and certain of its domestic subsidiaries (the “Subsidiary Guarantors”), and are secured by</w:t>
      </w:r>
    </w:p>
    <w:p>
      <w:pPr>
        <w:ind w:firstLine="8"/>
        <w:spacing w:after="0" w:line="238" w:lineRule="auto"/>
        <w:tabs>
          <w:tab w:leader="none" w:pos="21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first priority lien on substantially all assets of the Company and the Subsidiary Guarantors (subject to certain exceptions) not constituting ABL Priority Collateral (as defined in the Amended and Restated Asset Based Revolving Credit Agreement) or L/C Cash Collateral (as defined in the Letter of Credit Facility Agreement), including 100% of the stock of material U.S. subsidiaries and 65% of the stock of material foreign subsidiaries (the “Term Loan Priority Collateral”) and (ii) a third priority lien on the ABL Priority Collateral and L/C Cash Collateral.</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Term Loan Credit Agreement limits, among other things, the ability of the Company and its Restricted Subsidiaries (as defined in the Term Loan Credit Agreement) to (i) incur indebtedness, (ii) incur or create liens, (iii) dispose of assets, (iv) make restricted payments and (v) make investments, and also contains customary affirmative covenants including delivery of certain of the Company’s financial statements set forth therein. The Term Loan Credit Agreement does not include a financial maintenance covenant.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Convertible Notes</w:t>
      </w:r>
    </w:p>
    <w:p>
      <w:pPr>
        <w:spacing w:after="0" w:line="22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On February 26, 2021, the Company entered into a Securities Purchase Agreement with certain funds affiliated with Kennedy Lewis Investment Management LLC (“KLIM”) as lenders (the “Buyers”) pursuant to which the Company sold to the Buyers $25 million aggregate principal amount of the Company’s newly issued 5.0% unsecured convertible promissory notes due May 28, 2026 (the “Convertible Notes”) in a private placement transaction. The Convertible Notes bear interest at a rate of 5.0% per annum, which will be payable in cash on the maturity date and in additional shares of Common Stock on any conversion date. The payment of interest only at the maturity date has the same effect as delivering additional debt instruments to the Holders of the Convertible Notes and therefore is considered PIK. PIK is being added to the carrying value of the debt through the term. Interest expense is being recorded using the effective interest method. The maturity date of the Convertible Notes is May 28, 2026.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Features</w:t>
      </w:r>
    </w:p>
    <w:p>
      <w:pPr>
        <w:spacing w:after="0" w:line="1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Buyers have the right to elect at any time to convert the Convertible Notes into shares of Common Stock at an initial conversion rate equal to 100 shares of Common Stock per each $1,000 principal amount of the Convertible Notes (based on an initial conversion price equal to $10.00 per share of Common Stock). The conversion rate and conversion price will be subject to certain customary anti-dilution adjustments.</w:t>
      </w:r>
    </w:p>
    <w:p>
      <w:pPr>
        <w:spacing w:after="0" w:line="191"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If the closing price of the Common Stock equals or exceeds $14.50 (subject to adjustment in the same manner as the conversion price) for 45 trading days within any period of 60 consecutive trading days, the Company will have the right to cause the mandatory conversion of the Convertible Notes into shares of Common Stock.</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the event of certain fundamental transactions, the Buyers will have the right, within a period of 30 days following the occurrence of such transaction (“Holder Fundamental Transaction Election Period”), to elect to either require prepayment of the Convertible Notes at par plus accrued and unpaid interest or convert all or a portion of the Convertible Notes into shares of Common Stock at the conversion rate then in effect plus any additional shares based on the price per share of Common Stock in connection with the fundamental transaction, or to receive the shares of a successor entity, if 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1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Company allocated $12 million of the net proceeds received to a derivative liability based on the aggregate fair value of the embedded features on the date of issuance which reduced the net carrying value of the Convertible Notes. The derivative is being accounted for at fair value with subsequent changes in the fair value being reported as part of Other (income) charges, net in the Consolidated Statement of Operations. The fair value of the Convertible Notes embedded derivative at both September 30, 2022 and December 31, 2021 was a liability of $4 million and is included in Other long-term liabilities in the accompanying Consolidated Statement of Financial Position. Refer to Note 19, “Financial Instruments” for information on the valuation of the derivative.</w:t>
      </w:r>
    </w:p>
    <w:p>
      <w:pPr>
        <w:spacing w:after="0" w:line="19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carrying value of the Convertible Notes at September 30, 2022 and December 31, 2021 was $17 million and $15 million, respectively. The Convertible Notes unamortized discount at September 30, 2022 and December 31, 2021 was $9 million and $11 million, respectively. The estimated fair value of the Convertible Notes as of September 30, 2022 was $16 million (Level 3). The carrying value is being accreted to the aggregate principal amount using the effective interest method from the date of issuance through the maturity date.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78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23"/>
        </w:trPr>
        <w:tc>
          <w:tcPr>
            <w:tcW w:w="6780" w:type="dxa"/>
            <w:vAlign w:val="bottom"/>
            <w:gridSpan w:val="3"/>
          </w:tcPr>
          <w:p>
            <w:pPr>
              <w:spacing w:after="0"/>
              <w:rPr>
                <w:sz w:val="20"/>
                <w:szCs w:val="20"/>
                <w:color w:val="auto"/>
              </w:rPr>
            </w:pPr>
            <w:r>
              <w:rPr>
                <w:rFonts w:ascii="Arial" w:cs="Arial" w:eastAsia="Arial" w:hAnsi="Arial"/>
                <w:sz w:val="18"/>
                <w:szCs w:val="18"/>
                <w:b w:val="1"/>
                <w:bCs w:val="1"/>
                <w:color w:val="auto"/>
              </w:rPr>
              <w:t>NOTE 6: REDEEMABLE, CONVERTIBLE PREFERRED STOCK</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6780" w:type="dxa"/>
            <w:vAlign w:val="bottom"/>
            <w:gridSpan w:val="3"/>
          </w:tcPr>
          <w:p>
            <w:pPr>
              <w:spacing w:after="0"/>
              <w:rPr>
                <w:sz w:val="20"/>
                <w:szCs w:val="20"/>
                <w:color w:val="auto"/>
              </w:rPr>
            </w:pPr>
            <w:r>
              <w:rPr>
                <w:rFonts w:ascii="Arial" w:cs="Arial" w:eastAsia="Arial" w:hAnsi="Arial"/>
                <w:sz w:val="18"/>
                <w:szCs w:val="18"/>
                <w:color w:val="auto"/>
              </w:rPr>
              <w:t>Redeemable convertible preferred stock was as follows:</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9"/>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December 31,</w:t>
            </w:r>
          </w:p>
        </w:tc>
      </w:tr>
      <w:tr>
        <w:trPr>
          <w:trHeight w:val="225"/>
        </w:trPr>
        <w:tc>
          <w:tcPr>
            <w:tcW w:w="1120" w:type="dxa"/>
            <w:vAlign w:val="bottom"/>
          </w:tcPr>
          <w:p>
            <w:pPr>
              <w:spacing w:after="0"/>
              <w:rPr>
                <w:sz w:val="19"/>
                <w:szCs w:val="19"/>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color w:val="auto"/>
              </w:rPr>
              <w:t>(in millions)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56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Series B preferred stock</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94</w:t>
            </w:r>
          </w:p>
        </w:tc>
      </w:tr>
      <w:tr>
        <w:trPr>
          <w:trHeight w:val="203"/>
        </w:trPr>
        <w:tc>
          <w:tcPr>
            <w:tcW w:w="1120" w:type="dxa"/>
            <w:vAlign w:val="bottom"/>
          </w:tcPr>
          <w:p>
            <w:pPr>
              <w:spacing w:after="0"/>
              <w:rPr>
                <w:sz w:val="17"/>
                <w:szCs w:val="17"/>
                <w:color w:val="auto"/>
              </w:rPr>
            </w:pPr>
          </w:p>
        </w:tc>
        <w:tc>
          <w:tcPr>
            <w:tcW w:w="5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Series C preferred stock</w:t>
            </w:r>
          </w:p>
        </w:tc>
        <w:tc>
          <w:tcPr>
            <w:tcW w:w="140" w:type="dxa"/>
            <w:vAlign w:val="bottom"/>
          </w:tcPr>
          <w:p>
            <w:pPr>
              <w:spacing w:after="0"/>
              <w:rPr>
                <w:sz w:val="17"/>
                <w:szCs w:val="17"/>
                <w:color w:val="auto"/>
              </w:rPr>
            </w:pPr>
          </w:p>
        </w:tc>
        <w:tc>
          <w:tcPr>
            <w:tcW w:w="15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107</w:t>
            </w:r>
          </w:p>
        </w:tc>
        <w:tc>
          <w:tcPr>
            <w:tcW w:w="160" w:type="dxa"/>
            <w:vAlign w:val="bottom"/>
          </w:tcPr>
          <w:p>
            <w:pPr>
              <w:spacing w:after="0"/>
              <w:rPr>
                <w:sz w:val="17"/>
                <w:szCs w:val="17"/>
                <w:color w:val="auto"/>
              </w:rPr>
            </w:pP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102</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1120" w:type="dxa"/>
            <w:vAlign w:val="bottom"/>
          </w:tcPr>
          <w:p>
            <w:pPr>
              <w:spacing w:after="0"/>
              <w:rPr>
                <w:sz w:val="18"/>
                <w:szCs w:val="18"/>
                <w:color w:val="auto"/>
              </w:rPr>
            </w:pPr>
          </w:p>
        </w:tc>
        <w:tc>
          <w:tcPr>
            <w:tcW w:w="566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196</w:t>
            </w:r>
          </w:p>
        </w:tc>
      </w:tr>
      <w:tr>
        <w:trPr>
          <w:trHeight w:val="20"/>
        </w:trPr>
        <w:tc>
          <w:tcPr>
            <w:tcW w:w="11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Stock</w:t>
      </w:r>
    </w:p>
    <w:p>
      <w:pPr>
        <w:spacing w:after="0" w:line="220"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On February 26, 2021 the Company agreed to exchange the remaining one million shares of Series A Preferred Stock held by Southeastern Asset Management, Inc. (“Southeastern”) and Longleaf Partners Small-Cap Fund, C2W Partners Master Fund Limited and Deseret Mutual Pension Trust, which are investment funds managed by Southeastern (such investment funds, collectively, the “Purchasers”), for shares of the Company’s newly created 4.0% Series B Convertible Preferred Stock, no par value (the “Series B Preferred Stock”) on a one-for-one basis plus accrued and unpaid dividends. The fair value of the Series B Preferred Stock at the time of issuance approximated $95 million. The Company has classified the Series B Preferred Stock as temporary equity in the Consolidated Statement of Financial Position.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Series B Preferred Stock are entitled to cumulative dividends payable quarterly in cash at a rate of 4.0% per annum.</w:t>
      </w:r>
    </w:p>
    <w:p>
      <w:pPr>
        <w:spacing w:after="0"/>
        <w:rPr>
          <w:sz w:val="20"/>
          <w:szCs w:val="20"/>
          <w:color w:val="auto"/>
        </w:rPr>
      </w:pPr>
      <w:r>
        <w:rPr>
          <w:rFonts w:ascii="Arial" w:cs="Arial" w:eastAsia="Arial" w:hAnsi="Arial"/>
          <w:sz w:val="18"/>
          <w:szCs w:val="18"/>
          <w:color w:val="auto"/>
        </w:rPr>
        <w:t>Dividends owed on the Series B Preferred Stock have been declared and paid when due.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Features</w:t>
      </w:r>
    </w:p>
    <w:p>
      <w:pPr>
        <w:spacing w:after="0" w:line="1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Each share of Series B Preferred Stock is convertible, at the option of each holder at any time, into shares of Common Stock at the initial conversion rate of 9.5238 shares of Common Stock for each share of Series B Preferred Stock (equivalent to an initial conversion price of $10.50 per share of Common Stock). The initial conversion rate and the corresponding conversion price will be subject to certain customary anti-dilution adjustments. If a holder elects to convert any shares of Series B Preferred Stock during a specified period in connection with a fundamental change (as defined in the Series B Certificate of Designations), such holder can elect to have the conversion rate adjusted and can elect to receive a cash payment in lieu of shares for a portion of the shares. Such holder will also be entitled to a payment in respect of accumulated dividends. In addition, the Company will have the right to require holders to convert any shares of Series B Preferred Stock in connection with certain reorganization events in which case the conversion rate will be adjusted, subject to certain limitations.</w:t>
      </w:r>
    </w:p>
    <w:p>
      <w:pPr>
        <w:spacing w:after="0" w:line="194"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color w:val="auto"/>
        </w:rPr>
        <w:t>The Company will have the right to cause the mandatory conversion of the Series B Preferred Stock into shares of Common Stock at any time after the initial issuance of the Series B Preferred Stock if the closing price of the Common Stock has equaled or exceeded $14.50 (subject to adjustment in the same manner as the conversion price) for 45 trading days within a period of 60 consecutive trading days.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Conversion Features</w:t>
      </w:r>
    </w:p>
    <w:p>
      <w:pPr>
        <w:spacing w:after="0" w:line="1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Company allocated $1 million to the derivative liability based on the aggregate fair value of the embedded conversion feature on the date of issuance which reduced the original carrying value of the Series B Preferred Stock. The derivative is being accounted for at fair value with subsequent changes in the fair value being reported as part of Other (income) charges, net in the Consolidated Statement of Operations. The fair value of the Series B Preferred Stock embedded derivative as of both September 30, 2022 and December 31, 2021 was a liability of $1 million and is included in Other long-term liabilities in the accompanying Consolidated Statement of Financial Position. Refer to Note 19, “Financial Instruments” for information on the valuation of the derivative.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Series B Preferred Stock is being accreted to the mandatory redemption amount using the effective interest method to Additional paid in capital in the Consolidated Statement of Financial Position as a deemed dividend from the date of issuance through the mandatory redemption date, May 28, 2026.</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C Preferred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1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On February 26, 2021, the Company and GO EK Ventures IV, LLC (the “Investor”) entered into a Series C Preferred Stock Purchase Agreement (the “Purchase Agreement”) pursuant to which the Company agreed to sell to the Investor, and the Investor agreed to purchase from the Company, an aggregate of 1,000,000 shares of the Company’s newly created 5.0% Series C Convertible Preferred Stock, no par value per share (the “Series C Preferred Stock”), for a purchase price of $100 per share, representing $100 million of gross proceeds to the Company. The Investor is a fund managed by Grand Oaks Capital. The Company has classified the Series C Preferred Stock as temporary equity in the Consolidated Statement of Financial Position.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8" w:lineRule="exact"/>
        <w:rPr>
          <w:sz w:val="20"/>
          <w:szCs w:val="20"/>
          <w:color w:val="auto"/>
        </w:rPr>
      </w:pPr>
    </w:p>
    <w:p>
      <w:pPr>
        <w:ind w:right="180"/>
        <w:spacing w:after="0" w:line="206" w:lineRule="exact"/>
        <w:rPr>
          <w:sz w:val="20"/>
          <w:szCs w:val="20"/>
          <w:color w:val="auto"/>
        </w:rPr>
      </w:pPr>
      <w:r>
        <w:rPr>
          <w:rFonts w:ascii="Arial" w:cs="Arial" w:eastAsia="Arial" w:hAnsi="Arial"/>
          <w:sz w:val="18"/>
          <w:szCs w:val="18"/>
          <w:color w:val="auto"/>
        </w:rPr>
        <w:t>The holders of Series C Preferred Stock are entitled to cumulative dividends payable quarterly “in</w:t>
      </w:r>
      <w:r>
        <w:rPr>
          <w:rFonts w:ascii="MS PGothic" w:cs="MS PGothic" w:eastAsia="MS PGothic" w:hAnsi="MS PGothic"/>
          <w:sz w:val="18"/>
          <w:szCs w:val="18"/>
          <w:color w:val="auto"/>
        </w:rPr>
        <w:t>‐</w:t>
      </w:r>
      <w:r>
        <w:rPr>
          <w:rFonts w:ascii="Arial" w:cs="Arial" w:eastAsia="Arial" w:hAnsi="Arial"/>
          <w:sz w:val="18"/>
          <w:szCs w:val="18"/>
          <w:color w:val="auto"/>
        </w:rPr>
        <w:t>kind” in the form of additional shares of Series C Preferred Stock at a rate of 5.0% per annum. Dividends owed on the Series C Preferred Stock have been declared and additional Series C shares issued when due. Holders of the Series C Preferred Stock are also entitled to participate in any dividends paid on the Common Stock (other than stock dividends) on an as-converted basis, with such dividends on any shares of the Series C Preferred Stock being payable upon conversion of such shares of Series C Preferred Stock to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Features</w:t>
      </w:r>
    </w:p>
    <w:p>
      <w:pPr>
        <w:spacing w:after="0" w:line="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Each share of Series C Preferred Stock is convertible, at the option of each holder at any time, into shares of Common Stock at the initial conversion price of $10 per share of Common Stock. The initial conversion price and the corresponding conversion rate will be subject to certain customary anti-dilution adjustments and to proportional increase in the event the liquidation preference of the Series C Preferred Stock is automatically increased as described above. If a holder elects to convert any shares of Series C Preferred Stock during a specified period in connection with a fundamental change (as defined in the Series C Certificate of Designations), such holder can elect to have the conversion rate adjusted and can elect to receive a cash payment in lieu of shares for a portion of the shares of Common Stock. Such holder will also be entitled to a payment in respect of accumulated dividends and a payment based on the present value of all required remaining dividend payments through May 28, 2026, the mandatory redemption date. Such additional payments will be payable at the Company’s option in cash or in additional shares of Common Stock. In addition, the Company will have the right to require holders to convert any shares of Series C Preferred Stock in connection with certain reorganization events in which case the conversion rate will be adjusted, subject to certain limitations.</w:t>
      </w:r>
    </w:p>
    <w:p>
      <w:pPr>
        <w:spacing w:after="0" w:line="19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Company will have the right to cause the mandatory conversion of the Series C Preferred Stock into shares of Common Stock (i) at any time after February 26, 2023 if the closing price of the Common Stock has equaled or exceeded 200% of the then-effective conversion price for 45 trading days within a period of 60 consecutive trading days, or (ii) at any time after February 26, 2024 if the closing price of the Common Stock has equaled or exceeded 150% of the then-effective conversion price for 45 trading days within a period of 60 consecutive trading days.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Conversion Features</w:t>
      </w:r>
    </w:p>
    <w:p>
      <w:pPr>
        <w:spacing w:after="0" w:line="1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Company allocated $2 million of the net proceeds received to the derivative liability based on the aggregate fair value of the embedded conversion features on the dates of issuance which reduced the original carrying value of the Series C Preferred Stock. The derivative is being accounted for at fair value with subsequent changes in the fair value being reported as part of Other (income) charges, net in the Consolidated Statement of Operations. The fair value of the Series C Preferred Stock derivative as of September 30, 2022 and December 31, 2021 was a liability of $ 1 million and $2 million, respectively, and is included in Other long-term liabilities in the accompanying Consolidated Statement of Financial Position. Refer to Note 19, “Financial Instruments” for information on the valuation of the derivative.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Series C Preferred Stock is being accreted to the mandatory redemption amount using the effective interest method to Additional paid in capital in the Consolidated Statement of Financial Position as a deemed dividend from the date of issuance through the mandatory redemption date.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2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Income recognized on operating lease arrangements for the three and nine months ended September 30, 2022 and 2021 is presented below. Income recognized for sales-type lease arrangements for both the three and nine months ended September 30, 2022 was $0 million and for the three and nine months ended September 30, 2021 was $1 million and $2 million, respectively.</w:t>
      </w:r>
    </w:p>
    <w:p>
      <w:pPr>
        <w:spacing w:after="0" w:line="163"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24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3340" w:type="dxa"/>
            <w:vAlign w:val="bottom"/>
          </w:tcPr>
          <w:p>
            <w:pPr>
              <w:spacing w:after="0"/>
              <w:rPr>
                <w:sz w:val="19"/>
                <w:szCs w:val="19"/>
                <w:color w:val="auto"/>
              </w:rPr>
            </w:pPr>
          </w:p>
        </w:tc>
        <w:tc>
          <w:tcPr>
            <w:tcW w:w="24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3340" w:type="dxa"/>
            <w:vAlign w:val="bottom"/>
          </w:tcPr>
          <w:p>
            <w:pPr>
              <w:ind w:left="20"/>
              <w:spacing w:after="0" w:line="196" w:lineRule="exact"/>
              <w:rPr>
                <w:sz w:val="20"/>
                <w:szCs w:val="20"/>
                <w:color w:val="auto"/>
              </w:rPr>
            </w:pPr>
            <w:r>
              <w:rPr>
                <w:rFonts w:ascii="Arial" w:cs="Arial" w:eastAsia="Arial" w:hAnsi="Arial"/>
                <w:sz w:val="18"/>
                <w:szCs w:val="18"/>
                <w:color w:val="auto"/>
              </w:rPr>
              <w:t>(in millions)</w:t>
            </w:r>
          </w:p>
        </w:tc>
        <w:tc>
          <w:tcPr>
            <w:tcW w:w="100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r>
      <w:tr>
        <w:trPr>
          <w:trHeight w:val="196"/>
        </w:trPr>
        <w:tc>
          <w:tcPr>
            <w:tcW w:w="3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Lease income - operating leases:</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Lease income</w:t>
            </w:r>
          </w:p>
        </w:tc>
        <w:tc>
          <w:tcPr>
            <w:tcW w:w="1000" w:type="dxa"/>
            <w:vAlign w:val="bottom"/>
          </w:tcPr>
          <w:p>
            <w:pPr>
              <w:jc w:val="right"/>
              <w:ind w:right="810"/>
              <w:spacing w:after="0" w:line="202" w:lineRule="exact"/>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1000" w:type="dxa"/>
            <w:vAlign w:val="bottom"/>
          </w:tcPr>
          <w:p>
            <w:pPr>
              <w:jc w:val="right"/>
              <w:ind w:right="810"/>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w:t>
            </w:r>
          </w:p>
        </w:tc>
      </w:tr>
      <w:tr>
        <w:trPr>
          <w:trHeight w:val="203"/>
        </w:trPr>
        <w:tc>
          <w:tcPr>
            <w:tcW w:w="3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Variable lease income</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w:t>
            </w:r>
          </w:p>
        </w:tc>
      </w:tr>
      <w:tr>
        <w:trPr>
          <w:trHeight w:val="20"/>
        </w:trPr>
        <w:tc>
          <w:tcPr>
            <w:tcW w:w="33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6"/>
        </w:trPr>
        <w:tc>
          <w:tcPr>
            <w:tcW w:w="3340" w:type="dxa"/>
            <w:vAlign w:val="bottom"/>
          </w:tcPr>
          <w:p>
            <w:pPr>
              <w:ind w:left="180"/>
              <w:spacing w:after="0" w:line="182" w:lineRule="exact"/>
              <w:rPr>
                <w:sz w:val="20"/>
                <w:szCs w:val="20"/>
                <w:color w:val="auto"/>
              </w:rPr>
            </w:pPr>
            <w:r>
              <w:rPr>
                <w:rFonts w:ascii="Arial" w:cs="Arial" w:eastAsia="Arial" w:hAnsi="Arial"/>
                <w:sz w:val="18"/>
                <w:szCs w:val="18"/>
                <w:color w:val="auto"/>
              </w:rPr>
              <w:t>Total lease income</w:t>
            </w:r>
          </w:p>
        </w:tc>
        <w:tc>
          <w:tcPr>
            <w:tcW w:w="1000" w:type="dxa"/>
            <w:vAlign w:val="bottom"/>
          </w:tcPr>
          <w:p>
            <w:pPr>
              <w:jc w:val="right"/>
              <w:ind w:right="810"/>
              <w:spacing w:after="0" w:line="182" w:lineRule="exact"/>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1000" w:type="dxa"/>
            <w:vAlign w:val="bottom"/>
          </w:tcPr>
          <w:p>
            <w:pPr>
              <w:jc w:val="right"/>
              <w:ind w:right="810"/>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3</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11</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9</w:t>
            </w:r>
          </w:p>
        </w:tc>
      </w:tr>
      <w:tr>
        <w:trPr>
          <w:trHeight w:val="20"/>
        </w:trPr>
        <w:tc>
          <w:tcPr>
            <w:tcW w:w="3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As of September 30, 2022, the Company had outstanding letters of credit of $51 million and $43 million issued under the Amended ABL Credit Agreement and the L/C Facility Agreement, respectively, as well as bank guarantees and letters of credit of $2 million, surety bonds in the amount of $29 million, and restricted cash of $64 million, primarily related to cash collateral for the outstanding letters of credit under the L/C Facility Agreement, to ensure payment of possible casualty and workers’ compensation claims, legal contingencies, hedging activities, environmental liabilities, rental payments and to support various customs, tax and trade activities.</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Kodak’s Brazilian operations are disputing these matters and intend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September 30, 2022, Kodak’s Brazilian Operations maintained accruals of approximately $2 million for claims aggregating approximately $116 million inclusive of interest and penalties where appropriate. The unreserved portion of the indirect taxes, civil litigation and disputes associated with former employees and contract labor claims, inclusive of any related interest and penalties, for which there was at least a reasonable possibility that a loss may be incurred, amounted to approximately $5 million.</w:t>
      </w:r>
    </w:p>
    <w:p>
      <w:pPr>
        <w:spacing w:after="0" w:line="19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connection with assessments in Brazil, local regulations may require Kodak’s Brazilian operations to post security for a portion of the amounts in dispute. As of September 30, 2022, Kodak’s Brazilian operations have posted security composed of $6 million of pledged cash reported within Restricted cash in the Consolidated Statement of Financial Position and liens on certain Brazilian assets with a net book value of approximately $41 million. Generally, any encumbrances on the Brazilian assets would be removed to the extent the matter is resolved in Kodak's favor.</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 August 13, 2020 Tiandong Tang commenced a class action lawsuit against the Company, its Executive Chairman and Chief Executive Officer and its Chief Financial Officer in Federal District Court in the District of New Jersey, and on August 26, 2020 Jimmie A. McAdams and Judy P. McAdams commenced a class action lawsuit against the Company and its Executive Chairman and Chief Executive Officer in Federal District Court in the Southern District of New York (collectively, the “Securities Class Actions”). The Securities Class Actions seek damages and other relief based on alleged violations of federal securities laws in the context of the U.S. International Development Finance Corporation (the “DFC”) announcement (the “DFC Announcement”) of the signing of a non-binding letter of interest to provide a subsidiary of the Company with a potential $765 million loan (the “DFC Loan”) to support the launch of Kodak Pharmaceuticals, an initiative that would manufacture pharmaceutical ingredients for essential generic drugs (the “DFC Pharmaceutical Project”) on July 28, 2020. The Securities Class Actions were transferred to the Federal District Court for the Western District of New York and were consolidated into a single proceeding (the “Consolidated Securities Class Action”) on June 22, 2021. Les Investissements Kiz Inc. and UAT Trading Service, Inc. were appointed by the court to serve as lead plaintiff for the Consolidated Securities Class Action on August 2, 2021, and the lead plaintiff filed an amended consolidated complaint on October 1, 2021 which added Kodak’s General Counsel and current and former members of its Board of Directors as additional defendants. The Company and individual defendants filed a joint motion to dismiss the Consolidated Securities Class Action on December 14, 2021. The lead plaintiff filed an opposition to the motion to dismiss on February 28, 2022, and the Company and the individual defendants filed responses to the plaintiff’s opposition on April 6, 2022. A hearing with respect to the motion to dismiss was held on August 3, 2022, and the lawsuit was dismissed with prejudice on September 28, 2022. The plaintiffs filed a notice of appeal of the dismissal on October 27, 2022. The Company intends to continue to vigorously defend itself against the Consolidated Securities Class Action.</w:t>
      </w:r>
    </w:p>
    <w:p>
      <w:pPr>
        <w:spacing w:after="0" w:line="20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Company has also received five requests under New Jersey law demanding, among other things, that the Company take certain actions in response to alleged breaches of fiduciary duty relating to option grants and securities transactions in the context of the DFC Announcement and alleged proxy statement disclosure deficiencies (each a “Derivative Demand”, and collectively the “Derivative Demands”). On May 19, 2021 Louis Peters, one of the persons making a Derivative Demand (“Peters”), commenced a derivative lawsuit on behalf of the Company against certain officers and current and former directors of the Company and the Company as a nominal defendant in the Supreme Court of the State of New York in Monroe County seeking damages and equitable relief based on alleged breaches of fiduciary duty and unjust enrichment resulting from stock trades, option grants and a charitable contribution in the context of the DFC Announcement of the potential DFC Loan and DFC Pharmaceutical Project (the “State Derivative Lawsuit”). The plaintiff filed an amended complaint in the State Derivative Lawsuit on August 23, 2021, and the Company and individual defendants filed motions to dismiss (or alternatively, in the case of the Company, a motion for summary judgment) in the State Derivative Lawsuit on October 22, 2021. On March 17, 2022, the Court issued an order staying the State Derivative Lawsuit pending the resolution of the Federal Derivative Lawsuit described below.</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September 2, 2021 Herbert Silverberg, another person making a Derivative Demand (“Silverberg”), commenced a derivative lawsuit on behalf of the Company against one current and one former director of the Company and the Company as a nominal defendant in the Federal District Court for the Western District of New York seeking damages and equitable relief on a basis overlapping with the State Derivative Lawsuit and alleged proxy statement misrepresentations and omissions. On October 4, 2021 Peters commenced a derivative lawsuit on behalf of the Company against the same parties named in the State Derivative Lawsuit in the Federal District Court for the Western District of New York seeking damages and equitable relief on a basis overlapping with the State Derivative Lawsuit and alleged violations of Section 10(b) of the Exchange Act. The Federal derivative lawsuits filed by Silverberg and Peters were consolidated into a single proceeding (the “Federal Derivative Lawsuit”) on January 18, 2022, and Peters was appointed as lead plaintiff in the Federal Derivative Lawsuit. An amended consolidated complaint combining the allegations contained in the Federal derivative lawsuits filed by Silverberg and Peters was filed in the Federal Derivative Lawsuit on February 16, 2022, and the Company and individual defendants served motions to dismiss or, in the alternative in the case of the Company, for summary judgment on April 15, 2022. Threshold discovery in the case has been completed, and the Company and individual defendants formally filed their motions to dismiss on September 30, 2022.</w:t>
      </w:r>
    </w:p>
    <w:p>
      <w:pPr>
        <w:spacing w:after="0" w:line="190" w:lineRule="exact"/>
        <w:rPr>
          <w:sz w:val="20"/>
          <w:szCs w:val="20"/>
          <w:color w:val="auto"/>
        </w:rPr>
      </w:pPr>
    </w:p>
    <w:p>
      <w:pPr>
        <w:spacing w:after="0" w:line="204" w:lineRule="exact"/>
        <w:rPr>
          <w:sz w:val="20"/>
          <w:szCs w:val="20"/>
          <w:color w:val="auto"/>
        </w:rPr>
      </w:pPr>
      <w:r>
        <w:rPr>
          <w:rFonts w:ascii="Arial" w:cs="Arial" w:eastAsia="Arial" w:hAnsi="Arial"/>
          <w:sz w:val="18"/>
          <w:szCs w:val="18"/>
          <w:color w:val="auto"/>
        </w:rPr>
        <w:t>Additional shareholder derivative lawsuits may be brought based on the other Derivative Demands (any such lawsuits, collectively with the State Derivative Lawsuit, the Federal Derivative Lawsuit and the Fiduciary Class Action, the “Fiduciary Matters”). The Company, acting through a Special Committee of Independent Directors, previously determined that there was no merit to the claims alleged by the Derivative Demands made through the time of its determination (except with respect to the charitable contribution, which was not fully considered by the Special Committee). See the Company’s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with the SEC on September 16, 2020. The Company, acting through a separate Special Litigation Committee of Independent Directors, concurred with the first Special Committee’s findings and further concluded it is not in the Company’s interest to bring or allow any other shareholder to assert any of the claims alleged by the State Derivative Lawsuit or Federal Derivative Lawsuit (with the exception of the Peters claim purportedly arising under Section 10(b) of the Exchange Act, which was not addressed as no demand was made with respect to such claim). The second Special Litigation Committee will carefully review any other additional complaints constituting Fiduciary Matters which may be filed.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The DFC Announcement has also prompted investigations by several congressional committees, the SEC and the New York Attorney General’s office. The Company has cooperated in those investigations.</w:t>
      </w:r>
    </w:p>
    <w:p>
      <w:pPr>
        <w:spacing w:after="0" w:line="18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previously reported, the Attorney General of the State of New York (the “NYAG”) has threatened to file a lawsuit against the Company and its Chief Executive Officer alleging violations of New York State’s Martin Act (the “Threatened Claim”). In connection with the Threatened Claim, on June 15, 2021 the Supreme Court of the State of New York in New York County issued an order providing for additional document production by the Company to the NYAG and the taking by the NYAG of investigative testimony of the Company’s Chief Executive Officer and General Counsel. The Company has completed its document production and its officers provided the testimony as contemplated by such order on October 8, 2021 and October 1, 2021, respectively. The Company had discussions with the NYAG regarding a potential resolution of the Threatened Claim in the spring of 2022, but those discussions did not result in a resolution. If the Threatened Claim is not resolved and is ultimately brought by the NYAG, the Company intends to vigorously defend itself against the Threatened Claim.</w:t>
      </w:r>
    </w:p>
    <w:p>
      <w:pPr>
        <w:spacing w:after="0" w:line="19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these various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GUARANTEES</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connection with the settlement of certain of the Company’s historical environmental liabilities at Eastman Business Park, a more than 1,200-acre technology center and industrial complex in Rochester, New York, in the event the historical liabilities exceed $99 million, the Company will become liable for 50% of the portion above $99 million with no limitation to the maximum potential future payments. There is no liability recorded for this guarantee.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Extended Warranty Arrangements</w:t>
      </w:r>
    </w:p>
    <w:p>
      <w:pPr>
        <w:spacing w:after="0" w:line="22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Kodak offers its customers extended warranty arrangements that are generally one year but may range from three months to six years after the original warranty period. The change in Kodak’s deferred revenue balance in relation to these extended warranty and maintenance arrangements from December 31, 2021 to September 30, 2022, which is reflected in Other current liabilities in the accompanying Consolidated Statement of Financial Position,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8"/>
                <w:szCs w:val="18"/>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7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Deferred revenue on extended warranties as of December 31, 2021</w:t>
            </w:r>
          </w:p>
        </w:tc>
        <w:tc>
          <w:tcPr>
            <w:tcW w:w="70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New extended warranty and maintenance arrangements deferred</w:t>
            </w:r>
          </w:p>
        </w:tc>
        <w:tc>
          <w:tcPr>
            <w:tcW w:w="70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7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Recognition of extended warranty and maintenance arrangement revenue</w:t>
            </w:r>
          </w:p>
        </w:tc>
        <w:tc>
          <w:tcPr>
            <w:tcW w:w="7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7360" w:type="dxa"/>
            <w:vAlign w:val="bottom"/>
          </w:tcPr>
          <w:p>
            <w:pPr>
              <w:ind w:left="20"/>
              <w:spacing w:after="0" w:line="182" w:lineRule="exact"/>
              <w:rPr>
                <w:sz w:val="20"/>
                <w:szCs w:val="20"/>
                <w:color w:val="auto"/>
              </w:rPr>
            </w:pPr>
            <w:r>
              <w:rPr>
                <w:rFonts w:ascii="Arial" w:cs="Arial" w:eastAsia="Arial" w:hAnsi="Arial"/>
                <w:sz w:val="18"/>
                <w:szCs w:val="18"/>
                <w:color w:val="auto"/>
              </w:rPr>
              <w:t>Deferred revenue on extended warranties as of September 30, 2022</w:t>
            </w:r>
          </w:p>
        </w:tc>
        <w:tc>
          <w:tcPr>
            <w:tcW w:w="700" w:type="dxa"/>
            <w:vAlign w:val="bottom"/>
          </w:tcPr>
          <w:p>
            <w:pPr>
              <w:jc w:val="right"/>
              <w:ind w:right="51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18</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360" w:type="dxa"/>
            <w:vAlign w:val="bottom"/>
            <w:vMerge w:val="restart"/>
          </w:tcPr>
          <w:p>
            <w:pPr>
              <w:ind w:left="4360"/>
              <w:spacing w:after="0"/>
              <w:rPr>
                <w:sz w:val="20"/>
                <w:szCs w:val="20"/>
                <w:color w:val="auto"/>
              </w:rPr>
            </w:pPr>
            <w:r>
              <w:rPr>
                <w:rFonts w:ascii="Arial" w:cs="Arial" w:eastAsia="Arial" w:hAnsi="Arial"/>
                <w:sz w:val="18"/>
                <w:szCs w:val="18"/>
                <w:color w:val="auto"/>
              </w:rPr>
              <w:t>[18]</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2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20" w:type="dxa"/>
            <w:vAlign w:val="bottom"/>
            <w:tcBorders>
              <w:bottom w:val="single" w:sz="8" w:color="auto"/>
            </w:tcBorders>
          </w:tcPr>
          <w:p>
            <w:pPr>
              <w:spacing w:after="0"/>
              <w:rPr>
                <w:sz w:val="8"/>
                <w:szCs w:val="8"/>
                <w:color w:val="auto"/>
              </w:rPr>
            </w:pPr>
          </w:p>
        </w:tc>
        <w:tc>
          <w:tcPr>
            <w:tcW w:w="73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revenue disaggregated by major product, portfolio summary and geography</w:t>
      </w:r>
    </w:p>
    <w:p>
      <w:pPr>
        <w:spacing w:after="0"/>
        <w:rPr>
          <w:sz w:val="20"/>
          <w:szCs w:val="20"/>
          <w:color w:val="auto"/>
        </w:rPr>
      </w:pPr>
      <w:r>
        <w:rPr>
          <w:rFonts w:ascii="Arial" w:cs="Arial" w:eastAsia="Arial" w:hAnsi="Arial"/>
          <w:sz w:val="18"/>
          <w:szCs w:val="18"/>
          <w:b w:val="1"/>
          <w:bCs w:val="1"/>
          <w:color w:val="auto"/>
        </w:rPr>
        <w:t>Major Product</w:t>
      </w:r>
    </w:p>
    <w:p>
      <w:pPr>
        <w:spacing w:after="0" w:line="176"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September 30,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Advanced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Materials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60" w:type="dxa"/>
            <w:vAlign w:val="bottom"/>
          </w:tcPr>
          <w:p>
            <w:pPr>
              <w:spacing w:after="0"/>
              <w:rPr>
                <w:sz w:val="17"/>
                <w:szCs w:val="17"/>
                <w:color w:val="auto"/>
              </w:rPr>
            </w:pPr>
          </w:p>
        </w:tc>
        <w:tc>
          <w:tcPr>
            <w:tcW w:w="120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2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280" w:type="dxa"/>
            <w:vAlign w:val="bottom"/>
          </w:tcPr>
          <w:p>
            <w:pPr>
              <w:spacing w:after="0"/>
              <w:rPr>
                <w:sz w:val="20"/>
                <w:szCs w:val="20"/>
                <w:color w:val="auto"/>
              </w:rPr>
            </w:pPr>
            <w:r>
              <w:rPr>
                <w:rFonts w:ascii="Arial" w:cs="Arial" w:eastAsia="Arial" w:hAnsi="Arial"/>
                <w:sz w:val="18"/>
                <w:szCs w:val="18"/>
                <w:color w:val="auto"/>
              </w:rPr>
              <w:t>(in millions)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Printing</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Printing</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Chemicals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Brand</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Plates, inks and other consumables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160</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 xml:space="preserve">Ongoing service arrangements </w:t>
            </w: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19</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w:t>
            </w: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80" w:type="dxa"/>
            <w:vAlign w:val="bottom"/>
            <w:shd w:val="clear" w:color="auto" w:fill="CCEEFF"/>
          </w:tcPr>
          <w:p>
            <w:pPr>
              <w:ind w:left="660"/>
              <w:spacing w:after="0" w:line="196" w:lineRule="exact"/>
              <w:rPr>
                <w:sz w:val="20"/>
                <w:szCs w:val="20"/>
                <w:color w:val="auto"/>
              </w:rPr>
            </w:pPr>
            <w:r>
              <w:rPr>
                <w:rFonts w:ascii="Arial" w:cs="Arial" w:eastAsia="Arial" w:hAnsi="Arial"/>
                <w:sz w:val="18"/>
                <w:szCs w:val="18"/>
                <w:color w:val="auto"/>
              </w:rPr>
              <w:t>Total annuities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214</w:t>
            </w:r>
          </w:p>
        </w:tc>
      </w:tr>
      <w:tr>
        <w:trPr>
          <w:trHeight w:val="20"/>
        </w:trPr>
        <w:tc>
          <w:tcPr>
            <w:tcW w:w="3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80" w:type="dxa"/>
            <w:vAlign w:val="bottom"/>
          </w:tcPr>
          <w:p>
            <w:pPr>
              <w:spacing w:after="0" w:line="196" w:lineRule="exact"/>
              <w:rPr>
                <w:sz w:val="20"/>
                <w:szCs w:val="20"/>
                <w:color w:val="auto"/>
              </w:rPr>
            </w:pPr>
            <w:r>
              <w:rPr>
                <w:rFonts w:ascii="Arial" w:cs="Arial" w:eastAsia="Arial" w:hAnsi="Arial"/>
                <w:sz w:val="18"/>
                <w:szCs w:val="18"/>
                <w:color w:val="auto"/>
              </w:rPr>
              <w:t>Equipment &amp; software</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9</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Film and chemicals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w:t>
            </w: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289</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03"/>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Nine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 2022</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Advanced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Materials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60" w:type="dxa"/>
            <w:vAlign w:val="bottom"/>
          </w:tcPr>
          <w:p>
            <w:pPr>
              <w:spacing w:after="0"/>
              <w:rPr>
                <w:sz w:val="17"/>
                <w:szCs w:val="17"/>
                <w:color w:val="auto"/>
              </w:rPr>
            </w:pPr>
          </w:p>
        </w:tc>
        <w:tc>
          <w:tcPr>
            <w:tcW w:w="120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2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280" w:type="dxa"/>
            <w:vAlign w:val="bottom"/>
          </w:tcPr>
          <w:p>
            <w:pPr>
              <w:spacing w:after="0"/>
              <w:rPr>
                <w:sz w:val="20"/>
                <w:szCs w:val="20"/>
                <w:color w:val="auto"/>
              </w:rPr>
            </w:pPr>
            <w:r>
              <w:rPr>
                <w:rFonts w:ascii="Arial" w:cs="Arial" w:eastAsia="Arial" w:hAnsi="Arial"/>
                <w:sz w:val="18"/>
                <w:szCs w:val="18"/>
                <w:color w:val="auto"/>
              </w:rPr>
              <w:t>(in millions)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Printing</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Printing</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Chemicals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Brand</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Plates, inks and other consumables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449</w:t>
            </w: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516</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 xml:space="preserve">Ongoing service arrangements </w:t>
            </w: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57</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99</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165</w:t>
            </w: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80" w:type="dxa"/>
            <w:vAlign w:val="bottom"/>
            <w:shd w:val="clear" w:color="auto" w:fill="CCEEFF"/>
          </w:tcPr>
          <w:p>
            <w:pPr>
              <w:ind w:left="660"/>
              <w:spacing w:after="0" w:line="196" w:lineRule="exact"/>
              <w:rPr>
                <w:sz w:val="20"/>
                <w:szCs w:val="20"/>
                <w:color w:val="auto"/>
              </w:rPr>
            </w:pPr>
            <w:r>
              <w:rPr>
                <w:rFonts w:ascii="Arial" w:cs="Arial" w:eastAsia="Arial" w:hAnsi="Arial"/>
                <w:sz w:val="18"/>
                <w:szCs w:val="18"/>
                <w:color w:val="auto"/>
              </w:rPr>
              <w:t>Total annuities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506</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681</w:t>
            </w:r>
          </w:p>
        </w:tc>
      </w:tr>
      <w:tr>
        <w:trPr>
          <w:trHeight w:val="20"/>
        </w:trPr>
        <w:tc>
          <w:tcPr>
            <w:tcW w:w="3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80" w:type="dxa"/>
            <w:vAlign w:val="bottom"/>
          </w:tcPr>
          <w:p>
            <w:pPr>
              <w:spacing w:after="0" w:line="196" w:lineRule="exact"/>
              <w:rPr>
                <w:sz w:val="20"/>
                <w:szCs w:val="20"/>
                <w:color w:val="auto"/>
              </w:rPr>
            </w:pPr>
            <w:r>
              <w:rPr>
                <w:rFonts w:ascii="Arial" w:cs="Arial" w:eastAsia="Arial" w:hAnsi="Arial"/>
                <w:sz w:val="18"/>
                <w:szCs w:val="18"/>
                <w:color w:val="auto"/>
              </w:rPr>
              <w:t>Equipment &amp; software</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29</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23</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52</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Film and chemicals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142</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w:t>
            </w: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900</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63"/>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Advanced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Materials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60" w:type="dxa"/>
            <w:vAlign w:val="bottom"/>
          </w:tcPr>
          <w:p>
            <w:pPr>
              <w:spacing w:after="0"/>
              <w:rPr>
                <w:sz w:val="17"/>
                <w:szCs w:val="17"/>
                <w:color w:val="auto"/>
              </w:rPr>
            </w:pPr>
          </w:p>
        </w:tc>
        <w:tc>
          <w:tcPr>
            <w:tcW w:w="120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2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280" w:type="dxa"/>
            <w:vAlign w:val="bottom"/>
          </w:tcPr>
          <w:p>
            <w:pPr>
              <w:spacing w:after="0"/>
              <w:rPr>
                <w:sz w:val="20"/>
                <w:szCs w:val="20"/>
                <w:color w:val="auto"/>
              </w:rPr>
            </w:pPr>
            <w:r>
              <w:rPr>
                <w:rFonts w:ascii="Arial" w:cs="Arial" w:eastAsia="Arial" w:hAnsi="Arial"/>
                <w:sz w:val="18"/>
                <w:szCs w:val="18"/>
                <w:color w:val="auto"/>
              </w:rPr>
              <w:t>(in millions)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Printing</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Printing</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Chemicals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Brand</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Plates, inks and other consumables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159</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 xml:space="preserve">Ongoing service arrangements </w:t>
            </w: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34</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w:t>
            </w: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80" w:type="dxa"/>
            <w:vAlign w:val="bottom"/>
            <w:shd w:val="clear" w:color="auto" w:fill="CCEEFF"/>
          </w:tcPr>
          <w:p>
            <w:pPr>
              <w:ind w:left="660"/>
              <w:spacing w:after="0" w:line="196" w:lineRule="exact"/>
              <w:rPr>
                <w:sz w:val="20"/>
                <w:szCs w:val="20"/>
                <w:color w:val="auto"/>
              </w:rPr>
            </w:pPr>
            <w:r>
              <w:rPr>
                <w:rFonts w:ascii="Arial" w:cs="Arial" w:eastAsia="Arial" w:hAnsi="Arial"/>
                <w:sz w:val="18"/>
                <w:szCs w:val="18"/>
                <w:color w:val="auto"/>
              </w:rPr>
              <w:t>Total annuities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214</w:t>
            </w:r>
          </w:p>
        </w:tc>
      </w:tr>
      <w:tr>
        <w:trPr>
          <w:trHeight w:val="20"/>
        </w:trPr>
        <w:tc>
          <w:tcPr>
            <w:tcW w:w="3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80" w:type="dxa"/>
            <w:vAlign w:val="bottom"/>
          </w:tcPr>
          <w:p>
            <w:pPr>
              <w:spacing w:after="0" w:line="196" w:lineRule="exact"/>
              <w:rPr>
                <w:sz w:val="20"/>
                <w:szCs w:val="20"/>
                <w:color w:val="auto"/>
              </w:rPr>
            </w:pPr>
            <w:r>
              <w:rPr>
                <w:rFonts w:ascii="Arial" w:cs="Arial" w:eastAsia="Arial" w:hAnsi="Arial"/>
                <w:sz w:val="18"/>
                <w:szCs w:val="18"/>
                <w:color w:val="auto"/>
              </w:rPr>
              <w:t>Equipment &amp; software</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18</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Film and chemicals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w:t>
            </w: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287</w:t>
            </w:r>
          </w:p>
        </w:tc>
      </w:tr>
      <w:tr>
        <w:trPr>
          <w:trHeight w:val="440"/>
        </w:trPr>
        <w:tc>
          <w:tcPr>
            <w:tcW w:w="32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01"/>
        </w:trPr>
        <w:tc>
          <w:tcPr>
            <w:tcW w:w="3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43"/>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Nine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Advanced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Materials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60" w:type="dxa"/>
            <w:vAlign w:val="bottom"/>
          </w:tcPr>
          <w:p>
            <w:pPr>
              <w:spacing w:after="0"/>
              <w:rPr>
                <w:sz w:val="17"/>
                <w:szCs w:val="17"/>
                <w:color w:val="auto"/>
              </w:rPr>
            </w:pPr>
          </w:p>
        </w:tc>
        <w:tc>
          <w:tcPr>
            <w:tcW w:w="120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2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2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Printing</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Printing</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Chemicals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Brand</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3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Plates, inks and other consumables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389</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456</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Ongoing service arrangements </w:t>
            </w: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60</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167</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80" w:type="dxa"/>
            <w:vAlign w:val="bottom"/>
            <w:gridSpan w:val="2"/>
            <w:shd w:val="clear" w:color="auto" w:fill="CCEEFF"/>
          </w:tcPr>
          <w:p>
            <w:pPr>
              <w:ind w:left="660"/>
              <w:spacing w:after="0" w:line="196" w:lineRule="exact"/>
              <w:rPr>
                <w:sz w:val="20"/>
                <w:szCs w:val="20"/>
                <w:color w:val="auto"/>
              </w:rPr>
            </w:pPr>
            <w:r>
              <w:rPr>
                <w:rFonts w:ascii="Arial" w:cs="Arial" w:eastAsia="Arial" w:hAnsi="Arial"/>
                <w:sz w:val="18"/>
                <w:szCs w:val="18"/>
                <w:color w:val="auto"/>
              </w:rPr>
              <w:t>Total annuities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449</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623</w:t>
            </w: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80" w:type="dxa"/>
            <w:vAlign w:val="bottom"/>
            <w:gridSpan w:val="2"/>
          </w:tcPr>
          <w:p>
            <w:pPr>
              <w:spacing w:after="0" w:line="196" w:lineRule="exact"/>
              <w:rPr>
                <w:sz w:val="20"/>
                <w:szCs w:val="20"/>
                <w:color w:val="auto"/>
              </w:rPr>
            </w:pPr>
            <w:r>
              <w:rPr>
                <w:rFonts w:ascii="Arial" w:cs="Arial" w:eastAsia="Arial" w:hAnsi="Arial"/>
                <w:sz w:val="18"/>
                <w:szCs w:val="18"/>
                <w:color w:val="auto"/>
              </w:rPr>
              <w:t>Equipment &amp; software</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34</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65</w:t>
            </w: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Film and chemicals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133</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483</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843</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500" w:right="140" w:hanging="492"/>
        <w:spacing w:after="0" w:line="246" w:lineRule="auto"/>
        <w:tabs>
          <w:tab w:leader="none" w:pos="500" w:val="left"/>
        </w:tabs>
        <w:numPr>
          <w:ilvl w:val="0"/>
          <w:numId w:val="5"/>
        </w:numPr>
        <w:rPr>
          <w:rFonts w:ascii="Arial" w:cs="Arial" w:eastAsia="Arial" w:hAnsi="Arial"/>
          <w:sz w:val="15"/>
          <w:szCs w:val="15"/>
          <w:color w:val="auto"/>
        </w:rPr>
      </w:pPr>
      <w:r>
        <w:rPr>
          <w:rFonts w:ascii="Arial" w:cs="Arial" w:eastAsia="Arial" w:hAnsi="Arial"/>
          <w:sz w:val="18"/>
          <w:szCs w:val="18"/>
          <w:color w:val="auto"/>
        </w:rPr>
        <w:t>Service revenue in the Consolidated Statement of Operations includes the ongoing service revenue shown above as well as one-time service revenue.</w:t>
      </w:r>
    </w:p>
    <w:p>
      <w:pPr>
        <w:spacing w:after="0" w:line="183" w:lineRule="exact"/>
        <w:rPr>
          <w:rFonts w:ascii="Arial" w:cs="Arial" w:eastAsia="Arial" w:hAnsi="Arial"/>
          <w:sz w:val="15"/>
          <w:szCs w:val="15"/>
          <w:color w:val="auto"/>
        </w:rPr>
      </w:pPr>
    </w:p>
    <w:p>
      <w:pPr>
        <w:ind w:left="500" w:hanging="492"/>
        <w:spacing w:after="0"/>
        <w:tabs>
          <w:tab w:leader="none" w:pos="500" w:val="left"/>
        </w:tabs>
        <w:numPr>
          <w:ilvl w:val="0"/>
          <w:numId w:val="5"/>
        </w:numPr>
        <w:rPr>
          <w:rFonts w:ascii="Arial" w:cs="Arial" w:eastAsia="Arial" w:hAnsi="Arial"/>
          <w:sz w:val="15"/>
          <w:szCs w:val="15"/>
          <w:color w:val="auto"/>
        </w:rPr>
      </w:pPr>
      <w:r>
        <w:rPr>
          <w:rFonts w:ascii="Arial" w:cs="Arial" w:eastAsia="Arial" w:hAnsi="Arial"/>
          <w:sz w:val="18"/>
          <w:szCs w:val="18"/>
          <w:color w:val="auto"/>
        </w:rPr>
        <w:t>Other includes revenue from non-recurring engineering services, tenant rent and related property management services and licensing.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 Summary:</w:t>
      </w:r>
    </w:p>
    <w:p>
      <w:pPr>
        <w:spacing w:after="0" w:line="198"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September 30,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Advanced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Materials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60" w:type="dxa"/>
            <w:vAlign w:val="bottom"/>
          </w:tcPr>
          <w:p>
            <w:pPr>
              <w:spacing w:after="0"/>
              <w:rPr>
                <w:sz w:val="17"/>
                <w:szCs w:val="17"/>
                <w:color w:val="auto"/>
              </w:rPr>
            </w:pPr>
          </w:p>
        </w:tc>
        <w:tc>
          <w:tcPr>
            <w:tcW w:w="120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2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280" w:type="dxa"/>
            <w:vAlign w:val="bottom"/>
          </w:tcPr>
          <w:p>
            <w:pPr>
              <w:spacing w:after="0"/>
              <w:rPr>
                <w:sz w:val="20"/>
                <w:szCs w:val="20"/>
                <w:color w:val="auto"/>
              </w:rPr>
            </w:pPr>
            <w:r>
              <w:rPr>
                <w:rFonts w:ascii="Arial" w:cs="Arial" w:eastAsia="Arial" w:hAnsi="Arial"/>
                <w:sz w:val="18"/>
                <w:szCs w:val="18"/>
                <w:color w:val="auto"/>
              </w:rPr>
              <w:t>(in millions)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Printing</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Printing</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Chemicals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Brand</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xml:space="preserve">Growth engines </w:t>
            </w:r>
            <w:r>
              <w:rPr>
                <w:rFonts w:ascii="Arial" w:cs="Arial" w:eastAsia="Arial" w:hAnsi="Arial"/>
                <w:sz w:val="14"/>
                <w:szCs w:val="14"/>
                <w:color w:val="auto"/>
              </w:rPr>
              <w:t>(1)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94</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108</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186</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Planned declining businesses </w:t>
            </w: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w:t>
            </w:r>
          </w:p>
        </w:tc>
      </w:tr>
      <w:tr>
        <w:trPr>
          <w:trHeight w:val="20"/>
        </w:trPr>
        <w:tc>
          <w:tcPr>
            <w:tcW w:w="3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8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line="182" w:lineRule="exact"/>
              <w:rPr>
                <w:sz w:val="20"/>
                <w:szCs w:val="20"/>
                <w:color w:val="auto"/>
              </w:rPr>
            </w:pPr>
            <w:r>
              <w:rPr>
                <w:rFonts w:ascii="Arial" w:cs="Arial" w:eastAsia="Arial" w:hAnsi="Arial"/>
                <w:sz w:val="18"/>
                <w:szCs w:val="18"/>
                <w:color w:val="auto"/>
              </w:rPr>
              <w:t>169</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55</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58</w:t>
            </w: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3</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4</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289</w:t>
            </w:r>
          </w:p>
        </w:tc>
      </w:tr>
      <w:tr>
        <w:trPr>
          <w:trHeight w:val="20"/>
        </w:trPr>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3"/>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Nine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 2022</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Advanced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Materials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60" w:type="dxa"/>
            <w:vAlign w:val="bottom"/>
          </w:tcPr>
          <w:p>
            <w:pPr>
              <w:spacing w:after="0"/>
              <w:rPr>
                <w:sz w:val="17"/>
                <w:szCs w:val="17"/>
                <w:color w:val="auto"/>
              </w:rPr>
            </w:pPr>
          </w:p>
        </w:tc>
        <w:tc>
          <w:tcPr>
            <w:tcW w:w="120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2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280" w:type="dxa"/>
            <w:vAlign w:val="bottom"/>
          </w:tcPr>
          <w:p>
            <w:pPr>
              <w:spacing w:after="0"/>
              <w:rPr>
                <w:sz w:val="20"/>
                <w:szCs w:val="20"/>
                <w:color w:val="auto"/>
              </w:rPr>
            </w:pPr>
            <w:r>
              <w:rPr>
                <w:rFonts w:ascii="Arial" w:cs="Arial" w:eastAsia="Arial" w:hAnsi="Arial"/>
                <w:sz w:val="18"/>
                <w:szCs w:val="18"/>
                <w:color w:val="auto"/>
              </w:rPr>
              <w:t>(in millions)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Printing</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Printing</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Chemicals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Brand</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xml:space="preserve">Growth engines </w:t>
            </w:r>
            <w:r>
              <w:rPr>
                <w:rFonts w:ascii="Arial" w:cs="Arial" w:eastAsia="Arial" w:hAnsi="Arial"/>
                <w:sz w:val="14"/>
                <w:szCs w:val="14"/>
                <w:color w:val="auto"/>
              </w:rPr>
              <w:t>(1)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297</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337</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40</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171</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571</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Planned declining businesses </w:t>
            </w: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w:t>
            </w:r>
          </w:p>
        </w:tc>
      </w:tr>
      <w:tr>
        <w:trPr>
          <w:trHeight w:val="20"/>
        </w:trPr>
        <w:tc>
          <w:tcPr>
            <w:tcW w:w="3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8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line="182" w:lineRule="exact"/>
              <w:rPr>
                <w:sz w:val="20"/>
                <w:szCs w:val="20"/>
                <w:color w:val="auto"/>
              </w:rPr>
            </w:pPr>
            <w:r>
              <w:rPr>
                <w:rFonts w:ascii="Arial" w:cs="Arial" w:eastAsia="Arial" w:hAnsi="Arial"/>
                <w:sz w:val="18"/>
                <w:szCs w:val="18"/>
                <w:color w:val="auto"/>
              </w:rPr>
              <w:t>535</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169</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173</w:t>
            </w: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11</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12</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900</w:t>
            </w:r>
          </w:p>
        </w:tc>
      </w:tr>
      <w:tr>
        <w:trPr>
          <w:trHeight w:val="20"/>
        </w:trPr>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08"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43"/>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Advanced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Materials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60" w:type="dxa"/>
            <w:vAlign w:val="bottom"/>
          </w:tcPr>
          <w:p>
            <w:pPr>
              <w:spacing w:after="0"/>
              <w:rPr>
                <w:sz w:val="17"/>
                <w:szCs w:val="17"/>
                <w:color w:val="auto"/>
              </w:rPr>
            </w:pPr>
          </w:p>
        </w:tc>
        <w:tc>
          <w:tcPr>
            <w:tcW w:w="120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2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2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Printing</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Printing</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Chemicals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Brand</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3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 xml:space="preserve">Growth engines </w:t>
            </w:r>
            <w:r>
              <w:rPr>
                <w:rFonts w:ascii="Arial" w:cs="Arial" w:eastAsia="Arial" w:hAnsi="Arial"/>
                <w:sz w:val="14"/>
                <w:szCs w:val="14"/>
                <w:color w:val="auto"/>
              </w:rPr>
              <w:t>(1)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88</w:t>
            </w:r>
          </w:p>
        </w:tc>
      </w:tr>
      <w:tr>
        <w:trPr>
          <w:trHeight w:val="202"/>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55</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187</w:t>
            </w: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Planned declining businesses </w:t>
            </w: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w:t>
            </w: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80" w:type="dxa"/>
            <w:vAlign w:val="bottom"/>
            <w:gridSpan w:val="2"/>
          </w:tcPr>
          <w:p>
            <w:pPr>
              <w:spacing w:after="0" w:line="182" w:lineRule="exact"/>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166</w:t>
            </w:r>
          </w:p>
        </w:tc>
        <w:tc>
          <w:tcPr>
            <w:tcW w:w="260" w:type="dxa"/>
            <w:vAlign w:val="bottom"/>
          </w:tcPr>
          <w:p>
            <w:pPr>
              <w:spacing w:after="0"/>
              <w:rPr>
                <w:sz w:val="17"/>
                <w:szCs w:val="17"/>
                <w:color w:val="auto"/>
              </w:rPr>
            </w:pPr>
          </w:p>
        </w:tc>
        <w:tc>
          <w:tcPr>
            <w:tcW w:w="16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58</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55</w:t>
            </w: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4</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4</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287</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3"/>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Nine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Advanced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Materials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60" w:type="dxa"/>
            <w:vAlign w:val="bottom"/>
          </w:tcPr>
          <w:p>
            <w:pPr>
              <w:spacing w:after="0"/>
              <w:rPr>
                <w:sz w:val="17"/>
                <w:szCs w:val="17"/>
                <w:color w:val="auto"/>
              </w:rPr>
            </w:pPr>
          </w:p>
        </w:tc>
        <w:tc>
          <w:tcPr>
            <w:tcW w:w="120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2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2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Printing</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Printing</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Chemicals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Brand</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3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 xml:space="preserve">Growth engines </w:t>
            </w:r>
            <w:r>
              <w:rPr>
                <w:rFonts w:ascii="Arial" w:cs="Arial" w:eastAsia="Arial" w:hAnsi="Arial"/>
                <w:sz w:val="14"/>
                <w:szCs w:val="14"/>
                <w:color w:val="auto"/>
              </w:rPr>
              <w:t>(1)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156</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261</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155</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545</w:t>
            </w: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Planned declining businesses </w:t>
            </w: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w:t>
            </w: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80" w:type="dxa"/>
            <w:vAlign w:val="bottom"/>
            <w:gridSpan w:val="2"/>
          </w:tcPr>
          <w:p>
            <w:pPr>
              <w:spacing w:after="0" w:line="182" w:lineRule="exact"/>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483</w:t>
            </w:r>
          </w:p>
        </w:tc>
        <w:tc>
          <w:tcPr>
            <w:tcW w:w="260" w:type="dxa"/>
            <w:vAlign w:val="bottom"/>
          </w:tcPr>
          <w:p>
            <w:pPr>
              <w:spacing w:after="0"/>
              <w:rPr>
                <w:sz w:val="17"/>
                <w:szCs w:val="17"/>
                <w:color w:val="auto"/>
              </w:rPr>
            </w:pPr>
          </w:p>
        </w:tc>
        <w:tc>
          <w:tcPr>
            <w:tcW w:w="16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184</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155</w:t>
            </w: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10</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11</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843</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240" w:hanging="492"/>
        <w:spacing w:after="0"/>
        <w:tabs>
          <w:tab w:leader="none" w:pos="500" w:val="left"/>
        </w:tabs>
        <w:numPr>
          <w:ilvl w:val="0"/>
          <w:numId w:val="6"/>
        </w:numPr>
        <w:rPr>
          <w:rFonts w:ascii="Arial" w:cs="Arial" w:eastAsia="Arial" w:hAnsi="Arial"/>
          <w:sz w:val="15"/>
          <w:szCs w:val="15"/>
          <w:color w:val="auto"/>
        </w:rPr>
      </w:pPr>
      <w:r>
        <w:rPr>
          <w:rFonts w:ascii="Arial" w:cs="Arial" w:eastAsia="Arial" w:hAnsi="Arial"/>
          <w:sz w:val="18"/>
          <w:szCs w:val="18"/>
          <w:color w:val="auto"/>
        </w:rPr>
        <w:t>Growth engines consist of Sonora in the Traditional Printing segment, PROSPER and Software in the Digital Printing segment, and Advanced Materials and Functional Printing in the Advanced Materials and Chemicals segment, excluding intellectual property (“IP”) licensing.</w:t>
      </w:r>
    </w:p>
    <w:p>
      <w:pPr>
        <w:spacing w:after="0" w:line="229" w:lineRule="exact"/>
        <w:rPr>
          <w:rFonts w:ascii="Arial" w:cs="Arial" w:eastAsia="Arial" w:hAnsi="Arial"/>
          <w:sz w:val="15"/>
          <w:szCs w:val="15"/>
          <w:color w:val="auto"/>
        </w:rPr>
      </w:pPr>
    </w:p>
    <w:p>
      <w:pPr>
        <w:ind w:left="500" w:right="60" w:hanging="492"/>
        <w:spacing w:after="0" w:line="238" w:lineRule="auto"/>
        <w:tabs>
          <w:tab w:leader="none" w:pos="500" w:val="left"/>
        </w:tabs>
        <w:numPr>
          <w:ilvl w:val="0"/>
          <w:numId w:val="6"/>
        </w:numPr>
        <w:rPr>
          <w:rFonts w:ascii="Arial" w:cs="Arial" w:eastAsia="Arial" w:hAnsi="Arial"/>
          <w:sz w:val="15"/>
          <w:szCs w:val="15"/>
          <w:color w:val="auto"/>
        </w:rPr>
      </w:pPr>
      <w:r>
        <w:rPr>
          <w:rFonts w:ascii="Arial" w:cs="Arial" w:eastAsia="Arial" w:hAnsi="Arial"/>
          <w:sz w:val="18"/>
          <w:szCs w:val="18"/>
          <w:color w:val="auto"/>
        </w:rPr>
        <w:t>Strategic other businesses include plates (excluding Sonora plates) and Computer to Plate (“CTP”) equipment and related service in the Traditional Printing segment; Nexpress and related toner business in the Digital Printing segment and Motion Picture and Industrial Film and Chemicals (including external inks) and IP licensing in the Advanced Materials and Chemicals segment; the Brand segment and All Other.</w:t>
      </w:r>
    </w:p>
    <w:p>
      <w:pPr>
        <w:spacing w:after="0" w:line="231" w:lineRule="exact"/>
        <w:rPr>
          <w:rFonts w:ascii="Arial" w:cs="Arial" w:eastAsia="Arial" w:hAnsi="Arial"/>
          <w:sz w:val="15"/>
          <w:szCs w:val="15"/>
          <w:color w:val="auto"/>
        </w:rPr>
      </w:pPr>
    </w:p>
    <w:p>
      <w:pPr>
        <w:ind w:left="500" w:right="160" w:hanging="492"/>
        <w:spacing w:after="0"/>
        <w:tabs>
          <w:tab w:leader="none" w:pos="500" w:val="left"/>
        </w:tabs>
        <w:numPr>
          <w:ilvl w:val="0"/>
          <w:numId w:val="6"/>
        </w:numPr>
        <w:rPr>
          <w:rFonts w:ascii="Arial" w:cs="Arial" w:eastAsia="Arial" w:hAnsi="Arial"/>
          <w:sz w:val="15"/>
          <w:szCs w:val="15"/>
          <w:color w:val="auto"/>
        </w:rPr>
      </w:pPr>
      <w:r>
        <w:rPr>
          <w:rFonts w:ascii="Arial" w:cs="Arial" w:eastAsia="Arial" w:hAnsi="Arial"/>
          <w:sz w:val="18"/>
          <w:szCs w:val="18"/>
          <w:color w:val="auto"/>
        </w:rPr>
        <w:t>Planned declining businesses are product lines where the decision has been made to stop new product development and manage an orderly expected decline in the installed product and annuity base or are otherwise not strategic to Kodak. These product families consist of VERSAMARK and Digimaster in the Digital Printing segment.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 xml:space="preserve">Geography </w:t>
            </w:r>
            <w:r>
              <w:rPr>
                <w:rFonts w:ascii="Arial" w:cs="Arial" w:eastAsia="Arial" w:hAnsi="Arial"/>
                <w:sz w:val="14"/>
                <w:szCs w:val="14"/>
                <w:b w:val="1"/>
                <w:bCs w:val="1"/>
                <w:color w:val="auto"/>
              </w:rPr>
              <w:t>(1):</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 2022</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Advanced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Materials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60" w:type="dxa"/>
            <w:vAlign w:val="bottom"/>
          </w:tcPr>
          <w:p>
            <w:pPr>
              <w:spacing w:after="0"/>
              <w:rPr>
                <w:sz w:val="17"/>
                <w:szCs w:val="17"/>
                <w:color w:val="auto"/>
              </w:rPr>
            </w:pPr>
          </w:p>
        </w:tc>
        <w:tc>
          <w:tcPr>
            <w:tcW w:w="120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2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2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Printing</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Printing</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Chemicals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Brand</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3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119</w:t>
            </w:r>
          </w:p>
        </w:tc>
      </w:tr>
      <w:tr>
        <w:trPr>
          <w:trHeight w:val="202"/>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Canada</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8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124</w:t>
            </w: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80" w:type="dxa"/>
            <w:vAlign w:val="bottom"/>
            <w:gridSpan w:val="2"/>
          </w:tcPr>
          <w:p>
            <w:pPr>
              <w:spacing w:after="0" w:line="196" w:lineRule="exact"/>
              <w:rPr>
                <w:sz w:val="20"/>
                <w:szCs w:val="20"/>
                <w:color w:val="auto"/>
              </w:rPr>
            </w:pPr>
            <w:r>
              <w:rPr>
                <w:rFonts w:ascii="Arial" w:cs="Arial" w:eastAsia="Arial" w:hAnsi="Arial"/>
                <w:sz w:val="18"/>
                <w:szCs w:val="18"/>
                <w:color w:val="auto"/>
              </w:rPr>
              <w:t>Europe, Middle East and Africa</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76</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101</w:t>
            </w: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Asia Pacific</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Latin America</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289</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03"/>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Nine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 2022</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Advanced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Materials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60" w:type="dxa"/>
            <w:vAlign w:val="bottom"/>
          </w:tcPr>
          <w:p>
            <w:pPr>
              <w:spacing w:after="0"/>
              <w:rPr>
                <w:sz w:val="17"/>
                <w:szCs w:val="17"/>
                <w:color w:val="auto"/>
              </w:rPr>
            </w:pPr>
          </w:p>
        </w:tc>
        <w:tc>
          <w:tcPr>
            <w:tcW w:w="120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2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2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Printing</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Printing</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Chemicals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Brand</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3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356</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Canada</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8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372</w:t>
            </w: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80" w:type="dxa"/>
            <w:vAlign w:val="bottom"/>
            <w:gridSpan w:val="2"/>
          </w:tcPr>
          <w:p>
            <w:pPr>
              <w:spacing w:after="0" w:line="196" w:lineRule="exact"/>
              <w:rPr>
                <w:sz w:val="20"/>
                <w:szCs w:val="20"/>
                <w:color w:val="auto"/>
              </w:rPr>
            </w:pPr>
            <w:r>
              <w:rPr>
                <w:rFonts w:ascii="Arial" w:cs="Arial" w:eastAsia="Arial" w:hAnsi="Arial"/>
                <w:sz w:val="18"/>
                <w:szCs w:val="18"/>
                <w:color w:val="auto"/>
              </w:rPr>
              <w:t>Europe, Middle East and Africa</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258</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57</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15</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330</w:t>
            </w:r>
          </w:p>
        </w:tc>
      </w:tr>
      <w:tr>
        <w:trPr>
          <w:trHeight w:val="202"/>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Asia Pacific</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173</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Latin America</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23</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900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63"/>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Advanced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Materials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60" w:type="dxa"/>
            <w:vAlign w:val="bottom"/>
          </w:tcPr>
          <w:p>
            <w:pPr>
              <w:spacing w:after="0"/>
              <w:rPr>
                <w:sz w:val="17"/>
                <w:szCs w:val="17"/>
                <w:color w:val="auto"/>
              </w:rPr>
            </w:pPr>
          </w:p>
        </w:tc>
        <w:tc>
          <w:tcPr>
            <w:tcW w:w="120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2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2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Printing</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Printing</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Chemicals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Brand</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3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109</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Canada</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8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114</w:t>
            </w: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80" w:type="dxa"/>
            <w:vAlign w:val="bottom"/>
            <w:gridSpan w:val="2"/>
          </w:tcPr>
          <w:p>
            <w:pPr>
              <w:spacing w:after="0" w:line="196" w:lineRule="exact"/>
              <w:rPr>
                <w:sz w:val="20"/>
                <w:szCs w:val="20"/>
                <w:color w:val="auto"/>
              </w:rPr>
            </w:pPr>
            <w:r>
              <w:rPr>
                <w:rFonts w:ascii="Arial" w:cs="Arial" w:eastAsia="Arial" w:hAnsi="Arial"/>
                <w:sz w:val="18"/>
                <w:szCs w:val="18"/>
                <w:color w:val="auto"/>
              </w:rPr>
              <w:t>Europe, Middle East and Africa</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75</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100</w:t>
            </w: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Asia Pacific</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Latin America</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2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287</w:t>
            </w:r>
          </w:p>
        </w:tc>
      </w:tr>
      <w:tr>
        <w:trPr>
          <w:trHeight w:val="440"/>
        </w:trPr>
        <w:tc>
          <w:tcPr>
            <w:tcW w:w="1280" w:type="dxa"/>
            <w:vAlign w:val="bottom"/>
            <w:tcBorders>
              <w:top w:val="single" w:sz="8" w:color="CCEEFF"/>
            </w:tcBorders>
          </w:tcPr>
          <w:p>
            <w:pPr>
              <w:spacing w:after="0"/>
              <w:rPr>
                <w:sz w:val="24"/>
                <w:szCs w:val="24"/>
                <w:color w:val="auto"/>
              </w:rPr>
            </w:pPr>
          </w:p>
        </w:tc>
        <w:tc>
          <w:tcPr>
            <w:tcW w:w="20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01"/>
        </w:trPr>
        <w:tc>
          <w:tcPr>
            <w:tcW w:w="128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08"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43"/>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Nine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Advanced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Materials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60" w:type="dxa"/>
            <w:vAlign w:val="bottom"/>
          </w:tcPr>
          <w:p>
            <w:pPr>
              <w:spacing w:after="0"/>
              <w:rPr>
                <w:sz w:val="17"/>
                <w:szCs w:val="17"/>
                <w:color w:val="auto"/>
              </w:rPr>
            </w:pPr>
          </w:p>
        </w:tc>
        <w:tc>
          <w:tcPr>
            <w:tcW w:w="120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2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2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Printing</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Printing</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Chemicals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Brand</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3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311</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Canada</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328</w:t>
            </w: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80" w:type="dxa"/>
            <w:vAlign w:val="bottom"/>
            <w:gridSpan w:val="2"/>
          </w:tcPr>
          <w:p>
            <w:pPr>
              <w:spacing w:after="0" w:line="196" w:lineRule="exact"/>
              <w:rPr>
                <w:sz w:val="20"/>
                <w:szCs w:val="20"/>
                <w:color w:val="auto"/>
              </w:rPr>
            </w:pPr>
            <w:r>
              <w:rPr>
                <w:rFonts w:ascii="Arial" w:cs="Arial" w:eastAsia="Arial" w:hAnsi="Arial"/>
                <w:sz w:val="18"/>
                <w:szCs w:val="18"/>
                <w:color w:val="auto"/>
              </w:rPr>
              <w:t>Europe, Middle East and Africa</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219</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62</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293</w:t>
            </w: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Asia Pacific</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197</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Latin America</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22</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483</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843</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5"/>
          <w:szCs w:val="15"/>
          <w:color w:val="auto"/>
        </w:rPr>
      </w:pPr>
      <w:r>
        <w:rPr>
          <w:rFonts w:ascii="Arial" w:cs="Arial" w:eastAsia="Arial" w:hAnsi="Arial"/>
          <w:sz w:val="18"/>
          <w:szCs w:val="18"/>
          <w:color w:val="auto"/>
        </w:rPr>
        <w:t>Sales are reported in the geographic area in which they originate.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 recorded for contract assets at September 30, 2022 and December 31, 2021 was $2 million and $3 million, respectively, and is reported in Other current assets in the Consolidated Statement of Financial Position. The contract liabilities primarily relate to prepaid service contracts, upfront payments for certain equipment purchases or prepaid royalties on intellectual property arrangements. The amounts recorded for contract liabilities at September 30, 2022 and December 31, 2021 were $50 million and $57 million, respectively, in the Consolidated Statement of Financial Position, of which $38 million and $43 million are reported in Other current liabilities, respectively, and $12 million and $14 million are reported in Other long-term liabilities, respectively.</w:t>
      </w:r>
    </w:p>
    <w:p>
      <w:pPr>
        <w:spacing w:after="0" w:line="19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Revenue recognized for the three and nine months ended September 30, 2022 and 2021 that was included in the contract liability balance at the beginning of the year was $7 million and $36 million, respectively, in 2022 and $9 million and $ 34 million, respectively, in 2021 and primarily represented revenue from prepaid service contracts and equipment revenue recognition. Contract liabilities as of September 30, 2022 included $19 million and $33 million of cash payments received during the three and nine months ended September 30, 2022 respectively. Contract liabilities as of September 30, 2021 included $19 million and $26 million of cash payments received during the three and nine months ended September 30, 2021, respectively.</w:t>
      </w:r>
    </w:p>
    <w:p>
      <w:pPr>
        <w:spacing w:after="0" w:line="19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Kodak does not disclose the value of unsatisfied performance obligations for contracts with an original expected length of one year or less or for which revenue is recognized at the amount to which Kodak has the right to invoice for services performed. Performance obligations with an original expected length of greater than one year generally consist of deferred service contracts, operating leases and licensing arrangements. As of September 30, 2022, there was approximately $60 million of unrecognized revenue from unsatisfied performance obligations. Approximately 10% of the revenue from unsatisfied performance obligations is expected to be recognized in the remainder of 2022, 30% in 2023, 30% in the two-year period 2024 through 2025 and 30% thereafter.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NOTE 11: OTHER OPERATING EXPENSE (INCOME)</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9"/>
        </w:trPr>
        <w:tc>
          <w:tcPr>
            <w:tcW w:w="11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5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Nine Months Ended</w:t>
            </w:r>
          </w:p>
        </w:tc>
        <w:tc>
          <w:tcPr>
            <w:tcW w:w="1140" w:type="dxa"/>
            <w:vAlign w:val="bottom"/>
          </w:tcPr>
          <w:p>
            <w:pPr>
              <w:spacing w:after="0"/>
              <w:rPr>
                <w:sz w:val="24"/>
                <w:szCs w:val="24"/>
                <w:color w:val="auto"/>
              </w:rPr>
            </w:pPr>
          </w:p>
        </w:tc>
      </w:tr>
      <w:tr>
        <w:trPr>
          <w:trHeight w:val="225"/>
        </w:trPr>
        <w:tc>
          <w:tcPr>
            <w:tcW w:w="11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9"/>
                <w:szCs w:val="19"/>
                <w:color w:val="auto"/>
              </w:rPr>
            </w:pPr>
          </w:p>
        </w:tc>
        <w:tc>
          <w:tcPr>
            <w:tcW w:w="25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340" w:type="dxa"/>
            <w:vAlign w:val="bottom"/>
          </w:tcPr>
          <w:p>
            <w:pPr>
              <w:ind w:left="20"/>
              <w:spacing w:after="0" w:line="196" w:lineRule="exact"/>
              <w:rPr>
                <w:sz w:val="20"/>
                <w:szCs w:val="20"/>
                <w:color w:val="auto"/>
              </w:rPr>
            </w:pPr>
            <w:r>
              <w:rPr>
                <w:rFonts w:ascii="Arial" w:cs="Arial" w:eastAsia="Arial" w:hAnsi="Arial"/>
                <w:sz w:val="18"/>
                <w:szCs w:val="18"/>
                <w:color w:val="auto"/>
              </w:rPr>
              <w:t>(in millions)</w:t>
            </w: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160"/>
              <w:spacing w:after="0" w:line="196" w:lineRule="exact"/>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Expense (income):</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Legal settlements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3"/>
          </w:tcPr>
          <w:p>
            <w:pPr>
              <w:jc w:val="center"/>
              <w:ind w:left="57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w:t>
            </w:r>
          </w:p>
        </w:tc>
        <w:tc>
          <w:tcPr>
            <w:tcW w:w="11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3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Loss on sale of assets</w:t>
            </w:r>
          </w:p>
        </w:tc>
        <w:tc>
          <w:tcPr>
            <w:tcW w:w="2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center"/>
              <w:ind w:left="57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11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334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center"/>
              <w:ind w:left="710"/>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1</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20"/>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w:t>
            </w:r>
          </w:p>
        </w:tc>
        <w:tc>
          <w:tcPr>
            <w:tcW w:w="114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1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tcPr>
          <w:p>
            <w:pPr>
              <w:jc w:val="center"/>
              <w:ind w:left="530"/>
              <w:spacing w:after="0"/>
              <w:rPr>
                <w:sz w:val="20"/>
                <w:szCs w:val="20"/>
                <w:color w:val="auto"/>
              </w:rPr>
            </w:pPr>
            <w:r>
              <w:rPr>
                <w:rFonts w:ascii="Arial" w:cs="Arial" w:eastAsia="Arial" w:hAnsi="Arial"/>
                <w:sz w:val="18"/>
                <w:szCs w:val="18"/>
                <w:color w:val="auto"/>
                <w:w w:val="99"/>
              </w:rPr>
              <w:t>[23]</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1"/>
        </w:trPr>
        <w:tc>
          <w:tcPr>
            <w:tcW w:w="1120" w:type="dxa"/>
            <w:vAlign w:val="bottom"/>
            <w:tcBorders>
              <w:bottom w:val="single" w:sz="8" w:color="auto"/>
            </w:tcBorders>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08"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NOTE 12: OTHER (INCOME) CHARGES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5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gridSpan w:val="5"/>
          </w:tcPr>
          <w:p>
            <w:pPr>
              <w:ind w:left="46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9"/>
                <w:szCs w:val="19"/>
                <w:color w:val="auto"/>
              </w:rPr>
            </w:pPr>
          </w:p>
        </w:tc>
        <w:tc>
          <w:tcPr>
            <w:tcW w:w="25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3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(in millions)</w:t>
            </w: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160"/>
              <w:spacing w:after="0" w:line="196" w:lineRule="exact"/>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334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Change in fair value of embedded</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conversion features derivative liability</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(1)</w:t>
            </w:r>
          </w:p>
        </w:tc>
        <w:tc>
          <w:tcPr>
            <w:tcW w:w="280" w:type="dxa"/>
            <w:vAlign w:val="bottom"/>
            <w:vMerge w:val="continue"/>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3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Loss on foreign exchange transactions</w:t>
            </w:r>
          </w:p>
        </w:tc>
        <w:tc>
          <w:tcPr>
            <w:tcW w:w="280" w:type="dxa"/>
            <w:vAlign w:val="bottom"/>
          </w:tcPr>
          <w:p>
            <w:pPr>
              <w:spacing w:after="0"/>
              <w:rPr>
                <w:sz w:val="17"/>
                <w:szCs w:val="17"/>
                <w:color w:val="auto"/>
              </w:rPr>
            </w:pPr>
          </w:p>
        </w:tc>
        <w:tc>
          <w:tcPr>
            <w:tcW w:w="116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3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ind w:left="82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3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ind w:left="820"/>
              <w:spacing w:after="0" w:line="18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(2)</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2</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80" w:hanging="549"/>
        <w:spacing w:after="0"/>
        <w:tabs>
          <w:tab w:leader="none" w:pos="1680" w:val="left"/>
        </w:tabs>
        <w:numPr>
          <w:ilvl w:val="0"/>
          <w:numId w:val="8"/>
        </w:numPr>
        <w:rPr>
          <w:rFonts w:ascii="Arial" w:cs="Arial" w:eastAsia="Arial" w:hAnsi="Arial"/>
          <w:sz w:val="15"/>
          <w:szCs w:val="15"/>
          <w:color w:val="auto"/>
        </w:rPr>
      </w:pPr>
      <w:r>
        <w:rPr>
          <w:rFonts w:ascii="Arial" w:cs="Arial" w:eastAsia="Arial" w:hAnsi="Arial"/>
          <w:sz w:val="18"/>
          <w:szCs w:val="18"/>
          <w:color w:val="auto"/>
        </w:rPr>
        <w:t>Refer to Note 19, “Financial Instruments”.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Kodak’s income tax provision and effective tax rate were as follows: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5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6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4280" w:type="dxa"/>
            <w:vAlign w:val="bottom"/>
            <w:gridSpan w:val="2"/>
          </w:tcPr>
          <w:p>
            <w:pPr>
              <w:spacing w:after="0" w:line="196" w:lineRule="exact"/>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 from operations before income taxes</w:t>
            </w:r>
          </w:p>
        </w:tc>
        <w:tc>
          <w:tcPr>
            <w:tcW w:w="3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2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24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7"/>
                <w:szCs w:val="17"/>
                <w:color w:val="auto"/>
              </w:rPr>
            </w:pP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Effective tax rate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33.3%</w:t>
            </w:r>
          </w:p>
        </w:tc>
        <w:tc>
          <w:tcPr>
            <w:tcW w:w="24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11.1%</w:t>
            </w:r>
          </w:p>
        </w:tc>
        <w:tc>
          <w:tcPr>
            <w:tcW w:w="24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9.5%</w:t>
            </w:r>
          </w:p>
        </w:tc>
        <w:tc>
          <w:tcPr>
            <w:tcW w:w="26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14.3%</w:t>
            </w:r>
          </w:p>
        </w:tc>
      </w:tr>
      <w:tr>
        <w:trPr>
          <w:trHeight w:val="196"/>
        </w:trPr>
        <w:tc>
          <w:tcPr>
            <w:tcW w:w="20" w:type="dxa"/>
            <w:vAlign w:val="bottom"/>
          </w:tcPr>
          <w:p>
            <w:pPr>
              <w:spacing w:after="0"/>
              <w:rPr>
                <w:sz w:val="17"/>
                <w:szCs w:val="17"/>
                <w:color w:val="auto"/>
              </w:rPr>
            </w:pPr>
          </w:p>
        </w:tc>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6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4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7"/>
                <w:szCs w:val="17"/>
                <w:color w:val="auto"/>
              </w:rPr>
            </w:pP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 income taxes at U.S. statutory tax rate</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Difference between tax at effective vs. statutory rate</w:t>
            </w:r>
          </w:p>
        </w:tc>
        <w:tc>
          <w:tcPr>
            <w:tcW w:w="36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For the three months ended September 30, 2022, the difference between Kodak’s effective tax rate and the U.S. statutory rate of 21.0% is primarily attributable to: (1) the impact related to existing valuation allowances associated with changes in net deferred tax assets from current earnings and losses, (2) the results from operations in jurisdictions outside the U.S, (3) a benefit associated with foreign withholding taxes on undistributed earnings and (4) changes in audit reserves.</w:t>
      </w:r>
    </w:p>
    <w:p>
      <w:pPr>
        <w:spacing w:after="0" w:line="19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the nine months ended September 30, 2022, the difference between Kodak’s effective tax rate and the U.S. statutory rate of 21.0% is primarily attributable to: (1) the impact related to existing valuation allowances associated with changes in net deferred tax assets from current earnings and losses, (2) the results from operations in jurisdictions outside the U.S., (3) a benefit associated with foreign withholding taxes on undistributed earnings and (4) changes in audit reserves, including a settlement with a taxing authority in a location outside the U.S.</w:t>
      </w:r>
    </w:p>
    <w:p>
      <w:pPr>
        <w:spacing w:after="0" w:line="191"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During the quarter ended March 31, 2022, Kodak agreed to terms with a taxing authority outside the U.S. and settled open tax audits for years 2015 through 2018. This settlement included a cash payment of $2 million which is reflected in the provision for taxes in the year-to-date period, and a decrease in net deferred tax assets of $2 million which was fully offset by a corresponding change in the valuation allowance.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For the three months ended September 30, 2021, the difference between Kodak’s effective tax rate and the U.S. statutory rate of 21.0% is primarily attributable to: (1) the impact related to existing valuation allowances associated with changes in net deferred tax assets from current earnings and losses, (2) the results from operations in jurisdictions outside the U.S and (3) a benefit associated with foreign withholding taxes on undistributed earnings.</w:t>
      </w:r>
    </w:p>
    <w:p>
      <w:pPr>
        <w:spacing w:after="0" w:line="19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For the nine months ended September 30, 2021, the difference between Kodak’s effective tax rate and the U.S. statutory rate of 21.0% is primarily attributable to: (1) the impact related to existing valuation allowances associated with changes in net deferred tax assets from current earnings and losses, (2) the results from operations in jurisdictions outside the U.S., (3) a benefit associated with foreign withholding taxes on undistributed earnings and (4) changes in audit reserves, including a settlement with a taxing authority in a location outside the U.S.</w:t>
      </w:r>
    </w:p>
    <w:p>
      <w:pPr>
        <w:spacing w:after="0" w:line="19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During the quarter ended March 31, 2021, Kodak agreed to terms with a taxing authority outside the U.S. and settled open tax audits for years prior to and including 2014. For these years, Kodak originally recorded liabilities for unrecognized tax positions totaling $3 million (plus interest of approximately $4 million), which were substantially offset by pre-paid assets.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RETIREMENT PLANS AND OTHER POSTRETIREMENT BENEFITS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net periodic benefit cost for all major U.S. and non-U.S. defined benefit plans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9"/>
              </w:rPr>
              <w:t>Nine Months Ended</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3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jc w:val="right"/>
              <w:ind w:right="30"/>
              <w:spacing w:after="0" w:line="196" w:lineRule="exact"/>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jc w:val="right"/>
              <w:ind w:right="190"/>
              <w:spacing w:after="0" w:line="196" w:lineRule="exact"/>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4"/>
          </w:tcPr>
          <w:p>
            <w:pPr>
              <w:jc w:val="right"/>
              <w:ind w:right="10"/>
              <w:spacing w:after="0" w:line="196" w:lineRule="exact"/>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jc w:val="right"/>
              <w:ind w:right="110"/>
              <w:spacing w:after="0" w:line="196" w:lineRule="exact"/>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280" w:type="dxa"/>
            <w:vAlign w:val="bottom"/>
          </w:tcPr>
          <w:p>
            <w:pPr>
              <w:spacing w:after="0" w:line="196" w:lineRule="exact"/>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17"/>
                <w:szCs w:val="17"/>
                <w:color w:val="auto"/>
              </w:rPr>
            </w:pPr>
          </w:p>
        </w:tc>
        <w:tc>
          <w:tcPr>
            <w:tcW w:w="780" w:type="dxa"/>
            <w:vAlign w:val="bottom"/>
            <w:gridSpan w:val="2"/>
          </w:tcPr>
          <w:p>
            <w:pPr>
              <w:jc w:val="right"/>
              <w:ind w:right="380"/>
              <w:spacing w:after="0" w:line="196" w:lineRule="exact"/>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7"/>
                <w:szCs w:val="17"/>
                <w:color w:val="auto"/>
              </w:rPr>
            </w:pPr>
          </w:p>
        </w:tc>
        <w:tc>
          <w:tcPr>
            <w:tcW w:w="8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99"/>
              </w:rPr>
              <w:t>Non-U.S.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380"/>
              <w:spacing w:after="0" w:line="196" w:lineRule="exact"/>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7"/>
                <w:szCs w:val="17"/>
                <w:color w:val="auto"/>
              </w:rPr>
            </w:pPr>
          </w:p>
        </w:tc>
        <w:tc>
          <w:tcPr>
            <w:tcW w:w="78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w w:val="97"/>
              </w:rPr>
              <w:t>Non-U.S.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360"/>
              <w:spacing w:after="0" w:line="196" w:lineRule="exact"/>
              <w:rPr>
                <w:sz w:val="20"/>
                <w:szCs w:val="20"/>
                <w:color w:val="auto"/>
              </w:rPr>
            </w:pPr>
            <w:r>
              <w:rPr>
                <w:rFonts w:ascii="Arial" w:cs="Arial" w:eastAsia="Arial" w:hAnsi="Arial"/>
                <w:sz w:val="18"/>
                <w:szCs w:val="18"/>
                <w:b w:val="1"/>
                <w:bCs w:val="1"/>
                <w:color w:val="auto"/>
              </w:rPr>
              <w:t>U.S.</w:t>
            </w:r>
          </w:p>
        </w:tc>
        <w:tc>
          <w:tcPr>
            <w:tcW w:w="80" w:type="dxa"/>
            <w:vAlign w:val="bottom"/>
          </w:tcPr>
          <w:p>
            <w:pPr>
              <w:spacing w:after="0"/>
              <w:rPr>
                <w:sz w:val="17"/>
                <w:szCs w:val="17"/>
                <w:color w:val="auto"/>
              </w:rPr>
            </w:pPr>
          </w:p>
        </w:tc>
        <w:tc>
          <w:tcPr>
            <w:tcW w:w="7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w w:val="97"/>
              </w:rPr>
              <w:t>Non-U.S.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340"/>
              <w:spacing w:after="0" w:line="196" w:lineRule="exact"/>
              <w:rPr>
                <w:sz w:val="20"/>
                <w:szCs w:val="20"/>
                <w:color w:val="auto"/>
              </w:rPr>
            </w:pPr>
            <w:r>
              <w:rPr>
                <w:rFonts w:ascii="Arial" w:cs="Arial" w:eastAsia="Arial" w:hAnsi="Arial"/>
                <w:sz w:val="18"/>
                <w:szCs w:val="18"/>
                <w:b w:val="1"/>
                <w:bCs w:val="1"/>
                <w:color w:val="auto"/>
              </w:rPr>
              <w:t>U.S.</w:t>
            </w:r>
          </w:p>
        </w:tc>
        <w:tc>
          <w:tcPr>
            <w:tcW w:w="80" w:type="dxa"/>
            <w:vAlign w:val="bottom"/>
          </w:tcPr>
          <w:p>
            <w:pPr>
              <w:spacing w:after="0"/>
              <w:rPr>
                <w:sz w:val="17"/>
                <w:szCs w:val="17"/>
                <w:color w:val="auto"/>
              </w:rPr>
            </w:pPr>
          </w:p>
        </w:tc>
        <w:tc>
          <w:tcPr>
            <w:tcW w:w="7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w w:val="99"/>
              </w:rPr>
              <w:t>Non-U.S.</w:t>
            </w:r>
          </w:p>
        </w:tc>
        <w:tc>
          <w:tcPr>
            <w:tcW w:w="100" w:type="dxa"/>
            <w:vAlign w:val="bottom"/>
          </w:tcPr>
          <w:p>
            <w:pPr>
              <w:spacing w:after="0"/>
              <w:rPr>
                <w:sz w:val="17"/>
                <w:szCs w:val="17"/>
                <w:color w:val="auto"/>
              </w:rPr>
            </w:pP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Major defined benefit plans:</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4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w:t>
            </w:r>
          </w:p>
        </w:tc>
        <w:tc>
          <w:tcPr>
            <w:tcW w:w="3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cost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6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80" w:type="dxa"/>
            <w:vAlign w:val="bottom"/>
          </w:tcPr>
          <w:p>
            <w:pPr>
              <w:ind w:left="180"/>
              <w:spacing w:after="0" w:line="202" w:lineRule="exact"/>
              <w:rPr>
                <w:sz w:val="20"/>
                <w:szCs w:val="20"/>
                <w:color w:val="auto"/>
              </w:rPr>
            </w:pPr>
            <w:r>
              <w:rPr>
                <w:rFonts w:ascii="Arial" w:cs="Arial" w:eastAsia="Arial" w:hAnsi="Arial"/>
                <w:sz w:val="18"/>
                <w:szCs w:val="18"/>
                <w:color w:val="auto"/>
              </w:rPr>
              <w:t>Prior service credit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Actuarial loss</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w:t>
            </w:r>
          </w:p>
        </w:tc>
      </w:tr>
      <w:tr>
        <w:trPr>
          <w:trHeight w:val="195"/>
        </w:trPr>
        <w:tc>
          <w:tcPr>
            <w:tcW w:w="32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Net pension (income) expense before</w:t>
            </w: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3"/>
        </w:trPr>
        <w:tc>
          <w:tcPr>
            <w:tcW w:w="3280" w:type="dxa"/>
            <w:vAlign w:val="bottom"/>
          </w:tcPr>
          <w:p>
            <w:pPr>
              <w:ind w:left="180"/>
              <w:spacing w:after="0" w:line="203" w:lineRule="exact"/>
              <w:rPr>
                <w:sz w:val="20"/>
                <w:szCs w:val="20"/>
                <w:color w:val="auto"/>
              </w:rPr>
            </w:pPr>
            <w:r>
              <w:rPr>
                <w:rFonts w:ascii="Arial" w:cs="Arial" w:eastAsia="Arial" w:hAnsi="Arial"/>
                <w:sz w:val="18"/>
                <w:szCs w:val="18"/>
                <w:color w:val="auto"/>
              </w:rPr>
              <w:t>special termination benefits</w:t>
            </w:r>
          </w:p>
        </w:tc>
        <w:tc>
          <w:tcPr>
            <w:tcW w:w="160" w:type="dxa"/>
            <w:vAlign w:val="bottom"/>
          </w:tcPr>
          <w:p>
            <w:pPr>
              <w:spacing w:after="0"/>
              <w:rPr>
                <w:sz w:val="17"/>
                <w:szCs w:val="17"/>
                <w:color w:val="auto"/>
              </w:rPr>
            </w:pPr>
          </w:p>
        </w:tc>
        <w:tc>
          <w:tcPr>
            <w:tcW w:w="7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7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(71)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7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(65)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Special termination benefits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3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80" w:type="dxa"/>
            <w:vAlign w:val="bottom"/>
          </w:tcPr>
          <w:p>
            <w:pPr>
              <w:spacing w:after="0" w:line="182" w:lineRule="exact"/>
              <w:rPr>
                <w:sz w:val="20"/>
                <w:szCs w:val="20"/>
                <w:color w:val="auto"/>
              </w:rPr>
            </w:pPr>
            <w:r>
              <w:rPr>
                <w:rFonts w:ascii="Arial" w:cs="Arial" w:eastAsia="Arial" w:hAnsi="Arial"/>
                <w:sz w:val="18"/>
                <w:szCs w:val="18"/>
                <w:color w:val="auto"/>
              </w:rPr>
              <w:t>Total net pension (income) expense</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(17)</w:t>
            </w:r>
          </w:p>
        </w:tc>
        <w:tc>
          <w:tcPr>
            <w:tcW w:w="300" w:type="dxa"/>
            <w:vAlign w:val="bottom"/>
            <w:gridSpan w:val="2"/>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2</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(22)</w:t>
            </w:r>
          </w:p>
        </w:tc>
        <w:tc>
          <w:tcPr>
            <w:tcW w:w="460" w:type="dxa"/>
            <w:vAlign w:val="bottom"/>
            <w:gridSpan w:val="2"/>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1</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(70)</w:t>
            </w:r>
          </w:p>
        </w:tc>
        <w:tc>
          <w:tcPr>
            <w:tcW w:w="2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6</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(65)</w:t>
            </w:r>
          </w:p>
        </w:tc>
        <w:tc>
          <w:tcPr>
            <w:tcW w:w="38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2</w:t>
            </w: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special termination benefits were incurred as a result of Kodak's restructuring actions and have been included in Restructuring costs and other in the Consolidated Statement of Operations for that period.</w:t>
      </w:r>
    </w:p>
    <w:p>
      <w:pPr>
        <w:spacing w:after="0" w:line="18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Kodak Retirement Income Plan (“KRIP”) was remeasured on May 31, 2022 due to a plan amendment. The plan amendment increased the employees’ crediting rates from 9% or 10% of pay based on employee classification to 12% or 13% of pay, retroactive to January 1, 2022. The plan amendment also provided a one-time service credit to eligible employees’ cash balance accounts.</w:t>
      </w:r>
    </w:p>
    <w:p>
      <w:pPr>
        <w:spacing w:after="0" w:line="1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 a result of the remeasurement, KRIP’s projected benefit obligation decreased $345 million primarily driven by an increase in the discount rate ($376 million) partially offset by the impacts from the plan amendments ($28 million) and changes in other demographic assumptions ($3 million). The discount rate assumption used in the May 31, 2022 remeasurement was 4.16% compared to 2.54% used in the December 31, 2021 remeasurement. The remeasurement decreased the fair value of KRIP’s plan assets by $236 million. The expected long-term rate of return on plan assets assumption used in the May 31, 2022 remeasurement was unchanged from the rate used in the previous year-end remeasurement (5.20%). The net impact of the remeasurement increased the U.S. Plan’s funded status by $109 million.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2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Basic earnings per share computations are based on the weighted-average number of shares of common stock outstanding during the period. Diluted earnings per share computations include any dilutive effect of potential common shares. In periods with a net loss available to common shareholders, diluted earnings per share are calculated using weighted-average basic shares for that period, as utilizing diluted shares would be anti-dilutive to loss per share.</w:t>
      </w:r>
    </w:p>
    <w:p>
      <w:pPr>
        <w:spacing w:after="0" w:line="191"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 reconciliation of the amounts used to calculate basic and diluted earnings per share for the three and nine months ended September 30, 2022 and 2021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2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Nine Months Ended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5980" w:type="dxa"/>
            <w:vAlign w:val="bottom"/>
          </w:tcPr>
          <w:p>
            <w:pPr>
              <w:spacing w:after="0"/>
              <w:rPr>
                <w:sz w:val="19"/>
                <w:szCs w:val="19"/>
                <w:color w:val="auto"/>
              </w:rPr>
            </w:pPr>
          </w:p>
        </w:tc>
        <w:tc>
          <w:tcPr>
            <w:tcW w:w="22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980" w:type="dxa"/>
            <w:vAlign w:val="bottom"/>
          </w:tcPr>
          <w:p>
            <w:pPr>
              <w:spacing w:after="0" w:line="196" w:lineRule="exact"/>
              <w:rPr>
                <w:sz w:val="20"/>
                <w:szCs w:val="20"/>
                <w:color w:val="auto"/>
              </w:rPr>
            </w:pPr>
            <w:r>
              <w:rPr>
                <w:rFonts w:ascii="Arial" w:cs="Arial" w:eastAsia="Arial" w:hAnsi="Arial"/>
                <w:sz w:val="18"/>
                <w:szCs w:val="18"/>
                <w:color w:val="auto"/>
              </w:rPr>
              <w:t>(in millions)</w:t>
            </w:r>
          </w:p>
        </w:tc>
        <w:tc>
          <w:tcPr>
            <w:tcW w:w="8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2</w:t>
            </w:r>
          </w:p>
        </w:tc>
        <w:tc>
          <w:tcPr>
            <w:tcW w:w="860" w:type="dxa"/>
            <w:vAlign w:val="bottom"/>
            <w:shd w:val="clear" w:color="auto" w:fill="CCEEFF"/>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8</w:t>
            </w:r>
          </w:p>
        </w:tc>
        <w:tc>
          <w:tcPr>
            <w:tcW w:w="840" w:type="dxa"/>
            <w:vAlign w:val="bottom"/>
            <w:shd w:val="clear" w:color="auto" w:fill="CCEEFF"/>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19</w:t>
            </w:r>
          </w:p>
        </w:tc>
        <w:tc>
          <w:tcPr>
            <w:tcW w:w="840" w:type="dxa"/>
            <w:vAlign w:val="bottom"/>
            <w:shd w:val="clear" w:color="auto" w:fill="CCEEFF"/>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30</w:t>
            </w: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Less: Preferred stock cash dividends</w:t>
            </w:r>
          </w:p>
        </w:tc>
        <w:tc>
          <w:tcPr>
            <w:tcW w:w="860" w:type="dxa"/>
            <w:vAlign w:val="bottom"/>
          </w:tcPr>
          <w:p>
            <w:pPr>
              <w:spacing w:after="0"/>
              <w:rPr>
                <w:sz w:val="17"/>
                <w:szCs w:val="17"/>
                <w:color w:val="auto"/>
              </w:rPr>
            </w:pPr>
          </w:p>
        </w:tc>
        <w:tc>
          <w:tcPr>
            <w:tcW w:w="5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860" w:type="dxa"/>
            <w:vAlign w:val="bottom"/>
          </w:tcPr>
          <w:p>
            <w:pPr>
              <w:spacing w:after="0"/>
              <w:rPr>
                <w:sz w:val="17"/>
                <w:szCs w:val="17"/>
                <w:color w:val="auto"/>
              </w:rPr>
            </w:pPr>
          </w:p>
        </w:tc>
        <w:tc>
          <w:tcPr>
            <w:tcW w:w="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840" w:type="dxa"/>
            <w:vAlign w:val="bottom"/>
          </w:tcPr>
          <w:p>
            <w:pPr>
              <w:spacing w:after="0"/>
              <w:rPr>
                <w:sz w:val="17"/>
                <w:szCs w:val="17"/>
                <w:color w:val="auto"/>
              </w:rPr>
            </w:pPr>
          </w:p>
        </w:tc>
        <w:tc>
          <w:tcPr>
            <w:tcW w:w="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w:t>
            </w:r>
          </w:p>
        </w:tc>
        <w:tc>
          <w:tcPr>
            <w:tcW w:w="840" w:type="dxa"/>
            <w:vAlign w:val="bottom"/>
          </w:tcPr>
          <w:p>
            <w:pPr>
              <w:spacing w:after="0"/>
              <w:rPr>
                <w:sz w:val="17"/>
                <w:szCs w:val="17"/>
                <w:color w:val="auto"/>
              </w:rPr>
            </w:pP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w:t>
            </w:r>
          </w:p>
        </w:tc>
      </w:tr>
      <w:tr>
        <w:trPr>
          <w:trHeight w:val="203"/>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Less: Preferred stock in-kind dividends</w:t>
            </w:r>
          </w:p>
        </w:tc>
        <w:tc>
          <w:tcPr>
            <w:tcW w:w="8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w:t>
            </w:r>
          </w:p>
        </w:tc>
        <w:tc>
          <w:tcPr>
            <w:tcW w:w="8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8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w:t>
            </w:r>
          </w:p>
        </w:tc>
        <w:tc>
          <w:tcPr>
            <w:tcW w:w="8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w:t>
            </w: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Less: Preferred stock deemed dividends</w:t>
            </w:r>
          </w:p>
        </w:tc>
        <w:tc>
          <w:tcPr>
            <w:tcW w:w="860" w:type="dxa"/>
            <w:vAlign w:val="bottom"/>
          </w:tcPr>
          <w:p>
            <w:pPr>
              <w:spacing w:after="0"/>
              <w:rPr>
                <w:sz w:val="17"/>
                <w:szCs w:val="17"/>
                <w:color w:val="auto"/>
              </w:rPr>
            </w:pPr>
          </w:p>
        </w:tc>
        <w:tc>
          <w:tcPr>
            <w:tcW w:w="5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840" w:type="dxa"/>
            <w:vAlign w:val="bottom"/>
          </w:tcPr>
          <w:p>
            <w:pPr>
              <w:spacing w:after="0"/>
              <w:rPr>
                <w:sz w:val="17"/>
                <w:szCs w:val="17"/>
                <w:color w:val="auto"/>
              </w:rPr>
            </w:pPr>
          </w:p>
        </w:tc>
        <w:tc>
          <w:tcPr>
            <w:tcW w:w="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840" w:type="dxa"/>
            <w:vAlign w:val="bottom"/>
          </w:tcPr>
          <w:p>
            <w:pPr>
              <w:spacing w:after="0"/>
              <w:rPr>
                <w:sz w:val="17"/>
                <w:szCs w:val="17"/>
                <w:color w:val="auto"/>
              </w:rPr>
            </w:pP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Plus: Expiration of Series A preferred stock embedded derivative</w:t>
            </w: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Less: Earnings attributable to Series C Preferred shareholders</w:t>
            </w:r>
          </w:p>
        </w:tc>
        <w:tc>
          <w:tcPr>
            <w:tcW w:w="860" w:type="dxa"/>
            <w:vAlign w:val="bottom"/>
          </w:tcPr>
          <w:p>
            <w:pPr>
              <w:spacing w:after="0"/>
              <w:rPr>
                <w:sz w:val="17"/>
                <w:szCs w:val="17"/>
                <w:color w:val="auto"/>
              </w:rPr>
            </w:pPr>
          </w:p>
        </w:tc>
        <w:tc>
          <w:tcPr>
            <w:tcW w:w="5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840" w:type="dxa"/>
            <w:vAlign w:val="bottom"/>
          </w:tcPr>
          <w:p>
            <w:pPr>
              <w:spacing w:after="0"/>
              <w:rPr>
                <w:sz w:val="17"/>
                <w:szCs w:val="17"/>
                <w:color w:val="auto"/>
              </w:rPr>
            </w:pPr>
          </w:p>
        </w:tc>
        <w:tc>
          <w:tcPr>
            <w:tcW w:w="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59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(loss) income available to common shareholders - basic and diluted</w:t>
            </w:r>
          </w:p>
        </w:tc>
        <w:tc>
          <w:tcPr>
            <w:tcW w:w="860" w:type="dxa"/>
            <w:vAlign w:val="bottom"/>
            <w:shd w:val="clear" w:color="auto" w:fill="CCEEFF"/>
          </w:tcPr>
          <w:p>
            <w:pPr>
              <w:jc w:val="right"/>
              <w:ind w:right="670"/>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(1)</w:t>
            </w:r>
          </w:p>
        </w:tc>
        <w:tc>
          <w:tcPr>
            <w:tcW w:w="860" w:type="dxa"/>
            <w:vAlign w:val="bottom"/>
            <w:shd w:val="clear" w:color="auto" w:fill="CCEEFF"/>
          </w:tcPr>
          <w:p>
            <w:pPr>
              <w:jc w:val="right"/>
              <w:ind w:right="670"/>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5</w:t>
            </w:r>
          </w:p>
        </w:tc>
        <w:tc>
          <w:tcPr>
            <w:tcW w:w="840" w:type="dxa"/>
            <w:vAlign w:val="bottom"/>
            <w:shd w:val="clear" w:color="auto" w:fill="CCEEFF"/>
          </w:tcPr>
          <w:p>
            <w:pPr>
              <w:jc w:val="right"/>
              <w:ind w:right="650"/>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9</w:t>
            </w:r>
          </w:p>
        </w:tc>
        <w:tc>
          <w:tcPr>
            <w:tcW w:w="840" w:type="dxa"/>
            <w:vAlign w:val="bottom"/>
            <w:shd w:val="clear" w:color="auto" w:fill="CCEEFF"/>
          </w:tcPr>
          <w:p>
            <w:pPr>
              <w:jc w:val="right"/>
              <w:ind w:right="650"/>
              <w:spacing w:after="0" w:line="182" w:lineRule="exact"/>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72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2540" w:type="dxa"/>
            <w:vAlign w:val="bottom"/>
            <w:gridSpan w:val="4"/>
          </w:tcPr>
          <w:p>
            <w:pPr>
              <w:ind w:left="38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980" w:type="dxa"/>
            <w:vAlign w:val="bottom"/>
          </w:tcPr>
          <w:p>
            <w:pPr>
              <w:spacing w:after="0"/>
              <w:rPr>
                <w:sz w:val="19"/>
                <w:szCs w:val="19"/>
                <w:color w:val="auto"/>
              </w:rPr>
            </w:pPr>
          </w:p>
        </w:tc>
        <w:tc>
          <w:tcPr>
            <w:tcW w:w="272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2540" w:type="dxa"/>
            <w:vAlign w:val="bottom"/>
            <w:gridSpan w:val="4"/>
          </w:tcPr>
          <w:p>
            <w:pPr>
              <w:ind w:left="60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980" w:type="dxa"/>
            <w:vAlign w:val="bottom"/>
          </w:tcPr>
          <w:p>
            <w:pPr>
              <w:spacing w:after="0" w:line="196" w:lineRule="exact"/>
              <w:rPr>
                <w:sz w:val="20"/>
                <w:szCs w:val="20"/>
                <w:color w:val="auto"/>
              </w:rPr>
            </w:pPr>
            <w:r>
              <w:rPr>
                <w:rFonts w:ascii="Arial" w:cs="Arial" w:eastAsia="Arial" w:hAnsi="Arial"/>
                <w:sz w:val="18"/>
                <w:szCs w:val="18"/>
                <w:color w:val="auto"/>
              </w:rPr>
              <w:t>(in millions of shares)</w:t>
            </w:r>
          </w:p>
        </w:tc>
        <w:tc>
          <w:tcPr>
            <w:tcW w:w="112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c>
          <w:tcPr>
            <w:tcW w:w="1100" w:type="dxa"/>
            <w:vAlign w:val="bottom"/>
            <w:tcBorders>
              <w:top w:val="single" w:sz="8" w:color="auto"/>
              <w:bottom w:val="single" w:sz="8" w:color="auto"/>
            </w:tcBorders>
          </w:tcPr>
          <w:p>
            <w:pPr>
              <w:ind w:left="36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 basic</w:t>
            </w:r>
          </w:p>
        </w:tc>
        <w:tc>
          <w:tcPr>
            <w:tcW w:w="13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79.0</w:t>
            </w:r>
          </w:p>
        </w:tc>
        <w:tc>
          <w:tcPr>
            <w:tcW w:w="13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78.6</w:t>
            </w:r>
          </w:p>
        </w:tc>
        <w:tc>
          <w:tcPr>
            <w:tcW w:w="13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78.9</w:t>
            </w:r>
          </w:p>
        </w:tc>
        <w:tc>
          <w:tcPr>
            <w:tcW w:w="12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78.3</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Employee stock options</w:t>
            </w: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w:t>
            </w: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Unvested restricted stock units</w:t>
            </w:r>
          </w:p>
        </w:tc>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0.1</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0.6</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w:t>
            </w: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Weighted average shares — diluted</w:t>
            </w:r>
          </w:p>
        </w:tc>
        <w:tc>
          <w:tcPr>
            <w:tcW w:w="13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79.0</w:t>
            </w:r>
          </w:p>
        </w:tc>
        <w:tc>
          <w:tcPr>
            <w:tcW w:w="134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80.6</w:t>
            </w:r>
          </w:p>
        </w:tc>
        <w:tc>
          <w:tcPr>
            <w:tcW w:w="13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80.7</w:t>
            </w:r>
          </w:p>
        </w:tc>
        <w:tc>
          <w:tcPr>
            <w:tcW w:w="12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80.5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As a result of the net loss available to common shareholders for the three months ended September 30, 2022, Kodak calculated diluted earnings per share using weighted-average basic shares outstanding. If Kodak reported income available to common shareholders for the three months ended September 30, 2022, the calculation of diluted earnings per share would have included the assumed vesting of 0.7 million unvested restricted stock units and the assumed exercise of 1.3 million outstanding stock options.</w:t>
      </w:r>
    </w:p>
    <w:p>
      <w:pPr>
        <w:spacing w:after="0" w:line="191"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auto"/>
        </w:rPr>
        <w:t>The computation of diluted earnings per share for the three and nine months ended September 30, 2022 excluded the impact of (1) the assumed conversion of $25 million of Convertible Notes issued in 2021, (2) the assumed conversion of 1.0 million shares of Series B Preferred Stock, (3) the assumed conversion of 1.1 million shares of Series C Preferred Stock and (4) the assumed exercise of 3.3 million and 3.4 million outstanding employee stock options, respectively, because the effects would have been anti-dilutive.</w:t>
      </w:r>
    </w:p>
    <w:p>
      <w:pPr>
        <w:spacing w:after="0" w:line="191"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auto"/>
        </w:rPr>
        <w:t>The computation of diluted earnings per share for the three and nine months ended September 30, 2021 excluded the impact of (1) the assumed conversion of $25 million of Convertible Notes issued in 2021, (2) the assumed conversion of 1.0 million shares of Series B Preferred Stock, (3) the assumed conversion of 1.0 million shares of Series C Preferred Stock, (4) the assumed exercise of 3.1 million outstanding employee stock options and (5) the assumed vesting of 0.0 million and 0.3 million unvested restricted stock units, respectively, because the effects would have been anti-dilutive.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0"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Company has 560 million shares of authorized stock, consisting of: (i) 500 million shares of common stock, par value $0.01 per share and (ii) 60 million shares of preferred stock, no par value, issuable in one or more series.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 w:lineRule="exact"/>
        <w:rPr>
          <w:sz w:val="20"/>
          <w:szCs w:val="20"/>
          <w:color w:val="auto"/>
        </w:rPr>
      </w:pPr>
    </w:p>
    <w:p>
      <w:pPr>
        <w:ind w:right="880"/>
        <w:spacing w:after="0" w:line="246" w:lineRule="auto"/>
        <w:rPr>
          <w:sz w:val="20"/>
          <w:szCs w:val="20"/>
          <w:color w:val="auto"/>
        </w:rPr>
      </w:pPr>
      <w:r>
        <w:rPr>
          <w:rFonts w:ascii="Arial" w:cs="Arial" w:eastAsia="Arial" w:hAnsi="Arial"/>
          <w:sz w:val="18"/>
          <w:szCs w:val="18"/>
          <w:color w:val="auto"/>
        </w:rPr>
        <w:t>As of September 30, 2022 and December 31, 2021, there were 79.1 million and 78.7 million shares of common stock outstanding,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8"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Preferred stock issued and outstanding as of September 30, 2022 consisted of 1.0 million shares of Series B Preferred Stock and 1.1 million shares of Series C Preferred Stock and as of December 31, 2021 consisted of 1.0 million shares of Series B Preferred Stock and 1.0 million shares of Series C Preferred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Treasury stock consisted of approximately 0.9 million and 0.8 million shares as of September 30, 2022 and December 31, 2021, respectively.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OTHER COMPREHENSIVE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Other comprehensive income (loss), by component, were as follows: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40" w:type="dxa"/>
            <w:vAlign w:val="bottom"/>
            <w:gridSpan w:val="5"/>
          </w:tcPr>
          <w:p>
            <w:pPr>
              <w:jc w:val="right"/>
              <w:ind w:right="33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4500" w:type="dxa"/>
            <w:vAlign w:val="bottom"/>
            <w:gridSpan w:val="2"/>
          </w:tcPr>
          <w:p>
            <w:pPr>
              <w:spacing w:after="0" w:line="196" w:lineRule="exact"/>
              <w:rPr>
                <w:sz w:val="20"/>
                <w:szCs w:val="20"/>
                <w:color w:val="auto"/>
              </w:rPr>
            </w:pPr>
            <w:r>
              <w:rPr>
                <w:rFonts w:ascii="Arial" w:cs="Arial" w:eastAsia="Arial" w:hAnsi="Arial"/>
                <w:sz w:val="18"/>
                <w:szCs w:val="18"/>
                <w:color w:val="auto"/>
              </w:rPr>
              <w:t>(in millions)</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Currency translation adjustments</w:t>
            </w:r>
          </w:p>
        </w:tc>
        <w:tc>
          <w:tcPr>
            <w:tcW w:w="1000" w:type="dxa"/>
            <w:vAlign w:val="bottom"/>
            <w:gridSpan w:val="2"/>
            <w:shd w:val="clear" w:color="auto" w:fill="CCEEFF"/>
          </w:tcPr>
          <w:p>
            <w:pPr>
              <w:jc w:val="right"/>
              <w:ind w:right="730"/>
              <w:spacing w:after="0" w:line="196"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w:t>
            </w:r>
          </w:p>
        </w:tc>
        <w:tc>
          <w:tcPr>
            <w:tcW w:w="1000" w:type="dxa"/>
            <w:vAlign w:val="bottom"/>
            <w:gridSpan w:val="2"/>
            <w:shd w:val="clear" w:color="auto" w:fill="CCEEFF"/>
          </w:tcPr>
          <w:p>
            <w:pPr>
              <w:jc w:val="right"/>
              <w:ind w:right="730"/>
              <w:spacing w:after="0" w:line="196"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Pension and other postretirement benefit plan changes</w:t>
            </w: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Newly established net actuarial gain (loss)</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ind w:left="320"/>
              <w:spacing w:after="0" w:line="202" w:lineRule="exact"/>
              <w:rPr>
                <w:sz w:val="20"/>
                <w:szCs w:val="20"/>
                <w:color w:val="auto"/>
              </w:rPr>
            </w:pPr>
            <w:r>
              <w:rPr>
                <w:rFonts w:ascii="Arial" w:cs="Arial" w:eastAsia="Arial" w:hAnsi="Arial"/>
                <w:sz w:val="18"/>
                <w:szCs w:val="18"/>
                <w:color w:val="auto"/>
              </w:rPr>
              <w:t>Tax Provision</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80" w:type="dxa"/>
            <w:vAlign w:val="bottom"/>
            <w:shd w:val="clear" w:color="auto" w:fill="CCEEFF"/>
          </w:tcPr>
          <w:p>
            <w:pPr>
              <w:ind w:left="320"/>
              <w:spacing w:after="0" w:line="195" w:lineRule="exact"/>
              <w:rPr>
                <w:sz w:val="20"/>
                <w:szCs w:val="20"/>
                <w:color w:val="auto"/>
              </w:rPr>
            </w:pPr>
            <w:r>
              <w:rPr>
                <w:rFonts w:ascii="Arial" w:cs="Arial" w:eastAsia="Arial" w:hAnsi="Arial"/>
                <w:sz w:val="18"/>
                <w:szCs w:val="18"/>
                <w:color w:val="auto"/>
              </w:rPr>
              <w:t>Newly established net actuarial gain (loss), net of</w:t>
            </w:r>
          </w:p>
        </w:tc>
        <w:tc>
          <w:tcPr>
            <w:tcW w:w="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ind w:left="480"/>
              <w:spacing w:after="0" w:line="203" w:lineRule="exact"/>
              <w:rPr>
                <w:sz w:val="20"/>
                <w:szCs w:val="20"/>
                <w:color w:val="auto"/>
              </w:rPr>
            </w:pPr>
            <w:r>
              <w:rPr>
                <w:rFonts w:ascii="Arial" w:cs="Arial" w:eastAsia="Arial" w:hAnsi="Arial"/>
                <w:sz w:val="18"/>
                <w:szCs w:val="18"/>
                <w:color w:val="auto"/>
              </w:rPr>
              <w:t>tax</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109</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ind w:left="320"/>
              <w:spacing w:after="0" w:line="202" w:lineRule="exact"/>
              <w:rPr>
                <w:sz w:val="20"/>
                <w:szCs w:val="20"/>
                <w:color w:val="auto"/>
              </w:rPr>
            </w:pPr>
            <w:r>
              <w:rPr>
                <w:rFonts w:ascii="Arial" w:cs="Arial" w:eastAsia="Arial" w:hAnsi="Arial"/>
                <w:sz w:val="18"/>
                <w:szCs w:val="18"/>
                <w:color w:val="auto"/>
              </w:rPr>
              <w:t>Reclassification adjustments:</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 xml:space="preserve">Amortization of prior service credit </w:t>
            </w: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ind w:left="640"/>
              <w:spacing w:after="0" w:line="202" w:lineRule="exact"/>
              <w:rPr>
                <w:sz w:val="20"/>
                <w:szCs w:val="20"/>
                <w:color w:val="auto"/>
              </w:rPr>
            </w:pPr>
            <w:r>
              <w:rPr>
                <w:rFonts w:ascii="Arial" w:cs="Arial" w:eastAsia="Arial" w:hAnsi="Arial"/>
                <w:sz w:val="18"/>
                <w:szCs w:val="18"/>
                <w:color w:val="auto"/>
              </w:rPr>
              <w:t xml:space="preserve">Amortization of actuarial losses </w:t>
            </w: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reclassification adjustments</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ind w:left="320"/>
              <w:spacing w:after="0" w:line="202" w:lineRule="exact"/>
              <w:rPr>
                <w:sz w:val="20"/>
                <w:szCs w:val="20"/>
                <w:color w:val="auto"/>
              </w:rPr>
            </w:pPr>
            <w:r>
              <w:rPr>
                <w:rFonts w:ascii="Arial" w:cs="Arial" w:eastAsia="Arial" w:hAnsi="Arial"/>
                <w:sz w:val="18"/>
                <w:szCs w:val="18"/>
                <w:color w:val="auto"/>
              </w:rPr>
              <w:t>Tax provision</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Reclassification adjustments, net of tax</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Pension and other postretirement benefit plan changes,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80" w:type="dxa"/>
            <w:vAlign w:val="bottom"/>
          </w:tcPr>
          <w:p>
            <w:pPr>
              <w:ind w:left="160"/>
              <w:spacing w:after="0" w:line="190" w:lineRule="exact"/>
              <w:rPr>
                <w:sz w:val="20"/>
                <w:szCs w:val="20"/>
                <w:color w:val="auto"/>
              </w:rPr>
            </w:pPr>
            <w:r>
              <w:rPr>
                <w:rFonts w:ascii="Arial" w:cs="Arial" w:eastAsia="Arial" w:hAnsi="Arial"/>
                <w:sz w:val="18"/>
                <w:szCs w:val="18"/>
                <w:color w:val="auto"/>
              </w:rPr>
              <w:t>net of tax</w:t>
            </w:r>
          </w:p>
        </w:tc>
        <w:tc>
          <w:tcPr>
            <w:tcW w:w="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Other comprehensive income</w:t>
            </w:r>
          </w:p>
        </w:tc>
        <w:tc>
          <w:tcPr>
            <w:tcW w:w="1000" w:type="dxa"/>
            <w:vAlign w:val="bottom"/>
            <w:gridSpan w:val="2"/>
            <w:shd w:val="clear" w:color="auto" w:fill="CCEEFF"/>
          </w:tcPr>
          <w:p>
            <w:pPr>
              <w:jc w:val="right"/>
              <w:ind w:right="730"/>
              <w:spacing w:after="0" w:line="18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30"/>
              <w:spacing w:after="0" w:line="18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106</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hanging="410"/>
        <w:spacing w:after="0"/>
        <w:tabs>
          <w:tab w:leader="none" w:pos="980" w:val="left"/>
        </w:tabs>
        <w:numPr>
          <w:ilvl w:val="0"/>
          <w:numId w:val="9"/>
        </w:numPr>
        <w:rPr>
          <w:rFonts w:ascii="Arial" w:cs="Arial" w:eastAsia="Arial" w:hAnsi="Arial"/>
          <w:sz w:val="15"/>
          <w:szCs w:val="15"/>
          <w:color w:val="auto"/>
        </w:rPr>
      </w:pPr>
      <w:r>
        <w:rPr>
          <w:rFonts w:ascii="Arial" w:cs="Arial" w:eastAsia="Arial" w:hAnsi="Arial"/>
          <w:sz w:val="18"/>
          <w:szCs w:val="18"/>
          <w:color w:val="auto"/>
        </w:rPr>
        <w:t>Reclassified to Total Net Periodic Benefit Cost - refer to Note 14, "Retirement Plans and Other Postretirement Benefits".</w:t>
      </w:r>
    </w:p>
    <w:p>
      <w:pPr>
        <w:spacing w:after="0" w:line="198" w:lineRule="exact"/>
        <w:rPr>
          <w:rFonts w:ascii="Arial" w:cs="Arial" w:eastAsia="Arial" w:hAnsi="Arial"/>
          <w:sz w:val="15"/>
          <w:szCs w:val="15"/>
          <w:color w:val="auto"/>
        </w:rPr>
      </w:pPr>
    </w:p>
    <w:p>
      <w:pPr>
        <w:ind w:left="5480"/>
        <w:spacing w:after="0"/>
        <w:rPr>
          <w:rFonts w:ascii="Arial" w:cs="Arial" w:eastAsia="Arial" w:hAnsi="Arial"/>
          <w:sz w:val="15"/>
          <w:szCs w:val="15"/>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INFORMATION</w:t>
      </w:r>
    </w:p>
    <w:p>
      <w:pPr>
        <w:spacing w:after="0" w:line="220"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Kodak has four reportable segments: Traditional Printing, Digital Printing, Advanced Materials and Chemicals and Brand. A description of Kodak’s reportable segments follows.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Traditional Printing</w:t>
      </w:r>
      <w:r>
        <w:rPr>
          <w:rFonts w:ascii="Arial" w:cs="Arial" w:eastAsia="Arial" w:hAnsi="Arial"/>
          <w:sz w:val="18"/>
          <w:szCs w:val="18"/>
          <w:color w:val="auto"/>
        </w:rPr>
        <w:t>: The Traditional Printing segment is comprised of Prepress Solutions.</w:t>
      </w:r>
    </w:p>
    <w:p>
      <w:pPr>
        <w:spacing w:after="0" w:line="19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color w:val="auto"/>
        </w:rPr>
        <w:t>Digital Printing</w:t>
      </w:r>
      <w:r>
        <w:rPr>
          <w:rFonts w:ascii="Arial" w:cs="Arial" w:eastAsia="Arial" w:hAnsi="Arial"/>
          <w:sz w:val="18"/>
          <w:szCs w:val="18"/>
          <w:color w:val="auto"/>
        </w:rPr>
        <w:t>: The Digital Printing segment is comprised of four lines of business: the Electrophotographic Printing Solutions business, the</w:t>
      </w:r>
      <w:r>
        <w:rPr>
          <w:rFonts w:ascii="Arial" w:cs="Arial" w:eastAsia="Arial" w:hAnsi="Arial"/>
          <w:sz w:val="18"/>
          <w:szCs w:val="18"/>
          <w:b w:val="1"/>
          <w:bCs w:val="1"/>
          <w:color w:val="auto"/>
        </w:rPr>
        <w:t xml:space="preserve"> </w:t>
      </w:r>
      <w:r>
        <w:rPr>
          <w:rFonts w:ascii="Arial" w:cs="Arial" w:eastAsia="Arial" w:hAnsi="Arial"/>
          <w:sz w:val="18"/>
          <w:szCs w:val="18"/>
          <w:color w:val="auto"/>
        </w:rPr>
        <w:t>PROSPER business, the VERSAMARK business and the Kodak Software business.</w:t>
      </w:r>
    </w:p>
    <w:p>
      <w:pPr>
        <w:spacing w:after="0" w:line="140"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color w:val="auto"/>
        </w:rPr>
        <w:t xml:space="preserve">Advanced Materials and Chemicals: </w:t>
      </w:r>
      <w:r>
        <w:rPr>
          <w:rFonts w:ascii="Arial" w:cs="Arial" w:eastAsia="Arial" w:hAnsi="Arial"/>
          <w:sz w:val="18"/>
          <w:szCs w:val="18"/>
          <w:color w:val="auto"/>
        </w:rPr>
        <w:t>The Advanced Materials and Chemicals segment is comprised of three lines of business: Industrial</w:t>
      </w:r>
      <w:r>
        <w:rPr>
          <w:rFonts w:ascii="Arial" w:cs="Arial" w:eastAsia="Arial" w:hAnsi="Arial"/>
          <w:sz w:val="18"/>
          <w:szCs w:val="18"/>
          <w:b w:val="1"/>
          <w:bCs w:val="1"/>
          <w:color w:val="auto"/>
        </w:rPr>
        <w:t xml:space="preserve"> </w:t>
      </w:r>
      <w:r>
        <w:rPr>
          <w:rFonts w:ascii="Arial" w:cs="Arial" w:eastAsia="Arial" w:hAnsi="Arial"/>
          <w:sz w:val="18"/>
          <w:szCs w:val="18"/>
          <w:color w:val="auto"/>
        </w:rPr>
        <w:t>Film and Chemicals, Motion Picture and Advanced Materials and Functional Printing.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w:t>
      </w:r>
      <w:r>
        <w:rPr>
          <w:rFonts w:ascii="Arial" w:cs="Arial" w:eastAsia="Arial" w:hAnsi="Arial"/>
          <w:sz w:val="18"/>
          <w:szCs w:val="18"/>
          <w:color w:val="auto"/>
        </w:rPr>
        <w:t>: The Brand segment contains the brand licensing business.</w:t>
      </w:r>
    </w:p>
    <w:p>
      <w:pPr>
        <w:spacing w:after="0" w:line="19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color w:val="auto"/>
        </w:rPr>
        <w:t>All Other</w:t>
      </w:r>
      <w:r>
        <w:rPr>
          <w:rFonts w:ascii="Arial" w:cs="Arial" w:eastAsia="Arial" w:hAnsi="Arial"/>
          <w:sz w:val="18"/>
          <w:szCs w:val="18"/>
          <w:color w:val="auto"/>
        </w:rPr>
        <w:t>: All Other is comprised of the operations of the Eastman Business Park, a more than 1,200-acre technology center and industrial</w:t>
      </w:r>
      <w:r>
        <w:rPr>
          <w:rFonts w:ascii="Arial" w:cs="Arial" w:eastAsia="Arial" w:hAnsi="Arial"/>
          <w:sz w:val="18"/>
          <w:szCs w:val="18"/>
          <w:b w:val="1"/>
          <w:bCs w:val="1"/>
          <w:color w:val="auto"/>
        </w:rPr>
        <w:t xml:space="preserve"> </w:t>
      </w:r>
      <w:r>
        <w:rPr>
          <w:rFonts w:ascii="Arial" w:cs="Arial" w:eastAsia="Arial" w:hAnsi="Arial"/>
          <w:sz w:val="18"/>
          <w:szCs w:val="18"/>
          <w:color w:val="auto"/>
        </w:rPr>
        <w:t>complex.</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20" w:type="dxa"/>
            <w:vAlign w:val="bottom"/>
            <w:gridSpan w:val="2"/>
          </w:tcPr>
          <w:p>
            <w:pPr>
              <w:spacing w:after="0"/>
              <w:rPr>
                <w:sz w:val="20"/>
                <w:szCs w:val="20"/>
                <w:color w:val="auto"/>
              </w:rPr>
            </w:pPr>
            <w:r>
              <w:rPr>
                <w:rFonts w:ascii="Arial" w:cs="Arial" w:eastAsia="Arial" w:hAnsi="Arial"/>
                <w:sz w:val="18"/>
                <w:szCs w:val="18"/>
                <w:color w:val="auto"/>
              </w:rPr>
              <w:t>Segment financial information is shown below:</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05"/>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Segment Revenues</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69"/>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Nine Months Ended</w:t>
            </w:r>
          </w:p>
        </w:tc>
        <w:tc>
          <w:tcPr>
            <w:tcW w:w="560" w:type="dxa"/>
            <w:vAlign w:val="bottom"/>
          </w:tcPr>
          <w:p>
            <w:pPr>
              <w:spacing w:after="0"/>
              <w:rPr>
                <w:sz w:val="24"/>
                <w:szCs w:val="24"/>
                <w:color w:val="auto"/>
              </w:rPr>
            </w:pPr>
          </w:p>
        </w:tc>
      </w:tr>
      <w:tr>
        <w:trPr>
          <w:trHeight w:val="225"/>
        </w:trPr>
        <w:tc>
          <w:tcPr>
            <w:tcW w:w="5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September 30,</w:t>
            </w:r>
          </w:p>
        </w:tc>
        <w:tc>
          <w:tcPr>
            <w:tcW w:w="560" w:type="dxa"/>
            <w:vAlign w:val="bottom"/>
          </w:tcPr>
          <w:p>
            <w:pPr>
              <w:spacing w:after="0"/>
              <w:rPr>
                <w:sz w:val="19"/>
                <w:szCs w:val="19"/>
                <w:color w:val="auto"/>
              </w:rPr>
            </w:pPr>
          </w:p>
        </w:tc>
      </w:tr>
      <w:tr>
        <w:trPr>
          <w:trHeight w:val="196"/>
        </w:trPr>
        <w:tc>
          <w:tcPr>
            <w:tcW w:w="4420" w:type="dxa"/>
            <w:vAlign w:val="bottom"/>
            <w:gridSpan w:val="2"/>
          </w:tcPr>
          <w:p>
            <w:pPr>
              <w:ind w:left="560"/>
              <w:spacing w:after="0" w:line="196" w:lineRule="exact"/>
              <w:rPr>
                <w:sz w:val="20"/>
                <w:szCs w:val="20"/>
                <w:color w:val="auto"/>
              </w:rPr>
            </w:pPr>
            <w:r>
              <w:rPr>
                <w:rFonts w:ascii="Arial" w:cs="Arial" w:eastAsia="Arial" w:hAnsi="Arial"/>
                <w:sz w:val="18"/>
                <w:szCs w:val="18"/>
                <w:color w:val="auto"/>
              </w:rPr>
              <w:t>(in millions)</w:t>
            </w:r>
          </w:p>
        </w:tc>
        <w:tc>
          <w:tcPr>
            <w:tcW w:w="7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Traditional Printing</w:t>
            </w:r>
          </w:p>
        </w:tc>
        <w:tc>
          <w:tcPr>
            <w:tcW w:w="9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169</w:t>
            </w:r>
          </w:p>
        </w:tc>
        <w:tc>
          <w:tcPr>
            <w:tcW w:w="4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166</w:t>
            </w:r>
          </w:p>
        </w:tc>
        <w:tc>
          <w:tcPr>
            <w:tcW w:w="4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535</w:t>
            </w:r>
          </w:p>
        </w:tc>
        <w:tc>
          <w:tcPr>
            <w:tcW w:w="4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840" w:type="dxa"/>
            <w:vAlign w:val="bottom"/>
          </w:tcPr>
          <w:p>
            <w:pPr>
              <w:spacing w:after="0" w:line="202" w:lineRule="exact"/>
              <w:rPr>
                <w:sz w:val="20"/>
                <w:szCs w:val="20"/>
                <w:color w:val="auto"/>
              </w:rPr>
            </w:pPr>
            <w:r>
              <w:rPr>
                <w:rFonts w:ascii="Arial" w:cs="Arial" w:eastAsia="Arial" w:hAnsi="Arial"/>
                <w:sz w:val="18"/>
                <w:szCs w:val="18"/>
                <w:color w:val="auto"/>
              </w:rPr>
              <w:t>Digital Printing</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Advanced Materials and Chemicals</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840" w:type="dxa"/>
            <w:vAlign w:val="bottom"/>
          </w:tcPr>
          <w:p>
            <w:pPr>
              <w:spacing w:after="0" w:line="202" w:lineRule="exact"/>
              <w:rPr>
                <w:sz w:val="20"/>
                <w:szCs w:val="20"/>
                <w:color w:val="auto"/>
              </w:rPr>
            </w:pPr>
            <w:r>
              <w:rPr>
                <w:rFonts w:ascii="Arial" w:cs="Arial" w:eastAsia="Arial" w:hAnsi="Arial"/>
                <w:sz w:val="18"/>
                <w:szCs w:val="18"/>
                <w:color w:val="auto"/>
              </w:rPr>
              <w:t>Brand</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8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All Other</w:t>
            </w: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4420" w:type="dxa"/>
            <w:vAlign w:val="bottom"/>
            <w:gridSpan w:val="2"/>
          </w:tcPr>
          <w:p>
            <w:pPr>
              <w:ind w:left="560"/>
              <w:spacing w:after="0" w:line="182" w:lineRule="exact"/>
              <w:rPr>
                <w:sz w:val="20"/>
                <w:szCs w:val="20"/>
                <w:color w:val="auto"/>
              </w:rPr>
            </w:pPr>
            <w:r>
              <w:rPr>
                <w:rFonts w:ascii="Arial" w:cs="Arial" w:eastAsia="Arial" w:hAnsi="Arial"/>
                <w:sz w:val="18"/>
                <w:szCs w:val="18"/>
                <w:color w:val="auto"/>
              </w:rPr>
              <w:t>Consolidated total</w:t>
            </w:r>
          </w:p>
        </w:tc>
        <w:tc>
          <w:tcPr>
            <w:tcW w:w="94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289</w:t>
            </w:r>
          </w:p>
        </w:tc>
        <w:tc>
          <w:tcPr>
            <w:tcW w:w="44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287</w:t>
            </w:r>
          </w:p>
        </w:tc>
        <w:tc>
          <w:tcPr>
            <w:tcW w:w="42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900</w:t>
            </w:r>
          </w:p>
        </w:tc>
        <w:tc>
          <w:tcPr>
            <w:tcW w:w="44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843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9"/>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700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280" w:type="dxa"/>
            <w:vAlign w:val="bottom"/>
            <w:gridSpan w:val="12"/>
          </w:tcPr>
          <w:p>
            <w:pPr>
              <w:spacing w:after="0"/>
              <w:rPr>
                <w:sz w:val="20"/>
                <w:szCs w:val="20"/>
                <w:color w:val="auto"/>
              </w:rPr>
            </w:pPr>
            <w:r>
              <w:rPr>
                <w:rFonts w:ascii="Arial" w:cs="Arial" w:eastAsia="Arial" w:hAnsi="Arial"/>
                <w:sz w:val="18"/>
                <w:szCs w:val="18"/>
                <w:b w:val="1"/>
                <w:bCs w:val="1"/>
                <w:color w:val="auto"/>
              </w:rPr>
              <w:t>Segment Operational EBITDA and Consolidated Earnings from Operations Before Income Taxes</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5140" w:type="dxa"/>
            <w:vAlign w:val="bottom"/>
            <w:gridSpan w:val="3"/>
          </w:tcPr>
          <w:p>
            <w:pPr>
              <w:ind w:left="560"/>
              <w:spacing w:after="0" w:line="196" w:lineRule="exact"/>
              <w:rPr>
                <w:sz w:val="20"/>
                <w:szCs w:val="20"/>
                <w:color w:val="auto"/>
              </w:rPr>
            </w:pPr>
            <w:r>
              <w:rPr>
                <w:rFonts w:ascii="Arial" w:cs="Arial" w:eastAsia="Arial" w:hAnsi="Arial"/>
                <w:sz w:val="18"/>
                <w:szCs w:val="18"/>
                <w:color w:val="auto"/>
              </w:rPr>
              <w:t>(in millions)</w:t>
            </w: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Traditional Printing</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60" w:type="dxa"/>
            <w:vAlign w:val="bottom"/>
            <w:gridSpan w:val="2"/>
          </w:tcPr>
          <w:p>
            <w:pPr>
              <w:spacing w:after="0" w:line="202" w:lineRule="exact"/>
              <w:rPr>
                <w:sz w:val="20"/>
                <w:szCs w:val="20"/>
                <w:color w:val="auto"/>
              </w:rPr>
            </w:pPr>
            <w:r>
              <w:rPr>
                <w:rFonts w:ascii="Arial" w:cs="Arial" w:eastAsia="Arial" w:hAnsi="Arial"/>
                <w:sz w:val="18"/>
                <w:szCs w:val="18"/>
                <w:color w:val="auto"/>
              </w:rPr>
              <w:t>Digital Printing</w:t>
            </w:r>
          </w:p>
        </w:tc>
        <w:tc>
          <w:tcPr>
            <w:tcW w:w="24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w:t>
            </w:r>
          </w:p>
        </w:tc>
        <w:tc>
          <w:tcPr>
            <w:tcW w:w="2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Advanced Materials and Chemicals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5140" w:type="dxa"/>
            <w:vAlign w:val="bottom"/>
            <w:gridSpan w:val="3"/>
          </w:tcPr>
          <w:p>
            <w:pPr>
              <w:ind w:left="560"/>
              <w:spacing w:after="0" w:line="202" w:lineRule="exact"/>
              <w:rPr>
                <w:sz w:val="20"/>
                <w:szCs w:val="20"/>
                <w:color w:val="auto"/>
              </w:rPr>
            </w:pPr>
            <w:r>
              <w:rPr>
                <w:rFonts w:ascii="Arial" w:cs="Arial" w:eastAsia="Arial" w:hAnsi="Arial"/>
                <w:sz w:val="18"/>
                <w:szCs w:val="18"/>
                <w:color w:val="auto"/>
              </w:rPr>
              <w:t>Brand</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of reportable segments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60" w:type="dxa"/>
            <w:vAlign w:val="bottom"/>
            <w:gridSpan w:val="2"/>
          </w:tcPr>
          <w:p>
            <w:pPr>
              <w:spacing w:after="0" w:line="202" w:lineRule="exact"/>
              <w:rPr>
                <w:sz w:val="20"/>
                <w:szCs w:val="20"/>
                <w:color w:val="auto"/>
              </w:rPr>
            </w:pPr>
            <w:r>
              <w:rPr>
                <w:rFonts w:ascii="Arial" w:cs="Arial" w:eastAsia="Arial" w:hAnsi="Arial"/>
                <w:sz w:val="18"/>
                <w:szCs w:val="18"/>
                <w:color w:val="auto"/>
              </w:rPr>
              <w:t>All other</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6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24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2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 based compensation</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6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4"/>
                <w:szCs w:val="14"/>
                <w:color w:val="auto"/>
              </w:rPr>
              <w:t>(1)</w:t>
            </w:r>
          </w:p>
        </w:tc>
        <w:tc>
          <w:tcPr>
            <w:tcW w:w="24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w:t>
            </w:r>
          </w:p>
        </w:tc>
        <w:tc>
          <w:tcPr>
            <w:tcW w:w="2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Idle costs </w:t>
            </w:r>
            <w:r>
              <w:rPr>
                <w:rFonts w:ascii="Arial" w:cs="Arial" w:eastAsia="Arial" w:hAnsi="Arial"/>
                <w:sz w:val="14"/>
                <w:szCs w:val="14"/>
                <w:color w:val="auto"/>
              </w:rPr>
              <w:t>(2)</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6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Other operating (expense) income, net </w:t>
            </w:r>
            <w:r>
              <w:rPr>
                <w:rFonts w:ascii="Arial" w:cs="Arial" w:eastAsia="Arial" w:hAnsi="Arial"/>
                <w:sz w:val="14"/>
                <w:szCs w:val="14"/>
                <w:color w:val="auto"/>
              </w:rPr>
              <w:t>(3)</w:t>
            </w:r>
          </w:p>
        </w:tc>
        <w:tc>
          <w:tcPr>
            <w:tcW w:w="24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4"/>
                <w:szCs w:val="14"/>
                <w:color w:val="auto"/>
              </w:rPr>
              <w:t>(3)</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6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Pension income excluding service cost component </w:t>
            </w:r>
            <w:r>
              <w:rPr>
                <w:rFonts w:ascii="Arial" w:cs="Arial" w:eastAsia="Arial" w:hAnsi="Arial"/>
                <w:sz w:val="14"/>
                <w:szCs w:val="14"/>
                <w:color w:val="auto"/>
              </w:rPr>
              <w:t>(3)</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Other income (charges), net </w:t>
            </w:r>
            <w:r>
              <w:rPr>
                <w:rFonts w:ascii="Arial" w:cs="Arial" w:eastAsia="Arial" w:hAnsi="Arial"/>
                <w:sz w:val="14"/>
                <w:szCs w:val="14"/>
                <w:color w:val="auto"/>
              </w:rPr>
              <w:t>(3)</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0" w:type="dxa"/>
            <w:vAlign w:val="bottom"/>
            <w:vMerge w:val="continue"/>
          </w:tcPr>
          <w:p>
            <w:pPr>
              <w:spacing w:after="0"/>
              <w:rPr>
                <w:sz w:val="16"/>
                <w:szCs w:val="16"/>
                <w:color w:val="auto"/>
              </w:rPr>
            </w:pPr>
          </w:p>
        </w:tc>
        <w:tc>
          <w:tcPr>
            <w:tcW w:w="4560" w:type="dxa"/>
            <w:vAlign w:val="bottom"/>
            <w:gridSpan w:val="2"/>
          </w:tcPr>
          <w:p>
            <w:pPr>
              <w:spacing w:after="0" w:line="195" w:lineRule="exact"/>
              <w:rPr>
                <w:sz w:val="20"/>
                <w:szCs w:val="20"/>
                <w:color w:val="auto"/>
              </w:rPr>
            </w:pPr>
            <w:r>
              <w:rPr>
                <w:rFonts w:ascii="Arial" w:cs="Arial" w:eastAsia="Arial" w:hAnsi="Arial"/>
                <w:sz w:val="18"/>
                <w:szCs w:val="18"/>
                <w:color w:val="auto"/>
              </w:rPr>
              <w:t>Consolidated earnings from operations before income</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6"/>
                <w:szCs w:val="16"/>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6"/>
                <w:szCs w:val="16"/>
                <w:color w:val="auto"/>
              </w:rPr>
            </w:pPr>
          </w:p>
        </w:tc>
        <w:tc>
          <w:tcPr>
            <w:tcW w:w="4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6"/>
                <w:szCs w:val="16"/>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140" w:type="dxa"/>
            <w:vAlign w:val="bottom"/>
            <w:gridSpan w:val="3"/>
          </w:tcPr>
          <w:p>
            <w:pPr>
              <w:ind w:left="560"/>
              <w:spacing w:after="0" w:line="143" w:lineRule="exact"/>
              <w:rPr>
                <w:sz w:val="20"/>
                <w:szCs w:val="20"/>
                <w:color w:val="auto"/>
              </w:rPr>
            </w:pPr>
            <w:r>
              <w:rPr>
                <w:rFonts w:ascii="Arial" w:cs="Arial" w:eastAsia="Arial" w:hAnsi="Arial"/>
                <w:sz w:val="16"/>
                <w:szCs w:val="16"/>
                <w:color w:val="auto"/>
              </w:rPr>
              <w:t>taxes</w:t>
            </w:r>
          </w:p>
        </w:tc>
        <w:tc>
          <w:tcPr>
            <w:tcW w:w="2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1080" w:hanging="410"/>
        <w:spacing w:after="0" w:line="246" w:lineRule="auto"/>
        <w:tabs>
          <w:tab w:leader="none" w:pos="980" w:val="left"/>
        </w:tabs>
        <w:numPr>
          <w:ilvl w:val="0"/>
          <w:numId w:val="10"/>
        </w:numPr>
        <w:rPr>
          <w:rFonts w:ascii="Arial" w:cs="Arial" w:eastAsia="Arial" w:hAnsi="Arial"/>
          <w:sz w:val="15"/>
          <w:szCs w:val="15"/>
          <w:color w:val="auto"/>
        </w:rPr>
      </w:pPr>
      <w:r>
        <w:rPr>
          <w:rFonts w:ascii="Arial" w:cs="Arial" w:eastAsia="Arial" w:hAnsi="Arial"/>
          <w:sz w:val="18"/>
          <w:szCs w:val="18"/>
          <w:color w:val="auto"/>
        </w:rPr>
        <w:t>Consulting and other costs are primarily professional services and internal costs associated with certain corporate strategic initiatives, investigations and litigation.</w:t>
      </w:r>
    </w:p>
    <w:p>
      <w:pPr>
        <w:spacing w:after="0" w:line="223" w:lineRule="exact"/>
        <w:rPr>
          <w:rFonts w:ascii="Arial" w:cs="Arial" w:eastAsia="Arial" w:hAnsi="Arial"/>
          <w:sz w:val="15"/>
          <w:szCs w:val="15"/>
          <w:color w:val="auto"/>
        </w:rPr>
      </w:pPr>
    </w:p>
    <w:p>
      <w:pPr>
        <w:jc w:val="both"/>
        <w:ind w:left="980" w:right="580" w:hanging="410"/>
        <w:spacing w:after="0"/>
        <w:tabs>
          <w:tab w:leader="none" w:pos="980" w:val="left"/>
        </w:tabs>
        <w:numPr>
          <w:ilvl w:val="0"/>
          <w:numId w:val="10"/>
        </w:numPr>
        <w:rPr>
          <w:rFonts w:ascii="Arial" w:cs="Arial" w:eastAsia="Arial" w:hAnsi="Arial"/>
          <w:sz w:val="15"/>
          <w:szCs w:val="15"/>
          <w:color w:val="auto"/>
        </w:rPr>
      </w:pPr>
      <w:r>
        <w:rPr>
          <w:rFonts w:ascii="Arial" w:cs="Arial" w:eastAsia="Arial" w:hAnsi="Arial"/>
          <w:sz w:val="18"/>
          <w:szCs w:val="18"/>
          <w:color w:val="auto"/>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spacing w:after="0" w:line="229" w:lineRule="exact"/>
        <w:rPr>
          <w:rFonts w:ascii="Arial" w:cs="Arial" w:eastAsia="Arial" w:hAnsi="Arial"/>
          <w:sz w:val="15"/>
          <w:szCs w:val="15"/>
          <w:color w:val="auto"/>
        </w:rPr>
      </w:pPr>
    </w:p>
    <w:p>
      <w:pPr>
        <w:ind w:left="980" w:hanging="410"/>
        <w:spacing w:after="0"/>
        <w:tabs>
          <w:tab w:leader="none" w:pos="980" w:val="left"/>
        </w:tabs>
        <w:numPr>
          <w:ilvl w:val="0"/>
          <w:numId w:val="10"/>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Kodak decreased workers’ compensation reserves by approximately $5 million and $13 million in the three and nine months ended September 30, 2022, respectively, driven by changes in discount rates. The decrease in reserves in the three months ended September 30, 2022 impacted gross profit by approximately $3 million and research and development ("R&amp;D") expenses and selling, general and administrative ("SG&amp;A") expenses each by approximately $1 million. The decrease in reserves in the nine months ended September 30, 2022 impacted gross profit by approximately $8 million, R&amp;D expenses by $1 million and SG&amp;A expenses by approximately $4 million.</w:t>
      </w:r>
    </w:p>
    <w:p>
      <w:pPr>
        <w:spacing w:after="0" w:line="18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Kodak decreased workers’ compensation reserves by approximately $1 million and $4 million in the three and nine months ended September 30, 2021, respectively, driven by changes in discount rates. The decrease in reserves in the three and nine months ended September 30, 2021 impacted gross profit by approximately $1 million and $3 million, respectively. SG&amp;A expenses were not impacted in the three months ended September 30, 2021 and were impacted by approximately $1 million in the nine months ended September 30, 2021.</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Measure of Profit and Loss</w:t>
      </w:r>
    </w:p>
    <w:p>
      <w:pPr>
        <w:spacing w:after="0" w:line="18"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Kodak’s segment measure of profit and loss is an adjusted earnings before interest, taxes, depreciation and amortization (“Operational EBITDA”).</w:t>
      </w:r>
    </w:p>
    <w:p>
      <w:pPr>
        <w:spacing w:after="0" w:line="18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As demonstrated in the above table, Operational EBITDA represents the earnings from operations excluding the provision for income taxes; non-service cost components of pension and other postemployment benefits (“OPEB”) income; depreciation and amortization expense; restructuring costs and other; stock-based compensation expense; consulting and other costs; idle costs; other operating (expense) income, net (unless otherwise indicated); interest expense and other income (charges), net.</w:t>
      </w:r>
    </w:p>
    <w:p>
      <w:pPr>
        <w:spacing w:after="0" w:line="19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Kodak’s segments are measured using Operational EBITDA both before and after allocation of corporate SG&amp;A.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FINANCIAL INSTRUMENTS</w:t>
      </w:r>
    </w:p>
    <w:p>
      <w:pPr>
        <w:spacing w:after="0" w:line="22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not utilize financial instruments for trading or other speculative purposes.</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Kodak’s foreign currency forward contracts are not designated as hedges and are marked to market through net income at the same time that the exposed assets and liabilities are remeasured through net income (both in Other (income) charges, net in the Consolidated Statement of Operations). The notional amount of such contracts open at September 30, 2022 and December 31, 2021 was approximately $284 million and $322 million, respectively. The majority of the contracts of this type held by Kodak as of September 30, 2022 and December 31, 2021 are denominated in euros, Chinese renminbi and Japanese yen.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net effect of foreign currency forward contracts in the results of operations is shown in the following table:</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gridSpan w:val="4"/>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Nine Months Ended</w:t>
            </w:r>
          </w:p>
        </w:tc>
      </w:tr>
      <w:tr>
        <w:trPr>
          <w:trHeight w:val="225"/>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40" w:type="dxa"/>
            <w:vAlign w:val="bottom"/>
            <w:gridSpan w:val="4"/>
          </w:tcPr>
          <w:p>
            <w:pPr>
              <w:ind w:left="70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4260" w:type="dxa"/>
            <w:vAlign w:val="bottom"/>
            <w:gridSpan w:val="2"/>
          </w:tcPr>
          <w:p>
            <w:pPr>
              <w:spacing w:after="0" w:line="196" w:lineRule="exact"/>
              <w:rPr>
                <w:sz w:val="20"/>
                <w:szCs w:val="20"/>
                <w:color w:val="auto"/>
              </w:rPr>
            </w:pPr>
            <w:r>
              <w:rPr>
                <w:rFonts w:ascii="Arial" w:cs="Arial" w:eastAsia="Arial" w:hAnsi="Arial"/>
                <w:sz w:val="18"/>
                <w:szCs w:val="18"/>
                <w:color w:val="auto"/>
              </w:rPr>
              <w:t>(in millions)</w:t>
            </w:r>
          </w:p>
        </w:tc>
        <w:tc>
          <w:tcPr>
            <w:tcW w:w="320" w:type="dxa"/>
            <w:vAlign w:val="bottom"/>
          </w:tcPr>
          <w:p>
            <w:pPr>
              <w:spacing w:after="0"/>
              <w:rPr>
                <w:sz w:val="17"/>
                <w:szCs w:val="17"/>
                <w:color w:val="auto"/>
              </w:rPr>
            </w:pPr>
          </w:p>
        </w:tc>
        <w:tc>
          <w:tcPr>
            <w:tcW w:w="960" w:type="dxa"/>
            <w:vAlign w:val="bottom"/>
            <w:tcBorders>
              <w:top w:val="single" w:sz="8" w:color="auto"/>
            </w:tcBorders>
          </w:tcPr>
          <w:p>
            <w:pPr>
              <w:ind w:left="40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42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(gain) from derivatives not designated as</w:t>
            </w:r>
          </w:p>
        </w:tc>
        <w:tc>
          <w:tcPr>
            <w:tcW w:w="32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hedging instruments</w:t>
            </w:r>
          </w:p>
        </w:tc>
        <w:tc>
          <w:tcPr>
            <w:tcW w:w="1280" w:type="dxa"/>
            <w:vAlign w:val="bottom"/>
            <w:gridSpan w:val="2"/>
            <w:shd w:val="clear" w:color="auto" w:fill="CCEEFF"/>
          </w:tcPr>
          <w:p>
            <w:pPr>
              <w:jc w:val="right"/>
              <w:ind w:right="77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w:t>
            </w:r>
          </w:p>
        </w:tc>
        <w:tc>
          <w:tcPr>
            <w:tcW w:w="1120" w:type="dxa"/>
            <w:vAlign w:val="bottom"/>
            <w:gridSpan w:val="2"/>
            <w:shd w:val="clear" w:color="auto" w:fill="CCEEFF"/>
          </w:tcPr>
          <w:p>
            <w:pPr>
              <w:jc w:val="right"/>
              <w:ind w:right="820"/>
              <w:spacing w:after="0" w:line="203"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w:t>
            </w:r>
          </w:p>
        </w:tc>
        <w:tc>
          <w:tcPr>
            <w:tcW w:w="4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Kodak had no derivatives designated as hedging instruments for the three and nine months ended September 30, 2022 and 2021.</w:t>
      </w:r>
    </w:p>
    <w:p>
      <w:pPr>
        <w:spacing w:after="0" w:line="198"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In the event of a default under the Company’s Credit Agreements,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 concluded that the 2021 Convertible Notes are considered more akin to a debt-type instrument and that the economic characteristics and risks of certain of the embedded conversion features are not considered clearly and closely related to the Convertible Notes. The embedded conversion features not considered clearly and closely related are the conversion at the option of the holder (“Optional Conversion”), the mandatory conversion by Kodak (“Mandatory Conversion”) and the conversion in the event of a fundamental transaction by the holder at the then applicable conversion rate (“Fundamental Change”). Accordingly, these embedded conversion features were bifurcated from the Convertible Notes and separately accounted for on a combined basis as a single derivative asset or liability. The derivative was in a liability position at September 30, 2022 and December 31, 2021 and was reported in Other long-term liabilities in the Consolidated Statement of Financial Position. The derivative is being accounted for at fair value with changes in fair value included in Other (income) charges, net in the Consolidated Statement of Operations.</w:t>
      </w:r>
    </w:p>
    <w:p>
      <w:pPr>
        <w:spacing w:after="0" w:line="19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Company concluded that the Series B Preferred Stock and the Series C Preferred Stock are considered more akin to a debt-type instrument and that the economic characteristics and risks of the conversion in the event of a Fundamental Change is not considered clearly and closely related to the Series B and Series C Preferred Stock. Accordingly, this embedded conversion feature was bifurcated from both the Series B and Series C Preferred Stock and both are separately accounted for as a single derivative asset or liability. Both derivatives were in a liability position at September 30, 2022 and December 31, 2021 and were reported in Other long-term liabilities in the Consolidated Statement of Financial Position. The derivatives are being accounted for at fair value with changes in fair value included in Other (income) charges, net in the Consolidated Statement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and the gross fair value of foreign currency forward contracts in a liability position are reported in Other current liabilities in the Consolidated Statement of Financial Position. The gross fair value of forward contracts in an asset position as of both September 30, 2022 and December 31, 2021 was $0 million. The gross fair value of foreign currency forward contracts in a liability position as of September 30, 2022 and December 31, 2021 was $3 million and $0 million, respectively.</w:t>
      </w:r>
    </w:p>
    <w:p>
      <w:pPr>
        <w:spacing w:after="0" w:line="189"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Transfers between levels of the fair value hierarchy are recognized based on the actual date of the event or change in circumstances that caused the transfer. There were no transfers between levels of the fair value hierarchy during the three and nine months ended September 30, 2022.</w:t>
      </w:r>
    </w:p>
    <w:p>
      <w:pPr>
        <w:spacing w:after="0" w:line="1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fair value of the embedded conversion features derivatives was calculated using unobservable inputs (Level 3 fair measurements). The value of the embedded derivatives associated with the Convertible Notes and Series B and Series C Preferred Stock were calculated using a binomial lattice model.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key inputs in the determination of fair value for the embedded conversion features: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20" w:type="dxa"/>
            <w:vAlign w:val="bottom"/>
            <w:gridSpan w:val="2"/>
          </w:tcPr>
          <w:p>
            <w:pPr>
              <w:spacing w:after="0"/>
              <w:rPr>
                <w:sz w:val="20"/>
                <w:szCs w:val="20"/>
                <w:color w:val="auto"/>
              </w:rPr>
            </w:pPr>
            <w:r>
              <w:rPr>
                <w:rFonts w:ascii="Arial" w:cs="Arial" w:eastAsia="Arial" w:hAnsi="Arial"/>
                <w:sz w:val="18"/>
                <w:szCs w:val="18"/>
                <w:color w:val="auto"/>
              </w:rPr>
              <w:t>2021 Convertible Notes: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69"/>
        </w:trPr>
        <w:tc>
          <w:tcPr>
            <w:tcW w:w="11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7"/>
          </w:tcPr>
          <w:p>
            <w:pPr>
              <w:ind w:left="920"/>
              <w:spacing w:after="0"/>
              <w:rPr>
                <w:sz w:val="20"/>
                <w:szCs w:val="20"/>
                <w:color w:val="auto"/>
              </w:rPr>
            </w:pPr>
            <w:r>
              <w:rPr>
                <w:rFonts w:ascii="Arial" w:cs="Arial" w:eastAsia="Arial" w:hAnsi="Arial"/>
                <w:sz w:val="18"/>
                <w:szCs w:val="18"/>
                <w:b w:val="1"/>
                <w:bCs w:val="1"/>
                <w:color w:val="auto"/>
              </w:rPr>
              <w:t>Valuation Date</w:t>
            </w:r>
          </w:p>
        </w:tc>
      </w:tr>
      <w:tr>
        <w:trPr>
          <w:trHeight w:val="203"/>
        </w:trPr>
        <w:tc>
          <w:tcPr>
            <w:tcW w:w="11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jc w:val="center"/>
              <w:ind w:right="320"/>
              <w:spacing w:after="0" w:line="202" w:lineRule="exact"/>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December 31,</w:t>
            </w:r>
          </w:p>
        </w:tc>
      </w:tr>
      <w:tr>
        <w:trPr>
          <w:trHeight w:val="225"/>
        </w:trPr>
        <w:tc>
          <w:tcPr>
            <w:tcW w:w="1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55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value of embedded derivative liability ($ millions)</w:t>
            </w: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w:t>
            </w:r>
          </w:p>
        </w:tc>
        <w:tc>
          <w:tcPr>
            <w:tcW w:w="1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w:t>
            </w:r>
          </w:p>
        </w:tc>
      </w:tr>
      <w:tr>
        <w:trPr>
          <w:trHeight w:val="203"/>
        </w:trPr>
        <w:tc>
          <w:tcPr>
            <w:tcW w:w="1120" w:type="dxa"/>
            <w:vAlign w:val="bottom"/>
          </w:tcPr>
          <w:p>
            <w:pPr>
              <w:spacing w:after="0"/>
              <w:rPr>
                <w:sz w:val="17"/>
                <w:szCs w:val="17"/>
                <w:color w:val="auto"/>
              </w:rPr>
            </w:pPr>
          </w:p>
        </w:tc>
        <w:tc>
          <w:tcPr>
            <w:tcW w:w="5500" w:type="dxa"/>
            <w:vAlign w:val="bottom"/>
          </w:tcPr>
          <w:p>
            <w:pPr>
              <w:ind w:left="180"/>
              <w:spacing w:after="0" w:line="202" w:lineRule="exact"/>
              <w:rPr>
                <w:sz w:val="20"/>
                <w:szCs w:val="20"/>
                <w:color w:val="auto"/>
              </w:rPr>
            </w:pPr>
            <w:r>
              <w:rPr>
                <w:rFonts w:ascii="Arial" w:cs="Arial" w:eastAsia="Arial" w:hAnsi="Arial"/>
                <w:sz w:val="18"/>
                <w:szCs w:val="18"/>
                <w:color w:val="auto"/>
              </w:rPr>
              <w:t>Kodak's closing stock price</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4.59</w:t>
            </w:r>
          </w:p>
        </w:tc>
        <w:tc>
          <w:tcPr>
            <w:tcW w:w="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4.68</w:t>
            </w:r>
          </w:p>
        </w:tc>
      </w:tr>
      <w:tr>
        <w:trPr>
          <w:trHeight w:val="203"/>
        </w:trPr>
        <w:tc>
          <w:tcPr>
            <w:tcW w:w="1120" w:type="dxa"/>
            <w:vAlign w:val="bottom"/>
          </w:tcPr>
          <w:p>
            <w:pPr>
              <w:spacing w:after="0"/>
              <w:rPr>
                <w:sz w:val="17"/>
                <w:szCs w:val="17"/>
                <w:color w:val="auto"/>
              </w:rPr>
            </w:pPr>
          </w:p>
        </w:tc>
        <w:tc>
          <w:tcPr>
            <w:tcW w:w="5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Expected stock price volatility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36.00%</w:t>
            </w:r>
          </w:p>
        </w:tc>
      </w:tr>
      <w:tr>
        <w:trPr>
          <w:trHeight w:val="203"/>
        </w:trPr>
        <w:tc>
          <w:tcPr>
            <w:tcW w:w="1120" w:type="dxa"/>
            <w:vAlign w:val="bottom"/>
          </w:tcPr>
          <w:p>
            <w:pPr>
              <w:spacing w:after="0"/>
              <w:rPr>
                <w:sz w:val="17"/>
                <w:szCs w:val="17"/>
                <w:color w:val="auto"/>
              </w:rPr>
            </w:pPr>
          </w:p>
        </w:tc>
        <w:tc>
          <w:tcPr>
            <w:tcW w:w="5500" w:type="dxa"/>
            <w:vAlign w:val="bottom"/>
          </w:tcPr>
          <w:p>
            <w:pPr>
              <w:ind w:left="180"/>
              <w:spacing w:after="0" w:line="202" w:lineRule="exact"/>
              <w:rPr>
                <w:sz w:val="20"/>
                <w:szCs w:val="20"/>
                <w:color w:val="auto"/>
              </w:rPr>
            </w:pPr>
            <w:r>
              <w:rPr>
                <w:rFonts w:ascii="Arial" w:cs="Arial" w:eastAsia="Arial" w:hAnsi="Arial"/>
                <w:sz w:val="18"/>
                <w:szCs w:val="18"/>
                <w:color w:val="auto"/>
              </w:rPr>
              <w:t>Risk free rate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w:t>
            </w:r>
          </w:p>
        </w:tc>
      </w:tr>
      <w:tr>
        <w:trPr>
          <w:trHeight w:val="203"/>
        </w:trPr>
        <w:tc>
          <w:tcPr>
            <w:tcW w:w="1120" w:type="dxa"/>
            <w:vAlign w:val="bottom"/>
          </w:tcPr>
          <w:p>
            <w:pPr>
              <w:spacing w:after="0"/>
              <w:rPr>
                <w:sz w:val="17"/>
                <w:szCs w:val="17"/>
                <w:color w:val="auto"/>
              </w:rPr>
            </w:pPr>
          </w:p>
        </w:tc>
        <w:tc>
          <w:tcPr>
            <w:tcW w:w="5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Implied credit spread on the Convertible Notes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27.27%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18.89%</w:t>
            </w:r>
          </w:p>
        </w:tc>
      </w:tr>
      <w:tr>
        <w:trPr>
          <w:trHeight w:val="418"/>
        </w:trPr>
        <w:tc>
          <w:tcPr>
            <w:tcW w:w="6620" w:type="dxa"/>
            <w:vAlign w:val="bottom"/>
            <w:gridSpan w:val="2"/>
          </w:tcPr>
          <w:p>
            <w:pPr>
              <w:spacing w:after="0"/>
              <w:rPr>
                <w:sz w:val="20"/>
                <w:szCs w:val="20"/>
                <w:color w:val="auto"/>
              </w:rPr>
            </w:pPr>
            <w:r>
              <w:rPr>
                <w:rFonts w:ascii="Arial" w:cs="Arial" w:eastAsia="Arial" w:hAnsi="Arial"/>
                <w:sz w:val="18"/>
                <w:szCs w:val="18"/>
                <w:color w:val="auto"/>
              </w:rPr>
              <w:t>Series B Preferred Stock:</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9"/>
        </w:trPr>
        <w:tc>
          <w:tcPr>
            <w:tcW w:w="11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7"/>
          </w:tcPr>
          <w:p>
            <w:pPr>
              <w:ind w:left="920"/>
              <w:spacing w:after="0"/>
              <w:rPr>
                <w:sz w:val="20"/>
                <w:szCs w:val="20"/>
                <w:color w:val="auto"/>
              </w:rPr>
            </w:pPr>
            <w:r>
              <w:rPr>
                <w:rFonts w:ascii="Arial" w:cs="Arial" w:eastAsia="Arial" w:hAnsi="Arial"/>
                <w:sz w:val="18"/>
                <w:szCs w:val="18"/>
                <w:b w:val="1"/>
                <w:bCs w:val="1"/>
                <w:color w:val="auto"/>
              </w:rPr>
              <w:t>Valuation Date</w:t>
            </w:r>
          </w:p>
        </w:tc>
      </w:tr>
      <w:tr>
        <w:trPr>
          <w:trHeight w:val="203"/>
        </w:trPr>
        <w:tc>
          <w:tcPr>
            <w:tcW w:w="11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jc w:val="center"/>
              <w:ind w:right="320"/>
              <w:spacing w:after="0" w:line="202" w:lineRule="exact"/>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December 31,</w:t>
            </w:r>
          </w:p>
        </w:tc>
      </w:tr>
      <w:tr>
        <w:trPr>
          <w:trHeight w:val="225"/>
        </w:trPr>
        <w:tc>
          <w:tcPr>
            <w:tcW w:w="1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55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value of embedded derivative liability ($ millions)</w:t>
            </w: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w:t>
            </w:r>
          </w:p>
        </w:tc>
        <w:tc>
          <w:tcPr>
            <w:tcW w:w="1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w:t>
            </w:r>
          </w:p>
        </w:tc>
      </w:tr>
      <w:tr>
        <w:trPr>
          <w:trHeight w:val="203"/>
        </w:trPr>
        <w:tc>
          <w:tcPr>
            <w:tcW w:w="1120" w:type="dxa"/>
            <w:vAlign w:val="bottom"/>
          </w:tcPr>
          <w:p>
            <w:pPr>
              <w:spacing w:after="0"/>
              <w:rPr>
                <w:sz w:val="17"/>
                <w:szCs w:val="17"/>
                <w:color w:val="auto"/>
              </w:rPr>
            </w:pPr>
          </w:p>
        </w:tc>
        <w:tc>
          <w:tcPr>
            <w:tcW w:w="5500" w:type="dxa"/>
            <w:vAlign w:val="bottom"/>
          </w:tcPr>
          <w:p>
            <w:pPr>
              <w:ind w:left="180"/>
              <w:spacing w:after="0" w:line="202" w:lineRule="exact"/>
              <w:rPr>
                <w:sz w:val="20"/>
                <w:szCs w:val="20"/>
                <w:color w:val="auto"/>
              </w:rPr>
            </w:pPr>
            <w:r>
              <w:rPr>
                <w:rFonts w:ascii="Arial" w:cs="Arial" w:eastAsia="Arial" w:hAnsi="Arial"/>
                <w:sz w:val="18"/>
                <w:szCs w:val="18"/>
                <w:color w:val="auto"/>
              </w:rPr>
              <w:t>Kodak's closing stock price</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4.59</w:t>
            </w:r>
          </w:p>
        </w:tc>
        <w:tc>
          <w:tcPr>
            <w:tcW w:w="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4.68</w:t>
            </w:r>
          </w:p>
        </w:tc>
      </w:tr>
      <w:tr>
        <w:trPr>
          <w:trHeight w:val="203"/>
        </w:trPr>
        <w:tc>
          <w:tcPr>
            <w:tcW w:w="1120" w:type="dxa"/>
            <w:vAlign w:val="bottom"/>
          </w:tcPr>
          <w:p>
            <w:pPr>
              <w:spacing w:after="0"/>
              <w:rPr>
                <w:sz w:val="17"/>
                <w:szCs w:val="17"/>
                <w:color w:val="auto"/>
              </w:rPr>
            </w:pPr>
          </w:p>
        </w:tc>
        <w:tc>
          <w:tcPr>
            <w:tcW w:w="5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Expected stock price volatility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36.00%</w:t>
            </w:r>
          </w:p>
        </w:tc>
      </w:tr>
      <w:tr>
        <w:trPr>
          <w:trHeight w:val="203"/>
        </w:trPr>
        <w:tc>
          <w:tcPr>
            <w:tcW w:w="1120" w:type="dxa"/>
            <w:vAlign w:val="bottom"/>
          </w:tcPr>
          <w:p>
            <w:pPr>
              <w:spacing w:after="0"/>
              <w:rPr>
                <w:sz w:val="17"/>
                <w:szCs w:val="17"/>
                <w:color w:val="auto"/>
              </w:rPr>
            </w:pPr>
          </w:p>
        </w:tc>
        <w:tc>
          <w:tcPr>
            <w:tcW w:w="5500" w:type="dxa"/>
            <w:vAlign w:val="bottom"/>
          </w:tcPr>
          <w:p>
            <w:pPr>
              <w:ind w:left="180"/>
              <w:spacing w:after="0" w:line="202" w:lineRule="exact"/>
              <w:rPr>
                <w:sz w:val="20"/>
                <w:szCs w:val="20"/>
                <w:color w:val="auto"/>
              </w:rPr>
            </w:pPr>
            <w:r>
              <w:rPr>
                <w:rFonts w:ascii="Arial" w:cs="Arial" w:eastAsia="Arial" w:hAnsi="Arial"/>
                <w:sz w:val="18"/>
                <w:szCs w:val="18"/>
                <w:color w:val="auto"/>
              </w:rPr>
              <w:t>Risk free rate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w:t>
            </w:r>
          </w:p>
        </w:tc>
      </w:tr>
      <w:tr>
        <w:trPr>
          <w:trHeight w:val="203"/>
        </w:trPr>
        <w:tc>
          <w:tcPr>
            <w:tcW w:w="1120" w:type="dxa"/>
            <w:vAlign w:val="bottom"/>
          </w:tcPr>
          <w:p>
            <w:pPr>
              <w:spacing w:after="0"/>
              <w:rPr>
                <w:sz w:val="17"/>
                <w:szCs w:val="17"/>
                <w:color w:val="auto"/>
              </w:rPr>
            </w:pPr>
          </w:p>
        </w:tc>
        <w:tc>
          <w:tcPr>
            <w:tcW w:w="5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Implied credit spread on the preferred stock</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28.27%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19.39%</w:t>
            </w:r>
          </w:p>
        </w:tc>
      </w:tr>
      <w:tr>
        <w:trPr>
          <w:trHeight w:val="418"/>
        </w:trPr>
        <w:tc>
          <w:tcPr>
            <w:tcW w:w="6620" w:type="dxa"/>
            <w:vAlign w:val="bottom"/>
            <w:gridSpan w:val="2"/>
          </w:tcPr>
          <w:p>
            <w:pPr>
              <w:spacing w:after="0"/>
              <w:rPr>
                <w:sz w:val="20"/>
                <w:szCs w:val="20"/>
                <w:color w:val="auto"/>
              </w:rPr>
            </w:pPr>
            <w:r>
              <w:rPr>
                <w:rFonts w:ascii="Arial" w:cs="Arial" w:eastAsia="Arial" w:hAnsi="Arial"/>
                <w:sz w:val="18"/>
                <w:szCs w:val="18"/>
                <w:color w:val="auto"/>
              </w:rPr>
              <w:t>Series C Preferred Stock:</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9"/>
        </w:trPr>
        <w:tc>
          <w:tcPr>
            <w:tcW w:w="11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7"/>
          </w:tcPr>
          <w:p>
            <w:pPr>
              <w:ind w:left="900"/>
              <w:spacing w:after="0"/>
              <w:rPr>
                <w:sz w:val="20"/>
                <w:szCs w:val="20"/>
                <w:color w:val="auto"/>
              </w:rPr>
            </w:pPr>
            <w:r>
              <w:rPr>
                <w:rFonts w:ascii="Arial" w:cs="Arial" w:eastAsia="Arial" w:hAnsi="Arial"/>
                <w:sz w:val="18"/>
                <w:szCs w:val="18"/>
                <w:b w:val="1"/>
                <w:bCs w:val="1"/>
                <w:color w:val="auto"/>
              </w:rPr>
              <w:t>Valuation Date</w:t>
            </w:r>
          </w:p>
        </w:tc>
      </w:tr>
      <w:tr>
        <w:trPr>
          <w:trHeight w:val="203"/>
        </w:trPr>
        <w:tc>
          <w:tcPr>
            <w:tcW w:w="11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jc w:val="center"/>
              <w:ind w:right="360"/>
              <w:spacing w:after="0" w:line="202" w:lineRule="exact"/>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December 31,</w:t>
            </w:r>
          </w:p>
        </w:tc>
      </w:tr>
      <w:tr>
        <w:trPr>
          <w:trHeight w:val="225"/>
        </w:trPr>
        <w:tc>
          <w:tcPr>
            <w:tcW w:w="1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55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value of embedded derivative liability ($ millions)</w:t>
            </w:r>
          </w:p>
        </w:tc>
        <w:tc>
          <w:tcPr>
            <w:tcW w:w="1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w:t>
            </w:r>
          </w:p>
        </w:tc>
      </w:tr>
      <w:tr>
        <w:trPr>
          <w:trHeight w:val="203"/>
        </w:trPr>
        <w:tc>
          <w:tcPr>
            <w:tcW w:w="1120" w:type="dxa"/>
            <w:vAlign w:val="bottom"/>
          </w:tcPr>
          <w:p>
            <w:pPr>
              <w:spacing w:after="0"/>
              <w:rPr>
                <w:sz w:val="17"/>
                <w:szCs w:val="17"/>
                <w:color w:val="auto"/>
              </w:rPr>
            </w:pPr>
          </w:p>
        </w:tc>
        <w:tc>
          <w:tcPr>
            <w:tcW w:w="5500" w:type="dxa"/>
            <w:vAlign w:val="bottom"/>
          </w:tcPr>
          <w:p>
            <w:pPr>
              <w:ind w:left="180"/>
              <w:spacing w:after="0" w:line="202" w:lineRule="exact"/>
              <w:rPr>
                <w:sz w:val="20"/>
                <w:szCs w:val="20"/>
                <w:color w:val="auto"/>
              </w:rPr>
            </w:pPr>
            <w:r>
              <w:rPr>
                <w:rFonts w:ascii="Arial" w:cs="Arial" w:eastAsia="Arial" w:hAnsi="Arial"/>
                <w:sz w:val="18"/>
                <w:szCs w:val="18"/>
                <w:color w:val="auto"/>
              </w:rPr>
              <w:t>Kodak's closing stock price</w:t>
            </w:r>
          </w:p>
        </w:tc>
        <w:tc>
          <w:tcPr>
            <w:tcW w:w="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4.59</w:t>
            </w:r>
          </w:p>
        </w:tc>
        <w:tc>
          <w:tcPr>
            <w:tcW w:w="220" w:type="dxa"/>
            <w:vAlign w:val="bottom"/>
          </w:tcPr>
          <w:p>
            <w:pPr>
              <w:spacing w:after="0"/>
              <w:rPr>
                <w:sz w:val="17"/>
                <w:szCs w:val="17"/>
                <w:color w:val="auto"/>
              </w:rPr>
            </w:pPr>
          </w:p>
        </w:tc>
        <w:tc>
          <w:tcPr>
            <w:tcW w:w="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4.68</w:t>
            </w:r>
          </w:p>
        </w:tc>
      </w:tr>
      <w:tr>
        <w:trPr>
          <w:trHeight w:val="203"/>
        </w:trPr>
        <w:tc>
          <w:tcPr>
            <w:tcW w:w="1120" w:type="dxa"/>
            <w:vAlign w:val="bottom"/>
          </w:tcPr>
          <w:p>
            <w:pPr>
              <w:spacing w:after="0"/>
              <w:rPr>
                <w:sz w:val="17"/>
                <w:szCs w:val="17"/>
                <w:color w:val="auto"/>
              </w:rPr>
            </w:pPr>
          </w:p>
        </w:tc>
        <w:tc>
          <w:tcPr>
            <w:tcW w:w="5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Expected stock price volatility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36.00%</w:t>
            </w:r>
          </w:p>
        </w:tc>
      </w:tr>
      <w:tr>
        <w:trPr>
          <w:trHeight w:val="203"/>
        </w:trPr>
        <w:tc>
          <w:tcPr>
            <w:tcW w:w="1120" w:type="dxa"/>
            <w:vAlign w:val="bottom"/>
          </w:tcPr>
          <w:p>
            <w:pPr>
              <w:spacing w:after="0"/>
              <w:rPr>
                <w:sz w:val="17"/>
                <w:szCs w:val="17"/>
                <w:color w:val="auto"/>
              </w:rPr>
            </w:pPr>
          </w:p>
        </w:tc>
        <w:tc>
          <w:tcPr>
            <w:tcW w:w="5500" w:type="dxa"/>
            <w:vAlign w:val="bottom"/>
          </w:tcPr>
          <w:p>
            <w:pPr>
              <w:ind w:left="180"/>
              <w:spacing w:after="0" w:line="202" w:lineRule="exact"/>
              <w:rPr>
                <w:sz w:val="20"/>
                <w:szCs w:val="20"/>
                <w:color w:val="auto"/>
              </w:rPr>
            </w:pPr>
            <w:r>
              <w:rPr>
                <w:rFonts w:ascii="Arial" w:cs="Arial" w:eastAsia="Arial" w:hAnsi="Arial"/>
                <w:sz w:val="18"/>
                <w:szCs w:val="18"/>
                <w:color w:val="auto"/>
              </w:rPr>
              <w:t>Risk free rate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w:t>
            </w:r>
          </w:p>
        </w:tc>
      </w:tr>
      <w:tr>
        <w:trPr>
          <w:trHeight w:val="203"/>
        </w:trPr>
        <w:tc>
          <w:tcPr>
            <w:tcW w:w="1120" w:type="dxa"/>
            <w:vAlign w:val="bottom"/>
          </w:tcPr>
          <w:p>
            <w:pPr>
              <w:spacing w:after="0"/>
              <w:rPr>
                <w:sz w:val="17"/>
                <w:szCs w:val="17"/>
                <w:color w:val="auto"/>
              </w:rPr>
            </w:pPr>
          </w:p>
        </w:tc>
        <w:tc>
          <w:tcPr>
            <w:tcW w:w="5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Implied credit spread on the preferred stock</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30.27%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21.39%</w:t>
            </w:r>
          </w:p>
        </w:tc>
      </w:tr>
    </w:tbl>
    <w:p>
      <w:pPr>
        <w:spacing w:after="0" w:line="20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Fundamental Change values at issuance were calculated as the difference between the total value of the Convertible Notes, Series B or Series C Preferred Stock, as applicable, and the sum of the net present value of the cash flows if the Convertible Notes are repaid at their maturity date or Series B and Series C Preferred Stock are redeemed on their redemption date and the values of the other embedded derivatives. The Fundamental Change values reduce the value of the embedded conversion features derivative liability. Other than events that alter the likelihood of a fundamental change or reorganization event, the value of the Fundamental Change reflects the value as of the issuance date, amortized for the passage of time.</w:t>
      </w:r>
    </w:p>
    <w:p>
      <w:pPr>
        <w:spacing w:after="0" w:line="19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fair values of long-term debt (Level 2 fair value measurements) are determined by reference to quoted market prices of similar instruments, if available, or by pricing models based on the value of related cash flows discounted at current market interest rates. The fair values of long-term borrowings were $262 million and $269 million at September 30, 2022 and December 31, 2021, respectively. The carrying values of cash and cash equivalents, restricted cash and the current portion of long-term debt approximate their fair values at both September 30, 2022 and December 31, 2021.</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19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auto"/>
        </w:rPr>
        <w:t>CAUTIONARY STATEMENT PURSUANT TO SAFE HARBOR PROVISIONS OF THE PRIVATE SECURITIES LITIGATION REFORM ACT OF 1995</w:t>
      </w:r>
    </w:p>
    <w:p>
      <w:pPr>
        <w:spacing w:after="0" w:line="16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This report on Form 10-Q includes “forward–looking statements” as that term is defined under the Private Securities Litigation Reform Act of 1995.</w:t>
      </w:r>
    </w:p>
    <w:p>
      <w:pPr>
        <w:spacing w:after="0" w:line="18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words and expressions, as well as statements that do not relate strictly to historical or current facts, are intended to identify forward–looking statements. All forward–looking statements, including management’s examination of historical operating trends and data, are based upon Kodak’s current expectations and assumptions. Forward-looking statements are subject to risks, uncertainties and other factors that could cause actual results to differ materially from historical results or those expressed in or implied by such forward-looking statements. Important factors that could cause actual events or results to differ materially from the forward-looking statements include, among others, the risks and uncertainties described in more detail in the Company’s Annual Report on Form 10–K for the year ended December 31, 2021 under the headings “Business,” “Risk Factors,” “Legal Proceedings,” and/or “Management’s Discussion and Analysis of Financial Condition and Results of Operations–Liquidity and Capital Resources,” in the corresponding sections of this report on Form 10-Q and the Company’s quarterly reports on Form 10-Q for the quarters ended March 31, 2022 and June 30, 2022, and in other filings the Company makes with the SEC from time to time, as well as the following:</w:t>
      </w:r>
    </w:p>
    <w:p>
      <w:pPr>
        <w:spacing w:after="0" w:line="20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Kodak’s ability to improve and sustain its operating structure, cash flow, profitability and other financial results;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Kodak’s ability to achieve strategic objectives, cash forecasts, financial projections, and projected growth;</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Kodak’s ability to achieve the financial and operational results contained in its business plans;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Kodak’s ability to comply with the covenants in its various credit facilities;</w:t>
      </w:r>
    </w:p>
    <w:p>
      <w:pPr>
        <w:spacing w:after="0" w:line="211" w:lineRule="exact"/>
        <w:rPr>
          <w:rFonts w:ascii="Arial" w:cs="Arial" w:eastAsia="Arial" w:hAnsi="Arial"/>
          <w:sz w:val="18"/>
          <w:szCs w:val="18"/>
          <w:color w:val="auto"/>
        </w:rPr>
      </w:pPr>
    </w:p>
    <w:p>
      <w:pPr>
        <w:ind w:left="660" w:right="120" w:hanging="328"/>
        <w:spacing w:after="0" w:line="24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Kodak’s ability to fund continued investments, capital needs and restructuring payments and service its debt and Series B Preferred Stock and Series C Preferred Stock;</w:t>
      </w:r>
    </w:p>
    <w:p>
      <w:pPr>
        <w:spacing w:after="0" w:line="196" w:lineRule="exact"/>
        <w:rPr>
          <w:rFonts w:ascii="Arial" w:cs="Arial" w:eastAsia="Arial" w:hAnsi="Arial"/>
          <w:sz w:val="18"/>
          <w:szCs w:val="18"/>
          <w:color w:val="auto"/>
        </w:rPr>
      </w:pPr>
    </w:p>
    <w:p>
      <w:pPr>
        <w:ind w:left="660" w:right="2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the global economic environment, including inflationary pressures, or medical epidemics such as the COVID-19 pandemic, including the restrictions and other actions taken in response to the COVID-19 pandemic, and Kodak’s ability to effectively mitigate associated increased costs of materials, labor, shipping and operations, and fluctuations in demand;</w:t>
      </w:r>
    </w:p>
    <w:p>
      <w:pPr>
        <w:spacing w:after="0" w:line="202" w:lineRule="exact"/>
        <w:rPr>
          <w:rFonts w:ascii="Arial" w:cs="Arial" w:eastAsia="Arial" w:hAnsi="Arial"/>
          <w:sz w:val="18"/>
          <w:szCs w:val="18"/>
          <w:color w:val="auto"/>
        </w:rPr>
      </w:pPr>
    </w:p>
    <w:p>
      <w:pPr>
        <w:ind w:left="660" w:right="30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performance by third parties of their obligations to supply products, components or services to Kodak and Kodak’s ability to address supply chain disruptions and continue to obtain raw materials and components available from single or limited sources of supply, which may be adversely affected by the COVID-19 pandemic;</w:t>
      </w:r>
    </w:p>
    <w:p>
      <w:pPr>
        <w:spacing w:after="0" w:line="202" w:lineRule="exact"/>
        <w:rPr>
          <w:rFonts w:ascii="Arial" w:cs="Arial" w:eastAsia="Arial" w:hAnsi="Arial"/>
          <w:sz w:val="18"/>
          <w:szCs w:val="18"/>
          <w:color w:val="auto"/>
        </w:rPr>
      </w:pPr>
    </w:p>
    <w:p>
      <w:pPr>
        <w:ind w:left="660" w:right="200" w:hanging="328"/>
        <w:spacing w:after="0" w:line="24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impacts of the war in Ukraine and the international response thereto on Kodak’s business and operations, including the cost of and availability of aluminum and other raw materials and components, shipping costs, transit times and energy costs;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foreign currency exchange rates, commodity prices, interest rates and tariff rates;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left="660" w:right="140" w:hanging="328"/>
        <w:spacing w:after="0" w:line="23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sufficient availability of borrowings and letters of credit under the Amended ABL Credit Agreement and L/C Facility Agreement, Kodak’s ability to obtain additional or alternate financing if and as needed, Kodak’s continued ability to manage world-wide cash through inter-company loans, distributions and other mechanisms, and Kodak's ability to provide or facilitate financing for its customers;</w:t>
      </w:r>
    </w:p>
    <w:p>
      <w:pPr>
        <w:spacing w:after="0" w:line="204" w:lineRule="exact"/>
        <w:rPr>
          <w:rFonts w:ascii="Arial" w:cs="Arial" w:eastAsia="Arial" w:hAnsi="Arial"/>
          <w:sz w:val="18"/>
          <w:szCs w:val="18"/>
          <w:color w:val="auto"/>
        </w:rPr>
      </w:pPr>
    </w:p>
    <w:p>
      <w:pPr>
        <w:ind w:left="660" w:right="220" w:hanging="328"/>
        <w:spacing w:after="0" w:line="206" w:lineRule="exact"/>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investigations, litigation and claims arising out of the circumstances surrounding the announcement on July 28, 2020, by the U.S. International Development Finance Corporation of the signing of a non</w:t>
      </w:r>
      <w:r>
        <w:rPr>
          <w:rFonts w:ascii="MS PGothic" w:cs="MS PGothic" w:eastAsia="MS PGothic" w:hAnsi="MS PGothic"/>
          <w:sz w:val="18"/>
          <w:szCs w:val="18"/>
          <w:color w:val="auto"/>
        </w:rPr>
        <w:t>‐</w:t>
      </w:r>
      <w:r>
        <w:rPr>
          <w:rFonts w:ascii="Arial" w:cs="Arial" w:eastAsia="Arial" w:hAnsi="Arial"/>
          <w:sz w:val="18"/>
          <w:szCs w:val="18"/>
          <w:color w:val="auto"/>
        </w:rPr>
        <w:t>binding letter of interest to provide a subsidiary of Kodak with a potential loan to support the launch of an initiative for the manufacture of pharmaceutical ingredients for essential generic drugs;</w:t>
      </w:r>
    </w:p>
    <w:p>
      <w:pPr>
        <w:spacing w:after="0" w:line="204" w:lineRule="exact"/>
        <w:rPr>
          <w:rFonts w:ascii="Arial" w:cs="Arial" w:eastAsia="Arial" w:hAnsi="Arial"/>
          <w:sz w:val="18"/>
          <w:szCs w:val="18"/>
          <w:color w:val="auto"/>
        </w:rPr>
      </w:pPr>
    </w:p>
    <w:p>
      <w:pPr>
        <w:ind w:left="660" w:right="8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effectively anticipate technology and industry trends and develop and market new products, solutions and technologies, including products based on its technology and expertise that relate to industries in which it does not currently conduct material business;</w:t>
      </w:r>
    </w:p>
    <w:p>
      <w:pPr>
        <w:spacing w:after="0" w:line="18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effectively compete with large, well-financed industry participants;</w:t>
      </w:r>
    </w:p>
    <w:p>
      <w:pPr>
        <w:spacing w:after="0" w:line="211" w:lineRule="exact"/>
        <w:rPr>
          <w:rFonts w:ascii="Arial" w:cs="Arial" w:eastAsia="Arial" w:hAnsi="Arial"/>
          <w:sz w:val="18"/>
          <w:szCs w:val="18"/>
          <w:color w:val="auto"/>
        </w:rPr>
      </w:pPr>
    </w:p>
    <w:p>
      <w:pPr>
        <w:ind w:left="660" w:right="760" w:hanging="328"/>
        <w:spacing w:after="0" w:line="24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effect strategic transactions, such as investments, acquisitions, strategic alliances, divestitures and similar transactions, or to achieve the benefits sought to be achieved from such strategic transactions; and</w:t>
      </w:r>
    </w:p>
    <w:p>
      <w:pPr>
        <w:spacing w:after="0" w:line="196" w:lineRule="exact"/>
        <w:rPr>
          <w:rFonts w:ascii="Arial" w:cs="Arial" w:eastAsia="Arial" w:hAnsi="Arial"/>
          <w:sz w:val="18"/>
          <w:szCs w:val="18"/>
          <w:color w:val="auto"/>
        </w:rPr>
      </w:pPr>
    </w:p>
    <w:p>
      <w:pPr>
        <w:ind w:left="660" w:right="460" w:hanging="328"/>
        <w:spacing w:after="0" w:line="210" w:lineRule="exact"/>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impact of force majeure events, cyber</w:t>
      </w:r>
      <w:r>
        <w:rPr>
          <w:rFonts w:ascii="MS PGothic" w:cs="MS PGothic" w:eastAsia="MS PGothic" w:hAnsi="MS PGothic"/>
          <w:sz w:val="18"/>
          <w:szCs w:val="18"/>
          <w:color w:val="auto"/>
        </w:rPr>
        <w:t>‐</w:t>
      </w:r>
      <w:r>
        <w:rPr>
          <w:rFonts w:ascii="Arial" w:cs="Arial" w:eastAsia="Arial" w:hAnsi="Arial"/>
          <w:sz w:val="18"/>
          <w:szCs w:val="18"/>
          <w:color w:val="auto"/>
        </w:rPr>
        <w:t>attacks or other data security incidents that could disrupt or otherwise harm Kodak’s operations.</w:t>
      </w:r>
    </w:p>
    <w:p>
      <w:pPr>
        <w:spacing w:after="0" w:line="188"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Future events and other factors may cause Kodak’s actual results to differ materially from the forward–looking statements. All forward– looking statements attributable to Kodak or persons acting on its behalf apply only as of the date of this report on Form 10-Q and are expressly qualified in their entirety by the cautionary statements included or referenced in this document.</w:t>
      </w:r>
    </w:p>
    <w:p>
      <w:pPr>
        <w:spacing w:after="0" w:line="189"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Kodak undertakes no obligation to update or revise forward–looking statements to reflect events or circumstances that arise after the date made or to reflect the occurrence of unanticipated events, except as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Kodak is a global manufacturer focused on commercial print and advanced materials and chemicals. Kodak provides industry-leading hardware, software, consumables and services primarily to customers in commercial print, packaging, publishing, manufacturing and entertainment. With 31,000 patents earned over 130 years of R&amp;D, Kodak believes in the power of technology and science to enhance what the world sees and creates. Kodak’s innovative, award-winning products, combined with its customer-first approach, allows Kodak to attract customers worldwide. Kodak is committed to environmental stewardship, including industry leadership in developing sustainable solutions for print.</w:t>
      </w:r>
    </w:p>
    <w:p>
      <w:pPr>
        <w:spacing w:after="0" w:line="191"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Consolidated revenues in the three and nine months ended September 30, 2022 were $289 million and $900 million, respectively, improvements of $2 million (1%) and $57 million (7%) when compared to the three and nine months ended September 30, 2021, respectively. Currency impacted revenue unfavorably in the three and nine months ended September 30, 2022 compared to the three and nine months ended September 30, 2021 ($22 million and $51 million, respectively).</w:t>
      </w:r>
    </w:p>
    <w:p>
      <w:pPr>
        <w:spacing w:after="0" w:line="19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Traditional Printing’s revenues, which accounted for 58% and 59% of Kodak’s total revenues for the three and nine months ended September 30, 2022, respectively, improved by $3 million (2%) and $52 million (11%) compared to the prior year quarter and year-to-date periods, respectively. For the three months ended September 30, 2022, volume for SONORA Process Free Plates declined by 10% compared to the prior year period due to a slowdown in demand in the current year quarter as a result of global economic conditions. For the nine months ended September 30, 2022, volume for SONORA Process Free Plates increased by 6% compared to the prior year period. Digital Printing revenues declined $ 3 million (5%) and $15 million (8%) in the three and nine months ended September 30, 2022, respectively, while Advanced Materials and Chemicals revenue improved $3 million (5%) and $18 million (12%), respectively.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Impact of COVID</w:t>
      </w:r>
      <w:r>
        <w:rPr>
          <w:rFonts w:ascii="MS PGothic" w:cs="MS PGothic" w:eastAsia="MS PGothic" w:hAnsi="MS PGothic"/>
          <w:sz w:val="18"/>
          <w:szCs w:val="18"/>
          <w:color w:val="auto"/>
        </w:rPr>
        <w:t>‐</w:t>
      </w:r>
      <w:r>
        <w:rPr>
          <w:rFonts w:ascii="Arial" w:cs="Arial" w:eastAsia="Arial" w:hAnsi="Arial"/>
          <w:sz w:val="18"/>
          <w:szCs w:val="18"/>
          <w:b w:val="1"/>
          <w:bCs w:val="1"/>
          <w:color w:val="auto"/>
        </w:rPr>
        <w:t>19 and Other Global Events</w:t>
      </w:r>
      <w:r>
        <w:rPr>
          <w:rFonts w:ascii="Arial" w:cs="Arial" w:eastAsia="Arial" w:hAnsi="Arial"/>
          <w:sz w:val="18"/>
          <w:szCs w:val="18"/>
          <w:b w:val="1"/>
          <w:bCs w:val="1"/>
          <w:i w:val="1"/>
          <w:iCs w:val="1"/>
          <w:color w:val="auto"/>
        </w:rPr>
        <w:t>:</w:t>
      </w:r>
    </w:p>
    <w:p>
      <w:pPr>
        <w:spacing w:after="0" w:line="18" w:lineRule="exact"/>
        <w:rPr>
          <w:sz w:val="20"/>
          <w:szCs w:val="20"/>
          <w:color w:val="auto"/>
        </w:rPr>
      </w:pPr>
    </w:p>
    <w:p>
      <w:pPr>
        <w:ind w:right="20"/>
        <w:spacing w:after="0" w:line="206" w:lineRule="exact"/>
        <w:rPr>
          <w:sz w:val="20"/>
          <w:szCs w:val="20"/>
          <w:color w:val="auto"/>
        </w:rPr>
      </w:pPr>
      <w:r>
        <w:rPr>
          <w:rFonts w:ascii="Arial" w:cs="Arial" w:eastAsia="Arial" w:hAnsi="Arial"/>
          <w:sz w:val="18"/>
          <w:szCs w:val="18"/>
          <w:color w:val="auto"/>
        </w:rPr>
        <w:t>Kodak's products are sold and serviced in numerous countries across the globe with more than half of sales generated outside the U.S. Current global economic conditions remain highly volatile due to the ongoing COVID</w:t>
      </w:r>
      <w:r>
        <w:rPr>
          <w:rFonts w:ascii="MS PGothic" w:cs="MS PGothic" w:eastAsia="MS PGothic" w:hAnsi="MS PGothic"/>
          <w:sz w:val="18"/>
          <w:szCs w:val="18"/>
          <w:color w:val="auto"/>
        </w:rPr>
        <w:t>‐</w:t>
      </w:r>
      <w:r>
        <w:rPr>
          <w:rFonts w:ascii="Arial" w:cs="Arial" w:eastAsia="Arial" w:hAnsi="Arial"/>
          <w:sz w:val="18"/>
          <w:szCs w:val="18"/>
          <w:color w:val="auto"/>
        </w:rPr>
        <w:t>19 pandemic, heightened levels of inflation, unfavorable foreign exchange rates, the war in Ukraine, and other global events which impact Kodak’s operations. Kodak is experiencing supply chain disruptions, shortages in materials and labor, and increased labor, material and distribution costs as well as volume declines for certain businesses.</w:t>
      </w:r>
    </w:p>
    <w:p>
      <w:pPr>
        <w:spacing w:after="0" w:line="189" w:lineRule="exact"/>
        <w:rPr>
          <w:sz w:val="20"/>
          <w:szCs w:val="20"/>
          <w:color w:val="auto"/>
        </w:rPr>
      </w:pPr>
    </w:p>
    <w:p>
      <w:pPr>
        <w:ind w:right="60"/>
        <w:spacing w:after="0" w:line="206" w:lineRule="exact"/>
        <w:rPr>
          <w:sz w:val="20"/>
          <w:szCs w:val="20"/>
          <w:color w:val="auto"/>
        </w:rPr>
      </w:pPr>
      <w:r>
        <w:rPr>
          <w:rFonts w:ascii="Arial" w:cs="Arial" w:eastAsia="Arial" w:hAnsi="Arial"/>
          <w:sz w:val="18"/>
          <w:szCs w:val="18"/>
          <w:color w:val="auto"/>
        </w:rPr>
        <w:t>Kodak has implemented numerous measures to mitigate the challenges associated with supply chain disruptions and shortages in materials, including increasing safety stock on certain materials, increasing lead</w:t>
      </w:r>
      <w:r>
        <w:rPr>
          <w:rFonts w:ascii="MS PGothic" w:cs="MS PGothic" w:eastAsia="MS PGothic" w:hAnsi="MS PGothic"/>
          <w:sz w:val="18"/>
          <w:szCs w:val="18"/>
          <w:color w:val="auto"/>
        </w:rPr>
        <w:t>‐</w:t>
      </w:r>
      <w:r>
        <w:rPr>
          <w:rFonts w:ascii="Arial" w:cs="Arial" w:eastAsia="Arial" w:hAnsi="Arial"/>
          <w:sz w:val="18"/>
          <w:szCs w:val="18"/>
          <w:color w:val="auto"/>
        </w:rPr>
        <w:t>times, providing suppliers with longer forecasts of future demand and certifying additional sources or substitute materials where possible. These measures have enabled Kodak to largely meet current demand. Kodak has also implemented various pricing actions in response to increased labor, material and distribution costs.</w:t>
      </w:r>
    </w:p>
    <w:p>
      <w:pPr>
        <w:spacing w:after="0" w:line="191" w:lineRule="exact"/>
        <w:rPr>
          <w:sz w:val="20"/>
          <w:szCs w:val="20"/>
          <w:color w:val="auto"/>
        </w:rPr>
      </w:pPr>
    </w:p>
    <w:p>
      <w:pPr>
        <w:ind w:right="220"/>
        <w:spacing w:after="0" w:line="205" w:lineRule="exact"/>
        <w:rPr>
          <w:sz w:val="20"/>
          <w:szCs w:val="20"/>
          <w:color w:val="auto"/>
        </w:rPr>
      </w:pPr>
      <w:r>
        <w:rPr>
          <w:rFonts w:ascii="Arial" w:cs="Arial" w:eastAsia="Arial" w:hAnsi="Arial"/>
          <w:sz w:val="18"/>
          <w:szCs w:val="18"/>
          <w:color w:val="auto"/>
        </w:rPr>
        <w:t>The ongoing impact of the COVID</w:t>
      </w:r>
      <w:r>
        <w:rPr>
          <w:rFonts w:ascii="MS PGothic" w:cs="MS PGothic" w:eastAsia="MS PGothic" w:hAnsi="MS PGothic"/>
          <w:sz w:val="18"/>
          <w:szCs w:val="18"/>
          <w:color w:val="auto"/>
        </w:rPr>
        <w:t>‐</w:t>
      </w:r>
      <w:r>
        <w:rPr>
          <w:rFonts w:ascii="Arial" w:cs="Arial" w:eastAsia="Arial" w:hAnsi="Arial"/>
          <w:sz w:val="18"/>
          <w:szCs w:val="18"/>
          <w:color w:val="auto"/>
        </w:rPr>
        <w:t>19 pandemic, the war in Ukraine, changes in global economic conditions and other global events on Kodak’s operations and financial performance remains uncertain and will depend on several factors such as the duration of supply chain disruptions, duration of the slowdown in customer demand, the ability to secure raw materials and components, the ability to offset higher labor, material and distribution costs through pricing actions and the duration of the COVID</w:t>
      </w:r>
      <w:r>
        <w:rPr>
          <w:rFonts w:ascii="MS PGothic" w:cs="MS PGothic" w:eastAsia="MS PGothic" w:hAnsi="MS PGothic"/>
          <w:sz w:val="18"/>
          <w:szCs w:val="18"/>
          <w:color w:val="auto"/>
        </w:rPr>
        <w:t>‐</w:t>
      </w:r>
      <w:r>
        <w:rPr>
          <w:rFonts w:ascii="Arial" w:cs="Arial" w:eastAsia="Arial" w:hAnsi="Arial"/>
          <w:sz w:val="18"/>
          <w:szCs w:val="18"/>
          <w:color w:val="auto"/>
        </w:rPr>
        <w:t>19 pandemic, including vaccination coverage, infection rates, as well as local government restrictions. Kodak expects the ability to continue to secure raw materials and components, the ability to offset higher raw material costs through surcharges, and the potential impact of economic conditions on customer demand will remain a challenge in future periods.</w:t>
      </w:r>
    </w:p>
    <w:p>
      <w:pPr>
        <w:spacing w:after="0" w:line="20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Kodak continues to work closely with government and health officials in the jurisdictions where it operates to protect employees worldwide, with particular measures in place for those working in plants and distribution facilities. Kodak closed its manufacturing facility located in Shanghai, China in April 2022 in response to a mandatory government lockdown. The mandatory government lockdown ended on June 1, 2022 and Kodak’s Shanghai, China manufacturing facility has resumed operations. The temporary closure did not have a material impact on Kodak’s financial statements. None of Kodak’s other manufacturing facilities have been ordered to close by governmental authorities.</w:t>
      </w:r>
    </w:p>
    <w:p>
      <w:pPr>
        <w:spacing w:after="0" w:line="20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Kodak also continues to monitor the rapidly evolving events surrounding the war in Ukraine and the various sanctions imposed in response to the war. Kodak is in compliance with all sanctions. Kodak is experiencing worldwide supply constraints for aluminum and electronic components, and increased energy and transportation costs due in part to the war in Ukraine. The extent to which the military conflict in Ukraine will impact the global economy and Kodak's business and operations remains uncertain.</w:t>
      </w:r>
    </w:p>
    <w:p>
      <w:pPr>
        <w:spacing w:after="0" w:line="19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war in Ukraine and the international response have disrupted Kodak’s ability to operate its Russian subsidiary in the ordinary course, affecting its ability to pay vendors and employees, receive amounts owed from customers in Russia and deliver product. The direct operations of Kodak’s Russian subsidiary are not material to the Company’s financial statements (less than 1% of total consolidated revenues for 2021), and there were no material impacts to the consolidated results as of and for the quarter and year-to-date periods ended September 30, 2022. Kodak is in the process of an orderly winding down of its Russian subsidiary and direct Russian operations.</w:t>
      </w:r>
    </w:p>
    <w:p>
      <w:pPr>
        <w:spacing w:after="0" w:line="189"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Both the Traditional Printing and Digital Printing segments have been impacted by supply chain disruptions, travel restrictions, higher raw material costs and increased labor costs. To mitigate the impact of higher aluminum, energy and packaging costs, the Traditional Printing segment implemented certain pricing actions including surcharges on purchases of plates largely beginning in the latter part of the second quarter of 2021 that continue to be periodically reviewed and adjusted accordingly. Due to current global economic conditions and pricing actions, the Traditional Printing Segment is experiencing a slowdown in customer demand that negatively impacted volume. Kodak has implemented actions in response to a potential slowdown in customer demand, including supply chain and workforce optimization, productivity improvements and other cost savings projects. However, the potential worsening of economic conditions and the negative impact on customer demand due to pricing actions could unfavorably impact net sales, gross margin and cash flows in future periods.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Advanced Materials and Chemicals segment has experienced supply chain disruptions, shortages associated with raw materials as well as labor shortages in certain manufacturing areas. Increased demand for consumer film products along with manufacturing equipment limitations and labor shortages have contributed to increased backorders. Kodak has increased headcount in this segment to better meet demand, but supply will continue to be constrained by manufacturing equipment limitations without further capital improvements.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Kodak</w:t>
      </w:r>
      <w:r>
        <w:rPr>
          <w:rFonts w:ascii="Arial" w:cs="Arial" w:eastAsia="Arial" w:hAnsi="Arial"/>
          <w:sz w:val="18"/>
          <w:szCs w:val="18"/>
          <w:color w:val="auto"/>
        </w:rPr>
        <w:t>’</w:t>
      </w:r>
      <w:r>
        <w:rPr>
          <w:rFonts w:ascii="Arial" w:cs="Arial" w:eastAsia="Arial" w:hAnsi="Arial"/>
          <w:sz w:val="18"/>
          <w:szCs w:val="18"/>
          <w:b w:val="1"/>
          <w:bCs w:val="1"/>
          <w:color w:val="auto"/>
        </w:rPr>
        <w:t>s strategy</w:t>
      </w:r>
      <w:r>
        <w:rPr>
          <w:rFonts w:ascii="Arial" w:cs="Arial" w:eastAsia="Arial" w:hAnsi="Arial"/>
          <w:sz w:val="18"/>
          <w:szCs w:val="18"/>
          <w:b w:val="1"/>
          <w:bCs w:val="1"/>
          <w:i w:val="1"/>
          <w:iCs w:val="1"/>
          <w:color w:val="auto"/>
        </w:rPr>
        <w: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film industry and segments within the print industry face competition from digital substitution. Kodak’s strategy is to:</w:t>
      </w:r>
    </w:p>
    <w:p>
      <w:pPr>
        <w:spacing w:after="0" w:line="198" w:lineRule="exact"/>
        <w:rPr>
          <w:sz w:val="20"/>
          <w:szCs w:val="20"/>
          <w:color w:val="auto"/>
        </w:rPr>
      </w:pPr>
    </w:p>
    <w:p>
      <w:pPr>
        <w:jc w:val="both"/>
        <w:ind w:left="660" w:hanging="328"/>
        <w:spacing w:after="0" w:line="274"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Focus product investment in core competency areas of print and advanced materials, leveraging Kodak’s proprietary technologies to deliver technologically advanced products in the product goods packaging, graphic communications, and functional printing markets;</w:t>
      </w:r>
    </w:p>
    <w:p>
      <w:pPr>
        <w:spacing w:after="0" w:line="174"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Grow revenues through a focus on customers across Kodak’s print divisions, increasing overall share;</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Promote the use of film and expand the applications of Kodak’s film and chemicals to best utilize the existing infrastructure;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streamline processes to drive cost reductions and improve operating leverage.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opportunities and challenges related to Kodak’s strategy follows:</w:t>
      </w:r>
    </w:p>
    <w:p>
      <w:pPr>
        <w:spacing w:after="0" w:line="198" w:lineRule="exact"/>
        <w:rPr>
          <w:sz w:val="20"/>
          <w:szCs w:val="20"/>
          <w:color w:val="auto"/>
        </w:rPr>
      </w:pPr>
    </w:p>
    <w:p>
      <w:pPr>
        <w:ind w:left="660" w:hanging="328"/>
        <w:spacing w:after="0" w:line="204" w:lineRule="exact"/>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Traditional Printing’s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The segment is experiencing challenges from higher prices and availability of raw materials, digital substitution and competitive pricing pressures. Kodak seeks to mitigate the impact of increases in manufacturing costs, including aluminum prices, through a combination of surcharges and price increases, improved production efficiency and cost reduction initiatives. In addition, Kodak seeks to offset the impact of short-term and long</w:t>
      </w:r>
      <w:r>
        <w:rPr>
          <w:rFonts w:ascii="MS PGothic" w:cs="MS PGothic" w:eastAsia="MS PGothic" w:hAnsi="MS PGothic"/>
          <w:sz w:val="18"/>
          <w:szCs w:val="18"/>
          <w:color w:val="auto"/>
        </w:rPr>
        <w:t>‐</w:t>
      </w:r>
      <w:r>
        <w:rPr>
          <w:rFonts w:ascii="Arial" w:cs="Arial" w:eastAsia="Arial" w:hAnsi="Arial"/>
          <w:sz w:val="18"/>
          <w:szCs w:val="18"/>
          <w:color w:val="auto"/>
        </w:rPr>
        <w:t>term market dynamics on pricing and volume pressures through innovations in Kodak product lines, including investing in digital print technologies.</w:t>
      </w:r>
    </w:p>
    <w:p>
      <w:pPr>
        <w:spacing w:after="0" w:line="193" w:lineRule="exact"/>
        <w:rPr>
          <w:rFonts w:ascii="Arial" w:cs="Arial" w:eastAsia="Arial" w:hAnsi="Arial"/>
          <w:sz w:val="18"/>
          <w:szCs w:val="18"/>
          <w:color w:val="auto"/>
        </w:rPr>
      </w:pPr>
    </w:p>
    <w:p>
      <w:pPr>
        <w:ind w:left="660" w:right="20" w:hanging="328"/>
        <w:spacing w:after="0" w:line="23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Digital Printing, the PROSPER business is expected to grow as the legacy VERSAMARK business continues to decline as a percentage of the segment’s total revenue. The PROSPER Inkjet Systems business is expected to continue to build profitability. Kodak launched the PROSPER 7000 Turbo Press in June 2022. The PROSPER 7000 Turbo Press enables commercial, publishing and newspaper printers to compete more effectively with offset and to shift more long run jobs from conventional printing processes to inkjet. Investment in the next generation technology, ULTRASTREAM, is focused on the ability to place ULTRASTREAM writing systems in Kodak branded presses and in various original equipment manufacturers in applications ranging from commercial print to packaging. The first flexible packaging printing system utilizing Kodak’s ULTRASTREAM inkjet technology was placed during the second quarter of 2022. In addition, Kodak officially launched the KODAK PROSPER ULTRA 520 Digital Press utilizing Kodak’s ULTRASTREAM inkjet technology, which offers offset print quality in a smaller footprint. The Electrophotographic Printing Solutions business launched a new digital press at the end of the second quarter of 2022, the KODAK ASCEND, aimed at the growing retail, point of purchase and small packaging markets.</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right="60" w:hanging="328"/>
        <w:spacing w:after="0" w:line="24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Advanced Materials and Chemicals is using Kodak’s deep expertise in chemistry and strengths in deposition and coating processes that come from decades of experience in film manufacturing to work on new initiatives:</w:t>
      </w:r>
    </w:p>
    <w:p>
      <w:pPr>
        <w:spacing w:after="0" w:line="165" w:lineRule="exact"/>
        <w:rPr>
          <w:rFonts w:ascii="Arial" w:cs="Arial" w:eastAsia="Arial" w:hAnsi="Arial"/>
          <w:sz w:val="18"/>
          <w:szCs w:val="18"/>
          <w:color w:val="auto"/>
        </w:rPr>
      </w:pPr>
    </w:p>
    <w:p>
      <w:pPr>
        <w:ind w:left="980" w:right="20" w:hanging="324"/>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o Electric Vehicle (“EV”)/Energy Storage Battery Material Manufacturing </w:t>
      </w:r>
      <w:r>
        <w:rPr>
          <w:rFonts w:ascii="Arial" w:cs="Arial" w:eastAsia="Arial" w:hAnsi="Arial"/>
          <w:sz w:val="18"/>
          <w:szCs w:val="18"/>
          <w:i w:val="1"/>
          <w:iCs w:val="1"/>
          <w:color w:val="auto"/>
        </w:rPr>
        <w:t>-</w:t>
      </w:r>
      <w:r>
        <w:rPr>
          <w:rFonts w:ascii="Arial" w:cs="Arial" w:eastAsia="Arial" w:hAnsi="Arial"/>
          <w:sz w:val="18"/>
          <w:szCs w:val="18"/>
          <w:color w:val="auto"/>
        </w:rPr>
        <w:t xml:space="preserve"> Coating of substrates is a critical aspect of manufacturing materials for batteries and Kodak plans to capitalize on its expertise in coating technology to develop opportunities in this area. Kodak is currently in the process of expanding its pilot coating facility. On July 13, 2022, Kodak invested $25 million to acquire a minority preferred equity interest in Wildcat Discovery Technologies, Inc. (“Wildcat”), a private technology company that uses proprietary methods to research and develop new battery materials, including an EV battery. Kodak has also entered into an agreement to provide coating and engineering services in collaboration with Wildcat to develop and scale film coating technologies. Wildcat has granted Kodak certain rights to negotiate a production or licensing arrangement with Wildcat when and if Wildcat’s technology reaches commercial readiness.</w:t>
      </w:r>
    </w:p>
    <w:p>
      <w:pPr>
        <w:spacing w:after="0" w:line="205" w:lineRule="exact"/>
        <w:rPr>
          <w:rFonts w:ascii="Arial" w:cs="Arial" w:eastAsia="Arial" w:hAnsi="Arial"/>
          <w:sz w:val="18"/>
          <w:szCs w:val="18"/>
          <w:color w:val="auto"/>
        </w:rPr>
      </w:pPr>
    </w:p>
    <w:p>
      <w:pPr>
        <w:ind w:left="980" w:right="120" w:hanging="324"/>
        <w:spacing w:after="0" w:line="206" w:lineRule="exact"/>
        <w:rPr>
          <w:rFonts w:ascii="Arial" w:cs="Arial" w:eastAsia="Arial" w:hAnsi="Arial"/>
          <w:sz w:val="18"/>
          <w:szCs w:val="18"/>
          <w:color w:val="auto"/>
        </w:rPr>
      </w:pPr>
      <w:r>
        <w:rPr>
          <w:rFonts w:ascii="Arial" w:cs="Arial" w:eastAsia="Arial" w:hAnsi="Arial"/>
          <w:sz w:val="18"/>
          <w:szCs w:val="18"/>
          <w:color w:val="auto"/>
        </w:rPr>
        <w:t>o Light-Blocking Technology - Kodak plans to leverage a proprietary technology initially developed for electrophotographic toners to commercialize a carbon</w:t>
      </w:r>
      <w:r>
        <w:rPr>
          <w:rFonts w:ascii="MS PGothic" w:cs="MS PGothic" w:eastAsia="MS PGothic" w:hAnsi="MS PGothic"/>
          <w:sz w:val="18"/>
          <w:szCs w:val="18"/>
          <w:color w:val="auto"/>
        </w:rPr>
        <w:t>‐</w:t>
      </w:r>
      <w:r>
        <w:rPr>
          <w:rFonts w:ascii="Arial" w:cs="Arial" w:eastAsia="Arial" w:hAnsi="Arial"/>
          <w:sz w:val="18"/>
          <w:szCs w:val="18"/>
          <w:color w:val="auto"/>
        </w:rPr>
        <w:t>less fabric coating designed to offer superior light management, from complete blackout to selective light filtering, and coating compatibility with an unmatched range of fabrics. Kodak is installing a production-scale coating machine to coat fabrics in Eastman Business Park, located in Rochester, NY.</w:t>
      </w:r>
    </w:p>
    <w:p>
      <w:pPr>
        <w:spacing w:after="0" w:line="204" w:lineRule="exact"/>
        <w:rPr>
          <w:rFonts w:ascii="Arial" w:cs="Arial" w:eastAsia="Arial" w:hAnsi="Arial"/>
          <w:sz w:val="18"/>
          <w:szCs w:val="18"/>
          <w:color w:val="auto"/>
        </w:rPr>
      </w:pPr>
    </w:p>
    <w:p>
      <w:pPr>
        <w:ind w:left="980" w:right="40" w:hanging="324"/>
        <w:spacing w:after="0" w:line="206" w:lineRule="exact"/>
        <w:rPr>
          <w:rFonts w:ascii="Arial" w:cs="Arial" w:eastAsia="Arial" w:hAnsi="Arial"/>
          <w:sz w:val="18"/>
          <w:szCs w:val="18"/>
          <w:color w:val="auto"/>
        </w:rPr>
      </w:pPr>
      <w:r>
        <w:rPr>
          <w:rFonts w:ascii="Arial" w:cs="Arial" w:eastAsia="Arial" w:hAnsi="Arial"/>
          <w:sz w:val="18"/>
          <w:szCs w:val="18"/>
          <w:color w:val="auto"/>
        </w:rPr>
        <w:t>o Transparent Antennas - Kodak plans to leverage its proprietary copper micro</w:t>
      </w:r>
      <w:r>
        <w:rPr>
          <w:rFonts w:ascii="MS PGothic" w:cs="MS PGothic" w:eastAsia="MS PGothic" w:hAnsi="MS PGothic"/>
          <w:sz w:val="18"/>
          <w:szCs w:val="18"/>
          <w:color w:val="auto"/>
        </w:rPr>
        <w:t>‐</w:t>
      </w:r>
      <w:r>
        <w:rPr>
          <w:rFonts w:ascii="Arial" w:cs="Arial" w:eastAsia="Arial" w:hAnsi="Arial"/>
          <w:sz w:val="18"/>
          <w:szCs w:val="18"/>
          <w:color w:val="auto"/>
        </w:rPr>
        <w:t>wire technologies and high</w:t>
      </w:r>
      <w:r>
        <w:rPr>
          <w:rFonts w:ascii="MS PGothic" w:cs="MS PGothic" w:eastAsia="MS PGothic" w:hAnsi="MS PGothic"/>
          <w:sz w:val="18"/>
          <w:szCs w:val="18"/>
          <w:color w:val="auto"/>
        </w:rPr>
        <w:t>‐</w:t>
      </w:r>
      <w:r>
        <w:rPr>
          <w:rFonts w:ascii="Arial" w:cs="Arial" w:eastAsia="Arial" w:hAnsi="Arial"/>
          <w:sz w:val="18"/>
          <w:szCs w:val="18"/>
          <w:color w:val="auto"/>
        </w:rPr>
        <w:t>resolution printing expertise to contract</w:t>
      </w:r>
      <w:r>
        <w:rPr>
          <w:rFonts w:ascii="MS PGothic" w:cs="MS PGothic" w:eastAsia="MS PGothic" w:hAnsi="MS PGothic"/>
          <w:sz w:val="18"/>
          <w:szCs w:val="18"/>
          <w:color w:val="auto"/>
        </w:rPr>
        <w:t>‐</w:t>
      </w:r>
      <w:r>
        <w:rPr>
          <w:rFonts w:ascii="Arial" w:cs="Arial" w:eastAsia="Arial" w:hAnsi="Arial"/>
          <w:sz w:val="18"/>
          <w:szCs w:val="18"/>
          <w:color w:val="auto"/>
        </w:rPr>
        <w:t>manufacture custom transparent antennas for automotive, commercial construction, and other applications requiring excellent radio frequency (“RF”) and optical performance. The integration of antennas is growing worldwide due to the rapid expansion of 5G and an overall increase in RF communications, and the ubiquity of glass surfaces makes transparent antennas attractive for multiple end</w:t>
      </w:r>
      <w:r>
        <w:rPr>
          <w:rFonts w:ascii="MS PGothic" w:cs="MS PGothic" w:eastAsia="MS PGothic" w:hAnsi="MS PGothic"/>
          <w:sz w:val="18"/>
          <w:szCs w:val="18"/>
          <w:color w:val="auto"/>
        </w:rPr>
        <w:t>‐</w:t>
      </w:r>
      <w:r>
        <w:rPr>
          <w:rFonts w:ascii="Arial" w:cs="Arial" w:eastAsia="Arial" w:hAnsi="Arial"/>
          <w:sz w:val="18"/>
          <w:szCs w:val="18"/>
          <w:color w:val="auto"/>
        </w:rPr>
        <w:t>use markets.</w:t>
      </w:r>
    </w:p>
    <w:p>
      <w:pPr>
        <w:spacing w:after="0" w:line="202" w:lineRule="exact"/>
        <w:rPr>
          <w:rFonts w:ascii="Arial" w:cs="Arial" w:eastAsia="Arial" w:hAnsi="Arial"/>
          <w:sz w:val="18"/>
          <w:szCs w:val="18"/>
          <w:color w:val="auto"/>
        </w:rPr>
      </w:pPr>
    </w:p>
    <w:p>
      <w:pPr>
        <w:ind w:left="980" w:hanging="324"/>
        <w:spacing w:after="0" w:line="238" w:lineRule="auto"/>
        <w:rPr>
          <w:rFonts w:ascii="Arial" w:cs="Arial" w:eastAsia="Arial" w:hAnsi="Arial"/>
          <w:sz w:val="18"/>
          <w:szCs w:val="18"/>
          <w:color w:val="auto"/>
        </w:rPr>
      </w:pPr>
      <w:r>
        <w:rPr>
          <w:rFonts w:ascii="Arial" w:cs="Arial" w:eastAsia="Arial" w:hAnsi="Arial"/>
          <w:sz w:val="18"/>
          <w:szCs w:val="18"/>
          <w:color w:val="auto"/>
        </w:rPr>
        <w:t>o Reagent Manufacturing - Kodak plans to capitalize on its existing chemical manufacturing expertise, including current production of unregulated Key Starting Materials for pharmaceuticals, to implement an expansion into manufacturing Diagnostic Test Reagent solutions. Kodak has started construction of a lab and manufacturing facility to manufacture reagents for healthcare applications within an existing building located at Eastman Business Park.</w:t>
      </w:r>
    </w:p>
    <w:p>
      <w:pPr>
        <w:spacing w:after="0" w:line="191"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Film and related component manufacturing operations and Kodak Research Laboratories utilize capacity at Eastman Business Park, which helps cost absorption for both Kodak operations and tenants at Eastman Business Park.</w:t>
      </w:r>
    </w:p>
    <w:p>
      <w:pPr>
        <w:spacing w:after="0" w:line="183" w:lineRule="exact"/>
        <w:rPr>
          <w:rFonts w:ascii="Arial" w:cs="Arial" w:eastAsia="Arial" w:hAnsi="Arial"/>
          <w:sz w:val="18"/>
          <w:szCs w:val="18"/>
          <w:color w:val="auto"/>
        </w:rPr>
      </w:pPr>
    </w:p>
    <w:p>
      <w:pPr>
        <w:ind w:left="660" w:right="160" w:hanging="328"/>
        <w:spacing w:after="0" w:line="24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Kodak plans to capitalize on its intellectual property through new business or licensing opportunities in 3D printing materials, smart material applications, and printed electronics markets.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COMPARED TO 2021</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6"/>
                <w:szCs w:val="16"/>
                <w:b w:val="1"/>
                <w:bCs w:val="1"/>
                <w:color w:val="auto"/>
              </w:rPr>
              <w:t>Nine Months Ended September 30,</w:t>
            </w: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4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8"/>
                <w:szCs w:val="18"/>
                <w:color w:val="auto"/>
              </w:rPr>
            </w:pPr>
          </w:p>
        </w:tc>
        <w:tc>
          <w:tcPr>
            <w:tcW w:w="4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240" w:type="dxa"/>
            <w:vAlign w:val="bottom"/>
          </w:tcPr>
          <w:p>
            <w:pPr>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Sales</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Sales</w:t>
            </w:r>
          </w:p>
        </w:tc>
        <w:tc>
          <w:tcPr>
            <w:tcW w:w="300" w:type="dxa"/>
            <w:vAlign w:val="bottom"/>
          </w:tcPr>
          <w:p>
            <w:pPr>
              <w:spacing w:after="0"/>
              <w:rPr>
                <w:sz w:val="18"/>
                <w:szCs w:val="18"/>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Change</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Sales</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Sales</w:t>
            </w:r>
          </w:p>
        </w:tc>
        <w:tc>
          <w:tcPr>
            <w:tcW w:w="320" w:type="dxa"/>
            <w:vAlign w:val="bottom"/>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Revenues</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line="183" w:lineRule="exact"/>
              <w:rPr>
                <w:sz w:val="20"/>
                <w:szCs w:val="20"/>
                <w:color w:val="auto"/>
              </w:rPr>
            </w:pPr>
            <w:r>
              <w:rPr>
                <w:rFonts w:ascii="Arial" w:cs="Arial" w:eastAsia="Arial" w:hAnsi="Arial"/>
                <w:sz w:val="16"/>
                <w:szCs w:val="16"/>
                <w:color w:val="auto"/>
              </w:rPr>
              <w:t>287</w:t>
            </w:r>
          </w:p>
        </w:tc>
        <w:tc>
          <w:tcPr>
            <w:tcW w:w="66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220"/>
              <w:spacing w:after="0" w:line="183" w:lineRule="exact"/>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900</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220"/>
              <w:spacing w:after="0" w:line="183" w:lineRule="exact"/>
              <w:rPr>
                <w:sz w:val="20"/>
                <w:szCs w:val="20"/>
                <w:color w:val="auto"/>
              </w:rPr>
            </w:pPr>
            <w:r>
              <w:rPr>
                <w:rFonts w:ascii="Arial" w:cs="Arial" w:eastAsia="Arial" w:hAnsi="Arial"/>
                <w:sz w:val="16"/>
                <w:szCs w:val="16"/>
                <w:color w:val="auto"/>
              </w:rPr>
              <w:t>843</w:t>
            </w:r>
          </w:p>
        </w:tc>
        <w:tc>
          <w:tcPr>
            <w:tcW w:w="66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20"/>
                <w:szCs w:val="20"/>
                <w:color w:val="auto"/>
              </w:rPr>
            </w:pPr>
            <w:r>
              <w:rPr>
                <w:rFonts w:ascii="Arial" w:cs="Arial" w:eastAsia="Arial" w:hAnsi="Arial"/>
                <w:sz w:val="16"/>
                <w:szCs w:val="16"/>
                <w:color w:val="auto"/>
              </w:rPr>
              <w:t>Cost of revenues</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244</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773</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712</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40" w:type="dxa"/>
            <w:vAlign w:val="bottom"/>
            <w:shd w:val="clear" w:color="auto" w:fill="CCEEFF"/>
          </w:tcPr>
          <w:p>
            <w:pPr>
              <w:ind w:left="180"/>
              <w:spacing w:after="0" w:line="183" w:lineRule="exact"/>
              <w:rPr>
                <w:sz w:val="20"/>
                <w:szCs w:val="20"/>
                <w:color w:val="auto"/>
              </w:rPr>
            </w:pPr>
            <w:r>
              <w:rPr>
                <w:rFonts w:ascii="Arial" w:cs="Arial" w:eastAsia="Arial" w:hAnsi="Arial"/>
                <w:sz w:val="16"/>
                <w:szCs w:val="16"/>
                <w:color w:val="auto"/>
              </w:rPr>
              <w:t>Gross profit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5"/>
                <w:szCs w:val="15"/>
                <w:color w:val="auto"/>
              </w:rPr>
            </w:pPr>
          </w:p>
        </w:tc>
        <w:tc>
          <w:tcPr>
            <w:tcW w:w="1080" w:type="dxa"/>
            <w:vAlign w:val="bottom"/>
            <w:tcBorders>
              <w:right w:val="single" w:sz="8" w:color="CCEEFF"/>
            </w:tcBorders>
            <w:gridSpan w:val="3"/>
            <w:shd w:val="clear" w:color="auto" w:fill="CCEEFF"/>
          </w:tcPr>
          <w:p>
            <w:pPr>
              <w:jc w:val="right"/>
              <w:ind w:right="180"/>
              <w:spacing w:after="0" w:line="183" w:lineRule="exact"/>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43</w:t>
            </w:r>
          </w:p>
        </w:tc>
        <w:tc>
          <w:tcPr>
            <w:tcW w:w="2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60"/>
              <w:spacing w:after="0" w:line="183" w:lineRule="exact"/>
              <w:rPr>
                <w:sz w:val="20"/>
                <w:szCs w:val="20"/>
                <w:color w:val="auto"/>
              </w:rPr>
            </w:pPr>
            <w:r>
              <w:rPr>
                <w:rFonts w:ascii="Arial" w:cs="Arial" w:eastAsia="Arial" w:hAnsi="Arial"/>
                <w:sz w:val="16"/>
                <w:szCs w:val="16"/>
                <w:color w:val="auto"/>
              </w:rPr>
              <w:t>15%</w:t>
            </w: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127</w:t>
            </w:r>
          </w:p>
        </w:tc>
        <w:tc>
          <w:tcPr>
            <w:tcW w:w="1060" w:type="dxa"/>
            <w:vAlign w:val="bottom"/>
            <w:gridSpan w:val="3"/>
            <w:shd w:val="clear" w:color="auto" w:fill="CCEEFF"/>
          </w:tcPr>
          <w:p>
            <w:pPr>
              <w:jc w:val="right"/>
              <w:ind w:right="160"/>
              <w:spacing w:after="0" w:line="183" w:lineRule="exact"/>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line="183" w:lineRule="exact"/>
              <w:rPr>
                <w:sz w:val="20"/>
                <w:szCs w:val="20"/>
                <w:color w:val="auto"/>
              </w:rPr>
            </w:pPr>
            <w:r>
              <w:rPr>
                <w:rFonts w:ascii="Arial" w:cs="Arial" w:eastAsia="Arial" w:hAnsi="Arial"/>
                <w:sz w:val="16"/>
                <w:szCs w:val="16"/>
                <w:color w:val="auto"/>
              </w:rPr>
              <w:t>131</w:t>
            </w:r>
          </w:p>
        </w:tc>
        <w:tc>
          <w:tcPr>
            <w:tcW w:w="980" w:type="dxa"/>
            <w:vAlign w:val="bottom"/>
            <w:tcBorders>
              <w:right w:val="single" w:sz="8" w:color="CCEEFF"/>
            </w:tcBorders>
            <w:gridSpan w:val="2"/>
            <w:shd w:val="clear" w:color="auto" w:fill="CCEEFF"/>
          </w:tcPr>
          <w:p>
            <w:pPr>
              <w:jc w:val="right"/>
              <w:ind w:right="180"/>
              <w:spacing w:after="0" w:line="183" w:lineRule="exact"/>
              <w:rPr>
                <w:sz w:val="20"/>
                <w:szCs w:val="20"/>
                <w:color w:val="auto"/>
              </w:rPr>
            </w:pPr>
            <w:r>
              <w:rPr>
                <w:rFonts w:ascii="Arial" w:cs="Arial" w:eastAsia="Arial" w:hAnsi="Arial"/>
                <w:sz w:val="16"/>
                <w:szCs w:val="16"/>
                <w:color w:val="auto"/>
              </w:rPr>
              <w:t>16%</w:t>
            </w:r>
          </w:p>
        </w:tc>
        <w:tc>
          <w:tcPr>
            <w:tcW w:w="1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20"/>
                <w:szCs w:val="20"/>
                <w:color w:val="auto"/>
              </w:rPr>
            </w:pPr>
            <w:r>
              <w:rPr>
                <w:rFonts w:ascii="Arial" w:cs="Arial" w:eastAsia="Arial" w:hAnsi="Arial"/>
                <w:sz w:val="16"/>
                <w:szCs w:val="16"/>
                <w:color w:val="auto"/>
              </w:rPr>
              <w:t>Selling, general and</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40" w:type="dxa"/>
            <w:vAlign w:val="bottom"/>
          </w:tcPr>
          <w:p>
            <w:pPr>
              <w:ind w:left="180"/>
              <w:spacing w:after="0"/>
              <w:rPr>
                <w:sz w:val="20"/>
                <w:szCs w:val="20"/>
                <w:color w:val="auto"/>
              </w:rPr>
            </w:pPr>
            <w:r>
              <w:rPr>
                <w:rFonts w:ascii="Arial" w:cs="Arial" w:eastAsia="Arial" w:hAnsi="Arial"/>
                <w:sz w:val="16"/>
                <w:szCs w:val="16"/>
                <w:color w:val="auto"/>
              </w:rPr>
              <w:t>administrative expenses</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43</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123</w:t>
            </w: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131</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1"/>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costs</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6"/>
                <w:szCs w:val="16"/>
                <w:color w:val="auto"/>
              </w:rPr>
            </w:pPr>
          </w:p>
        </w:tc>
        <w:tc>
          <w:tcPr>
            <w:tcW w:w="10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20"/>
                <w:szCs w:val="20"/>
                <w:color w:val="auto"/>
              </w:rPr>
            </w:pPr>
            <w:r>
              <w:rPr>
                <w:rFonts w:ascii="Arial" w:cs="Arial" w:eastAsia="Arial" w:hAnsi="Arial"/>
                <w:sz w:val="16"/>
                <w:szCs w:val="16"/>
                <w:color w:val="auto"/>
              </w:rPr>
              <w:t>Restructuring costs and other</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1"/>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Other operating expense</w:t>
            </w:r>
          </w:p>
        </w:tc>
        <w:tc>
          <w:tcPr>
            <w:tcW w:w="120" w:type="dxa"/>
            <w:vAlign w:val="bottom"/>
            <w:shd w:val="clear" w:color="auto" w:fill="CCEEFF"/>
          </w:tcPr>
          <w:p>
            <w:pPr>
              <w:spacing w:after="0"/>
              <w:rPr>
                <w:sz w:val="16"/>
                <w:szCs w:val="16"/>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66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(6)</w:t>
            </w:r>
          </w:p>
        </w:tc>
        <w:tc>
          <w:tcPr>
            <w:tcW w:w="66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74"/>
        </w:trPr>
        <w:tc>
          <w:tcPr>
            <w:tcW w:w="2240" w:type="dxa"/>
            <w:vAlign w:val="bottom"/>
            <w:shd w:val="clear" w:color="auto" w:fill="CCEEFF"/>
          </w:tcPr>
          <w:p>
            <w:pPr>
              <w:ind w:left="180"/>
              <w:spacing w:after="0" w:line="174" w:lineRule="exact"/>
              <w:rPr>
                <w:sz w:val="20"/>
                <w:szCs w:val="20"/>
                <w:color w:val="auto"/>
              </w:rPr>
            </w:pPr>
            <w:r>
              <w:rPr>
                <w:rFonts w:ascii="Arial" w:cs="Arial" w:eastAsia="Arial" w:hAnsi="Arial"/>
                <w:sz w:val="16"/>
                <w:szCs w:val="16"/>
                <w:color w:val="auto"/>
              </w:rPr>
              <w:t>(income), net</w:t>
            </w:r>
          </w:p>
        </w:tc>
        <w:tc>
          <w:tcPr>
            <w:tcW w:w="12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80" w:type="dxa"/>
            <w:vAlign w:val="bottom"/>
            <w:tcBorders>
              <w:right w:val="single" w:sz="8" w:color="CCEEFF"/>
            </w:tcBorders>
            <w:gridSpan w:val="3"/>
            <w:shd w:val="clear" w:color="auto" w:fill="CCEEFF"/>
          </w:tcPr>
          <w:p>
            <w:pPr>
              <w:jc w:val="right"/>
              <w:ind w:right="180"/>
              <w:spacing w:after="0" w:line="174" w:lineRule="exact"/>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60"/>
              <w:spacing w:after="0" w:line="174" w:lineRule="exact"/>
              <w:rPr>
                <w:sz w:val="20"/>
                <w:szCs w:val="20"/>
                <w:color w:val="auto"/>
              </w:rPr>
            </w:pPr>
            <w:r>
              <w:rPr>
                <w:rFonts w:ascii="Arial" w:cs="Arial" w:eastAsia="Arial" w:hAnsi="Arial"/>
                <w:sz w:val="16"/>
                <w:szCs w:val="16"/>
                <w:color w:val="auto"/>
              </w:rPr>
              <w:t>0%</w:t>
            </w:r>
          </w:p>
        </w:tc>
        <w:tc>
          <w:tcPr>
            <w:tcW w:w="2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060" w:type="dxa"/>
            <w:vAlign w:val="bottom"/>
            <w:gridSpan w:val="3"/>
            <w:shd w:val="clear" w:color="auto" w:fill="CCEEFF"/>
          </w:tcPr>
          <w:p>
            <w:pPr>
              <w:jc w:val="right"/>
              <w:ind w:right="160"/>
              <w:spacing w:after="0" w:line="174" w:lineRule="exact"/>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980" w:type="dxa"/>
            <w:vAlign w:val="bottom"/>
            <w:tcBorders>
              <w:right w:val="single" w:sz="8" w:color="CCEEFF"/>
            </w:tcBorders>
            <w:gridSpan w:val="2"/>
            <w:shd w:val="clear" w:color="auto" w:fill="CCEEFF"/>
          </w:tcPr>
          <w:p>
            <w:pPr>
              <w:jc w:val="right"/>
              <w:ind w:right="120"/>
              <w:spacing w:after="0" w:line="174" w:lineRule="exact"/>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4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Loss from operations before</w:t>
            </w: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tcPr>
          <w:p>
            <w:pPr>
              <w:ind w:left="180"/>
              <w:spacing w:after="0"/>
              <w:rPr>
                <w:sz w:val="20"/>
                <w:szCs w:val="20"/>
                <w:color w:val="auto"/>
              </w:rPr>
            </w:pPr>
            <w:r>
              <w:rPr>
                <w:rFonts w:ascii="Arial" w:cs="Arial" w:eastAsia="Arial" w:hAnsi="Arial"/>
                <w:sz w:val="16"/>
                <w:szCs w:val="16"/>
                <w:color w:val="auto"/>
              </w:rPr>
              <w:t>interest expense, pension</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tcPr>
          <w:p>
            <w:pPr>
              <w:ind w:left="180"/>
              <w:spacing w:after="0"/>
              <w:rPr>
                <w:sz w:val="20"/>
                <w:szCs w:val="20"/>
                <w:color w:val="auto"/>
              </w:rPr>
            </w:pPr>
            <w:r>
              <w:rPr>
                <w:rFonts w:ascii="Arial" w:cs="Arial" w:eastAsia="Arial" w:hAnsi="Arial"/>
                <w:sz w:val="16"/>
                <w:szCs w:val="16"/>
                <w:color w:val="auto"/>
              </w:rPr>
              <w:t>income excluding service</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tcPr>
          <w:p>
            <w:pPr>
              <w:ind w:left="180"/>
              <w:spacing w:after="0"/>
              <w:rPr>
                <w:sz w:val="20"/>
                <w:szCs w:val="20"/>
                <w:color w:val="auto"/>
              </w:rPr>
            </w:pPr>
            <w:r>
              <w:rPr>
                <w:rFonts w:ascii="Arial" w:cs="Arial" w:eastAsia="Arial" w:hAnsi="Arial"/>
                <w:sz w:val="16"/>
                <w:szCs w:val="16"/>
                <w:color w:val="auto"/>
              </w:rPr>
              <w:t>cost component, other</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tcPr>
          <w:p>
            <w:pPr>
              <w:ind w:left="180"/>
              <w:spacing w:after="0"/>
              <w:rPr>
                <w:sz w:val="20"/>
                <w:szCs w:val="20"/>
                <w:color w:val="auto"/>
              </w:rPr>
            </w:pPr>
            <w:r>
              <w:rPr>
                <w:rFonts w:ascii="Arial" w:cs="Arial" w:eastAsia="Arial" w:hAnsi="Arial"/>
                <w:sz w:val="16"/>
                <w:szCs w:val="16"/>
                <w:color w:val="auto"/>
              </w:rPr>
              <w:t>(income) charges, net and</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40" w:type="dxa"/>
            <w:vAlign w:val="bottom"/>
          </w:tcPr>
          <w:p>
            <w:pPr>
              <w:ind w:left="180"/>
              <w:spacing w:after="0"/>
              <w:rPr>
                <w:sz w:val="20"/>
                <w:szCs w:val="20"/>
                <w:color w:val="auto"/>
              </w:rPr>
            </w:pPr>
            <w:r>
              <w:rPr>
                <w:rFonts w:ascii="Arial" w:cs="Arial" w:eastAsia="Arial" w:hAnsi="Arial"/>
                <w:sz w:val="16"/>
                <w:szCs w:val="16"/>
                <w:color w:val="auto"/>
              </w:rPr>
              <w:t>income taxes</w:t>
            </w:r>
          </w:p>
        </w:tc>
        <w:tc>
          <w:tcPr>
            <w:tcW w:w="12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(7)</w:t>
            </w:r>
          </w:p>
        </w:tc>
        <w:tc>
          <w:tcPr>
            <w:tcW w:w="1080" w:type="dxa"/>
            <w:vAlign w:val="bottom"/>
            <w:gridSpan w:val="3"/>
          </w:tcPr>
          <w:p>
            <w:pPr>
              <w:jc w:val="right"/>
              <w:ind w:right="1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(9)</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(25)</w:t>
            </w: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(19)</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6"/>
                <w:szCs w:val="16"/>
                <w:color w:val="auto"/>
              </w:rPr>
            </w:pPr>
          </w:p>
        </w:tc>
        <w:tc>
          <w:tcPr>
            <w:tcW w:w="10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20"/>
                <w:szCs w:val="20"/>
                <w:color w:val="auto"/>
              </w:rPr>
            </w:pPr>
            <w:r>
              <w:rPr>
                <w:rFonts w:ascii="Arial" w:cs="Arial" w:eastAsia="Arial" w:hAnsi="Arial"/>
                <w:sz w:val="16"/>
                <w:szCs w:val="16"/>
                <w:color w:val="auto"/>
              </w:rPr>
              <w:t>Pension income excluding</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40" w:type="dxa"/>
            <w:vAlign w:val="bottom"/>
          </w:tcPr>
          <w:p>
            <w:pPr>
              <w:ind w:left="180"/>
              <w:spacing w:after="0"/>
              <w:rPr>
                <w:sz w:val="20"/>
                <w:szCs w:val="20"/>
                <w:color w:val="auto"/>
              </w:rPr>
            </w:pPr>
            <w:r>
              <w:rPr>
                <w:rFonts w:ascii="Arial" w:cs="Arial" w:eastAsia="Arial" w:hAnsi="Arial"/>
                <w:sz w:val="16"/>
                <w:szCs w:val="16"/>
                <w:color w:val="auto"/>
              </w:rPr>
              <w:t>service cost component</w:t>
            </w:r>
          </w:p>
        </w:tc>
        <w:tc>
          <w:tcPr>
            <w:tcW w:w="12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(20)</w:t>
            </w:r>
          </w:p>
        </w:tc>
        <w:tc>
          <w:tcPr>
            <w:tcW w:w="1080" w:type="dxa"/>
            <w:vAlign w:val="bottom"/>
            <w:gridSpan w:val="3"/>
          </w:tcPr>
          <w:p>
            <w:pPr>
              <w:jc w:val="right"/>
              <w:ind w:right="12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(25)</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(77)</w:t>
            </w: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(76)</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Other (income) charges, net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1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4"/>
        </w:trPr>
        <w:tc>
          <w:tcPr>
            <w:tcW w:w="224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Income from operations</w:t>
            </w: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40" w:type="dxa"/>
            <w:vAlign w:val="bottom"/>
          </w:tcPr>
          <w:p>
            <w:pPr>
              <w:ind w:left="180"/>
              <w:spacing w:after="0"/>
              <w:rPr>
                <w:sz w:val="20"/>
                <w:szCs w:val="20"/>
                <w:color w:val="auto"/>
              </w:rPr>
            </w:pPr>
            <w:r>
              <w:rPr>
                <w:rFonts w:ascii="Arial" w:cs="Arial" w:eastAsia="Arial" w:hAnsi="Arial"/>
                <w:sz w:val="16"/>
                <w:szCs w:val="16"/>
                <w:color w:val="auto"/>
              </w:rPr>
              <w:t>before income taxes</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9</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21</w:t>
            </w: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35</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6"/>
                <w:szCs w:val="16"/>
                <w:color w:val="auto"/>
              </w:rPr>
            </w:pPr>
          </w:p>
        </w:tc>
        <w:tc>
          <w:tcPr>
            <w:tcW w:w="10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w:t>
            </w: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2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40" w:type="dxa"/>
            <w:vAlign w:val="bottom"/>
          </w:tcPr>
          <w:p>
            <w:pPr>
              <w:spacing w:after="0" w:line="169" w:lineRule="exact"/>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line="169" w:lineRule="exact"/>
              <w:rPr>
                <w:sz w:val="20"/>
                <w:szCs w:val="20"/>
                <w:color w:val="auto"/>
              </w:rPr>
            </w:pPr>
            <w:r>
              <w:rPr>
                <w:rFonts w:ascii="Arial" w:cs="Arial" w:eastAsia="Arial" w:hAnsi="Arial"/>
                <w:sz w:val="16"/>
                <w:szCs w:val="16"/>
                <w:color w:val="auto"/>
              </w:rPr>
              <w:t>2</w:t>
            </w:r>
          </w:p>
        </w:tc>
        <w:tc>
          <w:tcPr>
            <w:tcW w:w="100" w:type="dxa"/>
            <w:vAlign w:val="bottom"/>
          </w:tcPr>
          <w:p>
            <w:pPr>
              <w:spacing w:after="0"/>
              <w:rPr>
                <w:sz w:val="15"/>
                <w:szCs w:val="15"/>
                <w:color w:val="auto"/>
              </w:rPr>
            </w:pPr>
          </w:p>
        </w:tc>
        <w:tc>
          <w:tcPr>
            <w:tcW w:w="1080" w:type="dxa"/>
            <w:vAlign w:val="bottom"/>
            <w:gridSpan w:val="3"/>
          </w:tcPr>
          <w:p>
            <w:pPr>
              <w:jc w:val="right"/>
              <w:ind w:right="180"/>
              <w:spacing w:after="0" w:line="169" w:lineRule="exact"/>
              <w:rPr>
                <w:sz w:val="20"/>
                <w:szCs w:val="20"/>
                <w:color w:val="auto"/>
              </w:rPr>
            </w:pPr>
            <w:r>
              <w:rPr>
                <w:rFonts w:ascii="Arial" w:cs="Arial" w:eastAsia="Arial" w:hAnsi="Arial"/>
                <w:sz w:val="16"/>
                <w:szCs w:val="16"/>
                <w:color w:val="auto"/>
              </w:rPr>
              <w:t>1%</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line="169" w:lineRule="exact"/>
              <w:rPr>
                <w:sz w:val="20"/>
                <w:szCs w:val="20"/>
                <w:color w:val="auto"/>
              </w:rPr>
            </w:pPr>
            <w:r>
              <w:rPr>
                <w:rFonts w:ascii="Arial" w:cs="Arial" w:eastAsia="Arial" w:hAnsi="Arial"/>
                <w:sz w:val="16"/>
                <w:szCs w:val="16"/>
                <w:color w:val="auto"/>
              </w:rPr>
              <w:t>8</w:t>
            </w:r>
          </w:p>
        </w:tc>
        <w:tc>
          <w:tcPr>
            <w:tcW w:w="960" w:type="dxa"/>
            <w:vAlign w:val="bottom"/>
            <w:gridSpan w:val="2"/>
          </w:tcPr>
          <w:p>
            <w:pPr>
              <w:jc w:val="right"/>
              <w:ind w:right="160"/>
              <w:spacing w:after="0" w:line="169" w:lineRule="exact"/>
              <w:rPr>
                <w:sz w:val="20"/>
                <w:szCs w:val="20"/>
                <w:color w:val="auto"/>
              </w:rPr>
            </w:pPr>
            <w:r>
              <w:rPr>
                <w:rFonts w:ascii="Arial" w:cs="Arial" w:eastAsia="Arial" w:hAnsi="Arial"/>
                <w:sz w:val="16"/>
                <w:szCs w:val="16"/>
                <w:color w:val="auto"/>
              </w:rPr>
              <w:t>3%</w:t>
            </w:r>
          </w:p>
        </w:tc>
        <w:tc>
          <w:tcPr>
            <w:tcW w:w="200" w:type="dxa"/>
            <w:vAlign w:val="bottom"/>
          </w:tcPr>
          <w:p>
            <w:pPr>
              <w:jc w:val="right"/>
              <w:ind w:right="19"/>
              <w:spacing w:after="0" w:line="169" w:lineRule="exact"/>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60"/>
              <w:spacing w:after="0" w:line="169" w:lineRule="exact"/>
              <w:rPr>
                <w:sz w:val="20"/>
                <w:szCs w:val="20"/>
                <w:color w:val="auto"/>
              </w:rPr>
            </w:pPr>
            <w:r>
              <w:rPr>
                <w:rFonts w:ascii="Arial" w:cs="Arial" w:eastAsia="Arial" w:hAnsi="Arial"/>
                <w:sz w:val="16"/>
                <w:szCs w:val="16"/>
                <w:color w:val="auto"/>
              </w:rPr>
              <w:t>(6)</w:t>
            </w:r>
          </w:p>
        </w:tc>
        <w:tc>
          <w:tcPr>
            <w:tcW w:w="12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20"/>
              <w:spacing w:after="0" w:line="169" w:lineRule="exact"/>
              <w:rPr>
                <w:sz w:val="20"/>
                <w:szCs w:val="20"/>
                <w:color w:val="auto"/>
              </w:rPr>
            </w:pPr>
            <w:r>
              <w:rPr>
                <w:rFonts w:ascii="Arial" w:cs="Arial" w:eastAsia="Arial" w:hAnsi="Arial"/>
                <w:sz w:val="16"/>
                <w:szCs w:val="16"/>
                <w:color w:val="auto"/>
              </w:rPr>
              <w:t>19</w:t>
            </w:r>
          </w:p>
        </w:tc>
        <w:tc>
          <w:tcPr>
            <w:tcW w:w="1060" w:type="dxa"/>
            <w:vAlign w:val="bottom"/>
            <w:gridSpan w:val="3"/>
          </w:tcPr>
          <w:p>
            <w:pPr>
              <w:jc w:val="right"/>
              <w:ind w:right="160"/>
              <w:spacing w:after="0" w:line="169" w:lineRule="exact"/>
              <w:rPr>
                <w:sz w:val="20"/>
                <w:szCs w:val="20"/>
                <w:color w:val="auto"/>
              </w:rPr>
            </w:pPr>
            <w:r>
              <w:rPr>
                <w:rFonts w:ascii="Arial" w:cs="Arial" w:eastAsia="Arial" w:hAnsi="Arial"/>
                <w:sz w:val="16"/>
                <w:szCs w:val="16"/>
                <w:color w:val="auto"/>
              </w:rPr>
              <w:t>2%</w:t>
            </w:r>
          </w:p>
        </w:tc>
        <w:tc>
          <w:tcPr>
            <w:tcW w:w="12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20"/>
              <w:spacing w:after="0" w:line="169" w:lineRule="exact"/>
              <w:rPr>
                <w:sz w:val="20"/>
                <w:szCs w:val="20"/>
                <w:color w:val="auto"/>
              </w:rPr>
            </w:pPr>
            <w:r>
              <w:rPr>
                <w:rFonts w:ascii="Arial" w:cs="Arial" w:eastAsia="Arial" w:hAnsi="Arial"/>
                <w:sz w:val="16"/>
                <w:szCs w:val="16"/>
                <w:color w:val="auto"/>
              </w:rPr>
              <w:t>30</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6"/>
                <w:szCs w:val="16"/>
                <w:color w:val="auto"/>
              </w:rPr>
              <w:t>4%</w:t>
            </w:r>
          </w:p>
        </w:tc>
        <w:tc>
          <w:tcPr>
            <w:tcW w:w="180" w:type="dxa"/>
            <w:vAlign w:val="bottom"/>
          </w:tcPr>
          <w:p>
            <w:pPr>
              <w:jc w:val="right"/>
              <w:ind w:right="22"/>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For the three months ended September 30, 2022 revenues improved $2 million compared with the same period in 2021, driven by improved pricing within Traditional Printing ($39 million), improved pricing and product mix within Advanced Materials and Chemicals ($6 million) and improved product mix in Digital Printing ($2 million). Partially offsetting these favorable impacts was lower volume in Traditional Printing and Advanced Materials and Chemicals ($21 million and $3 million, respectively) and unfavorable foreign currency ($22 million). See segment discussions for additional details.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1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For the nine months ended September 30, 2022 revenues improved $57 million compared with the same period in 2021, primarily due to improved pricing within Traditional Printing ($112 million), improved pricing and product mix as well as increased volume within Advanced Materials and Chemicals ($11 million and $8 million, respectively), improved product mix in Digital Printing ($ 3 million) and improved volume in Brand ($2 million). Partially offsetting these favorable impacts was lower volume in Traditional Printing and Digital Printing ($19 million and $9 million, respectively) and unfavorable foreign currency ($51 million). See segment discussions for additional details.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8"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Gross profit for the three months ended September 30, 2022 was flat compared with the same period in 2021, primarily due to improved pricing within Traditional Printing ($42 million), improved pricing and product mix in Advanced Materials and Chemicals ($5 million) and a decrease in workers' compensation reserves ($2 million). Partially offsetting these favorable impacts was higher aluminum costs in Traditional Printing ($20 million), higher manufacturing costs and lower volume in Traditional Printing ($20 million), higher manufacturing costs in Digital Printing ($3 million) and unfavorable foreign currency ($6 million). See segment discussions for additional details.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Gross profit for the nine months ended September 30, 2022 declined approximately $4 million compared with the same period in 2021,</w:t>
      </w:r>
    </w:p>
    <w:p>
      <w:pPr>
        <w:spacing w:after="0" w:line="234" w:lineRule="auto"/>
        <w:rPr>
          <w:sz w:val="20"/>
          <w:szCs w:val="20"/>
          <w:color w:val="auto"/>
        </w:rPr>
      </w:pPr>
      <w:r>
        <w:rPr>
          <w:rFonts w:ascii="Arial" w:cs="Arial" w:eastAsia="Arial" w:hAnsi="Arial"/>
          <w:sz w:val="18"/>
          <w:szCs w:val="18"/>
          <w:color w:val="auto"/>
        </w:rPr>
        <w:t>primarily due to higher aluminum costs in Traditional Printing ($64 million), higher manufacturing costs and lower volumes in Traditional</w:t>
      </w:r>
    </w:p>
    <w:p>
      <w:pPr>
        <w:spacing w:after="0" w:line="235" w:lineRule="auto"/>
        <w:rPr>
          <w:sz w:val="20"/>
          <w:szCs w:val="20"/>
          <w:color w:val="auto"/>
        </w:rPr>
      </w:pPr>
      <w:r>
        <w:rPr>
          <w:rFonts w:ascii="Arial" w:cs="Arial" w:eastAsia="Arial" w:hAnsi="Arial"/>
          <w:sz w:val="18"/>
          <w:szCs w:val="18"/>
          <w:color w:val="auto"/>
        </w:rPr>
        <w:t>Printing ($47 million), higher manufacturing costs in Digital Printing ($9 million) and Advanced Materials and Chemicals ($8 million) and</w:t>
      </w:r>
    </w:p>
    <w:p>
      <w:pPr>
        <w:spacing w:after="0" w:line="235" w:lineRule="auto"/>
        <w:rPr>
          <w:sz w:val="20"/>
          <w:szCs w:val="20"/>
          <w:color w:val="auto"/>
        </w:rPr>
      </w:pPr>
      <w:r>
        <w:rPr>
          <w:rFonts w:ascii="Arial" w:cs="Arial" w:eastAsia="Arial" w:hAnsi="Arial"/>
          <w:sz w:val="18"/>
          <w:szCs w:val="18"/>
          <w:color w:val="auto"/>
        </w:rPr>
        <w:t>unfavorable foreign currency ($12 million). Partially offsetting these unfavorable impacts was improved pricing in Traditional Printing</w:t>
      </w:r>
    </w:p>
    <w:p>
      <w:pPr>
        <w:spacing w:after="0" w:line="235" w:lineRule="auto"/>
        <w:rPr>
          <w:sz w:val="20"/>
          <w:szCs w:val="20"/>
          <w:color w:val="auto"/>
        </w:rPr>
      </w:pPr>
      <w:r>
        <w:rPr>
          <w:rFonts w:ascii="Arial" w:cs="Arial" w:eastAsia="Arial" w:hAnsi="Arial"/>
          <w:sz w:val="18"/>
          <w:szCs w:val="18"/>
          <w:color w:val="auto"/>
        </w:rPr>
        <w:t>($112 million), improved pricing and product mix as well as higher volume in Advanced Materials and Chemicals ($9 million and $4 million,</w:t>
      </w:r>
    </w:p>
    <w:p>
      <w:pPr>
        <w:spacing w:after="0" w:line="235" w:lineRule="auto"/>
        <w:rPr>
          <w:sz w:val="20"/>
          <w:szCs w:val="20"/>
          <w:color w:val="auto"/>
        </w:rPr>
      </w:pPr>
      <w:r>
        <w:rPr>
          <w:rFonts w:ascii="Arial" w:cs="Arial" w:eastAsia="Arial" w:hAnsi="Arial"/>
          <w:sz w:val="18"/>
          <w:szCs w:val="18"/>
          <w:color w:val="auto"/>
        </w:rPr>
        <w:t>respectively), higher margins in Digital Printing and improved volume in Brand (each $2 million) and a decrease in workers’ compensation</w:t>
      </w:r>
    </w:p>
    <w:p>
      <w:pPr>
        <w:spacing w:after="0"/>
        <w:rPr>
          <w:sz w:val="20"/>
          <w:szCs w:val="20"/>
          <w:color w:val="auto"/>
        </w:rPr>
      </w:pPr>
      <w:r>
        <w:rPr>
          <w:rFonts w:ascii="Arial" w:cs="Arial" w:eastAsia="Arial" w:hAnsi="Arial"/>
          <w:sz w:val="18"/>
          <w:szCs w:val="18"/>
          <w:color w:val="auto"/>
        </w:rPr>
        <w:t>reserves ($5 million). See segment discussions for additional details.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Consolidated SG&amp;A decreased $4 million and $8 million in the three and nine months ended September 30, 2022, respectively. The decrease in the three months ending September 30, 2022 compared to the prior year period was primarily due to lower consulting and other costs primarily associated with investigations and litigation ($2 million) and a decrease in workers' compensation reserves ($1 million). The decrease in the nine months ended September 30, 2022 was primarily due to lower consulting and other costs primarily associated with investigations and litigation ($6 million), a decrease in workers’ compensation reserves ($3 million), lower equity based compensation ($1 million) and favorable foreign currency ($2 million) partially offset by an increase in selling and administrative costs ($4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Consolidated R&amp;D expenses were flat for the three months ended September 30, 2022 and increased $2 million in the nine months ended September 30,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Income Excluding Service Cost Component</w:t>
      </w:r>
    </w:p>
    <w:p>
      <w:pPr>
        <w:spacing w:after="0" w:line="1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Pension income excluding service cost component decreased $5 million in the three months ended September 30, 2022 and increased $1 million in the nine months ended September 30, 2022. As a result of the remeasurement of the KRIP plan on May 31, 2022, total pension income from continuing operations before special termination benefits, curtailments and settlements is expected to be approximately $88 million in 2022, a decrease of $25 million from the previous estimate driven by an increase in the discount rate.</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0"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Kodak has four reportable segments: Traditional Printing, Digital Printing, Advanced Materials and Chemicals, and Brand. The balance of Kodak’s operations, which do not meet the criteria of a reportable segment, are reported in All Other and primarily represent the Eastman Business Park operations. Refer to the 2021 Form 10-K for a description of the Company’s segments.</w:t>
      </w:r>
    </w:p>
    <w:p>
      <w:pPr>
        <w:spacing w:after="0" w:line="1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516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Segment Revenues</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5160" w:type="dxa"/>
            <w:vAlign w:val="bottom"/>
            <w:gridSpan w:val="3"/>
          </w:tcPr>
          <w:p>
            <w:pPr>
              <w:ind w:left="560"/>
              <w:spacing w:after="0" w:line="196" w:lineRule="exact"/>
              <w:rPr>
                <w:sz w:val="20"/>
                <w:szCs w:val="20"/>
                <w:color w:val="auto"/>
              </w:rPr>
            </w:pPr>
            <w:r>
              <w:rPr>
                <w:rFonts w:ascii="Arial" w:cs="Arial" w:eastAsia="Arial" w:hAnsi="Arial"/>
                <w:sz w:val="18"/>
                <w:szCs w:val="18"/>
                <w:color w:val="auto"/>
              </w:rPr>
              <w:t>(in millions)</w:t>
            </w: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16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8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Traditional Printing</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535</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Digital Printing</w:t>
            </w: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Advanced Materials and Chemicals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Brand</w:t>
            </w: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Borders>
              <w:bottom w:val="single" w:sz="8" w:color="CCEEFF"/>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All Other</w:t>
            </w: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80" w:type="dxa"/>
            <w:vAlign w:val="bottom"/>
            <w:gridSpan w:val="2"/>
          </w:tcPr>
          <w:p>
            <w:pPr>
              <w:ind w:left="320"/>
              <w:spacing w:after="0" w:line="182" w:lineRule="exact"/>
              <w:rPr>
                <w:sz w:val="20"/>
                <w:szCs w:val="20"/>
                <w:color w:val="auto"/>
              </w:rPr>
            </w:pPr>
            <w:r>
              <w:rPr>
                <w:rFonts w:ascii="Arial" w:cs="Arial" w:eastAsia="Arial" w:hAnsi="Arial"/>
                <w:sz w:val="18"/>
                <w:szCs w:val="18"/>
                <w:color w:val="auto"/>
              </w:rPr>
              <w:t>Consolidated total</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289</w:t>
            </w:r>
          </w:p>
        </w:tc>
        <w:tc>
          <w:tcPr>
            <w:tcW w:w="120" w:type="dxa"/>
            <w:vAlign w:val="bottom"/>
          </w:tcPr>
          <w:p>
            <w:pPr>
              <w:spacing w:after="0"/>
              <w:rPr>
                <w:sz w:val="17"/>
                <w:szCs w:val="17"/>
                <w:color w:val="auto"/>
              </w:rPr>
            </w:pPr>
          </w:p>
        </w:tc>
        <w:tc>
          <w:tcPr>
            <w:tcW w:w="32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287</w:t>
            </w:r>
          </w:p>
        </w:tc>
        <w:tc>
          <w:tcPr>
            <w:tcW w:w="100" w:type="dxa"/>
            <w:vAlign w:val="bottom"/>
          </w:tcPr>
          <w:p>
            <w:pPr>
              <w:spacing w:after="0"/>
              <w:rPr>
                <w:sz w:val="17"/>
                <w:szCs w:val="17"/>
                <w:color w:val="auto"/>
              </w:rPr>
            </w:pPr>
          </w:p>
        </w:tc>
        <w:tc>
          <w:tcPr>
            <w:tcW w:w="4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900</w:t>
            </w:r>
          </w:p>
        </w:tc>
        <w:tc>
          <w:tcPr>
            <w:tcW w:w="180" w:type="dxa"/>
            <w:vAlign w:val="bottom"/>
          </w:tcPr>
          <w:p>
            <w:pPr>
              <w:spacing w:after="0"/>
              <w:rPr>
                <w:sz w:val="17"/>
                <w:szCs w:val="17"/>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843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280" w:type="dxa"/>
            <w:vAlign w:val="bottom"/>
            <w:gridSpan w:val="12"/>
          </w:tcPr>
          <w:p>
            <w:pPr>
              <w:spacing w:after="0"/>
              <w:rPr>
                <w:sz w:val="20"/>
                <w:szCs w:val="20"/>
                <w:color w:val="auto"/>
              </w:rPr>
            </w:pPr>
            <w:r>
              <w:rPr>
                <w:rFonts w:ascii="Arial" w:cs="Arial" w:eastAsia="Arial" w:hAnsi="Arial"/>
                <w:sz w:val="18"/>
                <w:szCs w:val="18"/>
                <w:b w:val="1"/>
                <w:bCs w:val="1"/>
                <w:color w:val="auto"/>
              </w:rPr>
              <w:t>Segment Operational EBITDA and Consolidated Earnings from Operations Before Income Taxes</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5160" w:type="dxa"/>
            <w:vAlign w:val="bottom"/>
            <w:gridSpan w:val="3"/>
          </w:tcPr>
          <w:p>
            <w:pPr>
              <w:ind w:left="560"/>
              <w:spacing w:after="0" w:line="196" w:lineRule="exact"/>
              <w:rPr>
                <w:sz w:val="20"/>
                <w:szCs w:val="20"/>
                <w:color w:val="auto"/>
              </w:rPr>
            </w:pPr>
            <w:r>
              <w:rPr>
                <w:rFonts w:ascii="Arial" w:cs="Arial" w:eastAsia="Arial" w:hAnsi="Arial"/>
                <w:sz w:val="18"/>
                <w:szCs w:val="18"/>
                <w:color w:val="auto"/>
              </w:rPr>
              <w:t>(in millions)</w:t>
            </w: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16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8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Traditional Printing</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Digital Printing</w:t>
            </w:r>
          </w:p>
        </w:tc>
        <w:tc>
          <w:tcPr>
            <w:tcW w:w="22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w:t>
            </w:r>
          </w:p>
        </w:tc>
        <w:tc>
          <w:tcPr>
            <w:tcW w:w="2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Advanced Materials and Chemicals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Brand</w:t>
            </w: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All other</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w:t>
            </w:r>
          </w:p>
        </w:tc>
        <w:tc>
          <w:tcPr>
            <w:tcW w:w="2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w:t>
            </w:r>
          </w:p>
        </w:tc>
        <w:tc>
          <w:tcPr>
            <w:tcW w:w="2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4"/>
                <w:szCs w:val="14"/>
                <w:color w:val="auto"/>
              </w:rPr>
              <w:t>(1)</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Idle costs </w:t>
            </w:r>
            <w:r>
              <w:rPr>
                <w:rFonts w:ascii="Arial" w:cs="Arial" w:eastAsia="Arial" w:hAnsi="Arial"/>
                <w:sz w:val="14"/>
                <w:szCs w:val="14"/>
                <w:color w:val="auto"/>
              </w:rPr>
              <w:t>(2)</w:t>
            </w:r>
          </w:p>
        </w:tc>
        <w:tc>
          <w:tcPr>
            <w:tcW w:w="22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Other operating (expense) income, net </w:t>
            </w:r>
            <w:r>
              <w:rPr>
                <w:rFonts w:ascii="Arial" w:cs="Arial" w:eastAsia="Arial" w:hAnsi="Arial"/>
                <w:sz w:val="14"/>
                <w:szCs w:val="14"/>
                <w:color w:val="auto"/>
              </w:rPr>
              <w:t>(3)</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4"/>
                <w:szCs w:val="14"/>
                <w:color w:val="auto"/>
              </w:rPr>
              <w:t>(3)</w:t>
            </w:r>
          </w:p>
        </w:tc>
        <w:tc>
          <w:tcPr>
            <w:tcW w:w="22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w:t>
            </w:r>
          </w:p>
        </w:tc>
        <w:tc>
          <w:tcPr>
            <w:tcW w:w="2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58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Pension income excluding service cost component </w:t>
            </w:r>
            <w:r>
              <w:rPr>
                <w:rFonts w:ascii="Arial" w:cs="Arial" w:eastAsia="Arial" w:hAnsi="Arial"/>
                <w:sz w:val="14"/>
                <w:szCs w:val="14"/>
                <w:color w:val="auto"/>
              </w:rPr>
              <w:t>(3)</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3"/>
          </w:tcPr>
          <w:p>
            <w:pPr>
              <w:ind w:left="560"/>
              <w:spacing w:after="0" w:line="202" w:lineRule="exact"/>
              <w:rPr>
                <w:sz w:val="20"/>
                <w:szCs w:val="20"/>
                <w:color w:val="auto"/>
              </w:rPr>
            </w:pPr>
            <w:r>
              <w:rPr>
                <w:rFonts w:ascii="Arial" w:cs="Arial" w:eastAsia="Arial" w:hAnsi="Arial"/>
                <w:sz w:val="18"/>
                <w:szCs w:val="18"/>
                <w:color w:val="auto"/>
              </w:rPr>
              <w:t xml:space="preserve">Other income (charges), net </w:t>
            </w:r>
            <w:r>
              <w:rPr>
                <w:rFonts w:ascii="Arial" w:cs="Arial" w:eastAsia="Arial" w:hAnsi="Arial"/>
                <w:sz w:val="14"/>
                <w:szCs w:val="14"/>
                <w:color w:val="auto"/>
              </w:rPr>
              <w:t>(3)</w:t>
            </w:r>
          </w:p>
        </w:tc>
        <w:tc>
          <w:tcPr>
            <w:tcW w:w="2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0" w:type="dxa"/>
            <w:vAlign w:val="bottom"/>
            <w:vMerge w:val="continue"/>
          </w:tcPr>
          <w:p>
            <w:pPr>
              <w:spacing w:after="0"/>
              <w:rPr>
                <w:sz w:val="16"/>
                <w:szCs w:val="16"/>
                <w:color w:val="auto"/>
              </w:rPr>
            </w:pPr>
          </w:p>
        </w:tc>
        <w:tc>
          <w:tcPr>
            <w:tcW w:w="4580" w:type="dxa"/>
            <w:vAlign w:val="bottom"/>
            <w:tcBorders>
              <w:right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Consolidated earnings from operations before income</w:t>
            </w:r>
          </w:p>
        </w:tc>
        <w:tc>
          <w:tcPr>
            <w:tcW w:w="220" w:type="dxa"/>
            <w:vAlign w:val="bottom"/>
            <w:vMerge w:val="restart"/>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6"/>
                <w:szCs w:val="16"/>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6"/>
                <w:szCs w:val="16"/>
                <w:color w:val="auto"/>
              </w:rPr>
            </w:pPr>
          </w:p>
        </w:tc>
        <w:tc>
          <w:tcPr>
            <w:tcW w:w="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right w:val="single" w:sz="8" w:color="CCEEFF"/>
            </w:tcBorders>
            <w:shd w:val="clear" w:color="auto" w:fill="CCEEFF"/>
          </w:tcPr>
          <w:p>
            <w:pPr>
              <w:spacing w:after="0"/>
              <w:rPr>
                <w:sz w:val="16"/>
                <w:szCs w:val="16"/>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4580" w:type="dxa"/>
            <w:vAlign w:val="bottom"/>
            <w:tcBorders>
              <w:right w:val="single" w:sz="8" w:color="CCEEFF"/>
            </w:tcBorders>
            <w:gridSpan w:val="2"/>
            <w:shd w:val="clear" w:color="auto" w:fill="CCEEFF"/>
          </w:tcPr>
          <w:p>
            <w:pPr>
              <w:spacing w:after="0" w:line="143" w:lineRule="exact"/>
              <w:rPr>
                <w:sz w:val="20"/>
                <w:szCs w:val="20"/>
                <w:color w:val="auto"/>
              </w:rPr>
            </w:pPr>
            <w:r>
              <w:rPr>
                <w:rFonts w:ascii="Arial" w:cs="Arial" w:eastAsia="Arial" w:hAnsi="Arial"/>
                <w:sz w:val="16"/>
                <w:szCs w:val="16"/>
                <w:color w:val="auto"/>
              </w:rPr>
              <w:t>taxes</w:t>
            </w:r>
          </w:p>
        </w:tc>
        <w:tc>
          <w:tcPr>
            <w:tcW w:w="22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540" w:hanging="490"/>
        <w:spacing w:after="0" w:line="246" w:lineRule="auto"/>
        <w:tabs>
          <w:tab w:leader="none" w:pos="660" w:val="left"/>
        </w:tabs>
        <w:numPr>
          <w:ilvl w:val="0"/>
          <w:numId w:val="16"/>
        </w:numPr>
        <w:rPr>
          <w:rFonts w:ascii="Arial" w:cs="Arial" w:eastAsia="Arial" w:hAnsi="Arial"/>
          <w:sz w:val="15"/>
          <w:szCs w:val="15"/>
          <w:color w:val="auto"/>
        </w:rPr>
      </w:pPr>
      <w:r>
        <w:rPr>
          <w:rFonts w:ascii="Arial" w:cs="Arial" w:eastAsia="Arial" w:hAnsi="Arial"/>
          <w:sz w:val="18"/>
          <w:szCs w:val="18"/>
          <w:color w:val="auto"/>
        </w:rPr>
        <w:t>Consulting and other costs are primarily professional services and internal costs associated with certain corporate strategic initiatives, investigations and litigation.</w:t>
      </w:r>
    </w:p>
    <w:p>
      <w:pPr>
        <w:spacing w:after="0" w:line="183" w:lineRule="exact"/>
        <w:rPr>
          <w:rFonts w:ascii="Arial" w:cs="Arial" w:eastAsia="Arial" w:hAnsi="Arial"/>
          <w:sz w:val="15"/>
          <w:szCs w:val="15"/>
          <w:color w:val="auto"/>
        </w:rPr>
      </w:pPr>
    </w:p>
    <w:p>
      <w:pPr>
        <w:ind w:left="660" w:hanging="490"/>
        <w:spacing w:after="0" w:line="274"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7"/>
          <w:szCs w:val="17"/>
          <w:color w:val="auto"/>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spacing w:after="0" w:line="161" w:lineRule="exact"/>
        <w:rPr>
          <w:rFonts w:ascii="Arial" w:cs="Arial" w:eastAsia="Arial" w:hAnsi="Arial"/>
          <w:sz w:val="14"/>
          <w:szCs w:val="14"/>
          <w:color w:val="auto"/>
        </w:rPr>
      </w:pPr>
    </w:p>
    <w:p>
      <w:pPr>
        <w:ind w:left="660" w:hanging="490"/>
        <w:spacing w:after="0"/>
        <w:tabs>
          <w:tab w:leader="none" w:pos="660" w:val="left"/>
        </w:tabs>
        <w:numPr>
          <w:ilvl w:val="0"/>
          <w:numId w:val="16"/>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1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08" w:right="61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Kodak decreased workers’ compensation reserves by approximately $5 million and $13 million in the three and nine months ended September 30, 2022, respectively, driven by changes in discount rates. The decrease in reserves in the three months ended September 30, 2022 impacted gross profit by approximately $3 million and R&amp;D expenses and SG&amp;A expenses each by approximately $1 million. The decrease in reserves in the nine months ended September 30, 2022 impacted gross profit by approximately $8 million, R&amp;D expenses by approximately $1 million and SG&amp;A expenses by approximately $4 million.</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Kodak decreased workers’ compensation reserves by approximately $1 million and $4 million in the three and nine months ended September 30, 2021, respectively, driven by changes in discount rates. The decrease in reserves in the three and nine months ended September 30, 2021 impacted gross profit by approximately $1 million and $3 million, respectively. SG&amp;A expenses were not impacted in the three months ended September 30, 2021 and were impacted by approximately $1 million in the nine months ended September 30,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Measure of Profit and Loss</w:t>
      </w:r>
    </w:p>
    <w:p>
      <w:pPr>
        <w:spacing w:after="0" w:line="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Kodak’s segment measure of profit and loss is an adjusted earnings before interest, taxes, depreciation and amortization (“Operational EBITDA”). Operational EBITDA represents the earnings from operations excluding the provision for income taxes; non-service cost components of pension and OPEB income; depreciation and amortization expense; restructuring costs and other; stock-based compensation expense; consulting and other costs; idle costs; other operating (expense) income, net (unless otherwise indicated); interest expense and other income (charges), net.</w:t>
      </w:r>
    </w:p>
    <w:p>
      <w:pPr>
        <w:spacing w:after="0" w:line="18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Kodak’s segments are measured using Operational EBITDA both before and after the allocation of corporate SG&amp;A expenses.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80" w:type="dxa"/>
            <w:vAlign w:val="bottom"/>
          </w:tcPr>
          <w:p>
            <w:pPr>
              <w:spacing w:after="0"/>
              <w:rPr>
                <w:sz w:val="20"/>
                <w:szCs w:val="20"/>
                <w:color w:val="auto"/>
              </w:rPr>
            </w:pPr>
            <w:r>
              <w:rPr>
                <w:rFonts w:ascii="Arial" w:cs="Arial" w:eastAsia="Arial" w:hAnsi="Arial"/>
                <w:sz w:val="18"/>
                <w:szCs w:val="18"/>
                <w:b w:val="1"/>
                <w:bCs w:val="1"/>
                <w:color w:val="auto"/>
              </w:rPr>
              <w:t>TRADITIONAL PRINTING SEGMENT</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3280" w:type="dxa"/>
            <w:vAlign w:val="bottom"/>
          </w:tcPr>
          <w:p>
            <w:pPr>
              <w:spacing w:after="0"/>
              <w:rPr>
                <w:sz w:val="24"/>
                <w:szCs w:val="24"/>
                <w:color w:val="auto"/>
              </w:rPr>
            </w:pPr>
          </w:p>
        </w:tc>
        <w:tc>
          <w:tcPr>
            <w:tcW w:w="3760" w:type="dxa"/>
            <w:vAlign w:val="bottom"/>
            <w:gridSpan w:val="7"/>
          </w:tcPr>
          <w:p>
            <w:pPr>
              <w:jc w:val="right"/>
              <w:ind w:right="21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196"/>
        </w:trPr>
        <w:tc>
          <w:tcPr>
            <w:tcW w:w="3280" w:type="dxa"/>
            <w:vAlign w:val="bottom"/>
          </w:tcPr>
          <w:p>
            <w:pPr>
              <w:spacing w:after="0" w:line="196" w:lineRule="exact"/>
              <w:rPr>
                <w:sz w:val="20"/>
                <w:szCs w:val="20"/>
                <w:color w:val="auto"/>
              </w:rPr>
            </w:pPr>
            <w:r>
              <w:rPr>
                <w:rFonts w:ascii="Arial" w:cs="Arial" w:eastAsia="Arial" w:hAnsi="Arial"/>
                <w:sz w:val="18"/>
                <w:szCs w:val="18"/>
                <w:color w:val="auto"/>
              </w:rPr>
              <w:t>(in millions)</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 Change</w:t>
            </w:r>
          </w:p>
        </w:tc>
        <w:tc>
          <w:tcPr>
            <w:tcW w:w="120" w:type="dxa"/>
            <w:vAlign w:val="bottom"/>
            <w:tcBorders>
              <w:top w:val="single" w:sz="8" w:color="auto"/>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7"/>
                <w:szCs w:val="17"/>
                <w:color w:val="auto"/>
              </w:rPr>
            </w:pPr>
          </w:p>
        </w:tc>
      </w:tr>
      <w:tr>
        <w:trPr>
          <w:trHeight w:val="236"/>
        </w:trPr>
        <w:tc>
          <w:tcPr>
            <w:tcW w:w="3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Revenues</w:t>
            </w:r>
          </w:p>
        </w:tc>
        <w:tc>
          <w:tcPr>
            <w:tcW w:w="800" w:type="dxa"/>
            <w:vAlign w:val="bottom"/>
            <w:shd w:val="clear" w:color="auto" w:fill="CCEEFF"/>
          </w:tcPr>
          <w:p>
            <w:pPr>
              <w:jc w:val="right"/>
              <w:ind w:right="610"/>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w w:val="99"/>
              </w:rPr>
              <w:t>169</w:t>
            </w:r>
          </w:p>
        </w:tc>
        <w:tc>
          <w:tcPr>
            <w:tcW w:w="800" w:type="dxa"/>
            <w:vAlign w:val="bottom"/>
            <w:shd w:val="clear" w:color="auto" w:fill="CCEEFF"/>
          </w:tcPr>
          <w:p>
            <w:pPr>
              <w:jc w:val="right"/>
              <w:ind w:right="610"/>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w w:val="99"/>
              </w:rPr>
              <w:t>166</w:t>
            </w:r>
          </w:p>
        </w:tc>
        <w:tc>
          <w:tcPr>
            <w:tcW w:w="1020" w:type="dxa"/>
            <w:vAlign w:val="bottom"/>
            <w:shd w:val="clear" w:color="auto" w:fill="CCEEFF"/>
          </w:tcPr>
          <w:p>
            <w:pPr>
              <w:jc w:val="right"/>
              <w:ind w:right="830"/>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w w:val="99"/>
              </w:rPr>
              <w:t>3</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535</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52</w:t>
            </w:r>
          </w:p>
        </w:tc>
      </w:tr>
      <w:tr>
        <w:trPr>
          <w:trHeight w:val="183"/>
        </w:trPr>
        <w:tc>
          <w:tcPr>
            <w:tcW w:w="328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43"/>
        </w:trPr>
        <w:tc>
          <w:tcPr>
            <w:tcW w:w="3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Operational EBITDA</w:t>
            </w:r>
          </w:p>
        </w:tc>
        <w:tc>
          <w:tcPr>
            <w:tcW w:w="800" w:type="dxa"/>
            <w:vAlign w:val="bottom"/>
            <w:shd w:val="clear" w:color="auto" w:fill="CCEEFF"/>
          </w:tcPr>
          <w:p>
            <w:pPr>
              <w:jc w:val="right"/>
              <w:ind w:right="610"/>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jc w:val="right"/>
              <w:ind w:right="610"/>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5</w:t>
            </w:r>
          </w:p>
        </w:tc>
        <w:tc>
          <w:tcPr>
            <w:tcW w:w="1020" w:type="dxa"/>
            <w:vAlign w:val="bottom"/>
            <w:shd w:val="clear" w:color="auto" w:fill="CCEEFF"/>
          </w:tcPr>
          <w:p>
            <w:pPr>
              <w:jc w:val="right"/>
              <w:ind w:right="830"/>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w w:val="99"/>
              </w:rPr>
              <w:t>2</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(1)</w:t>
            </w:r>
          </w:p>
        </w:tc>
      </w:tr>
      <w:tr>
        <w:trPr>
          <w:trHeight w:val="399"/>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Revenues</w:t>
            </w:r>
          </w:p>
        </w:tc>
        <w:tc>
          <w:tcPr>
            <w:tcW w:w="8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increase in Traditional Printing revenues for the three months ended September 30, 2022 of approximately $3 million reflected improved pricing in Prepress Solutions consumables ($42 million) and improved volumes in Prepress Solutions equipment ($2 million) partially offset by reduced volumes in Prepress Solutions consumables ($23 million), less favorable product mix in Prepress Solutions equipment ($2 million) and unfavorable foreign currency ($16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18"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The increase in Traditional Printing revenues for the nine months ended September 30, 2022 of approximately $52 million reflected improved pricing in Prepress Solutions consumables ($113 million) partially offset by reduced volumes in Prepress Solutions</w:t>
      </w:r>
    </w:p>
    <w:p>
      <w:pPr>
        <w:spacing w:after="0" w:line="1"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consumables ($19 million), less favorable product mix in Prepress Solutions equipment ($2 million) and unfavorable foreign currency ($39 million).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8"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Traditional Printing Operational EBITDA for the three months ended September 30, 2022 improved $2 million reflecting price improvements in Prepress Solutions consumables ($42 million) partially offset by higher aluminum costs ($20 million), increased manufacturing costs ($20 million) driven by lower volumes and increases in other costs such as utilities, transportation and supplies and unfavorable foreign currency ($2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1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Traditional Printing Operational EBITDA for the nine months ended September 30, 2022 decreased by $ 1 million compared to the prior year period reflecting higher aluminum costs ($64 million), increased manufacturing costs ($47 million) driven by increases in other costs such as utilities, transportation and supplies and lower volumes as well as unfavorable foreign currency ($4 million). The higher costs were partially offset by pricing improvements ($113 million) in Prepress Solutions consumables.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80" w:type="dxa"/>
            <w:vAlign w:val="bottom"/>
          </w:tcPr>
          <w:p>
            <w:pPr>
              <w:spacing w:after="0"/>
              <w:rPr>
                <w:sz w:val="20"/>
                <w:szCs w:val="20"/>
                <w:color w:val="auto"/>
              </w:rPr>
            </w:pPr>
            <w:r>
              <w:rPr>
                <w:rFonts w:ascii="Arial" w:cs="Arial" w:eastAsia="Arial" w:hAnsi="Arial"/>
                <w:sz w:val="18"/>
                <w:szCs w:val="18"/>
                <w:b w:val="1"/>
                <w:bCs w:val="1"/>
                <w:color w:val="auto"/>
              </w:rPr>
              <w:t>DIGITAL PRINTING SEGMENT</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3280" w:type="dxa"/>
            <w:vAlign w:val="bottom"/>
          </w:tcPr>
          <w:p>
            <w:pPr>
              <w:spacing w:after="0"/>
              <w:rPr>
                <w:sz w:val="24"/>
                <w:szCs w:val="24"/>
                <w:color w:val="auto"/>
              </w:rPr>
            </w:pPr>
          </w:p>
        </w:tc>
        <w:tc>
          <w:tcPr>
            <w:tcW w:w="4100" w:type="dxa"/>
            <w:vAlign w:val="bottom"/>
            <w:gridSpan w:val="9"/>
          </w:tcPr>
          <w:p>
            <w:pPr>
              <w:jc w:val="center"/>
              <w:ind w:right="240"/>
              <w:spacing w:after="0"/>
              <w:rPr>
                <w:sz w:val="20"/>
                <w:szCs w:val="20"/>
                <w:color w:val="auto"/>
              </w:rPr>
            </w:pPr>
            <w:r>
              <w:rPr>
                <w:rFonts w:ascii="Arial" w:cs="Arial" w:eastAsia="Arial" w:hAnsi="Arial"/>
                <w:sz w:val="18"/>
                <w:szCs w:val="18"/>
                <w:b w:val="1"/>
                <w:bCs w:val="1"/>
                <w:color w:val="auto"/>
                <w:w w:val="99"/>
              </w:rPr>
              <w:t>Three Months Ended September 30,</w:t>
            </w:r>
          </w:p>
        </w:tc>
        <w:tc>
          <w:tcPr>
            <w:tcW w:w="220" w:type="dxa"/>
            <w:vAlign w:val="bottom"/>
          </w:tcPr>
          <w:p>
            <w:pPr>
              <w:spacing w:after="0"/>
              <w:rPr>
                <w:sz w:val="24"/>
                <w:szCs w:val="24"/>
                <w:color w:val="auto"/>
              </w:rPr>
            </w:pPr>
          </w:p>
        </w:tc>
        <w:tc>
          <w:tcPr>
            <w:tcW w:w="36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196"/>
        </w:trPr>
        <w:tc>
          <w:tcPr>
            <w:tcW w:w="3280" w:type="dxa"/>
            <w:vAlign w:val="bottom"/>
          </w:tcPr>
          <w:p>
            <w:pPr>
              <w:spacing w:after="0" w:line="196" w:lineRule="exact"/>
              <w:rPr>
                <w:sz w:val="20"/>
                <w:szCs w:val="20"/>
                <w:color w:val="auto"/>
              </w:rPr>
            </w:pPr>
            <w:r>
              <w:rPr>
                <w:rFonts w:ascii="Arial" w:cs="Arial" w:eastAsia="Arial" w:hAnsi="Arial"/>
                <w:sz w:val="18"/>
                <w:szCs w:val="18"/>
                <w:color w:val="auto"/>
              </w:rPr>
              <w:t>(in millions)</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7"/>
                <w:szCs w:val="17"/>
                <w:color w:val="auto"/>
              </w:rPr>
            </w:pPr>
          </w:p>
        </w:tc>
      </w:tr>
      <w:tr>
        <w:trPr>
          <w:trHeight w:val="236"/>
        </w:trPr>
        <w:tc>
          <w:tcPr>
            <w:tcW w:w="3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Revenues</w:t>
            </w:r>
          </w:p>
        </w:tc>
        <w:tc>
          <w:tcPr>
            <w:tcW w:w="840" w:type="dxa"/>
            <w:vAlign w:val="bottom"/>
            <w:shd w:val="clear" w:color="auto" w:fill="CCEEFF"/>
          </w:tcPr>
          <w:p>
            <w:pPr>
              <w:jc w:val="right"/>
              <w:ind w:right="650"/>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(15)</w:t>
            </w:r>
          </w:p>
        </w:tc>
      </w:tr>
      <w:tr>
        <w:trPr>
          <w:trHeight w:val="183"/>
        </w:trPr>
        <w:tc>
          <w:tcPr>
            <w:tcW w:w="328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43"/>
        </w:trPr>
        <w:tc>
          <w:tcPr>
            <w:tcW w:w="3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Operational EBITDA</w:t>
            </w:r>
          </w:p>
        </w:tc>
        <w:tc>
          <w:tcPr>
            <w:tcW w:w="840" w:type="dxa"/>
            <w:vAlign w:val="bottom"/>
            <w:shd w:val="clear" w:color="auto" w:fill="CCEEFF"/>
          </w:tcPr>
          <w:p>
            <w:pPr>
              <w:jc w:val="right"/>
              <w:ind w:right="650"/>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(13)</w:t>
            </w:r>
          </w:p>
        </w:tc>
      </w:tr>
      <w:tr>
        <w:trPr>
          <w:trHeight w:val="399"/>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Revenues</w:t>
            </w: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decline in Digital Printing revenues for the three months ended September 30, 2022 of approximately $3 million primarily reflected volume declines in Electrophotographic Printing Solutions consumables and service ($2 million) and unfavorable foreign currency ($5 million) partially offset by improved volume in PROSPER equipment ($3 million) and more favorable product mix in Electrophotographic Printing Solutions equipment ($1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1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decline in Digital Printing revenues for the nine months ended September 30, 2022 of approximately $15 million primarily reflected volume declines in Electrophotographic Printing Solutions equipment as well as consumables and service ($3 million and $2 million, respectively), volume declines in PROSPER equipment ($1 million), volume declines in VERSAMARK consumables and service ($1 million) and unfavorable foreign currency ($10 million). The unfavorable impacts were partially offset by improved product mix in PROSPER annuities and Electrophotographic Printing Solutions equipment (each $2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8"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Digital Printing Operational EBITDA for the three months ended September 30, 2022 declined $4 million primarily reflecting increased manufacturing costs and unfavorable foreign exchange (each $ 3 million) partially offset by higher margins on PROSPER equipment ($1 million) and a reduction in workers' compensation reserves ($2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18"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Digital Printing Operational EBITDA for the nine months ended September 30, 2022 declined $ 13 million primarily reflecting increased manufacturing costs ($9 million), increased spending on R&amp;D projects ($2 million), unfavorable product mix in Electrophotographic Printing Solutions consumables and service ($1 million) and unfavorable foreign currency ($4 million) partially offset by higher margins on Electrophotographic Printing Solutions equipment ($1 million) and a decrease in workers’ compensation reserves ($3 million).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660" w:type="dxa"/>
            <w:vAlign w:val="bottom"/>
            <w:gridSpan w:val="5"/>
          </w:tcPr>
          <w:p>
            <w:pPr>
              <w:spacing w:after="0"/>
              <w:rPr>
                <w:sz w:val="20"/>
                <w:szCs w:val="20"/>
                <w:color w:val="auto"/>
              </w:rPr>
            </w:pPr>
            <w:r>
              <w:rPr>
                <w:rFonts w:ascii="Arial" w:cs="Arial" w:eastAsia="Arial" w:hAnsi="Arial"/>
                <w:sz w:val="18"/>
                <w:szCs w:val="18"/>
                <w:b w:val="1"/>
                <w:bCs w:val="1"/>
                <w:color w:val="auto"/>
              </w:rPr>
              <w:t>ADVANCED MATERIALS AND CHEMICALS SEGMENT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8"/>
          </w:tcPr>
          <w:p>
            <w:pPr>
              <w:jc w:val="center"/>
              <w:ind w:right="460"/>
              <w:spacing w:after="0"/>
              <w:rPr>
                <w:sz w:val="20"/>
                <w:szCs w:val="20"/>
                <w:color w:val="auto"/>
              </w:rPr>
            </w:pPr>
            <w:r>
              <w:rPr>
                <w:rFonts w:ascii="Arial" w:cs="Arial" w:eastAsia="Arial" w:hAnsi="Arial"/>
                <w:sz w:val="18"/>
                <w:szCs w:val="18"/>
                <w:b w:val="1"/>
                <w:bCs w:val="1"/>
                <w:color w:val="auto"/>
                <w:w w:val="99"/>
              </w:rPr>
              <w:t>Three Months Ended September 30,</w:t>
            </w:r>
          </w:p>
        </w:tc>
        <w:tc>
          <w:tcPr>
            <w:tcW w:w="220" w:type="dxa"/>
            <w:vAlign w:val="bottom"/>
          </w:tcPr>
          <w:p>
            <w:pPr>
              <w:spacing w:after="0"/>
              <w:rPr>
                <w:sz w:val="24"/>
                <w:szCs w:val="24"/>
                <w:color w:val="auto"/>
              </w:rPr>
            </w:pPr>
          </w:p>
        </w:tc>
        <w:tc>
          <w:tcPr>
            <w:tcW w:w="36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196"/>
        </w:trPr>
        <w:tc>
          <w:tcPr>
            <w:tcW w:w="3280" w:type="dxa"/>
            <w:vAlign w:val="bottom"/>
            <w:gridSpan w:val="2"/>
          </w:tcPr>
          <w:p>
            <w:pPr>
              <w:spacing w:after="0" w:line="196" w:lineRule="exact"/>
              <w:rPr>
                <w:sz w:val="20"/>
                <w:szCs w:val="20"/>
                <w:color w:val="auto"/>
              </w:rPr>
            </w:pPr>
            <w:r>
              <w:rPr>
                <w:rFonts w:ascii="Arial" w:cs="Arial" w:eastAsia="Arial" w:hAnsi="Arial"/>
                <w:sz w:val="18"/>
                <w:szCs w:val="18"/>
                <w:color w:val="auto"/>
              </w:rPr>
              <w:t>(in millions)</w:t>
            </w: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7"/>
                <w:szCs w:val="17"/>
                <w:color w:val="auto"/>
              </w:rPr>
            </w:pPr>
          </w:p>
        </w:tc>
      </w:tr>
      <w:tr>
        <w:trPr>
          <w:trHeight w:val="236"/>
        </w:trPr>
        <w:tc>
          <w:tcPr>
            <w:tcW w:w="32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173</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18</w:t>
            </w:r>
          </w:p>
        </w:tc>
      </w:tr>
      <w:tr>
        <w:trPr>
          <w:trHeight w:val="183"/>
        </w:trPr>
        <w:tc>
          <w:tcPr>
            <w:tcW w:w="1280" w:type="dxa"/>
            <w:vAlign w:val="bottom"/>
            <w:tcBorders>
              <w:top w:val="single" w:sz="8" w:color="CCEEFF"/>
            </w:tcBorders>
          </w:tcPr>
          <w:p>
            <w:pPr>
              <w:spacing w:after="0"/>
              <w:rPr>
                <w:sz w:val="15"/>
                <w:szCs w:val="15"/>
                <w:color w:val="auto"/>
              </w:rPr>
            </w:pPr>
          </w:p>
        </w:tc>
        <w:tc>
          <w:tcPr>
            <w:tcW w:w="20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43"/>
        </w:trPr>
        <w:tc>
          <w:tcPr>
            <w:tcW w:w="32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Operational EBITDA</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w:t>
            </w:r>
          </w:p>
        </w:tc>
      </w:tr>
      <w:tr>
        <w:trPr>
          <w:trHeight w:val="399"/>
        </w:trPr>
        <w:tc>
          <w:tcPr>
            <w:tcW w:w="32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Advanced Materials and Chemicals revenues for the three months ended September 30, 2022 improved $3 million primarily from pricing and product mix improvements in Industrial Film and Chemicals ($5 million) partially offset by reduced volume in Industrial Film and Chemicals ($3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18"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Advanced Materials and Chemicals revenues for the nine months ended September 30, 2022 improved $18 million primarily from improved pricing and product mix in Industrial Film and Chemicals ($ 10 million) and volume improvements in Motion Picture and Industrial Film and Chemicals ($5 million and $4 million, respectively) partially offset by unfavorable foreign currency ($2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8"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Advanced Materials and Chemicals Operational EBITDA improved $3 million for the three months ended September 30, 2022 reflecting pricing and product mix improvements in Industrial Film and Chemicals ($5 million) and a reduction in workers' compensation reserves ($2 million), partially offset by increased manufacturing costs for Industrial Film and Chemicals and unfavorable foreign currency (each $1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18"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Advanced Materials and Chemicals Operational EBITDA improved $ 4 million for the nine months ended September 30, 2022 reflecting improved pricing and product mix and increased volume in Industrial Film and Chemicals ($8 million and $3 million, respectively), and a reduction in workers’ compensation reserves ($4 million). The favorable impacts were partially offset by increased manufacturing costs for Industrial Film and Chemicals ($8 million) and unfavorable foreign currency ($2 million).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BRAND SEGMENT</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100" w:type="dxa"/>
            <w:vAlign w:val="bottom"/>
            <w:gridSpan w:val="9"/>
          </w:tcPr>
          <w:p>
            <w:pPr>
              <w:jc w:val="right"/>
              <w:ind w:right="64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4"/>
                <w:szCs w:val="24"/>
                <w:color w:val="auto"/>
              </w:rPr>
            </w:pPr>
          </w:p>
        </w:tc>
        <w:tc>
          <w:tcPr>
            <w:tcW w:w="36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196"/>
        </w:trPr>
        <w:tc>
          <w:tcPr>
            <w:tcW w:w="3280" w:type="dxa"/>
            <w:vAlign w:val="bottom"/>
            <w:gridSpan w:val="2"/>
          </w:tcPr>
          <w:p>
            <w:pPr>
              <w:spacing w:after="0" w:line="196" w:lineRule="exact"/>
              <w:rPr>
                <w:sz w:val="20"/>
                <w:szCs w:val="20"/>
                <w:color w:val="auto"/>
              </w:rPr>
            </w:pPr>
            <w:r>
              <w:rPr>
                <w:rFonts w:ascii="Arial" w:cs="Arial" w:eastAsia="Arial" w:hAnsi="Arial"/>
                <w:sz w:val="18"/>
                <w:szCs w:val="18"/>
                <w:color w:val="auto"/>
              </w:rPr>
              <w:t>(in millions)</w:t>
            </w:r>
          </w:p>
        </w:tc>
        <w:tc>
          <w:tcPr>
            <w:tcW w:w="90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Change</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7"/>
                <w:szCs w:val="17"/>
                <w:color w:val="auto"/>
              </w:rPr>
            </w:pPr>
          </w:p>
        </w:tc>
      </w:tr>
      <w:tr>
        <w:trPr>
          <w:trHeight w:val="236"/>
        </w:trPr>
        <w:tc>
          <w:tcPr>
            <w:tcW w:w="32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jc w:val="right"/>
              <w:ind w:right="710"/>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3</w:t>
            </w:r>
          </w:p>
        </w:tc>
        <w:tc>
          <w:tcPr>
            <w:tcW w:w="900" w:type="dxa"/>
            <w:vAlign w:val="bottom"/>
            <w:shd w:val="clear" w:color="auto" w:fill="CCEEFF"/>
          </w:tcPr>
          <w:p>
            <w:pPr>
              <w:jc w:val="right"/>
              <w:ind w:right="710"/>
              <w:spacing w:after="0" w:line="182" w:lineRule="exact"/>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w:t>
            </w:r>
          </w:p>
        </w:tc>
      </w:tr>
      <w:tr>
        <w:trPr>
          <w:trHeight w:val="183"/>
        </w:trPr>
        <w:tc>
          <w:tcPr>
            <w:tcW w:w="1280" w:type="dxa"/>
            <w:vAlign w:val="bottom"/>
            <w:tcBorders>
              <w:top w:val="single" w:sz="8" w:color="CCEEFF"/>
            </w:tcBorders>
          </w:tcPr>
          <w:p>
            <w:pPr>
              <w:spacing w:after="0"/>
              <w:rPr>
                <w:sz w:val="15"/>
                <w:szCs w:val="15"/>
                <w:color w:val="auto"/>
              </w:rPr>
            </w:pPr>
          </w:p>
        </w:tc>
        <w:tc>
          <w:tcPr>
            <w:tcW w:w="20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23"/>
        </w:trPr>
        <w:tc>
          <w:tcPr>
            <w:tcW w:w="32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Operational EBITDA</w:t>
            </w:r>
          </w:p>
        </w:tc>
        <w:tc>
          <w:tcPr>
            <w:tcW w:w="900" w:type="dxa"/>
            <w:vAlign w:val="bottom"/>
            <w:shd w:val="clear" w:color="auto" w:fill="CCEEFF"/>
          </w:tcPr>
          <w:p>
            <w:pPr>
              <w:jc w:val="right"/>
              <w:ind w:right="710"/>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3</w:t>
            </w:r>
          </w:p>
        </w:tc>
        <w:tc>
          <w:tcPr>
            <w:tcW w:w="900" w:type="dxa"/>
            <w:vAlign w:val="bottom"/>
            <w:shd w:val="clear" w:color="auto" w:fill="CCEEFF"/>
          </w:tcPr>
          <w:p>
            <w:pPr>
              <w:jc w:val="right"/>
              <w:ind w:right="710"/>
              <w:spacing w:after="0" w:line="182" w:lineRule="exact"/>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There were no material changes in Brand revenues or operational EBITDA for the three and nine months ended September 30, 2022 compared to the prior year quarter and year-to-date period.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22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Kodak recorded $3 million of charges for both the three and nine months ended September 30, 2022 in Restructuring costs and other in the Consolidated Statement of Operations.</w:t>
      </w:r>
    </w:p>
    <w:p>
      <w:pPr>
        <w:spacing w:after="0" w:line="183"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Kodak made cash payments related to restructuring of approximately $1 million and $4 million during the three and nine months ended September 30, 2022, respectively.</w:t>
      </w:r>
    </w:p>
    <w:p>
      <w:pPr>
        <w:spacing w:after="0" w:line="183"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The restructuring actions implemented in the first nine months of 2022 are expected to generate future annual cash savings of approximately $7 million, which are expected to reduce future annual SG&amp;A and Cost of revenues expenses by $6 million and $1 million, respectively. The majority of the annual savings are expected to be in effect by the end of the year as actions are completed.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Assessment of Liquidity</w:t>
      </w:r>
    </w:p>
    <w:p>
      <w:pPr>
        <w:spacing w:after="0" w:line="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Kodak ended the quarter with a cash balance of $216 million, a decrease of $146 million from December 31, 2021. On June 15, 2022, Kodak exercised its right to draw down in full an additional $50 million in aggregate principal pursuant to the Term Loan Credit Agreement and received net proceeds of $49 million. On July 13, 2022, Kodak invested $25 million of the proceeds received from the Delayed Draw Term Loans to acquire a minority preferred equity interest in Wildcat.</w:t>
      </w:r>
    </w:p>
    <w:p>
      <w:pPr>
        <w:spacing w:after="0" w:line="191" w:lineRule="exact"/>
        <w:rPr>
          <w:sz w:val="20"/>
          <w:szCs w:val="20"/>
          <w:color w:val="auto"/>
        </w:rPr>
      </w:pPr>
    </w:p>
    <w:p>
      <w:pPr>
        <w:ind w:right="20"/>
        <w:spacing w:after="0" w:line="206" w:lineRule="exact"/>
        <w:rPr>
          <w:sz w:val="20"/>
          <w:szCs w:val="20"/>
          <w:color w:val="auto"/>
        </w:rPr>
      </w:pPr>
      <w:r>
        <w:rPr>
          <w:rFonts w:ascii="Arial" w:cs="Arial" w:eastAsia="Arial" w:hAnsi="Arial"/>
          <w:sz w:val="18"/>
          <w:szCs w:val="18"/>
          <w:color w:val="auto"/>
        </w:rPr>
        <w:t>The financing transactions entered into during the first quarter of 2021 and the full draw down of the Delayed Draw Term Loans in the second quarter of 2022 provided additional liquidity to the Company to fund on</w:t>
      </w:r>
      <w:r>
        <w:rPr>
          <w:rFonts w:ascii="MS PGothic" w:cs="MS PGothic" w:eastAsia="MS PGothic" w:hAnsi="MS PGothic"/>
          <w:sz w:val="18"/>
          <w:szCs w:val="18"/>
          <w:color w:val="auto"/>
        </w:rPr>
        <w:t>‐</w:t>
      </w:r>
      <w:r>
        <w:rPr>
          <w:rFonts w:ascii="Arial" w:cs="Arial" w:eastAsia="Arial" w:hAnsi="Arial"/>
          <w:sz w:val="18"/>
          <w:szCs w:val="18"/>
          <w:color w:val="auto"/>
        </w:rPr>
        <w:t>going operations and obligations, invest in growth opportunities in Kodak’s businesses of print and advanced materials and chemicals and for corporate infrastructure investments expected to contribute to improvements in cash flow.</w:t>
      </w:r>
    </w:p>
    <w:p>
      <w:pPr>
        <w:spacing w:after="0" w:line="19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Available liquidity includes cash balances and the Excess Availability under the Amended ABL Credit Agreement (see below for the definition of Excess Availability). The amount of available liquidity is subject to fluctuations and includes cash balances held by various entities worldwide. At September 30, 2022 and December 31, 2021 approximately $145 million and $250 million, respectively, of cash and cash equivalents were held within the U.S. and approximately $71 million and $112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w:t>
      </w:r>
    </w:p>
    <w:p>
      <w:pPr>
        <w:spacing w:after="0" w:line="1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As of September 30, 2022 and December 31, 2021, outstanding inter-company loans to the U.S. were $ 386 million and $418 million, respectively, which includes short-term inter-company loans from Kodak’s international finance center of $ 88 million and $119 million, respectively</w:t>
      </w:r>
      <w:r>
        <w:rPr>
          <w:rFonts w:ascii="Arial" w:cs="Arial" w:eastAsia="Arial" w:hAnsi="Arial"/>
          <w:sz w:val="18"/>
          <w:szCs w:val="18"/>
          <w:b w:val="1"/>
          <w:bCs w:val="1"/>
          <w:color w:val="auto"/>
        </w:rPr>
        <w:t>.</w:t>
      </w:r>
      <w:r>
        <w:rPr>
          <w:rFonts w:ascii="Arial" w:cs="Arial" w:eastAsia="Arial" w:hAnsi="Arial"/>
          <w:sz w:val="18"/>
          <w:szCs w:val="18"/>
          <w:color w:val="auto"/>
        </w:rPr>
        <w:t xml:space="preserve"> In China, where approximately $28 million and $42 million of cash and cash equivalents was held as of September 30, 2022 and December 31, 2021, respectively, there are limitations related to net asset balances that may impact the ability to make cash available to other jurisdictions in the world. Under the terms of the Amended ABL Credit Agreement, the Company is permitted to invest up to $75 million in Restricted Subsidiaries that are not Loan Parties and in joint ventures or Unrestricted Subsidiaries that are not party to the Amended ABL Credit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As of September 30, 2022, the Company’s Hong Kong subsidiary had an $89 million inter-company loan from one of the Company’s Chinese subsidiaries with a maturity date of November 16, 2022, the proceeds of which were in turn loaned to the Company. The Hong Kong and Chinese subsidiaries have agreed to extend the maturity date of this loan by two years consistent with past practices, which extension is subject to approval from local regulators. While the Company has routinely obtained such approval over the last several years, the local regulators have objected to this extension and the Company is in discussions with the local regulators and local lenders regarding alternatives. Based on prior experience the Company believes it will be able to reach an acceptable extension arrangement; however, given the current macro-economic conditions there are no assurances the maturity date or payment terms of this inter-company loan can be extended, or the loan refinanced, or that cash will be able to be repatriated if payment of the inter-company loan is made. If the inter-company loan is not extended, refinanced or paid by the end of the 30-day grace period following notice by the Chinese subsidiary after a failure to pay on maturity, the Hong Kong subsidiary would default on the inter-company loan, however, such default would not constitute a cross-default under the Company’s Term Loan Credit Facility or Convertible Notes because the Company has obtained an advance waiver for such occurrence under such facilities. If necessary, the Company intends to prevent a cross-default under its other credit facilities by either obtaining requisite waivers under such facilities or paying down the principal balance of the inter-company loan to a level that would prevent any default on the inter-company loan from resulting in a cross-default under such facilities. Any default under the inter-company loan may adversely affect the operations of the Company’s Chinese subsidiaries or the Company’s interaction with those subsidiaries.</w:t>
      </w:r>
    </w:p>
    <w:p>
      <w:pPr>
        <w:spacing w:after="0" w:line="213"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Company had issued approximately $43 million and $44 million letters of credit under the L/C Facility Agreement as of September 30, 2022 and December 31, 2021, respectively. The letters of credit under the L/C Facility Agreement are collateralized by cash collateral (L/C Cash Collateral). The L/C Cash Collateral was $44 million and $45 million at September 30, 2022 and December 31, 2021, respectively, which was classified as Restricted Cash.</w:t>
      </w:r>
    </w:p>
    <w:p>
      <w:pPr>
        <w:spacing w:after="0" w:line="19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Company had issued approximately $ 51 million and $46 million letters of credit under the Amended ABL Credit Agreement as of September 30, 2022 and December 31, 2021, respectively. Under both the Amended ABL Credit Agreement and the ABL Credit Agreement the Company is required to maintain Excess Availability above 12.5% of lender commitments ($11.25 million as of both September 30, 2022 and December 31, 2021), which is tested at the end of each month. Excess Availability was $30 million and $27 million as of September 30, 2022 and December 31, 2021, respectively. If Excess Availability falls below 12.5% of lender commitments a Fixed Charge Coverage Ratio Trigger Event would occur. During any Fixed Charge Coverage Ratio Trigger Event, the Company would be required to maintain a Fixed Charge Coverage Ratio of greater than or equal to 1.0 to 1.0.</w:t>
      </w:r>
    </w:p>
    <w:p>
      <w:pPr>
        <w:spacing w:after="0" w:line="189"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If Excess Availability falls below 12.5% of lender commitments, Kodak may, in addition to the requirement to be in compliance with the minimum Fixed Charge Coverage Ratio, become subject to cash dominion control. Since Excess Availability was greater than 12.5% of lender commitments at September 30, 2022 and December 31, 2021, Kodak is not required to have a minimum Fixed Charge Coverage Ratio of 1.0 to 1.0.</w:t>
      </w:r>
    </w:p>
    <w:p>
      <w:pPr>
        <w:spacing w:after="0" w:line="19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If Excess Availability falls below 12.5% of lender commitments and the Fixed Charge Coverage Ratio is less than 1.0 to 1.0, an Event of Default would occur and the Agent has the right to declare the obligation of each Lender to make Revolving Loans and of the Issuing Banks to issue Letters of Credit to be terminated, and declare the Revolving Loans, all interest thereon and all other amounts payable under the Amended ABL Credit Agreement to be due and payable.</w:t>
      </w:r>
    </w:p>
    <w:p>
      <w:pPr>
        <w:spacing w:after="0" w:line="19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Kodak intends to continue to maintain Excess Availability above the minimum threshold. The borrowing base is supported by Eligible Receivables, Eligible Inventory and Eligible Equipment. As noted above, since Excess Availability was greater than 12.5% of lender commitments Kodak was not required to have a minimum Fixed Charge Coverage Ratio of 1.0 to 1.0. As of September 30, 2022 Fixed Charges (as defined in the ABL Credit Agreement) exceeded EBITDA by approximately $76 million, therefore the Fixed Charges Coverage Ratio was less than 1.0 to 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Under the Amended ABL Credit Agreement and L/C Facility Agreement the Company is required to maintain Minimum Liquidity of at least</w:t>
      </w:r>
    </w:p>
    <w:p>
      <w:pPr>
        <w:spacing w:after="0" w:line="238" w:lineRule="auto"/>
        <w:rPr>
          <w:sz w:val="20"/>
          <w:szCs w:val="20"/>
          <w:color w:val="auto"/>
        </w:rPr>
      </w:pPr>
      <w:r>
        <w:rPr>
          <w:rFonts w:ascii="Arial" w:cs="Arial" w:eastAsia="Arial" w:hAnsi="Arial"/>
          <w:sz w:val="18"/>
          <w:szCs w:val="18"/>
          <w:color w:val="auto"/>
        </w:rPr>
        <w:t>$80 million, which is tested on the last day of each fiscal quarter. Minimum Liquidity was $143 million and $250 million at September 30, 2022 and December 31, 2021, respectively. If Minimum Liquidity falls below $80 million an Event of Default would occur and the Agent has the right to declare the obligation of each Lender to make Revolving Loans and of the Issuing Banks to issue Letters of Credit to be terminated, and declare the Revolving Loans, all interest thereon and all other amounts payable under the Amended ABL Credit Agreement to be due and payable.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maturity date of the Amended ABL Credit Agreement is February 26, 2024 or the date that is 90 days prior to the earliest scheduled maturity date or mandatory redemption date of any of the Company's Term Loans, 2021 Convertible Notes, Series B Preferred Stock, Series C Preferred Stock or any refinancings of any of the foregoing. Should the Company not amend, refinance or extend the Amended ABL Credit Agreement prior to its maturity date, then upon the occurrence of the termination date under the Amended ABL Credit Agreement the obligations thereunder will become due, and the Company will need to provide alternate collateral in place of the letters of credit issued under the Amended ABL Credit Agreement.</w:t>
      </w:r>
    </w:p>
    <w:p>
      <w:pPr>
        <w:spacing w:after="0" w:line="19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Kodak is experiencing negative cash flows due to supply chain disruptions, shortages in materials and labor, increased labor, commodity and distribution costs and slowdown in customer demand related to global economic conditions. The economic uncertainty surrounding the COVID-19 pandemic, the war in Ukraine, the current inflationary environment, and other global events represents an additional element of complexity in Kodak’s plans to return to sustainable positive cash flow. The Company cannot predict the duration and scope of the COVID-19 pandemic, the war in Ukraine, as well as other factors such as the ability to continue to secure raw materials and components, the impact of rising costs of labor, commodity and distribution costs, or how quickly and to what extent normal economic and operating conditions can resume.</w:t>
      </w:r>
    </w:p>
    <w:p>
      <w:pPr>
        <w:spacing w:after="0" w:line="189" w:lineRule="exact"/>
        <w:rPr>
          <w:sz w:val="20"/>
          <w:szCs w:val="20"/>
          <w:color w:val="auto"/>
        </w:rPr>
      </w:pPr>
    </w:p>
    <w:p>
      <w:pPr>
        <w:jc w:val="both"/>
        <w:ind w:right="760"/>
        <w:spacing w:after="0"/>
        <w:rPr>
          <w:sz w:val="20"/>
          <w:szCs w:val="20"/>
          <w:color w:val="auto"/>
        </w:rPr>
      </w:pPr>
      <w:r>
        <w:rPr>
          <w:rFonts w:ascii="Arial" w:cs="Arial" w:eastAsia="Arial" w:hAnsi="Arial"/>
          <w:sz w:val="18"/>
          <w:szCs w:val="18"/>
          <w:color w:val="auto"/>
        </w:rPr>
        <w:t>Kodak's plans to return to sustainable positive cash flow include growing revenues profitably, implementing effective working capital utilization, reducing operating expenses, continuing to simplify the organizational structure, generating cash from selling and leasing underutilized assets and implementing ways to reduce cash collateral needs.</w:t>
      </w:r>
    </w:p>
    <w:p>
      <w:pPr>
        <w:spacing w:after="0" w:line="1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Kodak believes that its liquidity position is adequate to fund its operating and investing needs for the next twelve months and to provide the flexibility to respond as necessary to ordinary changes in the business and economic environment. Kodak’s ability to adequately fund its long-term liquidity and capital requirements will be dependent on amending, refinancing or extending the maturity date of the Amended ABL Credit Agreement, or finding alternative collateral in place of the letters of credit issued under the Amended ABL Credit Agreement, managing world-wide cash through intercompany loans, distributions or other mechanisms, generating positive cash flows from operations or obtaining additional financing to fund its growth investments.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September 30,</w:t>
            </w:r>
          </w:p>
        </w:tc>
        <w:tc>
          <w:tcPr>
            <w:tcW w:w="1700" w:type="dxa"/>
            <w:vAlign w:val="bottom"/>
            <w:gridSpan w:val="5"/>
          </w:tcPr>
          <w:p>
            <w:pPr>
              <w:ind w:left="200"/>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2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Cash, cash equivalents and restricted cash</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8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280</w:t>
            </w:r>
          </w:p>
        </w:tc>
        <w:tc>
          <w:tcPr>
            <w:tcW w:w="400" w:type="dxa"/>
            <w:vAlign w:val="bottom"/>
            <w:shd w:val="clear" w:color="auto" w:fill="CCEEFF"/>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8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423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4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Cash Flow Activity</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rPr>
              <w:t>Nine Months Ended</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5"/>
            <w:vMerge w:val="restart"/>
          </w:tcPr>
          <w:p>
            <w:pPr>
              <w:jc w:val="center"/>
              <w:ind w:right="100"/>
              <w:spacing w:after="0"/>
              <w:rPr>
                <w:sz w:val="20"/>
                <w:szCs w:val="20"/>
                <w:color w:val="auto"/>
              </w:rPr>
            </w:pPr>
            <w:r>
              <w:rPr>
                <w:rFonts w:ascii="Arial" w:cs="Arial" w:eastAsia="Arial" w:hAnsi="Arial"/>
                <w:sz w:val="18"/>
                <w:szCs w:val="18"/>
                <w:b w:val="1"/>
                <w:bCs w:val="1"/>
                <w:color w:val="auto"/>
                <w:w w:val="97"/>
              </w:rPr>
              <w:t>Year-Over-Year</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5"/>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99"/>
              </w:rPr>
              <w:t>Change</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86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color w:val="auto"/>
              </w:rPr>
              <w:t>Cash flows from operating activities:</w:t>
            </w:r>
          </w:p>
        </w:tc>
        <w:tc>
          <w:tcPr>
            <w:tcW w:w="220" w:type="dxa"/>
            <w:vAlign w:val="bottom"/>
            <w:tcBorders>
              <w:right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320" w:type="dxa"/>
            <w:vAlign w:val="bottom"/>
            <w:tcBorders>
              <w:right w:val="single" w:sz="8" w:color="auto"/>
            </w:tcBorders>
            <w:shd w:val="clear" w:color="auto" w:fill="000000"/>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80" w:type="dxa"/>
            <w:vAlign w:val="bottom"/>
          </w:tcPr>
          <w:p>
            <w:pPr>
              <w:spacing w:after="0"/>
              <w:rPr>
                <w:sz w:val="14"/>
                <w:szCs w:val="14"/>
                <w:color w:val="auto"/>
              </w:rPr>
            </w:pPr>
          </w:p>
        </w:tc>
        <w:tc>
          <w:tcPr>
            <w:tcW w:w="4860" w:type="dxa"/>
            <w:vAlign w:val="bottom"/>
            <w:gridSpan w:val="3"/>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(130)</w:t>
            </w:r>
          </w:p>
        </w:tc>
        <w:tc>
          <w:tcPr>
            <w:tcW w:w="960" w:type="dxa"/>
            <w:vAlign w:val="bottom"/>
            <w:vMerge w:val="restart"/>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(33)</w:t>
            </w:r>
          </w:p>
        </w:tc>
        <w:tc>
          <w:tcPr>
            <w:tcW w:w="960" w:type="dxa"/>
            <w:vAlign w:val="bottom"/>
            <w:vMerge w:val="restart"/>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40"/>
              <w:spacing w:after="0" w:line="16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80" w:type="dxa"/>
            <w:vAlign w:val="bottom"/>
          </w:tcPr>
          <w:p>
            <w:pPr>
              <w:spacing w:after="0"/>
              <w:rPr>
                <w:sz w:val="4"/>
                <w:szCs w:val="4"/>
                <w:color w:val="auto"/>
              </w:rPr>
            </w:pPr>
          </w:p>
        </w:tc>
        <w:tc>
          <w:tcPr>
            <w:tcW w:w="4860" w:type="dxa"/>
            <w:vAlign w:val="bottom"/>
            <w:gridSpan w:val="3"/>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jc w:val="right"/>
              <w:spacing w:after="0" w:line="54" w:lineRule="exact"/>
              <w:rPr>
                <w:sz w:val="20"/>
                <w:szCs w:val="20"/>
                <w:color w:val="auto"/>
              </w:rPr>
            </w:pPr>
            <w:r>
              <w:rPr>
                <w:rFonts w:ascii="Arial" w:cs="Arial" w:eastAsia="Arial" w:hAnsi="Arial"/>
                <w:sz w:val="6"/>
                <w:szCs w:val="6"/>
                <w:color w:val="auto"/>
              </w:rPr>
              <w:t>(97</w:t>
            </w: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86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color w:val="auto"/>
              </w:rPr>
              <w:t>Cash flows from investing activities:</w:t>
            </w:r>
          </w:p>
        </w:tc>
        <w:tc>
          <w:tcPr>
            <w:tcW w:w="220" w:type="dxa"/>
            <w:vAlign w:val="bottom"/>
            <w:tcBorders>
              <w:right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320" w:type="dxa"/>
            <w:vAlign w:val="bottom"/>
            <w:tcBorders>
              <w:right w:val="single" w:sz="8" w:color="CCEEFF"/>
            </w:tcBorders>
            <w:shd w:val="clear" w:color="auto" w:fill="000000"/>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80" w:type="dxa"/>
            <w:vAlign w:val="bottom"/>
          </w:tcPr>
          <w:p>
            <w:pPr>
              <w:spacing w:after="0"/>
              <w:rPr>
                <w:sz w:val="14"/>
                <w:szCs w:val="14"/>
                <w:color w:val="auto"/>
              </w:rPr>
            </w:pPr>
          </w:p>
        </w:tc>
        <w:tc>
          <w:tcPr>
            <w:tcW w:w="4860" w:type="dxa"/>
            <w:vAlign w:val="bottom"/>
            <w:gridSpan w:val="3"/>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(44)</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(9)</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40"/>
              <w:spacing w:after="0" w:line="16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80" w:type="dxa"/>
            <w:vAlign w:val="bottom"/>
          </w:tcPr>
          <w:p>
            <w:pPr>
              <w:spacing w:after="0"/>
              <w:rPr>
                <w:sz w:val="4"/>
                <w:szCs w:val="4"/>
                <w:color w:val="auto"/>
              </w:rPr>
            </w:pPr>
          </w:p>
        </w:tc>
        <w:tc>
          <w:tcPr>
            <w:tcW w:w="486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jc w:val="right"/>
              <w:spacing w:after="0" w:line="54" w:lineRule="exact"/>
              <w:rPr>
                <w:sz w:val="20"/>
                <w:szCs w:val="20"/>
                <w:color w:val="auto"/>
              </w:rPr>
            </w:pPr>
            <w:r>
              <w:rPr>
                <w:rFonts w:ascii="Arial" w:cs="Arial" w:eastAsia="Arial" w:hAnsi="Arial"/>
                <w:sz w:val="6"/>
                <w:szCs w:val="6"/>
                <w:color w:val="auto"/>
              </w:rPr>
              <w:t>(35</w:t>
            </w: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2860" w:type="dxa"/>
            <w:vAlign w:val="bottom"/>
            <w:tcBorders>
              <w:bottom w:val="single" w:sz="8" w:color="auto"/>
              <w:right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color w:val="auto"/>
                <w:w w:val="98"/>
              </w:rPr>
              <w:t>Cash flows from financing activities:</w:t>
            </w:r>
          </w:p>
        </w:tc>
        <w:tc>
          <w:tcPr>
            <w:tcW w:w="20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right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8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restricted cash</w:t>
            </w:r>
          </w:p>
        </w:tc>
        <w:tc>
          <w:tcPr>
            <w:tcW w:w="22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80" w:type="dxa"/>
            <w:vAlign w:val="bottom"/>
            <w:tcBorders>
              <w:right w:val="single" w:sz="8" w:color="CCEEFF"/>
            </w:tcBorders>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80" w:type="dxa"/>
            <w:vAlign w:val="bottom"/>
          </w:tcPr>
          <w:p>
            <w:pPr>
              <w:spacing w:after="0"/>
              <w:rPr>
                <w:sz w:val="4"/>
                <w:szCs w:val="4"/>
                <w:color w:val="auto"/>
              </w:rPr>
            </w:pPr>
          </w:p>
        </w:tc>
        <w:tc>
          <w:tcPr>
            <w:tcW w:w="4860" w:type="dxa"/>
            <w:vAlign w:val="bottom"/>
            <w:gridSpan w:val="3"/>
            <w:vMerge w:val="continue"/>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380" w:type="dxa"/>
            <w:vAlign w:val="bottom"/>
            <w:tcBorders>
              <w:right w:val="single" w:sz="8" w:color="CCEEFF"/>
            </w:tcBorders>
            <w:gridSpan w:val="3"/>
            <w:vMerge w:val="continue"/>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80" w:type="dxa"/>
            <w:vAlign w:val="bottom"/>
            <w:tcBorders>
              <w:right w:val="single" w:sz="8" w:color="CCEEFF"/>
            </w:tcBorders>
            <w:gridSpan w:val="2"/>
            <w:vMerge w:val="continue"/>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0" w:type="dxa"/>
            <w:vAlign w:val="bottom"/>
            <w:shd w:val="clear" w:color="auto" w:fill="CCEEFF"/>
          </w:tcPr>
          <w:p>
            <w:pPr>
              <w:jc w:val="right"/>
              <w:spacing w:after="0" w:line="54" w:lineRule="exact"/>
              <w:rPr>
                <w:sz w:val="20"/>
                <w:szCs w:val="20"/>
                <w:color w:val="auto"/>
              </w:rPr>
            </w:pPr>
            <w:r>
              <w:rPr>
                <w:rFonts w:ascii="Arial" w:cs="Arial" w:eastAsia="Arial" w:hAnsi="Arial"/>
                <w:sz w:val="6"/>
                <w:szCs w:val="6"/>
                <w:color w:val="auto"/>
              </w:rPr>
              <w:t>(11</w:t>
            </w:r>
          </w:p>
        </w:tc>
        <w:tc>
          <w:tcPr>
            <w:tcW w:w="100" w:type="dxa"/>
            <w:vAlign w:val="bottom"/>
            <w:shd w:val="clear" w:color="auto" w:fill="CCEEFF"/>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320" w:type="dxa"/>
            <w:vAlign w:val="bottom"/>
            <w:tcBorders>
              <w:right w:val="single" w:sz="8" w:color="CCEEFF"/>
            </w:tcBorders>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0" w:type="dxa"/>
            <w:vAlign w:val="bottom"/>
            <w:vMerge w:val="continue"/>
          </w:tcPr>
          <w:p>
            <w:pPr>
              <w:spacing w:after="0"/>
              <w:rPr>
                <w:sz w:val="16"/>
                <w:szCs w:val="16"/>
                <w:color w:val="auto"/>
              </w:rPr>
            </w:pPr>
          </w:p>
        </w:tc>
        <w:tc>
          <w:tcPr>
            <w:tcW w:w="4860" w:type="dxa"/>
            <w:vAlign w:val="bottom"/>
            <w:gridSpan w:val="3"/>
          </w:tcPr>
          <w:p>
            <w:pPr>
              <w:spacing w:after="0" w:line="195" w:lineRule="exact"/>
              <w:rPr>
                <w:sz w:val="20"/>
                <w:szCs w:val="20"/>
                <w:color w:val="auto"/>
              </w:rPr>
            </w:pPr>
            <w:r>
              <w:rPr>
                <w:rFonts w:ascii="Arial" w:cs="Arial" w:eastAsia="Arial" w:hAnsi="Arial"/>
                <w:sz w:val="18"/>
                <w:szCs w:val="18"/>
                <w:color w:val="auto"/>
              </w:rPr>
              <w:t>Net (decrease) increase in cash, cash equivalents and</w:t>
            </w: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(143)</w:t>
            </w:r>
          </w:p>
        </w:tc>
        <w:tc>
          <w:tcPr>
            <w:tcW w:w="960" w:type="dxa"/>
            <w:vAlign w:val="bottom"/>
            <w:vMerge w:val="restart"/>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6"/>
                <w:szCs w:val="16"/>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vMerge w:val="restart"/>
          </w:tcPr>
          <w:p>
            <w:pPr>
              <w:jc w:val="right"/>
              <w:ind w:right="40"/>
              <w:spacing w:after="0" w:line="344" w:lineRule="exact"/>
              <w:rPr>
                <w:sz w:val="20"/>
                <w:szCs w:val="20"/>
                <w:color w:val="auto"/>
              </w:rPr>
            </w:pPr>
            <w:r>
              <w:rPr>
                <w:rFonts w:ascii="Arial" w:cs="Arial" w:eastAsia="Arial" w:hAnsi="Arial"/>
                <w:sz w:val="18"/>
                <w:szCs w:val="18"/>
                <w:color w:val="auto"/>
              </w:rPr>
              <w:t>(338</w:t>
            </w:r>
            <w:r>
              <w:rPr>
                <w:rFonts w:ascii="Arial" w:cs="Arial" w:eastAsia="Arial" w:hAnsi="Arial"/>
                <w:sz w:val="35"/>
                <w:szCs w:val="35"/>
                <w:color w:val="auto"/>
                <w:vertAlign w:val="superscript"/>
              </w:rPr>
              <w:t>)</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80" w:type="dxa"/>
            <w:vAlign w:val="bottom"/>
          </w:tcPr>
          <w:p>
            <w:pPr>
              <w:spacing w:after="0"/>
              <w:rPr>
                <w:sz w:val="14"/>
                <w:szCs w:val="14"/>
                <w:color w:val="auto"/>
              </w:rPr>
            </w:pPr>
          </w:p>
        </w:tc>
        <w:tc>
          <w:tcPr>
            <w:tcW w:w="4860" w:type="dxa"/>
            <w:vAlign w:val="bottom"/>
            <w:gridSpan w:val="3"/>
          </w:tcPr>
          <w:p>
            <w:pPr>
              <w:spacing w:after="0" w:line="143" w:lineRule="exact"/>
              <w:rPr>
                <w:sz w:val="20"/>
                <w:szCs w:val="20"/>
                <w:color w:val="auto"/>
              </w:rPr>
            </w:pPr>
            <w:r>
              <w:rPr>
                <w:rFonts w:ascii="Arial" w:cs="Arial" w:eastAsia="Arial" w:hAnsi="Arial"/>
                <w:sz w:val="16"/>
                <w:szCs w:val="16"/>
                <w:color w:val="auto"/>
              </w:rPr>
              <w:t>restricted cash</w:t>
            </w:r>
          </w:p>
        </w:tc>
        <w:tc>
          <w:tcPr>
            <w:tcW w:w="54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Net cash used in operating activities increased $97 million for the nine months ended September 30, 2022 as compared with the corresponding period in 2021 primarily due to increased investment in inventory to strengthen the ability to supply customers, an increase in trade receivables driven by revenue growth, and lower cash earnings partially offset by a decrease in cash used for accounts payable.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 w:lineRule="exact"/>
        <w:rPr>
          <w:sz w:val="20"/>
          <w:szCs w:val="20"/>
          <w:color w:val="auto"/>
        </w:rPr>
      </w:pPr>
    </w:p>
    <w:p>
      <w:pPr>
        <w:ind w:right="1060"/>
        <w:spacing w:after="0" w:line="246" w:lineRule="auto"/>
        <w:rPr>
          <w:sz w:val="20"/>
          <w:szCs w:val="20"/>
          <w:color w:val="auto"/>
        </w:rPr>
      </w:pPr>
      <w:r>
        <w:rPr>
          <w:rFonts w:ascii="Arial" w:cs="Arial" w:eastAsia="Arial" w:hAnsi="Arial"/>
          <w:sz w:val="18"/>
          <w:szCs w:val="18"/>
          <w:color w:val="auto"/>
        </w:rPr>
        <w:t>Net cash used in investing activities increased $35 million for the nine months ended September 30, 2022 as compared with the corresponding period in 2021 due to the investment in Wildcat and an increase in capital expenditures.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change in net cash provided by financing activities for the nine months ended September 30, 2022 compared to corresponding period in 2021 was primarily driven by the net proceeds of $247 million received in the prior year period from the refinancing transactions partially offset by net proceeds of $49 million received in the second quarter of 2022 from the Delayed Draw Term Loans as well as lower preferred stock dividend payments in the current year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Resources</w:t>
      </w:r>
    </w:p>
    <w:p>
      <w:pPr>
        <w:spacing w:after="0" w:line="18"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The Term Loan Credit Agreement included a commitment to provide Delayed Draw Term Loans in an aggregate principal amount of $50 million on or before February 26, 2023. The Company drew down the $50 million of Delayed Draw Term Loans on June 15,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Uses of Cash Related to Financing Transactions</w:t>
      </w:r>
    </w:p>
    <w:p>
      <w:pPr>
        <w:spacing w:after="0" w:line="1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holders of the Term Loans are entitled to quarterly cash interest payments at a rate of 8.5% per annum and holders of the Series B Preferred Stock are entitled to cumulative dividends payable quarterly in cash at a rate of 4.0% per annum. The Convertible Notes do not require any debt service until maturity on May 28, 2026 and holders of the Series C Preferred Stock are entitled to cumulative dividends payable quarterly “in-kind” in the form of additional shares of Series C Preferred Stock at a rate of 5.0% per annum. All dividends have been paid when due.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Collateral Requirements</w:t>
      </w:r>
    </w:p>
    <w:p>
      <w:pPr>
        <w:spacing w:after="0" w:line="18"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New York State Workers’ Compensation Board (“NYSWCB”) requires security deposits related to self-insured workers’ compensation obligations. The security deposit required by NYSWCB is based on actuarial calculations of the Company’s obligations and company specific factors such as its declining workforce and reducing exposure. The NYSWCB calculation also includes a financial contingency based on the employer’s credit rating and a calculation of unallocated loss adjustment expenses. In 2020 the NYSWCB waived both of these charges to provide employers relief while they managed the economic impacts of the COVID-19 pandemic. In 2021 the NYSWCB waived the financial contingency based on the Company’s credit rating. The waived security deposit was $17 million in 2020 and increased to $39 million in 2021. After excluding the waived amount for 2021, the increase to the security deposit required by NYSWCB was $19 million. The Company agreed to post additional collateral of approximately $4 million over a five-year period, starting in 2021, to satisfy the security deposit obligation. For 2022, the NYSWCB waived 50 percent of the financial contingency amount based on the Company's credit rating, or</w:t>
      </w:r>
    </w:p>
    <w:p>
      <w:pPr>
        <w:spacing w:after="0" w:line="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$38 million. After excluding the waived amount for 2022, the maximum increase to the security deposit required by NYSWCB could be $13 million. The due date for payment of the 2022 increase in the security deposit is November 15, 2022. The collateral obligation can be satisfied by issuing letters of credit or through other means. The security deposit required by NYSWCB will be re-calculated annually. Therefore, the amount of additional collateral required may change each year.</w:t>
      </w:r>
    </w:p>
    <w:p>
      <w:pPr>
        <w:spacing w:after="0" w:line="19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a result of the Company’s credit ratings, during the second quarter of 2020 two surety bond holders notified the Company they required approximately $9 million of incremental collateral. The Company reduced the surety bond value by approximately $9 million in July 2020 with an equivalent increase to an existing letter of credit with the New York Workers’ Compensation Board. The Company could be required to provide up to $3 million of letters of credit to the issuers of certain surety bonds in the future to fully collateralize the bonds.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and Postretirement Plans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Kodak made net contributions (funded plans) or paid benefits (unfunded plans) totaling approximately $9 million to its defined benefit pension and postretirement benefit plans in the first nine months of 2022. For the balance of 2022, the forecasted contribution (funded plans) and benefit payment (unfunded plans) requirements for its pension and postretirement plans are approximately $6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8" w:lineRule="exact"/>
        <w:rPr>
          <w:sz w:val="20"/>
          <w:szCs w:val="20"/>
          <w:color w:val="auto"/>
        </w:rPr>
      </w:pPr>
    </w:p>
    <w:p>
      <w:pPr>
        <w:ind w:right="40"/>
        <w:spacing w:after="0" w:line="207" w:lineRule="exact"/>
        <w:rPr>
          <w:sz w:val="20"/>
          <w:szCs w:val="20"/>
          <w:color w:val="auto"/>
        </w:rPr>
      </w:pPr>
      <w:r>
        <w:rPr>
          <w:rFonts w:ascii="Arial" w:cs="Arial" w:eastAsia="Arial" w:hAnsi="Arial"/>
          <w:sz w:val="18"/>
          <w:szCs w:val="18"/>
          <w:color w:val="auto"/>
        </w:rPr>
        <w:t>Cash flow from investing activities included $19 million of capital expenditures for the nine months ended September 30, 2022. Kodak expects approximately $ 25 million to $35 million of total capital expenditures for 2022. The expected increase in capital expenditures in 2022 is driven by investments in growth initiatives and back</w:t>
      </w:r>
      <w:r>
        <w:rPr>
          <w:rFonts w:ascii="MS PGothic" w:cs="MS PGothic" w:eastAsia="MS PGothic" w:hAnsi="MS PGothic"/>
          <w:sz w:val="18"/>
          <w:szCs w:val="18"/>
          <w:color w:val="auto"/>
        </w:rPr>
        <w:t>‐</w:t>
      </w:r>
      <w:r>
        <w:rPr>
          <w:rFonts w:ascii="Arial" w:cs="Arial" w:eastAsia="Arial" w:hAnsi="Arial"/>
          <w:sz w:val="18"/>
          <w:szCs w:val="18"/>
          <w:color w:val="auto"/>
        </w:rPr>
        <w:t>office automation.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International Development Finance Corporation Non-Binding Letter of Interest</w:t>
      </w:r>
    </w:p>
    <w:p>
      <w:pPr>
        <w:spacing w:after="0" w:line="22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On July 28, 2020, the U.S. International Development Finance Corporation (“DFC”) signed a non-binding letter of interest to provide a subsidiary of the Company with a potential $765 million loan to support the launch of Kodak Pharmaceuticals, an initiative that would manufacture pharmaceutical ingredients for essential generic drugs. The letter of interest was entered into by the DFC pursuant to authority under the Defense Production Act granted to the DFC by Presidential Executive Order 13922. The Company has previously reported that, given the time that has elapsed and the changes in administration at the federal government and the DFC, the Company has been operating on the basis that the DFC Loan as envisioned at the time of the DFC Announcement would not proceed. On April 22, 2022, the Company received a letter from the DFC advising the Company that the authority conferred on the DFC by Executive Order 13922 expired on March 27, 2022 and that, consequently, the DFC is unable to consider the project further and the Company’s application has been closed.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As noted in the 2021 Form 10-K, Kodak operates and conducts business in many foreign countries and as a result is exposed to fluctuations between the U.S. dollar and other currencies. Volatility in the global financial markets could increase the volatility of foreign currency exchange rates which would, in turn, impact sales and net income. For a discussion of the Company's exposure to market risk and how market risk is mitigated, refer to Part I, Item 1A "Risk Factors" and Part II, Item 7A, "Quantitative and Qualitative Disclosures About Market Risk", contained in the 2021 Form 10-K.</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Kodak maintains disclosure controls and procedures that are designed to ensure that information required to be disclosed in Kodak’s reports filed or submitted under the Securities Exchange Act of 1934 (the “Exchange Act”) is recorded, processed, summarized and reported within the time periods specified in the SEC’s rules and forms, and that such information is accumulated and communicated to management, including Kodak’s Executive Chairman and Chief Executive Officer and Chief Financial Officer, as appropriate, to allow timely decisions regarding required disclosure. Kodak’s management, with the participation of Kodak’s Executive Chairman and Chief Executive Officer and Chief Financial Officer, has evaluated the effectiveness of Kodak’s disclosure controls and procedures as of the end of the period covered by this Quarterly Report on Form 10-Q and have concluded that, as of the end of the period covered by this Quarterly Report on Form 10-Q, Kodak’s disclosure controls and procedures (as defined in Rules 13a-15(e) and 15d-15(e) under the Exchange Act) were effective.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There have been no changes in Kodak’s internal control over financial reporting during the most recently completed fiscal quarter that have materially affected, or are reasonably likely to materially affect, Kodak’s internal control over financial reporting.</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See Note 8, “Commitments and Contingencies” in the Notes to the Financial Statements included in Part I, Item 1, “Financial Statements and Supplementary Data” for information regarding certain legal proceedings in which Kodak is involved.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0"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See the Risk Factors set forth in Part I, Item 1A. of the 2021 Form 10-K for a detailed discussion of risk factors that could materially affect Kodak’s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ind w:left="660" w:right="4040" w:hanging="652"/>
        <w:spacing w:after="0" w:line="469"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of unregistered securities during the quarter ended September 30, 2022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purchases of equity securities during the quarter ended September 30, 2022</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Maximum Number</w:t>
            </w:r>
          </w:p>
        </w:tc>
        <w:tc>
          <w:tcPr>
            <w:tcW w:w="0" w:type="dxa"/>
            <w:vAlign w:val="bottom"/>
          </w:tcPr>
          <w:p>
            <w:pPr>
              <w:spacing w:after="0"/>
              <w:rPr>
                <w:sz w:val="1"/>
                <w:szCs w:val="1"/>
                <w:color w:val="auto"/>
              </w:rPr>
            </w:pPr>
          </w:p>
        </w:tc>
      </w:tr>
      <w:tr>
        <w:trPr>
          <w:trHeight w:val="239"/>
        </w:trPr>
        <w:tc>
          <w:tcPr>
            <w:tcW w:w="3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9"/>
              </w:rPr>
              <w:t>Total Number of</w:t>
            </w:r>
          </w:p>
        </w:tc>
        <w:tc>
          <w:tcPr>
            <w:tcW w:w="1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of Shares</w:t>
            </w:r>
          </w:p>
        </w:tc>
        <w:tc>
          <w:tcPr>
            <w:tcW w:w="0" w:type="dxa"/>
            <w:vAlign w:val="bottom"/>
          </w:tcPr>
          <w:p>
            <w:pPr>
              <w:spacing w:after="0"/>
              <w:rPr>
                <w:sz w:val="1"/>
                <w:szCs w:val="1"/>
                <w:color w:val="auto"/>
              </w:rPr>
            </w:pPr>
          </w:p>
        </w:tc>
      </w:tr>
      <w:tr>
        <w:trPr>
          <w:trHeight w:val="166"/>
        </w:trPr>
        <w:tc>
          <w:tcPr>
            <w:tcW w:w="3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Shares</w:t>
            </w:r>
          </w:p>
        </w:tc>
        <w:tc>
          <w:tcPr>
            <w:tcW w:w="178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That May Yet</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rPr>
              <w:t>Purchased as Part</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Total Number</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jc w:val="center"/>
              <w:ind w:right="500"/>
              <w:spacing w:after="0" w:line="202" w:lineRule="exact"/>
              <w:rPr>
                <w:sz w:val="20"/>
                <w:szCs w:val="20"/>
                <w:color w:val="auto"/>
              </w:rPr>
            </w:pPr>
            <w:r>
              <w:rPr>
                <w:rFonts w:ascii="Arial" w:cs="Arial" w:eastAsia="Arial" w:hAnsi="Arial"/>
                <w:sz w:val="18"/>
                <w:szCs w:val="18"/>
                <w:b w:val="1"/>
                <w:bCs w:val="1"/>
                <w:color w:val="auto"/>
                <w:w w:val="98"/>
              </w:rPr>
              <w:t>Average</w:t>
            </w:r>
          </w:p>
        </w:tc>
        <w:tc>
          <w:tcPr>
            <w:tcW w:w="190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rPr>
              <w:t>of</w:t>
            </w:r>
          </w:p>
        </w:tc>
        <w:tc>
          <w:tcPr>
            <w:tcW w:w="178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Be Purchased</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rPr>
              <w:t>Publicly</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00" w:type="dxa"/>
            <w:vAlign w:val="bottom"/>
          </w:tcPr>
          <w:p>
            <w:pPr>
              <w:spacing w:after="0"/>
              <w:rPr>
                <w:sz w:val="17"/>
                <w:szCs w:val="17"/>
                <w:color w:val="auto"/>
              </w:rPr>
            </w:pPr>
          </w:p>
        </w:tc>
        <w:tc>
          <w:tcPr>
            <w:tcW w:w="1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Shares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jc w:val="center"/>
              <w:ind w:right="480"/>
              <w:spacing w:after="0" w:line="202" w:lineRule="exact"/>
              <w:rPr>
                <w:sz w:val="20"/>
                <w:szCs w:val="20"/>
                <w:color w:val="auto"/>
              </w:rPr>
            </w:pPr>
            <w:r>
              <w:rPr>
                <w:rFonts w:ascii="Arial" w:cs="Arial" w:eastAsia="Arial" w:hAnsi="Arial"/>
                <w:sz w:val="18"/>
                <w:szCs w:val="18"/>
                <w:b w:val="1"/>
                <w:bCs w:val="1"/>
                <w:color w:val="auto"/>
              </w:rPr>
              <w:t>Price Paid</w:t>
            </w:r>
          </w:p>
        </w:tc>
        <w:tc>
          <w:tcPr>
            <w:tcW w:w="190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8"/>
              </w:rPr>
              <w:t>Announced</w:t>
            </w:r>
          </w:p>
        </w:tc>
        <w:tc>
          <w:tcPr>
            <w:tcW w:w="178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under the Plans or</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Plans or Programs</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Purchased (1)</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rPr>
              <w:t>per Share</w:t>
            </w:r>
          </w:p>
        </w:tc>
        <w:tc>
          <w:tcPr>
            <w:tcW w:w="22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20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Programs (2)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July 1 through 31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33,065</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w:t>
            </w:r>
          </w:p>
        </w:tc>
        <w:tc>
          <w:tcPr>
            <w:tcW w:w="190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n/a</w:t>
            </w:r>
          </w:p>
        </w:tc>
        <w:tc>
          <w:tcPr>
            <w:tcW w:w="178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August 1 through 31</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9,552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6.37</w:t>
            </w:r>
          </w:p>
        </w:tc>
        <w:tc>
          <w:tcPr>
            <w:tcW w:w="1900" w:type="dxa"/>
            <w:vAlign w:val="bottom"/>
            <w:gridSpan w:val="2"/>
          </w:tcPr>
          <w:p>
            <w:pPr>
              <w:ind w:left="1460"/>
              <w:spacing w:after="0" w:line="202" w:lineRule="exact"/>
              <w:rPr>
                <w:sz w:val="20"/>
                <w:szCs w:val="20"/>
                <w:color w:val="auto"/>
              </w:rPr>
            </w:pPr>
            <w:r>
              <w:rPr>
                <w:rFonts w:ascii="Arial" w:cs="Arial" w:eastAsia="Arial" w:hAnsi="Arial"/>
                <w:sz w:val="18"/>
                <w:szCs w:val="18"/>
                <w:color w:val="auto"/>
              </w:rPr>
              <w:t>n/a</w:t>
            </w:r>
          </w:p>
        </w:tc>
        <w:tc>
          <w:tcPr>
            <w:tcW w:w="178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September 1 through 30</w:t>
            </w:r>
          </w:p>
        </w:tc>
        <w:tc>
          <w:tcPr>
            <w:tcW w:w="1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9,935</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5.48</w:t>
            </w:r>
          </w:p>
        </w:tc>
        <w:tc>
          <w:tcPr>
            <w:tcW w:w="22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ind w:left="1460"/>
              <w:spacing w:after="0" w:line="202" w:lineRule="exact"/>
              <w:rPr>
                <w:sz w:val="20"/>
                <w:szCs w:val="20"/>
                <w:color w:val="auto"/>
              </w:rPr>
            </w:pPr>
            <w:r>
              <w:rPr>
                <w:rFonts w:ascii="Arial" w:cs="Arial" w:eastAsia="Arial" w:hAnsi="Arial"/>
                <w:sz w:val="18"/>
                <w:szCs w:val="18"/>
                <w:color w:val="auto"/>
              </w:rPr>
              <w:t>n/a</w:t>
            </w:r>
          </w:p>
        </w:tc>
        <w:tc>
          <w:tcPr>
            <w:tcW w:w="1780" w:type="dxa"/>
            <w:vAlign w:val="bottom"/>
            <w:tcBorders>
              <w:bottom w:val="single" w:sz="8" w:color="CCEEFF"/>
            </w:tcBorders>
            <w:gridSpan w:val="2"/>
            <w:shd w:val="clear" w:color="auto" w:fill="CCEEFF"/>
          </w:tcPr>
          <w:p>
            <w:pPr>
              <w:ind w:left="144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6"/>
        </w:trPr>
        <w:tc>
          <w:tcPr>
            <w:tcW w:w="310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720" w:type="dxa"/>
            <w:vAlign w:val="bottom"/>
          </w:tcPr>
          <w:p>
            <w:pPr>
              <w:jc w:val="right"/>
              <w:spacing w:after="0" w:line="182" w:lineRule="exact"/>
              <w:rPr>
                <w:sz w:val="20"/>
                <w:szCs w:val="20"/>
                <w:color w:val="auto"/>
              </w:rPr>
            </w:pPr>
            <w:r>
              <w:rPr>
                <w:rFonts w:ascii="Arial" w:cs="Arial" w:eastAsia="Arial" w:hAnsi="Arial"/>
                <w:sz w:val="18"/>
                <w:szCs w:val="18"/>
                <w:color w:val="auto"/>
              </w:rPr>
              <w:t>52,552</w:t>
            </w:r>
          </w:p>
        </w:tc>
        <w:tc>
          <w:tcPr>
            <w:tcW w:w="48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5.31</w:t>
            </w: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right="220" w:hanging="488"/>
        <w:spacing w:after="0" w:line="246" w:lineRule="auto"/>
        <w:tabs>
          <w:tab w:leader="none" w:pos="820" w:val="left"/>
        </w:tabs>
        <w:numPr>
          <w:ilvl w:val="0"/>
          <w:numId w:val="18"/>
        </w:numPr>
        <w:rPr>
          <w:rFonts w:ascii="Arial" w:cs="Arial" w:eastAsia="Arial" w:hAnsi="Arial"/>
          <w:sz w:val="15"/>
          <w:szCs w:val="15"/>
          <w:color w:val="auto"/>
        </w:rPr>
      </w:pPr>
      <w:r>
        <w:rPr>
          <w:rFonts w:ascii="Arial" w:cs="Arial" w:eastAsia="Arial" w:hAnsi="Arial"/>
          <w:sz w:val="18"/>
          <w:szCs w:val="18"/>
          <w:color w:val="auto"/>
        </w:rPr>
        <w:t>These purchases were made to satisfy tax withholding obligations in connection with the vesting of restricted stock units issued to employees.</w:t>
      </w:r>
    </w:p>
    <w:p>
      <w:pPr>
        <w:spacing w:after="0" w:line="183" w:lineRule="exact"/>
        <w:rPr>
          <w:rFonts w:ascii="Arial" w:cs="Arial" w:eastAsia="Arial" w:hAnsi="Arial"/>
          <w:sz w:val="15"/>
          <w:szCs w:val="15"/>
          <w:color w:val="auto"/>
        </w:rPr>
      </w:pPr>
    </w:p>
    <w:p>
      <w:pPr>
        <w:ind w:left="820" w:hanging="488"/>
        <w:spacing w:after="0"/>
        <w:tabs>
          <w:tab w:leader="none" w:pos="820" w:val="left"/>
        </w:tabs>
        <w:numPr>
          <w:ilvl w:val="0"/>
          <w:numId w:val="18"/>
        </w:numPr>
        <w:rPr>
          <w:rFonts w:ascii="Arial" w:cs="Arial" w:eastAsia="Arial" w:hAnsi="Arial"/>
          <w:sz w:val="15"/>
          <w:szCs w:val="15"/>
          <w:color w:val="auto"/>
        </w:rPr>
      </w:pPr>
      <w:r>
        <w:rPr>
          <w:rFonts w:ascii="Arial" w:cs="Arial" w:eastAsia="Arial" w:hAnsi="Arial"/>
          <w:sz w:val="18"/>
          <w:szCs w:val="18"/>
          <w:color w:val="auto"/>
        </w:rPr>
        <w:t>Kodak does not have a publicly announced repurchase plan or program.</w:t>
      </w:r>
    </w:p>
    <w:p>
      <w:pPr>
        <w:spacing w:after="0" w:line="23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Eastman Kodak Company</w:t>
      </w:r>
    </w:p>
    <w:p>
      <w:pPr>
        <w:jc w:val="center"/>
        <w:ind w:right="-19"/>
        <w:spacing w:after="0"/>
        <w:rPr>
          <w:sz w:val="20"/>
          <w:szCs w:val="20"/>
          <w:color w:val="auto"/>
        </w:rPr>
      </w:pPr>
      <w:r>
        <w:rPr>
          <w:rFonts w:ascii="Arial" w:cs="Arial" w:eastAsia="Arial" w:hAnsi="Arial"/>
          <w:sz w:val="18"/>
          <w:szCs w:val="18"/>
          <w:b w:val="1"/>
          <w:bCs w:val="1"/>
          <w:color w:val="auto"/>
        </w:rPr>
        <w:t>Index to Exhibits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198" w:lineRule="exact"/>
        <w:rPr>
          <w:sz w:val="20"/>
          <w:szCs w:val="20"/>
          <w:color w:val="auto"/>
        </w:rPr>
      </w:pPr>
    </w:p>
    <w:p>
      <w:pPr>
        <w:ind w:left="920" w:hanging="903"/>
        <w:spacing w:after="0" w:line="246"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53">
        <w:r>
          <w:rPr>
            <w:rFonts w:ascii="Arial" w:cs="Arial" w:eastAsia="Arial" w:hAnsi="Arial"/>
            <w:sz w:val="18"/>
            <w:szCs w:val="18"/>
            <w:u w:val="single" w:color="auto"/>
            <w:color w:val="0000EE"/>
          </w:rPr>
          <w:t>Second Amended and Restated Certificate of Incorporation of Eastman Kodak Company (Incorporated by reference to Exhibit 4.1</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of the Company’s Registration Statement on Form S-8 as filed on September 3, 2013).</w:t>
        </w:r>
      </w:hyperlink>
    </w:p>
    <w:p>
      <w:pPr>
        <w:spacing w:after="0" w:line="179" w:lineRule="exact"/>
        <w:rPr>
          <w:sz w:val="20"/>
          <w:szCs w:val="20"/>
          <w:color w:val="auto"/>
        </w:rPr>
      </w:pPr>
    </w:p>
    <w:p>
      <w:pPr>
        <w:spacing w:after="0"/>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(3.2)</w:t>
      </w:r>
      <w:r>
        <w:rPr>
          <w:sz w:val="20"/>
          <w:szCs w:val="20"/>
          <w:color w:val="auto"/>
        </w:rPr>
        <w:tab/>
      </w:r>
      <w:hyperlink r:id="rId54">
        <w:r>
          <w:rPr>
            <w:rFonts w:ascii="Arial" w:cs="Arial" w:eastAsia="Arial" w:hAnsi="Arial"/>
            <w:sz w:val="17"/>
            <w:szCs w:val="17"/>
            <w:u w:val="single" w:color="auto"/>
            <w:color w:val="0000EE"/>
          </w:rPr>
          <w:t>Certificate of Amendment to the Second Amended and Restated Certificate of Incorporation of Eastman Kodak Company.</w:t>
        </w:r>
      </w:hyperlink>
    </w:p>
    <w:p>
      <w:pPr>
        <w:ind w:left="920"/>
        <w:spacing w:after="0"/>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(Incorporated by reference to Exhibit 3.1 of the Company’s Current Report on Form 8-K as filed November 16, 2016).</w:t>
        </w:r>
      </w:hyperlink>
    </w:p>
    <w:p>
      <w:pPr>
        <w:spacing w:after="0" w:line="198" w:lineRule="exact"/>
        <w:rPr>
          <w:sz w:val="20"/>
          <w:szCs w:val="20"/>
          <w:color w:val="auto"/>
        </w:rPr>
      </w:pPr>
    </w:p>
    <w:p>
      <w:pPr>
        <w:ind w:left="920" w:right="680" w:hanging="903"/>
        <w:spacing w:after="0" w:line="274"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(3.3)</w:t>
      </w:r>
      <w:r>
        <w:rPr>
          <w:sz w:val="20"/>
          <w:szCs w:val="20"/>
          <w:color w:val="auto"/>
        </w:rPr>
        <w:tab/>
      </w:r>
      <w:hyperlink r:id="rId54">
        <w:r>
          <w:rPr>
            <w:rFonts w:ascii="Arial" w:cs="Arial" w:eastAsia="Arial" w:hAnsi="Arial"/>
            <w:sz w:val="17"/>
            <w:szCs w:val="17"/>
            <w:u w:val="single" w:color="auto"/>
            <w:color w:val="0000EE"/>
          </w:rPr>
          <w:t>Certificate of Amendment to the Second Amended and Restated Certificate of Incorporation of Eastman Kodak Company</w:t>
        </w:r>
      </w:hyperlink>
      <w:r>
        <w:rPr>
          <w:rFonts w:ascii="Arial" w:cs="Arial" w:eastAsia="Arial" w:hAnsi="Arial"/>
          <w:sz w:val="17"/>
          <w:szCs w:val="17"/>
          <w:u w:val="single" w:color="auto"/>
          <w:color w:val="0000EE"/>
        </w:rPr>
        <w:t xml:space="preserve"> </w:t>
      </w:r>
      <w:hyperlink r:id="rId54">
        <w:r>
          <w:rPr>
            <w:rFonts w:ascii="Arial" w:cs="Arial" w:eastAsia="Arial" w:hAnsi="Arial"/>
            <w:sz w:val="17"/>
            <w:szCs w:val="17"/>
            <w:u w:val="single" w:color="auto"/>
            <w:color w:val="0000EE"/>
          </w:rPr>
          <w:t>(Incorporated by reference to Exhibit (3.1) of the Company’s Current Report on Form 8-K as filed September 12, 2019).</w:t>
        </w:r>
      </w:hyperlink>
    </w:p>
    <w:p>
      <w:pPr>
        <w:spacing w:after="0" w:line="161" w:lineRule="exact"/>
        <w:rPr>
          <w:sz w:val="20"/>
          <w:szCs w:val="20"/>
          <w:color w:val="auto"/>
        </w:rPr>
      </w:pPr>
    </w:p>
    <w:p>
      <w:pPr>
        <w:ind w:left="920" w:right="680" w:hanging="903"/>
        <w:spacing w:after="0" w:line="274"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(3.4)</w:t>
      </w:r>
      <w:r>
        <w:rPr>
          <w:sz w:val="20"/>
          <w:szCs w:val="20"/>
          <w:color w:val="auto"/>
        </w:rPr>
        <w:tab/>
      </w:r>
      <w:hyperlink r:id="rId54">
        <w:r>
          <w:rPr>
            <w:rFonts w:ascii="Arial" w:cs="Arial" w:eastAsia="Arial" w:hAnsi="Arial"/>
            <w:sz w:val="17"/>
            <w:szCs w:val="17"/>
            <w:u w:val="single" w:color="auto"/>
            <w:color w:val="0000EE"/>
          </w:rPr>
          <w:t>Certificate of Amendment to the Second Amended and Restated Certificate of Incorporation of Eastman Kodak Company</w:t>
        </w:r>
      </w:hyperlink>
      <w:r>
        <w:rPr>
          <w:rFonts w:ascii="Arial" w:cs="Arial" w:eastAsia="Arial" w:hAnsi="Arial"/>
          <w:sz w:val="17"/>
          <w:szCs w:val="17"/>
          <w:u w:val="single" w:color="auto"/>
          <w:color w:val="0000EE"/>
        </w:rPr>
        <w:t xml:space="preserve"> </w:t>
      </w:r>
      <w:hyperlink r:id="rId54">
        <w:r>
          <w:rPr>
            <w:rFonts w:ascii="Arial" w:cs="Arial" w:eastAsia="Arial" w:hAnsi="Arial"/>
            <w:sz w:val="17"/>
            <w:szCs w:val="17"/>
            <w:u w:val="single" w:color="auto"/>
            <w:color w:val="0000EE"/>
          </w:rPr>
          <w:t>(Incorporated by reference to Exhibit (3.2) of the Company’s Current Report on Form 8-K as filed September 12, 2019).</w:t>
        </w:r>
      </w:hyperlink>
    </w:p>
    <w:p>
      <w:pPr>
        <w:spacing w:after="0" w:line="161" w:lineRule="exact"/>
        <w:rPr>
          <w:sz w:val="20"/>
          <w:szCs w:val="20"/>
          <w:color w:val="auto"/>
        </w:rPr>
      </w:pPr>
    </w:p>
    <w:p>
      <w:pPr>
        <w:ind w:left="920" w:right="680" w:hanging="903"/>
        <w:spacing w:after="0" w:line="274"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(3.5)</w:t>
      </w:r>
      <w:r>
        <w:rPr>
          <w:sz w:val="20"/>
          <w:szCs w:val="20"/>
          <w:color w:val="auto"/>
        </w:rPr>
        <w:tab/>
      </w:r>
      <w:hyperlink r:id="rId55">
        <w:r>
          <w:rPr>
            <w:rFonts w:ascii="Arial" w:cs="Arial" w:eastAsia="Arial" w:hAnsi="Arial"/>
            <w:sz w:val="17"/>
            <w:szCs w:val="17"/>
            <w:u w:val="single" w:color="auto"/>
            <w:color w:val="0000EE"/>
          </w:rPr>
          <w:t>Certificate of Amendment to the Second Amended and Restated Certificate of Incorporation of Eastman Kodak Company</w:t>
        </w:r>
      </w:hyperlink>
      <w:r>
        <w:rPr>
          <w:rFonts w:ascii="Arial" w:cs="Arial" w:eastAsia="Arial" w:hAnsi="Arial"/>
          <w:sz w:val="17"/>
          <w:szCs w:val="17"/>
          <w:u w:val="single" w:color="auto"/>
          <w:color w:val="0000EE"/>
        </w:rPr>
        <w:t xml:space="preserve"> </w:t>
      </w:r>
      <w:hyperlink r:id="rId55">
        <w:r>
          <w:rPr>
            <w:rFonts w:ascii="Arial" w:cs="Arial" w:eastAsia="Arial" w:hAnsi="Arial"/>
            <w:sz w:val="17"/>
            <w:szCs w:val="17"/>
            <w:u w:val="single" w:color="auto"/>
            <w:color w:val="0000EE"/>
          </w:rPr>
          <w:t>(Incorporated by reference to Exhibit 3.1 of the Company’s Current Report on Form 8-K as filed December 29, 2020).</w:t>
        </w:r>
      </w:hyperlink>
    </w:p>
    <w:p>
      <w:pPr>
        <w:spacing w:after="0" w:line="161" w:lineRule="exact"/>
        <w:rPr>
          <w:sz w:val="20"/>
          <w:szCs w:val="20"/>
          <w:color w:val="auto"/>
        </w:rPr>
      </w:pPr>
    </w:p>
    <w:p>
      <w:pPr>
        <w:ind w:left="920" w:right="680" w:hanging="903"/>
        <w:spacing w:after="0" w:line="274"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(3.6)</w:t>
      </w:r>
      <w:r>
        <w:rPr>
          <w:sz w:val="20"/>
          <w:szCs w:val="20"/>
          <w:color w:val="auto"/>
        </w:rPr>
        <w:tab/>
      </w:r>
      <w:hyperlink r:id="rId56">
        <w:r>
          <w:rPr>
            <w:rFonts w:ascii="Arial" w:cs="Arial" w:eastAsia="Arial" w:hAnsi="Arial"/>
            <w:sz w:val="17"/>
            <w:szCs w:val="17"/>
            <w:u w:val="single" w:color="auto"/>
            <w:color w:val="0000EE"/>
          </w:rPr>
          <w:t>Certificate of Amendment to the Second Amended and Restated Certificate of Incorporation of Eastman Kodak Company</w:t>
        </w:r>
      </w:hyperlink>
      <w:r>
        <w:rPr>
          <w:rFonts w:ascii="Arial" w:cs="Arial" w:eastAsia="Arial" w:hAnsi="Arial"/>
          <w:sz w:val="17"/>
          <w:szCs w:val="17"/>
          <w:u w:val="single" w:color="auto"/>
          <w:color w:val="0000EE"/>
        </w:rPr>
        <w:t xml:space="preserve"> </w:t>
      </w:r>
      <w:hyperlink r:id="rId56">
        <w:r>
          <w:rPr>
            <w:rFonts w:ascii="Arial" w:cs="Arial" w:eastAsia="Arial" w:hAnsi="Arial"/>
            <w:sz w:val="17"/>
            <w:szCs w:val="17"/>
            <w:u w:val="single" w:color="auto"/>
            <w:color w:val="0000EE"/>
          </w:rPr>
          <w:t>(Incorporated by reference to Exhibit 3.1 of the Company’s Current Report on Form 8-K as filed March 1, 2021).</w:t>
        </w:r>
      </w:hyperlink>
    </w:p>
    <w:p>
      <w:pPr>
        <w:spacing w:after="0" w:line="161" w:lineRule="exact"/>
        <w:rPr>
          <w:sz w:val="20"/>
          <w:szCs w:val="20"/>
          <w:color w:val="auto"/>
        </w:rPr>
      </w:pPr>
    </w:p>
    <w:p>
      <w:pPr>
        <w:ind w:left="920" w:right="680" w:hanging="903"/>
        <w:spacing w:after="0" w:line="274"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(3.7)</w:t>
      </w:r>
      <w:r>
        <w:rPr>
          <w:sz w:val="20"/>
          <w:szCs w:val="20"/>
          <w:color w:val="auto"/>
        </w:rPr>
        <w:tab/>
      </w:r>
      <w:hyperlink r:id="rId57">
        <w:r>
          <w:rPr>
            <w:rFonts w:ascii="Arial" w:cs="Arial" w:eastAsia="Arial" w:hAnsi="Arial"/>
            <w:sz w:val="17"/>
            <w:szCs w:val="17"/>
            <w:u w:val="single" w:color="auto"/>
            <w:color w:val="0000EE"/>
          </w:rPr>
          <w:t>Certificate of Amendment to the Second Amended and Restated Certificate of Incorporation of Eastman Kodak Company</w:t>
        </w:r>
      </w:hyperlink>
      <w:r>
        <w:rPr>
          <w:rFonts w:ascii="Arial" w:cs="Arial" w:eastAsia="Arial" w:hAnsi="Arial"/>
          <w:sz w:val="17"/>
          <w:szCs w:val="17"/>
          <w:u w:val="single" w:color="auto"/>
          <w:color w:val="0000EE"/>
        </w:rPr>
        <w:t xml:space="preserve"> </w:t>
      </w:r>
      <w:hyperlink r:id="rId57">
        <w:r>
          <w:rPr>
            <w:rFonts w:ascii="Arial" w:cs="Arial" w:eastAsia="Arial" w:hAnsi="Arial"/>
            <w:sz w:val="17"/>
            <w:szCs w:val="17"/>
            <w:u w:val="single" w:color="auto"/>
            <w:color w:val="0000EE"/>
          </w:rPr>
          <w:t>(Incorporated by reference to Exhibit 3.2 of the Company’s Current Report on Form 8-K as filed March 1, 2021).</w:t>
        </w:r>
      </w:hyperlink>
    </w:p>
    <w:p>
      <w:pPr>
        <w:spacing w:after="0" w:line="161" w:lineRule="exact"/>
        <w:rPr>
          <w:sz w:val="20"/>
          <w:szCs w:val="20"/>
          <w:color w:val="auto"/>
        </w:rPr>
      </w:pPr>
    </w:p>
    <w:p>
      <w:pPr>
        <w:ind w:left="920" w:right="880" w:hanging="903"/>
        <w:spacing w:after="0" w:line="274"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(3.8)</w:t>
      </w:r>
      <w:r>
        <w:rPr>
          <w:sz w:val="20"/>
          <w:szCs w:val="20"/>
          <w:color w:val="auto"/>
        </w:rPr>
        <w:tab/>
      </w:r>
      <w:hyperlink r:id="rId58">
        <w:r>
          <w:rPr>
            <w:rFonts w:ascii="Arial" w:cs="Arial" w:eastAsia="Arial" w:hAnsi="Arial"/>
            <w:sz w:val="17"/>
            <w:szCs w:val="17"/>
            <w:u w:val="single" w:color="auto"/>
            <w:color w:val="0000EE"/>
          </w:rPr>
          <w:t>Fourth Amended and Restated By-Laws of Eastman Kodak Company (Incorporated by reference to Exhibit (3.5) of the</w:t>
        </w:r>
      </w:hyperlink>
      <w:r>
        <w:rPr>
          <w:rFonts w:ascii="Arial" w:cs="Arial" w:eastAsia="Arial" w:hAnsi="Arial"/>
          <w:sz w:val="17"/>
          <w:szCs w:val="17"/>
          <w:u w:val="single" w:color="auto"/>
          <w:color w:val="0000EE"/>
        </w:rPr>
        <w:t xml:space="preserve"> </w:t>
      </w:r>
      <w:hyperlink r:id="rId58">
        <w:r>
          <w:rPr>
            <w:rFonts w:ascii="Arial" w:cs="Arial" w:eastAsia="Arial" w:hAnsi="Arial"/>
            <w:sz w:val="17"/>
            <w:szCs w:val="17"/>
            <w:u w:val="single" w:color="auto"/>
            <w:color w:val="0000EE"/>
          </w:rPr>
          <w:t>Company’s Quarterly Report on Form 10-Q for the quarterly period ended March 31, 2020 as filed on May 12, 2020).</w:t>
        </w:r>
      </w:hyperlink>
    </w:p>
    <w:p>
      <w:pPr>
        <w:spacing w:after="0" w:line="16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EE"/>
        </w:rPr>
        <w:t>Certification signed by James V. Continenza, filed herewith.</w:t>
      </w:r>
    </w:p>
    <w:p>
      <w:pPr>
        <w:spacing w:after="0" w:line="19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EE"/>
        </w:rPr>
        <w:t>Certification signed by David E. Bullwinkle, filed herewith.</w:t>
      </w:r>
    </w:p>
    <w:p>
      <w:pPr>
        <w:spacing w:after="0" w:line="198" w:lineRule="exact"/>
        <w:rPr>
          <w:sz w:val="20"/>
          <w:szCs w:val="20"/>
          <w:color w:val="auto"/>
        </w:rPr>
      </w:pPr>
    </w:p>
    <w:p>
      <w:pPr>
        <w:ind w:left="920" w:right="40" w:hanging="903"/>
        <w:spacing w:after="0" w:line="246" w:lineRule="auto"/>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EE"/>
        </w:rPr>
        <w:t>Certification Pursuant to 18 U.S.C. Section 1350, as Adopted Pursuant to Section 906 of the Sarbanes-Oxley Act of 2002, signed by James V. Continenza, filed herewith.</w:t>
      </w:r>
    </w:p>
    <w:p>
      <w:pPr>
        <w:spacing w:after="0" w:line="183" w:lineRule="exact"/>
        <w:rPr>
          <w:sz w:val="20"/>
          <w:szCs w:val="20"/>
          <w:color w:val="auto"/>
        </w:rPr>
      </w:pPr>
    </w:p>
    <w:p>
      <w:pPr>
        <w:ind w:left="920" w:right="100" w:hanging="903"/>
        <w:spacing w:after="0" w:line="246" w:lineRule="auto"/>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EE"/>
        </w:rPr>
        <w:t>Certification Pursuant to 18 U.S.C. Section 1350, as Adopted Pursuant to Section 906 of the Sarbanes-Oxley Act of 2002 signed by David E. Bullwinkle, filed herewith.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(101.CAL) Inline XBRL Taxonomy Extension Calculation Linkbase.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(101.INS)  Inline XBRL Instance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(101.LAB) Inline XBRL Taxonomy Extension Label Linkbase.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(101.PRE) Inline XBRL Taxonomy Extension Presentation Linkbase.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(101.SCH) Inline XBRL Taxonomy Extension Schema Linkbase.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(101.DEF) Inline XBRL Taxonomy Extension Definition Linkbase</w:t>
      </w:r>
    </w:p>
    <w:p>
      <w:pPr>
        <w:spacing w:after="0" w:line="198" w:lineRule="exact"/>
        <w:rPr>
          <w:sz w:val="20"/>
          <w:szCs w:val="20"/>
          <w:color w:val="auto"/>
        </w:rPr>
      </w:pPr>
    </w:p>
    <w:p>
      <w:pPr>
        <w:ind w:left="5480" w:right="3220" w:hanging="5472"/>
        <w:spacing w:after="0" w:line="481" w:lineRule="auto"/>
        <w:tabs>
          <w:tab w:leader="none" w:pos="9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4"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EASTMAN KODAK COMPANY</w:t>
      </w:r>
    </w:p>
    <w:p>
      <w:pPr>
        <w:spacing w:after="0" w:line="1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(Registrant)</w:t>
      </w:r>
    </w:p>
    <w:p>
      <w:pPr>
        <w:spacing w:after="0" w:line="379"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b w:val="1"/>
          <w:bCs w:val="1"/>
          <w:color w:val="auto"/>
        </w:rPr>
        <w:t>Date: November 8, 2022</w:t>
      </w:r>
      <w:r>
        <w:rPr>
          <w:sz w:val="20"/>
          <w:szCs w:val="20"/>
          <w:color w:val="auto"/>
        </w:rPr>
        <w:tab/>
      </w:r>
      <w:r>
        <w:rPr>
          <w:rFonts w:ascii="Arial" w:cs="Arial" w:eastAsia="Arial" w:hAnsi="Arial"/>
          <w:sz w:val="17"/>
          <w:szCs w:val="17"/>
          <w:b w:val="1"/>
          <w:bCs w:val="1"/>
          <w:color w:val="auto"/>
        </w:rPr>
        <w:t>/s/ Richard T.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11430</wp:posOffset>
            </wp:positionV>
            <wp:extent cx="32746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Richard T. Michaels</w:t>
      </w:r>
    </w:p>
    <w:p>
      <w:pPr>
        <w:ind w:left="6080"/>
        <w:spacing w:after="0" w:line="234" w:lineRule="auto"/>
        <w:rPr>
          <w:sz w:val="20"/>
          <w:szCs w:val="20"/>
          <w:color w:val="auto"/>
        </w:rPr>
      </w:pPr>
      <w:r>
        <w:rPr>
          <w:rFonts w:ascii="Arial" w:cs="Arial" w:eastAsia="Arial" w:hAnsi="Arial"/>
          <w:sz w:val="18"/>
          <w:szCs w:val="18"/>
          <w:b w:val="1"/>
          <w:bCs w:val="1"/>
          <w:color w:val="auto"/>
        </w:rPr>
        <w:t>Chief Accounting Officer and Corporate Controller</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(Chief Accounting Officer and Authorized Signatory)</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125" w:right="4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James V. Continenza, certify that:</w:t>
      </w:r>
    </w:p>
    <w:p>
      <w:pPr>
        <w:spacing w:after="0" w:line="198"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Form 10-Q of Eastman Kodak Company;</w:t>
      </w:r>
    </w:p>
    <w:p>
      <w:pPr>
        <w:spacing w:after="0" w:line="238" w:lineRule="exact"/>
        <w:rPr>
          <w:rFonts w:ascii="Arial" w:cs="Arial" w:eastAsia="Arial" w:hAnsi="Arial"/>
          <w:sz w:val="18"/>
          <w:szCs w:val="18"/>
          <w:color w:val="auto"/>
        </w:rPr>
      </w:pPr>
    </w:p>
    <w:p>
      <w:pPr>
        <w:ind w:left="500" w:right="1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8"/>
          <w:szCs w:val="18"/>
          <w:color w:val="auto"/>
        </w:rPr>
      </w:pPr>
    </w:p>
    <w:p>
      <w:pPr>
        <w:ind w:left="500" w:hanging="492"/>
        <w:spacing w:after="0" w:line="274"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7"/>
          <w:szCs w:val="17"/>
          <w:color w:val="auto"/>
        </w:rPr>
      </w:pPr>
    </w:p>
    <w:p>
      <w:pPr>
        <w:ind w:left="500" w:right="3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rFonts w:ascii="Arial" w:cs="Arial" w:eastAsia="Arial" w:hAnsi="Arial"/>
          <w:sz w:val="18"/>
          <w:szCs w:val="18"/>
          <w:color w:val="auto"/>
        </w:rPr>
      </w:pPr>
    </w:p>
    <w:p>
      <w:pPr>
        <w:jc w:val="both"/>
        <w:ind w:left="500" w:right="220" w:hanging="6"/>
        <w:spacing w:after="0"/>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500" w:right="40" w:hanging="6"/>
        <w:spacing w:after="0"/>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500" w:right="360" w:hanging="6"/>
        <w:spacing w:after="0"/>
        <w:tabs>
          <w:tab w:leader="none" w:pos="7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ind w:left="500" w:right="300" w:hanging="6"/>
        <w:spacing w:after="0"/>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500" w:righ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ind w:left="500" w:right="180" w:hanging="6"/>
        <w:spacing w:after="0" w:line="246" w:lineRule="auto"/>
        <w:tabs>
          <w:tab w:leader="none" w:pos="7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500" w:right="420" w:hanging="6"/>
        <w:spacing w:after="0" w:line="246" w:lineRule="auto"/>
        <w:tabs>
          <w:tab w:leader="none" w:pos="7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James V. Continenza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60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James V. Continenza</w:t>
      </w:r>
    </w:p>
    <w:p>
      <w:pPr>
        <w:spacing w:after="0" w:line="234" w:lineRule="auto"/>
        <w:rPr>
          <w:sz w:val="20"/>
          <w:szCs w:val="20"/>
          <w:color w:val="auto"/>
        </w:rPr>
      </w:pPr>
      <w:r>
        <w:rPr>
          <w:rFonts w:ascii="Arial" w:cs="Arial" w:eastAsia="Arial" w:hAnsi="Arial"/>
          <w:sz w:val="18"/>
          <w:szCs w:val="18"/>
          <w:color w:val="auto"/>
        </w:rPr>
        <w:t>Executive Chairman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2022</w:t>
      </w:r>
    </w:p>
    <w:p>
      <w:pPr>
        <w:sectPr>
          <w:pgSz w:w="11900" w:h="16838" w:orient="portrait"/>
          <w:cols w:equalWidth="0" w:num="1">
            <w:col w:w="11240"/>
          </w:cols>
          <w:pgMar w:left="320" w:top="11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David E. Bullwinkle, certify that:</w:t>
      </w:r>
    </w:p>
    <w:p>
      <w:pPr>
        <w:spacing w:after="0" w:line="198"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Form 10-Q of Eastman Kodak Company;</w:t>
      </w:r>
    </w:p>
    <w:p>
      <w:pPr>
        <w:spacing w:after="0" w:line="238" w:lineRule="exact"/>
        <w:rPr>
          <w:rFonts w:ascii="Arial" w:cs="Arial" w:eastAsia="Arial" w:hAnsi="Arial"/>
          <w:sz w:val="18"/>
          <w:szCs w:val="18"/>
          <w:color w:val="auto"/>
        </w:rPr>
      </w:pPr>
    </w:p>
    <w:p>
      <w:pPr>
        <w:ind w:left="500" w:right="1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8"/>
          <w:szCs w:val="18"/>
          <w:color w:val="auto"/>
        </w:rPr>
      </w:pPr>
    </w:p>
    <w:p>
      <w:pPr>
        <w:ind w:left="500" w:hanging="492"/>
        <w:spacing w:after="0" w:line="274"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7"/>
          <w:szCs w:val="17"/>
          <w:color w:val="auto"/>
        </w:rPr>
      </w:pPr>
    </w:p>
    <w:p>
      <w:pPr>
        <w:ind w:left="500" w:right="3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rFonts w:ascii="Arial" w:cs="Arial" w:eastAsia="Arial" w:hAnsi="Arial"/>
          <w:sz w:val="18"/>
          <w:szCs w:val="18"/>
          <w:color w:val="auto"/>
        </w:rPr>
      </w:pPr>
    </w:p>
    <w:p>
      <w:pPr>
        <w:jc w:val="both"/>
        <w:ind w:left="500" w:right="220" w:hanging="6"/>
        <w:spacing w:after="0"/>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500" w:right="40" w:hanging="6"/>
        <w:spacing w:after="0"/>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500" w:right="360" w:hanging="6"/>
        <w:spacing w:after="0"/>
        <w:tabs>
          <w:tab w:leader="none" w:pos="7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ind w:left="500" w:right="300" w:hanging="6"/>
        <w:spacing w:after="0"/>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500" w:righ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ind w:left="500" w:right="180" w:hanging="6"/>
        <w:spacing w:after="0" w:line="246" w:lineRule="auto"/>
        <w:tabs>
          <w:tab w:leader="none" w:pos="7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500" w:right="420" w:hanging="6"/>
        <w:spacing w:after="0" w:line="246" w:lineRule="auto"/>
        <w:tabs>
          <w:tab w:leader="none" w:pos="7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David E. Bullwinkle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60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David E. Bullwinkle</w:t>
      </w: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2022</w:t>
      </w:r>
    </w:p>
    <w:p>
      <w:pPr>
        <w:sectPr>
          <w:pgSz w:w="11900" w:h="16838" w:orient="portrait"/>
          <w:cols w:equalWidth="0" w:num="1">
            <w:col w:w="11240"/>
          </w:cols>
          <w:pgMar w:left="320" w:top="11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connection with the Quarterly Report of Eastman Kodak Company (the "Company") on Form 10-Q for the period ended September 30, 2022, as filed with the Securities and Exchange Commission on the date hereof (the "Report"), I, James V. Continenza, Executive Chairman and Chief Executive Officer of the Company, certify, pursuant to 18 U.S.C. Section 1350, as adopted pursuant to Section 906 of the Sarbanes-Oxley Act of 2002, that to the best of my knowledge:</w:t>
      </w:r>
    </w:p>
    <w:p>
      <w:pPr>
        <w:spacing w:after="0" w:line="191" w:lineRule="exact"/>
        <w:rPr>
          <w:sz w:val="20"/>
          <w:szCs w:val="20"/>
          <w:color w:val="auto"/>
        </w:rPr>
      </w:pPr>
    </w:p>
    <w:p>
      <w:pPr>
        <w:ind w:left="760" w:hanging="266"/>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500" w:right="220" w:hanging="6"/>
        <w:spacing w:after="0" w:line="246" w:lineRule="auto"/>
        <w:tabs>
          <w:tab w:leader="none" w:pos="75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James V. Continenza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-1905</wp:posOffset>
            </wp:positionV>
            <wp:extent cx="24942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James V. Continenza</w:t>
      </w:r>
    </w:p>
    <w:p>
      <w:pPr>
        <w:ind w:left="500"/>
        <w:spacing w:after="0" w:line="234" w:lineRule="auto"/>
        <w:rPr>
          <w:sz w:val="20"/>
          <w:szCs w:val="20"/>
          <w:color w:val="auto"/>
        </w:rPr>
      </w:pPr>
      <w:r>
        <w:rPr>
          <w:rFonts w:ascii="Arial" w:cs="Arial" w:eastAsia="Arial" w:hAnsi="Arial"/>
          <w:sz w:val="18"/>
          <w:szCs w:val="18"/>
          <w:color w:val="auto"/>
        </w:rPr>
        <w:t>Executive Chairman and</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8, 2022</w:t>
      </w:r>
    </w:p>
    <w:p>
      <w:pPr>
        <w:sectPr>
          <w:pgSz w:w="11900" w:h="16838" w:orient="portrait"/>
          <w:cols w:equalWidth="0" w:num="1">
            <w:col w:w="11240"/>
          </w:cols>
          <w:pgMar w:left="320" w:top="118"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connection with the Quarterly Report of Eastman Kodak Company (the "Company") on Form 10-Q for the period ended September 30, 2022,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91" w:lineRule="exact"/>
        <w:rPr>
          <w:sz w:val="20"/>
          <w:szCs w:val="20"/>
          <w:color w:val="auto"/>
        </w:rPr>
      </w:pPr>
    </w:p>
    <w:p>
      <w:pPr>
        <w:ind w:left="760" w:hanging="266"/>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500" w:right="220" w:hanging="6"/>
        <w:spacing w:after="0" w:line="246" w:lineRule="auto"/>
        <w:tabs>
          <w:tab w:leader="none" w:pos="75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David E. Bullwinkle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-1905</wp:posOffset>
            </wp:positionV>
            <wp:extent cx="24942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David E. Bullwinkle</w:t>
      </w:r>
    </w:p>
    <w:p>
      <w:pPr>
        <w:ind w:left="5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8, 2022</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lowerRoman"/>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04"/>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53" Type="http://schemas.openxmlformats.org/officeDocument/2006/relationships/hyperlink" Target="http://www.sec.gov/Archives/edgar/data/31235/000119312513354928/d591063dex41.htm" TargetMode="External"/><Relationship Id="rId54" Type="http://schemas.openxmlformats.org/officeDocument/2006/relationships/hyperlink" Target="http://www.sec.gov/Archives/edgar/data/31235/000156459016029358/kodk-ex31_26.htm" TargetMode="External"/><Relationship Id="rId55" Type="http://schemas.openxmlformats.org/officeDocument/2006/relationships/hyperlink" Target="http://www.sec.gov/Archives/edgar/data/31235/000156459020058718/kodk-ex31_14.htm" TargetMode="External"/><Relationship Id="rId56" Type="http://schemas.openxmlformats.org/officeDocument/2006/relationships/hyperlink" Target="http://www.sec.gov/Archives/edgar/data/31235/000119312521062328/d468860dex31.htm" TargetMode="External"/><Relationship Id="rId57" Type="http://schemas.openxmlformats.org/officeDocument/2006/relationships/hyperlink" Target="http://www.sec.gov/Archives/edgar/data/31235/000119312521062328/d468860dex32.htm" TargetMode="External"/><Relationship Id="rId58" Type="http://schemas.openxmlformats.org/officeDocument/2006/relationships/hyperlink" Target="http://www.sec.gov/Archives/edgar/data/31235/000156459020024666/kodk-ex35_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2022-11-08T16:07:31Z</dcterms:created>
  <dcterms:modified xsi:type="dcterms:W3CDTF">2022-11-08T16:07:31Z</dcterms:modified>
</cp:coreProperties>
</file>