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the Securities Exchange Act of 1934 (Amendment No.    )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  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Eastman Kodak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27940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149225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800" w:hanging="563"/>
        <w:spacing w:after="0"/>
        <w:tabs>
          <w:tab w:leader="none" w:pos="8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800" w:hanging="563"/>
        <w:spacing w:after="0"/>
        <w:tabs>
          <w:tab w:leader="none" w:pos="8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00" w:hanging="563"/>
        <w:spacing w:after="0"/>
        <w:tabs>
          <w:tab w:leader="none" w:pos="8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193040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287655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441960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9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115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11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0637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06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2026-04-09T07:05:07Z</dcterms:created>
  <dcterms:modified xsi:type="dcterms:W3CDTF">2026-04-09T07:05:07Z</dcterms:modified>
</cp:coreProperties>
</file>