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k-20260804.htm"/>
      <w:bookmarkStart w:id="1" w:name="kskodk20260804"/>
      <w:bookmarkEnd w:id="0"/>
      <w:bookmarkEnd w:id="1"/>
      <w:r>
        <w:rPr/>
        <w:t> </w:t>
      </w:r>
    </w:p>
    <w:p>
      <w:pPr>
        <w:pStyle w:val="TextBody"/>
        <w:bidi w:val="0"/>
        <w:jc w:val="center"/>
        <w:rPr>
          <w:rFonts w:ascii="Times New Roman" w:hAnsi="Times New Roman"/>
          <w:b/>
          <w:color w:val="000000"/>
          <w:sz w:val="32"/>
        </w:rPr>
      </w:pPr>
      <w:bookmarkStart w:id="2" w:name="fis_form"/>
      <w:bookmarkStart w:id="3" w:name="eolpage1"/>
      <w:bookmarkStart w:id="4" w:name="companyofficersannouncement_htm"/>
      <w:bookmarkStart w:id="5" w:name="fis_top_of_document"/>
      <w:bookmarkEnd w:id="2"/>
      <w:bookmarkEnd w:id="3"/>
      <w:bookmarkEnd w:id="4"/>
      <w:bookmarkEnd w:id="5"/>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32"/>
        </w:rPr>
      </w:pPr>
      <w:r>
        <w:rPr>
          <w:rFonts w:ascii="Times New Roman" w:hAnsi="Times New Roman"/>
          <w:b/>
          <w:color w:val="000000"/>
          <w:sz w:val="32"/>
        </w:rPr>
        <w:t>Washington, D.C. 20549</w:t>
      </w:r>
    </w:p>
    <w:tbl>
      <w:tblPr>
        <w:tblW w:w="7623" w:type="dxa"/>
        <w:jc w:val="left"/>
        <w:tblInd w:w="0" w:type="dxa"/>
        <w:tblLayout w:type="fixed"/>
        <w:tblCellMar>
          <w:top w:w="28" w:type="dxa"/>
          <w:left w:w="28" w:type="dxa"/>
          <w:bottom w:w="28" w:type="dxa"/>
          <w:right w:w="28" w:type="dxa"/>
        </w:tblCellMar>
      </w:tblPr>
      <w:tblGrid>
        <w:gridCol w:w="3676"/>
        <w:gridCol w:w="2296"/>
        <w:gridCol w:w="1651"/>
      </w:tblGrid>
      <w:tr>
        <w:trPr/>
        <w:tc>
          <w:tcPr>
            <w:tcW w:w="367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7623" w:type="dxa"/>
            <w:gridSpan w:val="3"/>
            <w:tcBorders/>
            <w:tcMar>
              <w:top w:w="0" w:type="dxa"/>
              <w:left w:w="0" w:type="dxa"/>
              <w:bottom w:w="0" w:type="dxa"/>
              <w:right w:w="0" w:type="dxa"/>
            </w:tcMar>
            <w:vAlign w:val="center"/>
          </w:tcPr>
          <w:p>
            <w:pPr>
              <w:pStyle w:val="TableContents"/>
              <w:bidi w:val="0"/>
              <w:spacing w:before="0" w:after="160"/>
              <w:jc w:val="center"/>
              <w:rPr>
                <w:rFonts w:ascii="Times New Roman" w:hAnsi="Times New Roman"/>
                <w:b/>
                <w:color w:val="000000"/>
                <w:sz w:val="24"/>
              </w:rPr>
            </w:pPr>
            <w:r>
              <w:rPr>
                <w:rFonts w:ascii="Times New Roman" w:hAnsi="Times New Roman"/>
                <w:b/>
                <w:color w:val="000000"/>
                <w:sz w:val="24"/>
              </w:rPr>
              <w:t>________________</w:t>
            </w:r>
          </w:p>
          <w:p>
            <w:pPr>
              <w:pStyle w:val="TableContents"/>
              <w:bidi w:val="0"/>
              <w:spacing w:before="80" w:after="240"/>
              <w:jc w:val="center"/>
              <w:rPr>
                <w:rFonts w:ascii="Times New Roman" w:hAnsi="Times New Roman"/>
                <w:sz w:val="24"/>
              </w:rPr>
            </w:pPr>
            <w:r>
              <w:rPr>
                <w:rFonts w:ascii="Times New Roman" w:hAnsi="Times New Roman"/>
                <w:b/>
                <w:color w:val="000000"/>
                <w:sz w:val="32"/>
              </w:rPr>
              <w:t>Form 8-K</w:t>
              <w:br/>
            </w:r>
            <w:r>
              <w:rPr>
                <w:rFonts w:ascii="Times New Roman" w:hAnsi="Times New Roman"/>
                <w:b/>
                <w:color w:val="000000"/>
                <w:sz w:val="24"/>
              </w:rPr>
              <w:t>________________</w:t>
            </w:r>
          </w:p>
        </w:tc>
      </w:tr>
      <w:tr>
        <w:trPr/>
        <w:tc>
          <w:tcPr>
            <w:tcW w:w="7623"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CURRENT REPORT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tc>
      </w:tr>
      <w:tr>
        <w:trPr/>
        <w:tc>
          <w:tcPr>
            <w:tcW w:w="762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3" w:type="dxa"/>
            <w:gridSpan w:val="3"/>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Date of Report (Date of earliest event reported): August 4, 2026</w:t>
            </w:r>
          </w:p>
          <w:p>
            <w:pPr>
              <w:pStyle w:val="TableContents"/>
              <w:bidi w:val="0"/>
              <w:spacing w:before="0" w:after="283"/>
              <w:jc w:val="left"/>
              <w:rPr/>
            </w:pPr>
            <w:r>
              <w:rPr/>
              <w:t> </w:t>
            </w:r>
          </w:p>
        </w:tc>
      </w:tr>
      <w:tr>
        <w:trPr/>
        <w:tc>
          <w:tcPr>
            <w:tcW w:w="7623" w:type="dxa"/>
            <w:gridSpan w:val="3"/>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32"/>
              </w:rPr>
              <w:t>EASTMAN KODAK COMPANY</w:t>
              <w:br/>
            </w:r>
            <w:r>
              <w:rPr>
                <w:rFonts w:ascii="Times New Roman" w:hAnsi="Times New Roman"/>
                <w:color w:val="000000"/>
                <w:sz w:val="20"/>
              </w:rPr>
              <w:t>(Exact name of registrant as specified in its charter)</w:t>
            </w:r>
          </w:p>
        </w:tc>
      </w:tr>
      <w:tr>
        <w:trPr/>
        <w:tc>
          <w:tcPr>
            <w:tcW w:w="367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20"/>
              </w:rPr>
              <w:t>NEW JERSEY</w:t>
            </w:r>
            <w:r>
              <w:rPr>
                <w:rFonts w:ascii="Times New Roman" w:hAnsi="Times New Roman"/>
                <w:color w:val="000000"/>
                <w:sz w:val="20"/>
              </w:rPr>
              <w:br/>
              <w:t>(State or other jurisdiction of incorporation)</w:t>
            </w:r>
          </w:p>
        </w:tc>
        <w:tc>
          <w:tcPr>
            <w:tcW w:w="22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20"/>
              </w:rPr>
              <w:t>1-87</w:t>
            </w:r>
            <w:r>
              <w:rPr>
                <w:rFonts w:ascii="Times New Roman" w:hAnsi="Times New Roman"/>
                <w:color w:val="000000"/>
                <w:sz w:val="20"/>
              </w:rPr>
              <w:br/>
              <w:t>(Commission File Number)</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16-0417150</w:t>
            </w:r>
            <w:r>
              <w:rPr>
                <w:rFonts w:ascii="Times New Roman" w:hAnsi="Times New Roman"/>
                <w:color w:val="000000"/>
                <w:sz w:val="20"/>
              </w:rPr>
              <w:br/>
              <w:t xml:space="preserve">(IRS Employer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7623"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343 State Street</w:t>
            </w:r>
          </w:p>
          <w:p>
            <w:pPr>
              <w:pStyle w:val="TableContents"/>
              <w:bidi w:val="0"/>
              <w:jc w:val="center"/>
              <w:rPr>
                <w:rFonts w:ascii="Times New Roman" w:hAnsi="Times New Roman"/>
                <w:sz w:val="20"/>
              </w:rPr>
            </w:pPr>
            <w:r>
              <w:rPr>
                <w:rFonts w:ascii="Times New Roman" w:hAnsi="Times New Roman"/>
                <w:b/>
                <w:color w:val="000000"/>
                <w:sz w:val="20"/>
              </w:rPr>
              <w:t>Rochester, NY</w:t>
            </w:r>
            <w:r>
              <w:rPr>
                <w:rFonts w:ascii="Times New Roman" w:hAnsi="Times New Roman"/>
                <w:color w:val="000000"/>
                <w:sz w:val="20"/>
              </w:rPr>
              <w:t xml:space="preserve"> </w:t>
            </w:r>
            <w:r>
              <w:rPr>
                <w:rFonts w:ascii="Times New Roman" w:hAnsi="Times New Roman"/>
                <w:b/>
                <w:color w:val="000000"/>
                <w:sz w:val="20"/>
              </w:rPr>
              <w:t>14650</w:t>
            </w:r>
            <w:r>
              <w:rPr>
                <w:rFonts w:ascii="Times New Roman" w:hAnsi="Times New Roman"/>
                <w:color w:val="000000"/>
                <w:sz w:val="20"/>
              </w:rPr>
              <w:br/>
              <w:t>(Address of principal executive offices with zip code)</w:t>
            </w:r>
          </w:p>
          <w:p>
            <w:pPr>
              <w:pStyle w:val="TableContents"/>
              <w:bidi w:val="0"/>
              <w:spacing w:before="0" w:after="283"/>
              <w:jc w:val="center"/>
              <w:rPr/>
            </w:pPr>
            <w:r>
              <w:rPr/>
              <w:t> </w:t>
            </w:r>
          </w:p>
        </w:tc>
      </w:tr>
      <w:tr>
        <w:trPr/>
        <w:tc>
          <w:tcPr>
            <w:tcW w:w="7623" w:type="dxa"/>
            <w:gridSpan w:val="3"/>
            <w:tcBorders/>
            <w:tcMar>
              <w:top w:w="0" w:type="dxa"/>
              <w:left w:w="0" w:type="dxa"/>
              <w:bottom w:w="0" w:type="dxa"/>
              <w:right w:w="0" w:type="dxa"/>
            </w:tcMar>
            <w:vAlign w:val="center"/>
          </w:tcPr>
          <w:p>
            <w:pPr>
              <w:pStyle w:val="TableContents"/>
              <w:bidi w:val="0"/>
              <w:spacing w:before="0" w:after="160"/>
              <w:jc w:val="center"/>
              <w:rPr>
                <w:rFonts w:ascii="Times New Roman" w:hAnsi="Times New Roman"/>
                <w:sz w:val="20"/>
              </w:rPr>
            </w:pPr>
            <w:r>
              <w:rPr>
                <w:rFonts w:ascii="Times New Roman" w:hAnsi="Times New Roman"/>
                <w:b/>
                <w:color w:val="000000"/>
                <w:sz w:val="20"/>
              </w:rPr>
              <w:t>(800) 356-3259</w:t>
            </w:r>
            <w:r>
              <w:rPr>
                <w:rFonts w:ascii="Times New Roman" w:hAnsi="Times New Roman"/>
                <w:color w:val="000000"/>
                <w:sz w:val="20"/>
              </w:rPr>
              <w:t xml:space="preserve"> </w:t>
              <w:br/>
              <w:t>(Registrant’s telephone number, including area code)</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437" w:type="dxa"/>
        <w:jc w:val="left"/>
        <w:tblInd w:w="0" w:type="dxa"/>
        <w:tblLayout w:type="fixed"/>
        <w:tblCellMar>
          <w:top w:w="28" w:type="dxa"/>
          <w:left w:w="28" w:type="dxa"/>
          <w:bottom w:w="28" w:type="dxa"/>
          <w:right w:w="28" w:type="dxa"/>
        </w:tblCellMar>
      </w:tblPr>
      <w:tblGrid>
        <w:gridCol w:w="256"/>
        <w:gridCol w:w="9181"/>
      </w:tblGrid>
      <w:tr>
        <w:trPr/>
        <w:tc>
          <w:tcPr>
            <w:tcW w:w="25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256"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256"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256" w:type="dxa"/>
            <w:tcBorders/>
            <w:tcMar>
              <w:top w:w="0" w:type="dxa"/>
              <w:left w:w="0" w:type="dxa"/>
              <w:bottom w:w="0" w:type="dxa"/>
              <w:right w:w="0" w:type="dxa"/>
            </w:tcMar>
            <w:vAlign w:val="center"/>
          </w:tcPr>
          <w:p>
            <w:pPr>
              <w:pStyle w:val="TableContents"/>
              <w:bidi w:val="0"/>
              <w:spacing w:before="0" w:after="16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793" w:type="dxa"/>
        <w:jc w:val="left"/>
        <w:tblInd w:w="0" w:type="dxa"/>
        <w:tblLayout w:type="fixed"/>
        <w:tblCellMar>
          <w:top w:w="28" w:type="dxa"/>
          <w:left w:w="28" w:type="dxa"/>
          <w:bottom w:w="28" w:type="dxa"/>
          <w:right w:w="28" w:type="dxa"/>
        </w:tblCellMar>
      </w:tblPr>
      <w:tblGrid>
        <w:gridCol w:w="3466"/>
        <w:gridCol w:w="1621"/>
        <w:gridCol w:w="3706"/>
      </w:tblGrid>
      <w:tr>
        <w:trPr/>
        <w:tc>
          <w:tcPr>
            <w:tcW w:w="346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62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70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Common stock, par value $0.01 per share</w:t>
            </w:r>
          </w:p>
        </w:tc>
        <w:tc>
          <w:tcPr>
            <w:tcW w:w="162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KODK</w:t>
            </w:r>
          </w:p>
        </w:tc>
        <w:tc>
          <w:tcPr>
            <w:tcW w:w="370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80" w:after="1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 w:after="16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 w:after="160"/>
        <w:jc w:val="left"/>
        <w:rPr>
          <w:rFonts w:ascii="Times New Roman" w:hAnsi="Times New Roman"/>
          <w:color w:val="000000"/>
          <w:sz w:val="20"/>
        </w:rPr>
      </w:pPr>
      <w:bookmarkStart w:id="6" w:name="eolpage2"/>
      <w:bookmarkEnd w:id="6"/>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4"/>
        <w:jc w:val="left"/>
        <w:rPr>
          <w:rFonts w:ascii="sans-serif" w:hAnsi="sans-serif"/>
          <w:b/>
          <w:color w:val="000000"/>
          <w:sz w:val="21"/>
        </w:rPr>
      </w:pPr>
      <w:r>
        <w:rPr>
          <w:rFonts w:ascii="sans-serif" w:hAnsi="sans-serif"/>
          <w:b/>
          <w:color w:val="000000"/>
          <w:sz w:val="21"/>
        </w:rPr>
        <w:t>Item 2.02 Results of Operations and Financial Condition</w:t>
      </w:r>
    </w:p>
    <w:p>
      <w:pPr>
        <w:pStyle w:val="TextBody"/>
        <w:bidi w:val="0"/>
        <w:spacing w:before="0" w:after="184"/>
        <w:jc w:val="left"/>
        <w:rPr>
          <w:rFonts w:ascii="sans-serif" w:hAnsi="sans-serif"/>
          <w:color w:val="000000"/>
          <w:sz w:val="21"/>
        </w:rPr>
      </w:pPr>
      <w:r>
        <w:rPr>
          <w:rFonts w:ascii="sans-serif" w:hAnsi="sans-serif"/>
          <w:color w:val="000000"/>
          <w:sz w:val="21"/>
        </w:rPr>
        <w:t>On August 4, 2026, Eastman Kodak Company (the "Company") issued a press release describing its second quarter 2026 financial results. A copy of the press release is furnished as Exhibit (99.1) to this report.</w:t>
      </w:r>
    </w:p>
    <w:p>
      <w:pPr>
        <w:pStyle w:val="TextBody"/>
        <w:bidi w:val="0"/>
        <w:spacing w:before="0" w:after="160"/>
        <w:jc w:val="left"/>
        <w:rPr/>
      </w:pPr>
      <w:r>
        <w:rPr/>
        <w:t> </w:t>
      </w:r>
    </w:p>
    <w:p>
      <w:pPr>
        <w:pStyle w:val="TextBody"/>
        <w:bidi w:val="0"/>
        <w:spacing w:before="0" w:after="204"/>
        <w:jc w:val="left"/>
        <w:rPr>
          <w:rFonts w:ascii="sans-serif" w:hAnsi="sans-serif"/>
          <w:b/>
          <w:color w:val="000000"/>
          <w:sz w:val="21"/>
        </w:rPr>
      </w:pPr>
      <w:r>
        <w:rPr>
          <w:rFonts w:ascii="sans-serif" w:hAnsi="sans-serif"/>
          <w:b/>
          <w:color w:val="000000"/>
          <w:sz w:val="21"/>
        </w:rPr>
        <w:t>Item 9.01 Financial Statements and Exhibits</w:t>
      </w:r>
    </w:p>
    <w:p>
      <w:pPr>
        <w:pStyle w:val="TextBody"/>
        <w:bidi w:val="0"/>
        <w:spacing w:before="0" w:after="206"/>
        <w:jc w:val="left"/>
        <w:rPr>
          <w:rFonts w:ascii="sans-serif" w:hAnsi="sans-serif"/>
          <w:color w:val="000000"/>
          <w:sz w:val="21"/>
        </w:rPr>
      </w:pPr>
      <w:r>
        <w:rPr>
          <w:rFonts w:ascii="sans-serif" w:hAnsi="sans-serif"/>
          <w:color w:val="000000"/>
          <w:sz w:val="21"/>
        </w:rPr>
        <w:t>(d) Exhibits</w:t>
      </w:r>
    </w:p>
    <w:p>
      <w:pPr>
        <w:pStyle w:val="TextBody"/>
        <w:bidi w:val="0"/>
        <w:spacing w:before="0" w:after="160"/>
        <w:jc w:val="left"/>
        <w:rPr/>
      </w:pPr>
      <w:r>
        <w:rPr>
          <w:rFonts w:ascii="sans-serif" w:hAnsi="sans-serif"/>
          <w:color w:val="000000"/>
          <w:sz w:val="21"/>
        </w:rPr>
        <w:t xml:space="preserve">99.1 </w:t>
      </w:r>
      <w:hyperlink w:anchor="kodk-ex99_1.htm">
        <w:r>
          <w:rPr>
            <w:rStyle w:val="InternetLink"/>
            <w:rFonts w:ascii="sans-serif" w:hAnsi="sans-serif"/>
            <w:color w:val="0000FF"/>
            <w:sz w:val="21"/>
            <w:u w:val="single"/>
          </w:rPr>
          <w:t>Press release issued on August 4, 2026, regarding the Company's second quarter 2026 financial results furnished with this document</w:t>
        </w:r>
      </w:hyperlink>
    </w:p>
    <w:p>
      <w:pPr>
        <w:pStyle w:val="TextBody"/>
        <w:bidi w:val="0"/>
        <w:jc w:val="left"/>
        <w:rPr>
          <w:rFonts w:ascii="sans-serif" w:hAnsi="sans-serif"/>
          <w:color w:val="000000"/>
          <w:sz w:val="21"/>
        </w:rPr>
      </w:pPr>
      <w:r>
        <w:rPr>
          <w:rFonts w:ascii="sans-serif" w:hAnsi="sans-serif"/>
          <w:color w:val="000000"/>
          <w:sz w:val="21"/>
        </w:rPr>
        <w:t>104 Cover Page Interactive Data File (embedded within the Inline XBRL document)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08"/>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95"/>
        <w:jc w:val="left"/>
        <w:rPr>
          <w:rFonts w:ascii="sans-serif" w:hAnsi="sans-serif"/>
          <w:color w:val="000000"/>
          <w:sz w:val="21"/>
        </w:rPr>
      </w:pPr>
      <w:r>
        <w:rPr>
          <w:rFonts w:ascii="sans-serif" w:hAnsi="sans-serif"/>
          <w:color w:val="000000"/>
          <w:sz w:val="21"/>
        </w:rPr>
        <w:t>Pursuant to the requirements of the Securities Exchange Act of 1934, the registrant has duly caused this report to be signed on its behalf by the undersigned hereunto duly authorized.</w:t>
      </w:r>
    </w:p>
    <w:p>
      <w:pPr>
        <w:pStyle w:val="TextBody"/>
        <w:bidi w:val="0"/>
        <w:spacing w:before="0" w:after="95"/>
        <w:jc w:val="left"/>
        <w:rPr/>
      </w:pPr>
      <w:r>
        <w:rPr/>
        <w:t> </w:t>
      </w:r>
    </w:p>
    <w:p>
      <w:pPr>
        <w:pStyle w:val="TextBody"/>
        <w:bidi w:val="0"/>
        <w:spacing w:before="0" w:after="95"/>
        <w:jc w:val="left"/>
        <w:rPr/>
      </w:pPr>
      <w:r>
        <w:rPr/>
        <w:t> </w:t>
      </w:r>
    </w:p>
    <w:p>
      <w:pPr>
        <w:pStyle w:val="TextBody"/>
        <w:bidi w:val="0"/>
        <w:spacing w:before="0" w:after="95"/>
        <w:jc w:val="left"/>
        <w:rPr/>
      </w:pPr>
      <w:r>
        <w:rPr/>
        <w:t> </w:t>
      </w:r>
    </w:p>
    <w:p>
      <w:pPr>
        <w:pStyle w:val="TextBody"/>
        <w:bidi w:val="0"/>
        <w:jc w:val="left"/>
        <w:rPr>
          <w:rFonts w:ascii="sans-serif" w:hAnsi="sans-serif"/>
          <w:b/>
          <w:color w:val="000000"/>
          <w:sz w:val="21"/>
        </w:rPr>
      </w:pPr>
      <w:r>
        <w:rPr>
          <w:rFonts w:ascii="sans-serif" w:hAnsi="sans-serif"/>
          <w:b/>
          <w:color w:val="000000"/>
          <w:sz w:val="21"/>
        </w:rPr>
        <w:t>EASTMAN KODAK COMPANY</w:t>
      </w:r>
    </w:p>
    <w:p>
      <w:pPr>
        <w:pStyle w:val="TextBody"/>
        <w:bidi w:val="0"/>
        <w:jc w:val="left"/>
        <w:rPr>
          <w:rFonts w:ascii="sans-serif" w:hAnsi="sans-serif"/>
          <w:color w:val="000000"/>
          <w:sz w:val="21"/>
        </w:rPr>
      </w:pPr>
      <w:r>
        <w:rPr>
          <w:rFonts w:ascii="sans-serif" w:hAnsi="sans-serif"/>
          <w:color w:val="000000"/>
          <w:sz w:val="21"/>
        </w:rPr>
        <w:t>(Registrant)</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rFonts w:ascii="sans-serif" w:hAnsi="sans-serif"/>
          <w:color w:val="000000"/>
          <w:sz w:val="21"/>
        </w:rPr>
      </w:pPr>
      <w:r>
        <w:rPr>
          <w:rFonts w:ascii="sans-serif" w:hAnsi="sans-serif"/>
          <w:color w:val="000000"/>
          <w:sz w:val="21"/>
        </w:rPr>
        <w:t>/s/ Richard T. Michaels</w:t>
      </w:r>
    </w:p>
    <w:p>
      <w:pPr>
        <w:pStyle w:val="TextBody"/>
        <w:bidi w:val="0"/>
        <w:jc w:val="left"/>
        <w:rPr>
          <w:rFonts w:ascii="sans-serif" w:hAnsi="sans-serif"/>
          <w:color w:val="000000"/>
          <w:sz w:val="21"/>
        </w:rPr>
      </w:pPr>
      <w:r>
        <w:rPr>
          <w:rFonts w:ascii="sans-serif" w:hAnsi="sans-serif"/>
          <w:color w:val="000000"/>
          <w:sz w:val="21"/>
        </w:rPr>
        <w:t>Richard T. Michaels</w:t>
      </w:r>
    </w:p>
    <w:p>
      <w:pPr>
        <w:pStyle w:val="TextBody"/>
        <w:bidi w:val="0"/>
        <w:jc w:val="left"/>
        <w:rPr>
          <w:rFonts w:ascii="sans-serif" w:hAnsi="sans-serif"/>
          <w:color w:val="000000"/>
          <w:sz w:val="21"/>
        </w:rPr>
      </w:pPr>
      <w:bookmarkStart w:id="7" w:name="tab1"/>
      <w:bookmarkEnd w:id="7"/>
      <w:r>
        <w:rPr>
          <w:rFonts w:ascii="sans-serif" w:hAnsi="sans-serif"/>
          <w:color w:val="000000"/>
          <w:sz w:val="21"/>
        </w:rPr>
        <w:t>Chief Accounting Officer and Corporate Controller</w:t>
      </w:r>
    </w:p>
    <w:p>
      <w:pPr>
        <w:pStyle w:val="TextBody"/>
        <w:bidi w:val="0"/>
        <w:jc w:val="left"/>
        <w:rPr>
          <w:rFonts w:ascii="sans-serif" w:hAnsi="sans-serif"/>
          <w:color w:val="000000"/>
          <w:sz w:val="21"/>
        </w:rPr>
      </w:pPr>
      <w:r>
        <w:rPr>
          <w:rFonts w:ascii="sans-serif" w:hAnsi="sans-serif"/>
          <w:color w:val="000000"/>
          <w:sz w:val="21"/>
        </w:rPr>
        <w:t>(Chief Accounting Officer and Authorized Signatory)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1"/>
        </w:rPr>
        <w:t>Date:</w:t>
      </w:r>
      <w:r>
        <w:rPr>
          <w:rFonts w:ascii="Times New Roman" w:hAnsi="Times New Roman"/>
          <w:color w:val="000000"/>
          <w:sz w:val="20"/>
        </w:rPr>
        <w:t xml:space="preserve"> </w:t>
      </w:r>
      <w:r>
        <w:rPr>
          <w:rFonts w:ascii="sans-serif" w:hAnsi="sans-serif"/>
          <w:color w:val="000000"/>
          <w:sz w:val="21"/>
        </w:rPr>
        <w:t>August 4, 2026</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bookmarkStart w:id="8" w:name="kodk-ex99_1.htm"/>
      <w:bookmarkStart w:id="9" w:name="kskodkex99_1"/>
      <w:bookmarkEnd w:id="8"/>
      <w:bookmarkEnd w:id="9"/>
      <w:r>
        <w:rPr/>
        <w:drawing>
          <wp:inline distT="0" distB="0" distL="0" distR="0">
            <wp:extent cx="10287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1028700"/>
                    </a:xfrm>
                    <a:prstGeom prst="rect">
                      <a:avLst/>
                    </a:prstGeom>
                  </pic:spPr>
                </pic:pic>
              </a:graphicData>
            </a:graphic>
          </wp:inline>
        </w:drawing>
      </w:r>
      <w:r>
        <w:rPr>
          <w:color w:val="000000"/>
        </w:rPr>
        <w:t xml:space="preserve"> </w:t>
      </w:r>
      <w:r>
        <w:rPr>
          <w:rFonts w:ascii="sans-serif" w:hAnsi="sans-serif"/>
          <w:b/>
          <w:color w:val="000000"/>
          <w:sz w:val="22"/>
        </w:rPr>
        <w:t>Exhibit 99.1</w:t>
      </w:r>
      <w:r>
        <w:br w:type="page"/>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u w:val="single"/>
        </w:rPr>
        <w:t>Media Contact</w:t>
      </w:r>
      <w:r>
        <w:rPr>
          <w:rFonts w:ascii="sans-serif" w:hAnsi="sans-serif"/>
          <w:b/>
          <w:color w:val="000000"/>
          <w:sz w:val="22"/>
        </w:rPr>
        <w:t>:</w:t>
      </w:r>
    </w:p>
    <w:p>
      <w:pPr>
        <w:pStyle w:val="TextBody"/>
        <w:bidi w:val="0"/>
        <w:jc w:val="left"/>
        <w:rPr>
          <w:rFonts w:ascii="Times New Roman" w:hAnsi="Times New Roman"/>
          <w:sz w:val="20"/>
        </w:rPr>
      </w:pPr>
      <w:r>
        <w:rPr>
          <w:rFonts w:ascii="sans-serif" w:hAnsi="sans-serif"/>
          <w:color w:val="000000"/>
          <w:sz w:val="22"/>
        </w:rPr>
        <w:t xml:space="preserve">Kurt Jaeckel, Kodak, +1 585-490-8646, </w:t>
      </w:r>
      <w:r>
        <w:rPr>
          <w:rFonts w:ascii="sans-serif" w:hAnsi="sans-serif"/>
          <w:sz w:val="22"/>
        </w:rPr>
        <w:t>kurt.jaeckel@kodak.com</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u w:val="single"/>
        </w:rPr>
        <w:t>Investor Contact</w:t>
      </w:r>
      <w:r>
        <w:rPr>
          <w:rFonts w:ascii="sans-serif" w:hAnsi="sans-serif"/>
          <w:b/>
          <w:color w:val="000000"/>
          <w:sz w:val="22"/>
        </w:rPr>
        <w:t>:</w:t>
      </w:r>
    </w:p>
    <w:p>
      <w:pPr>
        <w:pStyle w:val="TextBody"/>
        <w:bidi w:val="0"/>
        <w:jc w:val="left"/>
        <w:rPr>
          <w:rFonts w:ascii="Times New Roman" w:hAnsi="Times New Roman"/>
          <w:sz w:val="20"/>
        </w:rPr>
      </w:pPr>
      <w:r>
        <w:rPr>
          <w:rFonts w:ascii="sans-serif" w:hAnsi="sans-serif"/>
          <w:color w:val="000000"/>
          <w:sz w:val="22"/>
        </w:rPr>
        <w:t xml:space="preserve">Denisse Goldbarg, Kodak, +1 585-724-4053, </w:t>
      </w:r>
      <w:r>
        <w:rPr>
          <w:rFonts w:ascii="sans-serif" w:hAnsi="sans-serif"/>
          <w:sz w:val="22"/>
        </w:rPr>
        <w:t>shareholderservices@kodak.com</w:t>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8"/>
        </w:rPr>
        <w:t>Kodak Reports Second-Quarter 2026 Financial Results</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200"/>
        <w:jc w:val="center"/>
        <w:rPr>
          <w:rFonts w:ascii="sans-serif" w:hAnsi="sans-serif"/>
          <w:b/>
          <w:color w:val="000000"/>
          <w:sz w:val="22"/>
        </w:rPr>
      </w:pPr>
      <w:r>
        <w:rPr>
          <w:rFonts w:ascii="sans-serif" w:hAnsi="sans-serif"/>
          <w:b/>
          <w:color w:val="000000"/>
          <w:sz w:val="22"/>
        </w:rPr>
        <w:t>Company Delivered Year-Over-Year Growth in Revenue, Gross Profit and Operational EBITDA for the Fourth Consecutive Quarter</w:t>
      </w:r>
    </w:p>
    <w:p>
      <w:pPr>
        <w:pStyle w:val="TextBody"/>
        <w:bidi w:val="0"/>
        <w:spacing w:before="0" w:after="200"/>
        <w:jc w:val="center"/>
        <w:rPr>
          <w:rFonts w:ascii="sans-serif" w:hAnsi="sans-serif"/>
          <w:b/>
          <w:color w:val="000000"/>
          <w:sz w:val="22"/>
        </w:rPr>
      </w:pPr>
      <w:r>
        <w:rPr>
          <w:rFonts w:ascii="sans-serif" w:hAnsi="sans-serif"/>
          <w:b/>
          <w:color w:val="000000"/>
          <w:sz w:val="22"/>
        </w:rPr>
        <w:t>Key Print and AM&amp;C Businesses Achieved Increases in Revenue and Operational EBITDA</w:t>
      </w:r>
    </w:p>
    <w:p>
      <w:pPr>
        <w:pStyle w:val="TextBody"/>
        <w:bidi w:val="0"/>
        <w:spacing w:before="0" w:after="200"/>
        <w:jc w:val="left"/>
        <w:rPr>
          <w:rFonts w:ascii="Times New Roman" w:hAnsi="Times New Roman"/>
          <w:sz w:val="20"/>
        </w:rPr>
      </w:pPr>
      <w:r>
        <w:rPr>
          <w:rFonts w:ascii="sans-serif" w:hAnsi="sans-serif"/>
          <w:color w:val="000000"/>
          <w:sz w:val="22"/>
        </w:rPr>
        <w:t>ROCHESTER, N.Y., August 4, 2026 – Eastman Kodak Company (NYSE: KODK) today reported financial results for the second quarter 2026.</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sans-serif" w:hAnsi="sans-serif"/>
          <w:color w:val="000000"/>
          <w:sz w:val="22"/>
        </w:rPr>
        <w:t>Second quarter 2026 highlights include:</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Consolidated revenues of $311 million, compared with $263 million for Q2 2025, an increase of $48 million or 18 percent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rFonts w:ascii="sans-serif" w:hAnsi="sans-serif"/>
          <w:color w:val="000000"/>
          <w:sz w:val="22"/>
        </w:rPr>
      </w:pPr>
      <w:r>
        <w:rPr>
          <w:rFonts w:ascii="sans-serif" w:hAnsi="sans-serif"/>
          <w:color w:val="000000"/>
          <w:sz w:val="22"/>
        </w:rPr>
        <w:t>Advanced Materials &amp; Chemicals (AM&amp;C) revenues were $105 million, compared with $75 million for Q2 2025, an increase of $30 million or 40 percent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rFonts w:ascii="sans-serif" w:hAnsi="sans-serif"/>
          <w:color w:val="000000"/>
          <w:sz w:val="22"/>
        </w:rPr>
      </w:pPr>
      <w:r>
        <w:rPr>
          <w:rFonts w:ascii="sans-serif" w:hAnsi="sans-serif"/>
          <w:color w:val="000000"/>
          <w:sz w:val="22"/>
        </w:rPr>
        <w:t>Print revenues were $195 million, compared with $178 million for Q2 2025, an increase of $17 million or 10 percent</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Gross profit of $82 million, compared with $51 million for Q2 2025, an increase of $31 million or 61 percent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Gross profit percentage of 26 percent, compared with 19 percent for Q2 2025, an increase of 7 percentage points</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GAAP net income of $17 million, compared with GAAP net loss of $26 million for Q2 2025, an increase of $43 million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Operational EBITDA of $36 million, compared with $9 million for Q2 2025, an increase of $27 million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A quarter-end cash balance of $290 million, compared with $337 million on December 31, 2025, a decrease of $47 million primarily driven by the repayments of the Term Loans, partially offset by cash received from the redemptions of KRIP investment assets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2026 Financial Results Page 2</w:t>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Cash flow from operations improved $5 million from the prior year period</w:t>
      </w:r>
    </w:p>
    <w:p>
      <w:pPr>
        <w:pStyle w:val="TextBody"/>
        <w:bidi w:val="0"/>
        <w:spacing w:before="0" w:after="200"/>
        <w:jc w:val="left"/>
        <w:rPr>
          <w:color w:val="000000"/>
        </w:rPr>
      </w:pPr>
      <w:r>
        <w:rPr>
          <w:color w:val="000000"/>
        </w:rPr>
        <w:t>“</w:t>
      </w:r>
      <w:r>
        <w:rPr>
          <w:rFonts w:ascii="sans-serif" w:hAnsi="sans-serif"/>
          <w:color w:val="000000"/>
          <w:sz w:val="22"/>
        </w:rPr>
        <w:t>The words that sum up our performance in the second quarter are stability and growth,” said Jim Continenza, Kodak’s Executive Chairman and CEO. “We continued to deliver strong results for the fourth consecutive quarter, achieving significant year-over-year improvement in revenue, gross profit and Operational EBITDA. The momentum we have built is the result of consistent execution of our long-term plan, especially our investments in product development and manufacturing infrastructure and our focus on operational excellence. Looking forward, we are entering a new phase in Kodak’s transformation where we have the operational and financial leverage to focus on growth. To capitalize on that opportunity, we will continue to expand our core businesses, increase efficiency and accelerate our investments in R&amp;D to support our growth initiatives.”</w:t>
      </w:r>
    </w:p>
    <w:p>
      <w:pPr>
        <w:pStyle w:val="TextBody"/>
        <w:bidi w:val="0"/>
        <w:spacing w:before="0" w:after="200"/>
        <w:jc w:val="left"/>
        <w:rPr>
          <w:rFonts w:ascii="Times New Roman" w:hAnsi="Times New Roman"/>
          <w:sz w:val="20"/>
        </w:rPr>
      </w:pPr>
      <w:r>
        <w:rPr>
          <w:rFonts w:ascii="sans-serif" w:hAnsi="sans-serif"/>
          <w:color w:val="000000"/>
          <w:sz w:val="22"/>
        </w:rPr>
        <w:t>For the quarter ended June 30, 2026, revenues were $311 million, an increase of $48 million or 18 percent compared to the same period in 2025.</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sans-serif" w:hAnsi="sans-serif"/>
          <w:color w:val="000000"/>
          <w:sz w:val="22"/>
        </w:rPr>
        <w:t>GAAP net income was $17 million for the quarter, compared to GAAP net loss of $26 million in 2025, an increase of $43 million primarily due to improvements in gross profit, reduction in interest expense and lower asset impairments compared to the prior period, partially offset by lower pension income. Operational EBITDA for the quarter ended June 30, 2026, was $36 million, compared to $9 million in 2025, an increase of $27 million. The increase in Operational EBITDA was driven by improved pricing and higher volume, partially offset by higher silver and aluminum prices and selling, general and administrative costs primarily related to the net change in employee benefit reserves and costs associated with corporate infrastructure.</w:t>
      </w:r>
      <w:r>
        <w:rPr>
          <w:rFonts w:ascii="Times New Roman" w:hAnsi="Times New Roman"/>
          <w:color w:val="000000"/>
          <w:sz w:val="20"/>
        </w:rPr>
        <w:t xml:space="preserve"> </w:t>
      </w:r>
    </w:p>
    <w:p>
      <w:pPr>
        <w:pStyle w:val="TextBody"/>
        <w:bidi w:val="0"/>
        <w:spacing w:before="0" w:after="200"/>
        <w:jc w:val="left"/>
        <w:rPr>
          <w:rFonts w:ascii="sans-serif" w:hAnsi="sans-serif"/>
          <w:color w:val="000000"/>
          <w:sz w:val="22"/>
        </w:rPr>
      </w:pPr>
      <w:r>
        <w:rPr>
          <w:rFonts w:ascii="sans-serif" w:hAnsi="sans-serif"/>
          <w:color w:val="000000"/>
          <w:sz w:val="22"/>
        </w:rPr>
        <w:t>Kodak ended the quarter with a cash balance of $290 million, a decrease of $47 million from December 31, 2025. The decrease was primarily driven by the required repayment of the Term Loans of $101 million and an increase in inventory of $37 million primarily driven by silver and aluminum commodities, partially offset by cash proceeds from redemptions of Kodak Retirement Income Plan reversion investments of $87 million.</w:t>
      </w:r>
    </w:p>
    <w:p>
      <w:pPr>
        <w:pStyle w:val="TextBody"/>
        <w:bidi w:val="0"/>
        <w:jc w:val="center"/>
        <w:rPr>
          <w:rFonts w:ascii="sans-serif" w:hAnsi="sans-serif"/>
          <w:color w:val="000000"/>
          <w:sz w:val="22"/>
        </w:rPr>
      </w:pPr>
      <w:r>
        <w:rPr>
          <w:rFonts w:ascii="sans-serif" w:hAnsi="sans-serif"/>
          <w:color w:val="000000"/>
          <w:sz w:val="22"/>
        </w:rPr>
        <w:t>##</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2026 Financial Results Page 3</w:t>
      </w:r>
    </w:p>
    <w:p>
      <w:pPr>
        <w:pStyle w:val="TextBody"/>
        <w:bidi w:val="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Revenue and Operational EBITDA by Reportable Segment Q2 2026 vs. Q2 2025</w:t>
      </w:r>
    </w:p>
    <w:tbl>
      <w:tblPr>
        <w:tblW w:w="9148" w:type="dxa"/>
        <w:jc w:val="left"/>
        <w:tblInd w:w="0" w:type="dxa"/>
        <w:tblLayout w:type="fixed"/>
        <w:tblCellMar>
          <w:top w:w="28" w:type="dxa"/>
          <w:left w:w="28" w:type="dxa"/>
          <w:bottom w:w="28" w:type="dxa"/>
          <w:right w:w="28" w:type="dxa"/>
        </w:tblCellMar>
      </w:tblPr>
      <w:tblGrid>
        <w:gridCol w:w="2866"/>
        <w:gridCol w:w="226"/>
        <w:gridCol w:w="466"/>
        <w:gridCol w:w="181"/>
        <w:gridCol w:w="146"/>
        <w:gridCol w:w="1027"/>
        <w:gridCol w:w="2123"/>
        <w:gridCol w:w="146"/>
        <w:gridCol w:w="146"/>
        <w:gridCol w:w="323"/>
        <w:gridCol w:w="323"/>
        <w:gridCol w:w="146"/>
        <w:gridCol w:w="146"/>
        <w:gridCol w:w="226"/>
        <w:gridCol w:w="4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(in millions)</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Q2 2026 Actuals</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Print</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Advanced Materials &amp; Chemicals</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Total</w:t>
            </w:r>
          </w:p>
        </w:tc>
        <w:tc>
          <w:tcPr>
            <w:tcW w:w="19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Revenue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2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Operational EBITDA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2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Q2 2025 Actuals</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Print</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Advanced Materials &amp; Chemicals</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Total</w:t>
            </w:r>
          </w:p>
        </w:tc>
        <w:tc>
          <w:tcPr>
            <w:tcW w:w="19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Revenue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2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259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Operational EBITDA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2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Q2 2026 vs. Q2 2025 Actuals</w:t>
              <w:br/>
              <w:t>B(W)</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Print</w:t>
            </w:r>
          </w:p>
        </w:tc>
        <w:tc>
          <w:tcPr>
            <w:tcW w:w="18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Advanced Materials &amp; Chemicals</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Brand</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C000"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Total</w:t>
            </w:r>
          </w:p>
        </w:tc>
        <w:tc>
          <w:tcPr>
            <w:tcW w:w="191" w:type="dxa"/>
            <w:tcBorders/>
            <w:shd w:fill="FFC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Revenue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2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Operational EBITDA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2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7"/>
              </w:rPr>
            </w:pPr>
            <w:r>
              <w:rPr>
                <w:rFonts w:ascii="sans-serif" w:hAnsi="sans-serif"/>
                <w:b/>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Total Operational EBITDA is a non-GAAP financial measure. The reconciliation between GAAP and non-GAAP measures is provided in Appendix A of this press release.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Foreign currency had no impact on revenues or Operational EBITDA for the three months ended June 30, 2026 compared to the three months ended June 30, 2025.</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Eastman Business Park segment is not a reportable segment and is excluded from the tables above.</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Kodak</w:t>
      </w:r>
    </w:p>
    <w:p>
      <w:pPr>
        <w:pStyle w:val="TextBody"/>
        <w:bidi w:val="0"/>
        <w:spacing w:before="0" w:after="200"/>
        <w:jc w:val="left"/>
        <w:rPr>
          <w:rFonts w:ascii="Times New Roman" w:hAnsi="Times New Roman"/>
          <w:sz w:val="20"/>
        </w:rPr>
      </w:pPr>
      <w:r>
        <w:rPr>
          <w:rFonts w:ascii="sans-serif" w:hAnsi="sans-serif"/>
          <w:color w:val="000000"/>
          <w:sz w:val="22"/>
        </w:rPr>
        <w:t xml:space="preserve">Kodak (NYSE: KODK) is a leading global manufacturer focused on commercial print and advanced materials &amp; chemicals. With 79,000 worldwide patents earned over 130 years of R&amp;D, we believe in the power of technology and science to enhance what the world sees and creates. Our innovative, award-winning products, combined with our customer-first approach, make us the partner of choice for commercial printers worldwide. Kodak is committed to environmental stewardship, including industry leadership in developing sustainable solutions for print. For additional information on Kodak, visit us at </w:t>
      </w:r>
      <w:r>
        <w:rPr>
          <w:rFonts w:ascii="sans-serif" w:hAnsi="sans-serif"/>
          <w:sz w:val="22"/>
        </w:rPr>
        <w:t>kodak.com</w:t>
      </w:r>
      <w:r>
        <w:rPr>
          <w:rFonts w:ascii="sans-serif" w:hAnsi="sans-serif"/>
          <w:color w:val="000000"/>
          <w:sz w:val="22"/>
        </w:rPr>
        <w:t xml:space="preserve">, or follow us on X </w:t>
      </w:r>
      <w:r>
        <w:rPr>
          <w:rFonts w:ascii="sans-serif" w:hAnsi="sans-serif"/>
          <w:sz w:val="22"/>
        </w:rPr>
        <w:t>@Kodak</w:t>
      </w:r>
      <w:r>
        <w:rPr>
          <w:rFonts w:ascii="Times New Roman" w:hAnsi="Times New Roman"/>
          <w:color w:val="000000"/>
          <w:sz w:val="20"/>
        </w:rPr>
        <w:t xml:space="preserve"> </w:t>
      </w:r>
      <w:r>
        <w:rPr>
          <w:rFonts w:ascii="sans-serif" w:hAnsi="sans-serif"/>
          <w:color w:val="000000"/>
          <w:sz w:val="22"/>
        </w:rPr>
        <w:t xml:space="preserve">and </w:t>
      </w:r>
      <w:r>
        <w:rPr>
          <w:rFonts w:ascii="sans-serif" w:hAnsi="sans-serif"/>
          <w:sz w:val="22"/>
        </w:rPr>
        <w:t>LinkedIn</w:t>
      </w:r>
      <w:r>
        <w:rPr>
          <w:rFonts w:ascii="sans-serif" w:hAnsi="sans-serif"/>
          <w:color w:val="000000"/>
          <w:sz w:val="22"/>
        </w:rPr>
        <w:t>.</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2026 Financial Results Page 4</w:t>
      </w:r>
    </w:p>
    <w:p>
      <w:pPr>
        <w:pStyle w:val="TextBody"/>
        <w:bidi w:val="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Cautionary Statement Regarding Forward-Looking Statements</w:t>
      </w:r>
    </w:p>
    <w:p>
      <w:pPr>
        <w:pStyle w:val="TextBody"/>
        <w:bidi w:val="0"/>
        <w:spacing w:before="40" w:after="200"/>
        <w:jc w:val="left"/>
        <w:rPr>
          <w:rFonts w:ascii="sans-serif" w:hAnsi="sans-serif"/>
          <w:color w:val="000000"/>
          <w:sz w:val="22"/>
        </w:rPr>
      </w:pPr>
      <w:r>
        <w:rPr>
          <w:rFonts w:ascii="sans-serif" w:hAnsi="sans-serif"/>
          <w:color w:val="000000"/>
          <w:sz w:val="22"/>
        </w:rPr>
        <w:t>This press release includes “forward–looking statements” as that term is defined under the Private Securities Litigation Reform Act of 1995.</w:t>
      </w:r>
    </w:p>
    <w:p>
      <w:pPr>
        <w:pStyle w:val="TextBody"/>
        <w:bidi w:val="0"/>
        <w:spacing w:before="0" w:after="200"/>
        <w:jc w:val="left"/>
        <w:rPr>
          <w:rFonts w:ascii="sans-serif" w:hAnsi="sans-serif"/>
          <w:color w:val="000000"/>
          <w:sz w:val="22"/>
        </w:rPr>
      </w:pPr>
      <w:r>
        <w:rPr>
          <w:rFonts w:ascii="sans-serif" w:hAnsi="sans-serif"/>
          <w:color w:val="000000"/>
          <w:sz w:val="22"/>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press release,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w:t>
      </w:r>
    </w:p>
    <w:p>
      <w:pPr>
        <w:pStyle w:val="TextBody"/>
        <w:bidi w:val="0"/>
        <w:spacing w:before="0" w:after="200"/>
        <w:jc w:val="left"/>
        <w:rPr>
          <w:rFonts w:ascii="Times New Roman" w:hAnsi="Times New Roman"/>
          <w:sz w:val="20"/>
        </w:rPr>
      </w:pPr>
      <w:r>
        <w:rPr>
          <w:rFonts w:ascii="sans-serif" w:hAnsi="sans-serif"/>
          <w:color w:val="000000"/>
          <w:sz w:val="22"/>
        </w:rPr>
        <w:t>Important factors that could cause actual events, results or outcomes, or their timing, to differ materially from the forward-looking statements include, among others, the risks and uncertainties described in more detail in Kodak’s Annual Report on Form 10</w:t>
        <w:noBreakHyphen/>
        <w:t>K for the year ended December 31, 2025 under the headings “Business,” “Risk Factors,” “Legal Proceedings,” and/or “Management’s Discussion and Analysis of Financial Condition and Results of Operations—Liquidity and Capital Resources,” in the corresponding sections of Kodak’s Quarterly Reports on Form 10</w:t>
        <w:noBreakHyphen/>
        <w:t>Q for the quarters ended March 31, 2026 and June 30, 2026, and in other filings Kodak makes with the U.S. Securities and Exchange Commission from time to time, as well as the following: Kodak’s ability to improve and sustain its operating structure, cash flow, profitability and other financial results; Kodak’s ability to achieve strategic objectives, cash forecasts, financial projections, and projected growth; Kodak’s ability to achieve the financial and operational results contained in its business plans; changes in commodity prices, tariff rates, foreign currency exchange rates and interest rates; the impact of the global economic environment, including geopolitical issues, inflationary pressures, changes in trade policies, including tariffs or other trade restrictions or the threat of such actions, medical epidemics and Kodak’s ability to effectively mitigate or recoup any associated increased costs of aluminum, silver and other raw materials, energy, labor, shipping, delays in shipment and production time and manage any associated fluctuations in demand; Kodak’s ability to obtain additional or alternate financing if and as needed, Kodak’s continued ability to manage world-wide cash through intercompany loans, distributions and other mechanisms, and Kodak’s ability to provide or facilitate financing for its customers; Kodak’s ability to fund continued investments, capital needs and collateral requirements and service its debt and Series B Preferred Stock; Kodak’s ability to effectively compete with large, well-financed industry participants or with competitors whose cost structure is lower than Kodak’s; 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geopolitical issues, changes in trade</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2026 Financial Results Page 5</w:t>
      </w:r>
    </w:p>
    <w:p>
      <w:pPr>
        <w:pStyle w:val="TextBody"/>
        <w:bidi w:val="0"/>
        <w:jc w:val="left"/>
        <w:rPr/>
      </w:pPr>
      <w:r>
        <w:rPr/>
        <w:t> </w:t>
      </w:r>
    </w:p>
    <w:p>
      <w:pPr>
        <w:pStyle w:val="TextBody"/>
        <w:bidi w:val="0"/>
        <w:spacing w:before="200" w:after="200"/>
        <w:jc w:val="left"/>
        <w:rPr>
          <w:rFonts w:ascii="sans-serif" w:hAnsi="sans-serif"/>
          <w:color w:val="000000"/>
          <w:sz w:val="22"/>
        </w:rPr>
      </w:pPr>
      <w:r>
        <w:rPr>
          <w:rFonts w:ascii="sans-serif" w:hAnsi="sans-serif"/>
          <w:color w:val="000000"/>
          <w:sz w:val="22"/>
        </w:rPr>
        <w:t>policies, including tariffs or other trade restrictions or the threat of such actions, intellectual property rights, and commodity supply constraints; Kodak’s ability to effectively anticipate technology and industry trends, including related to artificial intelligence (AI), and develop and market new products, solutions and technologies, including products based on its technology and expertise that relate to industries in which it does not currently conduct material business; Kodak’s ability to effect strategic transactions, such as investments, acquisitions, strategic alliances, divestitures and similar transactions, or to achieve the benefits sought to be achieved from such strategic transactions; Kodak’s ability to comply with the covenants in its various credit facilities; Kodak’s continued ability to manage, defend and resolve a variety of current and legacy claims without incurring material losses or disruptions to its business and to bear the costs associated with such claims; Kodak’s ability to discontinue, sell or spin-off certain non-core businesses or operations, or otherwise monetize assets; and the potential impact of force majeure events, cyber‐attacks or other data security incidents or information technology (IT) outages that could disrupt or otherwise harm Kodak’s operations.</w:t>
      </w:r>
    </w:p>
    <w:p>
      <w:pPr>
        <w:pStyle w:val="TextBody"/>
        <w:bidi w:val="0"/>
        <w:spacing w:before="0" w:after="200"/>
        <w:jc w:val="left"/>
        <w:rPr>
          <w:rFonts w:ascii="sans-serif" w:hAnsi="sans-serif"/>
          <w:color w:val="000000"/>
          <w:sz w:val="22"/>
        </w:rPr>
      </w:pPr>
      <w:r>
        <w:rPr>
          <w:rFonts w:ascii="sans-serif" w:hAnsi="sans-serif"/>
          <w:color w:val="000000"/>
          <w:sz w:val="22"/>
        </w:rPr>
        <w:t>Future events and other factors may cause Kodak’s actual results or outcomes to differ materially from the forward–looking statements. All forward–looking statements attributable to Kodak or persons acting on its behalf apply only as of the date of this press release and are expressly qualified in their entirety by the cautionary statements included or referenced in this press release. 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0" w:after="200"/>
        <w:jc w:val="left"/>
        <w:rPr>
          <w:rFonts w:ascii="sans-serif" w:hAnsi="sans-serif"/>
          <w:b/>
          <w:color w:val="000000"/>
          <w:sz w:val="22"/>
        </w:rPr>
      </w:pPr>
      <w:r>
        <w:rPr>
          <w:rFonts w:ascii="sans-serif" w:hAnsi="sans-serif"/>
          <w:b/>
          <w:color w:val="000000"/>
          <w:sz w:val="22"/>
        </w:rPr>
        <w:t>APPENDICES</w:t>
      </w:r>
    </w:p>
    <w:p>
      <w:pPr>
        <w:pStyle w:val="TextBody"/>
        <w:bidi w:val="0"/>
        <w:spacing w:before="0" w:after="200"/>
        <w:jc w:val="left"/>
        <w:rPr>
          <w:rFonts w:ascii="sans-serif" w:hAnsi="sans-serif"/>
          <w:color w:val="000000"/>
          <w:sz w:val="22"/>
        </w:rPr>
      </w:pPr>
      <w:r>
        <w:rPr>
          <w:rFonts w:ascii="sans-serif" w:hAnsi="sans-serif"/>
          <w:color w:val="000000"/>
          <w:sz w:val="22"/>
        </w:rPr>
        <w:t>In this second quarter 2026 financial results news release, reference is made to the following non-GAAP financial measure:</w:t>
      </w:r>
    </w:p>
    <w:p>
      <w:pPr>
        <w:pStyle w:val="TextBody"/>
        <w:bidi w:val="0"/>
        <w:spacing w:before="0" w:after="200"/>
        <w:jc w:val="left"/>
        <w:rPr>
          <w:color w:val="000000"/>
        </w:rPr>
      </w:pPr>
      <w:r>
        <w:rPr>
          <w:color w:val="000000"/>
        </w:rPr>
        <w:t>•</w:t>
      </w:r>
    </w:p>
    <w:p>
      <w:pPr>
        <w:pStyle w:val="TextBody"/>
        <w:bidi w:val="0"/>
        <w:spacing w:before="0" w:after="200"/>
        <w:jc w:val="left"/>
        <w:rPr>
          <w:rFonts w:ascii="sans-serif" w:hAnsi="sans-serif"/>
          <w:color w:val="000000"/>
          <w:sz w:val="22"/>
        </w:rPr>
      </w:pPr>
      <w:r>
        <w:rPr>
          <w:rFonts w:ascii="sans-serif" w:hAnsi="sans-serif"/>
          <w:color w:val="000000"/>
          <w:sz w:val="22"/>
        </w:rPr>
        <w:t>Operational EBITDA</w:t>
      </w:r>
    </w:p>
    <w:p>
      <w:pPr>
        <w:pStyle w:val="TextBody"/>
        <w:bidi w:val="0"/>
        <w:spacing w:before="0" w:after="200"/>
        <w:jc w:val="left"/>
        <w:rPr>
          <w:rFonts w:ascii="sans-serif" w:hAnsi="sans-serif"/>
          <w:color w:val="000000"/>
          <w:sz w:val="22"/>
        </w:rPr>
      </w:pPr>
      <w:r>
        <w:rPr>
          <w:rFonts w:ascii="sans-serif" w:hAnsi="sans-serif"/>
          <w:color w:val="000000"/>
          <w:sz w:val="22"/>
        </w:rPr>
        <w:t>Kodak believes that this non-GAAP measure represents an important internal measures of performance as used by management. Accordingly, where this is provided, it is to give investors the same financial data management uses with the belief that this information will assist the investment community in properly assessing the underlying performance of Kodak, its financial condition and results of operations.</w:t>
      </w:r>
    </w:p>
    <w:p>
      <w:pPr>
        <w:pStyle w:val="TextBody"/>
        <w:bidi w:val="0"/>
        <w:spacing w:before="0" w:after="200"/>
        <w:jc w:val="left"/>
        <w:rPr>
          <w:rFonts w:ascii="sans-serif" w:hAnsi="sans-serif"/>
          <w:color w:val="000000"/>
          <w:sz w:val="22"/>
        </w:rPr>
      </w:pPr>
      <w:r>
        <w:rPr>
          <w:rFonts w:ascii="sans-serif" w:hAnsi="sans-serif"/>
          <w:color w:val="000000"/>
          <w:sz w:val="22"/>
        </w:rPr>
        <w:t>Kodak’s segment measure of profit and loss is an adjusted earnings before interest, taxes, depreciation and amortization (“Operational EBITDA”). Operational EBITDA represents the consolidated earnings (loss) from continuing operations excluding the provision for income taxes; non-service cost components of pension and other postemployment benefits income; depreciation and amortization expense; restructuring costs and other; stock-based compensation expense; consulting and other costs; idle costs; interest expense; loss on early extinguishment of debt; other operating expense, net; and other (income) charges, net.</w:t>
      </w:r>
    </w:p>
    <w:p>
      <w:pPr>
        <w:pStyle w:val="TextBody"/>
        <w:bidi w:val="0"/>
        <w:jc w:val="center"/>
        <w:rPr>
          <w:rFonts w:ascii="sans-serif" w:hAnsi="sans-serif"/>
          <w:color w:val="000000"/>
          <w:sz w:val="22"/>
        </w:rPr>
      </w:pPr>
      <w:r>
        <w:rPr>
          <w:rFonts w:ascii="sans-serif" w:hAnsi="sans-serif"/>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2026 Financial Results Page 6</w:t>
      </w:r>
    </w:p>
    <w:p>
      <w:pPr>
        <w:pStyle w:val="TextBody"/>
        <w:bidi w:val="0"/>
        <w:jc w:val="left"/>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The following table reconciles the most directly comparable GAAP measure of Net Earnings (Loss) to Operational EBITDA for the three months ended June 30, 2026 and 2025, respectively:</w:t>
      </w:r>
    </w:p>
    <w:tbl>
      <w:tblPr>
        <w:tblW w:w="9760" w:type="dxa"/>
        <w:jc w:val="left"/>
        <w:tblInd w:w="0" w:type="dxa"/>
        <w:tblLayout w:type="fixed"/>
        <w:tblCellMar>
          <w:top w:w="28" w:type="dxa"/>
          <w:left w:w="28" w:type="dxa"/>
          <w:bottom w:w="28" w:type="dxa"/>
          <w:right w:w="28" w:type="dxa"/>
        </w:tblCellMar>
      </w:tblPr>
      <w:tblGrid>
        <w:gridCol w:w="4021"/>
        <w:gridCol w:w="398"/>
        <w:gridCol w:w="622"/>
        <w:gridCol w:w="181"/>
        <w:gridCol w:w="146"/>
        <w:gridCol w:w="348"/>
        <w:gridCol w:w="672"/>
        <w:gridCol w:w="196"/>
        <w:gridCol w:w="146"/>
        <w:gridCol w:w="388"/>
        <w:gridCol w:w="678"/>
        <w:gridCol w:w="181"/>
        <w:gridCol w:w="146"/>
        <w:gridCol w:w="234"/>
        <w:gridCol w:w="967"/>
        <w:gridCol w:w="436"/>
      </w:tblGrid>
      <w:tr>
        <w:trPr/>
        <w:tc>
          <w:tcPr>
            <w:tcW w:w="40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Q2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Q2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 Change</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Earnings (Loss)</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based compensation</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Consulting and other costs </w:t>
            </w:r>
            <w:r>
              <w:rPr>
                <w:rFonts w:ascii="sans-serif" w:hAnsi="sans-serif"/>
                <w:color w:val="000000"/>
                <w:sz w:val="13"/>
              </w:rPr>
              <w:t>(1)</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Idle costs </w:t>
            </w:r>
            <w:r>
              <w:rPr>
                <w:rFonts w:ascii="sans-serif" w:hAnsi="sans-serif"/>
                <w:color w:val="000000"/>
                <w:sz w:val="13"/>
              </w:rPr>
              <w:t>(2)</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operating expense, net </w:t>
            </w:r>
            <w:r>
              <w:rPr>
                <w:rFonts w:ascii="sans-serif" w:hAnsi="sans-serif"/>
                <w:color w:val="000000"/>
                <w:sz w:val="13"/>
              </w:rPr>
              <w:t>(3)</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Interest expense </w:t>
            </w:r>
            <w:r>
              <w:rPr>
                <w:rFonts w:ascii="sans-serif" w:hAnsi="sans-serif"/>
                <w:color w:val="000000"/>
                <w:sz w:val="13"/>
              </w:rPr>
              <w:t>(3)</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Pension income excluding service cost </w:t>
              <w:br/>
              <w:t>    component</w:t>
            </w:r>
            <w:r>
              <w:rPr>
                <w:rFonts w:ascii="Times New Roman" w:hAnsi="Times New Roman"/>
                <w:color w:val="000000"/>
                <w:sz w:val="20"/>
              </w:rPr>
              <w:t> </w:t>
            </w:r>
            <w:r>
              <w:rPr>
                <w:rFonts w:ascii="sans-serif" w:hAnsi="sans-serif"/>
                <w:color w:val="000000"/>
                <w:sz w:val="13"/>
              </w:rPr>
              <w:t>(3)</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Loss on early extinguishment of debt </w:t>
            </w:r>
            <w:r>
              <w:rPr>
                <w:rFonts w:ascii="sans-serif" w:hAnsi="sans-serif"/>
                <w:color w:val="000000"/>
                <w:sz w:val="13"/>
              </w:rPr>
              <w:t>(3)</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(income) charges, net </w:t>
            </w:r>
            <w:r>
              <w:rPr>
                <w:rFonts w:ascii="sans-serif" w:hAnsi="sans-serif"/>
                <w:color w:val="000000"/>
                <w:sz w:val="13"/>
              </w:rPr>
              <w:t>(3)</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Provision for income taxes </w:t>
            </w:r>
            <w:r>
              <w:rPr>
                <w:rFonts w:ascii="sans-serif" w:hAnsi="sans-serif"/>
                <w:color w:val="000000"/>
                <w:sz w:val="13"/>
              </w:rPr>
              <w:t>(3)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Operational EBITDA</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bl>
    <w:p>
      <w:pPr>
        <w:pStyle w:val="TextBody"/>
        <w:bidi w:val="0"/>
        <w:spacing w:before="0" w:after="200"/>
        <w:jc w:val="left"/>
        <w:rPr/>
      </w:pPr>
      <w:r>
        <w:rPr/>
        <w:t> </w:t>
      </w:r>
    </w:p>
    <w:p>
      <w:pPr>
        <w:pStyle w:val="TextBody"/>
        <w:bidi w:val="0"/>
        <w:spacing w:before="0" w:after="200"/>
        <w:jc w:val="left"/>
        <w:rPr>
          <w:rFonts w:ascii="Times New Roman" w:hAnsi="Times New Roman"/>
          <w:sz w:val="20"/>
        </w:rPr>
      </w:pPr>
      <w:r>
        <w:rPr>
          <w:rFonts w:ascii="sans-serif" w:hAnsi="sans-serif"/>
          <w:color w:val="000000"/>
          <w:sz w:val="22"/>
        </w:rPr>
        <w:t>Footnote Explanations:</w:t>
      </w:r>
      <w:r>
        <w:rPr>
          <w:rFonts w:ascii="Times New Roman" w:hAnsi="Times New Roman"/>
          <w:color w:val="000000"/>
          <w:sz w:val="20"/>
        </w:rPr>
        <w:t xml:space="preserve"> </w:t>
      </w:r>
    </w:p>
    <w:p>
      <w:pPr>
        <w:pStyle w:val="TextBody"/>
        <w:bidi w:val="0"/>
        <w:spacing w:before="0" w:after="200"/>
        <w:jc w:val="left"/>
        <w:rPr>
          <w:rFonts w:ascii="sans-serif" w:hAnsi="sans-serif"/>
          <w:color w:val="000000"/>
          <w:sz w:val="22"/>
        </w:rPr>
      </w:pPr>
      <w:r>
        <w:rPr>
          <w:rFonts w:ascii="sans-serif" w:hAnsi="sans-serif"/>
          <w:color w:val="000000"/>
          <w:sz w:val="22"/>
        </w:rPr>
        <w:t>(1)</w:t>
      </w:r>
    </w:p>
    <w:p>
      <w:pPr>
        <w:pStyle w:val="TextBody"/>
        <w:bidi w:val="0"/>
        <w:spacing w:before="0" w:after="200"/>
        <w:jc w:val="left"/>
        <w:rPr>
          <w:rFonts w:ascii="sans-serif" w:hAnsi="sans-serif"/>
          <w:color w:val="000000"/>
          <w:sz w:val="22"/>
        </w:rPr>
      </w:pPr>
      <w:r>
        <w:rPr>
          <w:rFonts w:ascii="sans-serif" w:hAnsi="sans-serif"/>
          <w:color w:val="000000"/>
          <w:sz w:val="22"/>
        </w:rPr>
        <w:t>Consulting and other costs are professional services and internal costs associated with corporate strategic initiatives and litigation. Consulting and other costs included $1 million of income in the three months ended June 30, 2025, representing insurance reimbursement of legal costs previously paid by the Company associated with investigations and litigation matters.</w:t>
      </w:r>
    </w:p>
    <w:p>
      <w:pPr>
        <w:pStyle w:val="TextBody"/>
        <w:bidi w:val="0"/>
        <w:spacing w:before="0" w:after="200"/>
        <w:jc w:val="left"/>
        <w:rPr>
          <w:rFonts w:ascii="sans-serif" w:hAnsi="sans-serif"/>
          <w:color w:val="000000"/>
          <w:sz w:val="22"/>
        </w:rPr>
      </w:pPr>
      <w:r>
        <w:rPr>
          <w:rFonts w:ascii="sans-serif" w:hAnsi="sans-serif"/>
          <w:color w:val="000000"/>
          <w:sz w:val="22"/>
        </w:rPr>
        <w:t>(2)</w:t>
      </w:r>
    </w:p>
    <w:p>
      <w:pPr>
        <w:pStyle w:val="TextBody"/>
        <w:bidi w:val="0"/>
        <w:spacing w:before="0" w:after="200"/>
        <w:jc w:val="left"/>
        <w:rPr/>
      </w:pPr>
      <w:r>
        <w:rPr>
          <w:rFonts w:ascii="sans-serif" w:hAnsi="sans-serif"/>
          <w:color w:val="000000"/>
          <w:sz w:val="22"/>
        </w:rPr>
        <w:t>Consists of third-party costs such as security, maintenance, and utilities required to maintain land and buildings in certain locations not used in any Kodak operations and the costs, net of any rental income received, of underutilized portions of certain properties</w:t>
      </w:r>
      <w:r>
        <w:rPr>
          <w:rFonts w:ascii="sans-serif" w:hAnsi="sans-serif"/>
          <w:color w:val="000000"/>
          <w:sz w:val="20"/>
        </w:rPr>
        <w:t>.</w:t>
      </w:r>
    </w:p>
    <w:p>
      <w:pPr>
        <w:pStyle w:val="TextBody"/>
        <w:bidi w:val="0"/>
        <w:spacing w:before="0" w:after="200"/>
        <w:jc w:val="left"/>
        <w:rPr>
          <w:rFonts w:ascii="sans-serif" w:hAnsi="sans-serif"/>
          <w:color w:val="000000"/>
          <w:sz w:val="22"/>
        </w:rPr>
      </w:pPr>
      <w:r>
        <w:rPr>
          <w:rFonts w:ascii="sans-serif" w:hAnsi="sans-serif"/>
          <w:color w:val="000000"/>
          <w:sz w:val="22"/>
        </w:rPr>
        <w:t>(3)</w:t>
      </w:r>
    </w:p>
    <w:p>
      <w:pPr>
        <w:pStyle w:val="TextBody"/>
        <w:bidi w:val="0"/>
        <w:spacing w:before="0" w:after="200"/>
        <w:jc w:val="left"/>
        <w:rPr>
          <w:rFonts w:ascii="sans-serif" w:hAnsi="sans-serif"/>
          <w:color w:val="000000"/>
          <w:sz w:val="22"/>
        </w:rPr>
      </w:pPr>
      <w:r>
        <w:rPr>
          <w:rFonts w:ascii="sans-serif" w:hAnsi="sans-serif"/>
          <w:color w:val="000000"/>
          <w:sz w:val="22"/>
        </w:rPr>
        <w:t>As reported in the Consolidated Statement of Operations.</w:t>
      </w:r>
    </w:p>
    <w:p>
      <w:pPr>
        <w:pStyle w:val="TextBody"/>
        <w:bidi w:val="0"/>
        <w:jc w:val="center"/>
        <w:rPr>
          <w:rFonts w:ascii="sans-serif" w:hAnsi="sans-serif"/>
          <w:color w:val="000000"/>
          <w:sz w:val="22"/>
        </w:rPr>
      </w:pPr>
      <w:r>
        <w:rPr>
          <w:rFonts w:ascii="sans-serif" w:hAnsi="sans-serif"/>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2026 Financial Results Page 7</w:t>
      </w:r>
    </w:p>
    <w:p>
      <w:pPr>
        <w:pStyle w:val="TextBody"/>
        <w:bidi w:val="0"/>
        <w:jc w:val="left"/>
        <w:rPr/>
      </w:pPr>
      <w:r>
        <w:rPr/>
        <w:t> </w:t>
      </w:r>
    </w:p>
    <w:p>
      <w:pPr>
        <w:pStyle w:val="TextBody"/>
        <w:bidi w:val="0"/>
        <w:spacing w:before="0" w:after="200"/>
        <w:jc w:val="left"/>
        <w:rPr>
          <w:rFonts w:ascii="sans-serif" w:hAnsi="sans-serif"/>
          <w:b/>
          <w:color w:val="000000"/>
          <w:sz w:val="22"/>
        </w:rPr>
      </w:pPr>
      <w:r>
        <w:rPr>
          <w:rFonts w:ascii="sans-serif" w:hAnsi="sans-serif"/>
          <w:b/>
          <w:color w:val="000000"/>
          <w:sz w:val="22"/>
        </w:rPr>
        <w:t>A.</w:t>
      </w:r>
    </w:p>
    <w:p>
      <w:pPr>
        <w:pStyle w:val="TextBody"/>
        <w:bidi w:val="0"/>
        <w:spacing w:before="0" w:after="200"/>
        <w:jc w:val="left"/>
        <w:rPr>
          <w:rFonts w:ascii="sans-serif" w:hAnsi="sans-serif"/>
          <w:b/>
          <w:color w:val="000000"/>
          <w:sz w:val="22"/>
        </w:rPr>
      </w:pPr>
      <w:r>
        <w:rPr>
          <w:rFonts w:ascii="sans-serif" w:hAnsi="sans-serif"/>
          <w:b/>
          <w:color w:val="000000"/>
          <w:sz w:val="22"/>
        </w:rPr>
        <w:t>FINANCIAL STATEMENTS</w:t>
      </w:r>
    </w:p>
    <w:p>
      <w:pPr>
        <w:pStyle w:val="TextBody"/>
        <w:bidi w:val="0"/>
        <w:jc w:val="left"/>
        <w:rPr>
          <w:rFonts w:ascii="Times New Roman" w:hAnsi="Times New Roman"/>
          <w:sz w:val="20"/>
        </w:rPr>
      </w:pPr>
      <w:r>
        <w:rPr>
          <w:rFonts w:ascii="sans-serif" w:hAnsi="sans-serif"/>
          <w:b/>
          <w:color w:val="000000"/>
          <w:sz w:val="21"/>
        </w:rPr>
        <w:t>Eastman Kodak Company</w:t>
      </w:r>
      <w:r>
        <w:rPr>
          <w:rFonts w:ascii="Times New Roman" w:hAnsi="Times New Roman"/>
          <w:color w:val="000000"/>
          <w:sz w:val="20"/>
        </w:rPr>
        <w:t xml:space="preserve"> </w:t>
      </w:r>
    </w:p>
    <w:p>
      <w:pPr>
        <w:pStyle w:val="TextBody"/>
        <w:bidi w:val="0"/>
        <w:jc w:val="left"/>
        <w:rPr>
          <w:rFonts w:ascii="sans-serif" w:hAnsi="sans-serif"/>
          <w:b/>
          <w:color w:val="000000"/>
          <w:sz w:val="21"/>
        </w:rPr>
      </w:pPr>
      <w:r>
        <w:rPr>
          <w:rFonts w:ascii="sans-serif" w:hAnsi="sans-serif"/>
          <w:b/>
          <w:color w:val="000000"/>
          <w:sz w:val="21"/>
        </w:rPr>
        <w:t>Consolidated Statement of Operations (Unaudited)</w:t>
      </w:r>
    </w:p>
    <w:p>
      <w:pPr>
        <w:pStyle w:val="TextBody"/>
        <w:bidi w:val="0"/>
        <w:jc w:val="left"/>
        <w:rPr/>
      </w:pPr>
      <w:r>
        <w:rPr/>
        <w:t> </w:t>
      </w:r>
    </w:p>
    <w:tbl>
      <w:tblPr>
        <w:tblW w:w="8911" w:type="dxa"/>
        <w:jc w:val="left"/>
        <w:tblInd w:w="0" w:type="dxa"/>
        <w:tblLayout w:type="fixed"/>
        <w:tblCellMar>
          <w:top w:w="28" w:type="dxa"/>
          <w:left w:w="28" w:type="dxa"/>
          <w:bottom w:w="28" w:type="dxa"/>
          <w:right w:w="28" w:type="dxa"/>
        </w:tblCellMar>
      </w:tblPr>
      <w:tblGrid>
        <w:gridCol w:w="6106"/>
        <w:gridCol w:w="146"/>
        <w:gridCol w:w="264"/>
        <w:gridCol w:w="756"/>
        <w:gridCol w:w="211"/>
        <w:gridCol w:w="170"/>
        <w:gridCol w:w="264"/>
        <w:gridCol w:w="703"/>
        <w:gridCol w:w="29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Earnings (loss) from operations before interest expense, </w:t>
              <w:br/>
              <w:t xml:space="preserve">    pension income excluding service cost component, </w:t>
              <w:br/>
              <w:t xml:space="preserve">    loss on early extinguishment of debt, other (income) </w:t>
              <w:br/>
              <w:t>    charges,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early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Earnings (loss)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net earnings (loss) per share attributable to Eastman</w:t>
              <w:br/>
              <w:t>    Kodak Company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Diluted net earnings (loss) per share attributable to Eastman </w:t>
              <w:br/>
              <w:t>    Kodak Company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Number of common shares used in basic and diluted net </w:t>
              <w:br/>
              <w:t>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notes accompanying the financial statements contained in the second quarter Form 10-Q are an integral part of these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2026 Financial Results Page 8</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1"/>
        </w:rPr>
        <w:t>Eastman Kodak Company</w:t>
      </w:r>
      <w:r>
        <w:rPr>
          <w:rFonts w:ascii="Times New Roman" w:hAnsi="Times New Roman"/>
          <w:color w:val="000000"/>
          <w:sz w:val="20"/>
        </w:rPr>
        <w:t xml:space="preserve"> </w:t>
      </w:r>
    </w:p>
    <w:p>
      <w:pPr>
        <w:pStyle w:val="TextBody"/>
        <w:bidi w:val="0"/>
        <w:jc w:val="left"/>
        <w:rPr>
          <w:rFonts w:ascii="sans-serif" w:hAnsi="sans-serif"/>
          <w:b/>
          <w:color w:val="000000"/>
          <w:sz w:val="21"/>
        </w:rPr>
      </w:pPr>
      <w:r>
        <w:rPr>
          <w:rFonts w:ascii="sans-serif" w:hAnsi="sans-serif"/>
          <w:b/>
          <w:color w:val="000000"/>
          <w:sz w:val="21"/>
        </w:rPr>
        <w:t>Consolidated Statement of Financial Position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8"/>
        <w:gridCol w:w="146"/>
        <w:gridCol w:w="249"/>
        <w:gridCol w:w="728"/>
        <w:gridCol w:w="181"/>
        <w:gridCol w:w="146"/>
        <w:gridCol w:w="394"/>
        <w:gridCol w:w="1159"/>
        <w:gridCol w:w="594"/>
      </w:tblGrid>
      <w:tr>
        <w:trPr/>
        <w:tc>
          <w:tcPr>
            <w:tcW w:w="6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Trade receivables, net of allowances of $7 at both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plant and equipment, net of accumulated depreciation of $507 and $499,</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1,617</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 REDEEMABLE CONVERTIBLE PREFERRED STOCK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Accounts payable,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Short-term borrowings and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portion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Redeemable, convertible preferred stock, no par value, $100 per share liquidation</w:t>
              <w:br/>
              <w:t>    preference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Common stock, $0.01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 REDEEMABLE CONVERTIBLE PREFERRED STOCK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1,527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1,617</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notes accompanying the financial statements contained in the second quarter Form 10-Q are an integral part of these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Kodak Reports Second-Quarter 2026 Financial Results Page 9</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1"/>
        </w:rPr>
        <w:t>Eastman Kodak Company</w:t>
      </w:r>
      <w:r>
        <w:rPr>
          <w:rFonts w:ascii="Times New Roman" w:hAnsi="Times New Roman"/>
          <w:color w:val="000000"/>
          <w:sz w:val="20"/>
        </w:rPr>
        <w:t xml:space="preserve"> </w:t>
      </w:r>
    </w:p>
    <w:p>
      <w:pPr>
        <w:pStyle w:val="TextBody"/>
        <w:bidi w:val="0"/>
        <w:spacing w:before="0" w:after="200"/>
        <w:jc w:val="left"/>
        <w:rPr>
          <w:rFonts w:ascii="sans-serif" w:hAnsi="sans-serif"/>
          <w:b/>
          <w:color w:val="000000"/>
          <w:sz w:val="21"/>
        </w:rPr>
      </w:pPr>
      <w:r>
        <w:rPr>
          <w:rFonts w:ascii="sans-serif" w:hAnsi="sans-serif"/>
          <w:b/>
          <w:color w:val="000000"/>
          <w:sz w:val="21"/>
        </w:rPr>
        <w:t>Consolidated Statement of Cash Flows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9"/>
        <w:gridCol w:w="146"/>
        <w:gridCol w:w="258"/>
        <w:gridCol w:w="617"/>
        <w:gridCol w:w="206"/>
        <w:gridCol w:w="166"/>
        <w:gridCol w:w="258"/>
        <w:gridCol w:w="531"/>
        <w:gridCol w:w="594"/>
      </w:tblGrid>
      <w:tr>
        <w:trPr/>
        <w:tc>
          <w:tcPr>
            <w:tcW w:w="7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Adjustments to reconcile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Pension and postretirement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Change in fair value of preferred stock embedded derivative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Change in fair value of KRIP reversion investment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Paid-in-kind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Non-cash changes in workers' compensation and employee benefit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Net gain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Loss on early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Provision for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Increase in 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(Increase) decrease in miscellaneous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Increase (decrease) in 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Decrease in liabilities excluding borrowings and 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Other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Total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Additions to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Proceeds from sale of preferred equity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Proceeds from redemption of KRIP reversion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Net proceeds from the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78</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Repayment of Amended and Restated Term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Preferred stock cash dividend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Proceeds from exercise of employee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442</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301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388</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253</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u w:val="single"/>
              </w:rPr>
            </w:pPr>
            <w:r>
              <w:rPr>
                <w:rFonts w:ascii="sans-serif" w:hAnsi="sans-serif"/>
                <w:b/>
                <w:color w:val="000000"/>
                <w:sz w:val="19"/>
                <w:u w:val="single"/>
              </w:rPr>
              <w:t>Non-cash Financing Item: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Series B preferred stock embedded derivative liability at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notes accompanying the financial statements contained in the second quarter Form 10-Q are an integral part of these consolidated financial statements.</w:t>
      </w:r>
    </w:p>
    <w:p>
      <w:pPr>
        <w:pStyle w:val="TextBody"/>
        <w:bidi w:val="0"/>
        <w:jc w:val="center"/>
        <w:rPr>
          <w:rFonts w:ascii="sans-serif" w:hAnsi="sans-serif"/>
          <w:color w:val="000000"/>
          <w:sz w:val="22"/>
        </w:rPr>
      </w:pPr>
      <w:r>
        <w:rPr>
          <w:rFonts w:ascii="sans-serif" w:hAnsi="sans-serif"/>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3518</Words>
  <Characters>19311</Characters>
  <CharactersWithSpaces>23177</CharactersWithSpaces>
  <Paragraphs>1568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