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Table of Contents</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7" w:lineRule="exact"/>
        <w:rPr>
          <w:sz w:val="24"/>
          <w:szCs w:val="24"/>
          <w:color w:val="auto"/>
        </w:rPr>
      </w:pPr>
    </w:p>
    <w:p>
      <w:pPr>
        <w:ind w:left="3240" w:right="4220" w:hanging="3232"/>
        <w:spacing w:after="0" w:line="310" w:lineRule="auto"/>
        <w:tabs>
          <w:tab w:leader="none" w:pos="542"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Quarterly report pursuant to Secton 13 or 15(d) of the Securites Exchange Act of 1934 For the quarterly period ended: </w:t>
      </w:r>
      <w:r>
        <w:rPr>
          <w:rFonts w:ascii="Arial" w:cs="Arial" w:eastAsia="Arial" w:hAnsi="Arial"/>
          <w:sz w:val="15"/>
          <w:szCs w:val="15"/>
          <w:color w:val="auto"/>
        </w:rPr>
        <w:t>June 30, 2023</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Transiton report pursuant to Secton 13 or 15(d) of the Securites Exchange Act of 1934</w:t>
      </w:r>
    </w:p>
    <w:tbl>
      <w:tblPr>
        <w:tblLayout w:type="fixed"/>
        <w:tblInd w:w="0" w:type="dxa"/>
        <w:tblCellMar>
          <w:top w:w="0" w:type="dxa"/>
          <w:left w:w="0" w:type="dxa"/>
          <w:bottom w:w="0" w:type="dxa"/>
          <w:right w:w="0" w:type="dxa"/>
        </w:tblCellMar>
      </w:tblPr>
      <w:tr>
        <w:trPr>
          <w:trHeight w:val="204"/>
        </w:trPr>
        <w:tc>
          <w:tcPr>
            <w:tcW w:w="1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gridSpan w:val="4"/>
          </w:tcPr>
          <w:p>
            <w:pPr>
              <w:ind w:left="540"/>
              <w:spacing w:after="0" w:line="204" w:lineRule="exact"/>
              <w:rPr>
                <w:sz w:val="20"/>
                <w:szCs w:val="20"/>
                <w:color w:val="auto"/>
              </w:rPr>
            </w:pPr>
            <w:r>
              <w:rPr>
                <w:rFonts w:ascii="Arial" w:cs="Arial" w:eastAsia="Arial" w:hAnsi="Arial"/>
                <w:sz w:val="18"/>
                <w:szCs w:val="18"/>
                <w:b w:val="1"/>
                <w:bCs w:val="1"/>
                <w:color w:val="auto"/>
              </w:rPr>
              <w:t>For the transiton period from</w:t>
            </w:r>
          </w:p>
        </w:tc>
        <w:tc>
          <w:tcPr>
            <w:tcW w:w="3980" w:type="dxa"/>
            <w:vAlign w:val="bottom"/>
            <w:gridSpan w:val="4"/>
          </w:tcPr>
          <w:p>
            <w:pPr>
              <w:spacing w:after="0" w:line="204" w:lineRule="exact"/>
              <w:rPr>
                <w:sz w:val="20"/>
                <w:szCs w:val="20"/>
                <w:color w:val="auto"/>
              </w:rPr>
            </w:pPr>
            <w:r>
              <w:rPr>
                <w:rFonts w:ascii="Arial" w:cs="Arial" w:eastAsia="Arial" w:hAnsi="Arial"/>
                <w:sz w:val="18"/>
                <w:szCs w:val="18"/>
                <w:b w:val="1"/>
                <w:bCs w:val="1"/>
                <w:color w:val="auto"/>
              </w:rPr>
              <w:t>to</w:t>
            </w:r>
          </w:p>
        </w:tc>
      </w:tr>
      <w:tr>
        <w:trPr>
          <w:trHeight w:val="20"/>
        </w:trPr>
        <w:tc>
          <w:tcPr>
            <w:tcW w:w="1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16"/>
        </w:trPr>
        <w:tc>
          <w:tcPr>
            <w:tcW w:w="1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4"/>
          </w:tcPr>
          <w:p>
            <w:pPr>
              <w:jc w:val="center"/>
              <w:ind w:left="1115"/>
              <w:spacing w:after="0"/>
              <w:rPr>
                <w:sz w:val="20"/>
                <w:szCs w:val="20"/>
                <w:color w:val="auto"/>
              </w:rPr>
            </w:pPr>
            <w:r>
              <w:rPr>
                <w:rFonts w:ascii="Arial" w:cs="Arial" w:eastAsia="Arial" w:hAnsi="Arial"/>
                <w:sz w:val="18"/>
                <w:szCs w:val="18"/>
                <w:b w:val="1"/>
                <w:bCs w:val="1"/>
                <w:color w:val="auto"/>
                <w:w w:val="85"/>
              </w:rPr>
              <w:t>Commission File Number</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9"/>
        </w:trPr>
        <w:tc>
          <w:tcPr>
            <w:tcW w:w="1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1-00087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277"/>
        </w:trPr>
        <w:tc>
          <w:tcPr>
            <w:tcW w:w="1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40" w:type="dxa"/>
            <w:vAlign w:val="bottom"/>
            <w:gridSpan w:val="8"/>
          </w:tcPr>
          <w:p>
            <w:pPr>
              <w:jc w:val="center"/>
              <w:ind w:right="2719"/>
              <w:spacing w:after="0"/>
              <w:rPr>
                <w:sz w:val="20"/>
                <w:szCs w:val="20"/>
                <w:color w:val="auto"/>
              </w:rPr>
            </w:pPr>
            <w:r>
              <w:rPr>
                <w:rFonts w:ascii="Arial" w:cs="Arial" w:eastAsia="Arial" w:hAnsi="Arial"/>
                <w:sz w:val="22"/>
                <w:szCs w:val="22"/>
                <w:b w:val="1"/>
                <w:bCs w:val="1"/>
                <w:color w:val="auto"/>
                <w:w w:val="81"/>
              </w:rPr>
              <w:t>EASTMAN KODAK COMPANY</w:t>
            </w:r>
          </w:p>
        </w:tc>
      </w:tr>
      <w:tr>
        <w:trPr>
          <w:trHeight w:val="182"/>
        </w:trPr>
        <w:tc>
          <w:tcPr>
            <w:tcW w:w="1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40" w:type="dxa"/>
            <w:vAlign w:val="bottom"/>
            <w:gridSpan w:val="8"/>
          </w:tcPr>
          <w:p>
            <w:pPr>
              <w:jc w:val="center"/>
              <w:ind w:right="2699"/>
              <w:spacing w:after="0"/>
              <w:rPr>
                <w:sz w:val="20"/>
                <w:szCs w:val="20"/>
                <w:color w:val="auto"/>
              </w:rPr>
            </w:pPr>
            <w:r>
              <w:rPr>
                <w:rFonts w:ascii="Arial" w:cs="Arial" w:eastAsia="Arial" w:hAnsi="Arial"/>
                <w:sz w:val="14"/>
                <w:szCs w:val="14"/>
                <w:color w:val="auto"/>
                <w:w w:val="94"/>
              </w:rPr>
              <w:t>(Exact name of registrant as specifed in its charter)</w:t>
            </w:r>
          </w:p>
        </w:tc>
      </w:tr>
      <w:tr>
        <w:trPr>
          <w:trHeight w:val="426"/>
        </w:trPr>
        <w:tc>
          <w:tcPr>
            <w:tcW w:w="1240" w:type="dxa"/>
            <w:vAlign w:val="bottom"/>
          </w:tcPr>
          <w:p>
            <w:pPr>
              <w:spacing w:after="0"/>
              <w:rPr>
                <w:sz w:val="24"/>
                <w:szCs w:val="24"/>
                <w:color w:val="auto"/>
              </w:rPr>
            </w:pPr>
          </w:p>
        </w:tc>
        <w:tc>
          <w:tcPr>
            <w:tcW w:w="2160" w:type="dxa"/>
            <w:vAlign w:val="bottom"/>
            <w:gridSpan w:val="2"/>
          </w:tcPr>
          <w:p>
            <w:pPr>
              <w:jc w:val="center"/>
              <w:ind w:left="916"/>
              <w:spacing w:after="0"/>
              <w:rPr>
                <w:sz w:val="20"/>
                <w:szCs w:val="20"/>
                <w:color w:val="auto"/>
              </w:rPr>
            </w:pPr>
            <w:r>
              <w:rPr>
                <w:rFonts w:ascii="Arial" w:cs="Arial" w:eastAsia="Arial" w:hAnsi="Arial"/>
                <w:sz w:val="18"/>
                <w:szCs w:val="18"/>
                <w:b w:val="1"/>
                <w:bCs w:val="1"/>
                <w:color w:val="auto"/>
                <w:w w:val="77"/>
              </w:rPr>
              <w:t>NEW JERSEY</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80" w:type="dxa"/>
            <w:vAlign w:val="bottom"/>
            <w:gridSpan w:val="4"/>
          </w:tcPr>
          <w:p>
            <w:pPr>
              <w:jc w:val="right"/>
              <w:ind w:right="1699"/>
              <w:spacing w:after="0"/>
              <w:rPr>
                <w:sz w:val="20"/>
                <w:szCs w:val="20"/>
                <w:color w:val="auto"/>
              </w:rPr>
            </w:pPr>
            <w:r>
              <w:rPr>
                <w:rFonts w:ascii="Arial" w:cs="Arial" w:eastAsia="Arial" w:hAnsi="Arial"/>
                <w:sz w:val="18"/>
                <w:szCs w:val="18"/>
                <w:b w:val="1"/>
                <w:bCs w:val="1"/>
                <w:color w:val="auto"/>
              </w:rPr>
              <w:t>16-0417150</w:t>
            </w:r>
          </w:p>
        </w:tc>
      </w:tr>
      <w:tr>
        <w:trPr>
          <w:trHeight w:val="182"/>
        </w:trPr>
        <w:tc>
          <w:tcPr>
            <w:tcW w:w="6660" w:type="dxa"/>
            <w:vAlign w:val="bottom"/>
            <w:gridSpan w:val="7"/>
          </w:tcPr>
          <w:p>
            <w:pPr>
              <w:jc w:val="center"/>
              <w:ind w:right="1020"/>
              <w:spacing w:after="0"/>
              <w:rPr>
                <w:sz w:val="20"/>
                <w:szCs w:val="20"/>
                <w:color w:val="auto"/>
              </w:rPr>
            </w:pPr>
            <w:r>
              <w:rPr>
                <w:rFonts w:ascii="Arial" w:cs="Arial" w:eastAsia="Arial" w:hAnsi="Arial"/>
                <w:sz w:val="14"/>
                <w:szCs w:val="14"/>
                <w:color w:val="auto"/>
                <w:w w:val="98"/>
              </w:rPr>
              <w:t>(State or other jurisdicton of incorporaton or organizaton)</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80" w:type="dxa"/>
            <w:vAlign w:val="bottom"/>
          </w:tcPr>
          <w:p>
            <w:pPr>
              <w:jc w:val="center"/>
              <w:ind w:right="1059"/>
              <w:spacing w:after="0"/>
              <w:rPr>
                <w:sz w:val="20"/>
                <w:szCs w:val="20"/>
                <w:color w:val="auto"/>
              </w:rPr>
            </w:pPr>
            <w:r>
              <w:rPr>
                <w:rFonts w:ascii="Arial" w:cs="Arial" w:eastAsia="Arial" w:hAnsi="Arial"/>
                <w:sz w:val="14"/>
                <w:szCs w:val="14"/>
                <w:color w:val="auto"/>
                <w:w w:val="97"/>
              </w:rPr>
              <w:t>(IRS Employer Identfcaton No.)</w:t>
            </w:r>
          </w:p>
        </w:tc>
      </w:tr>
      <w:tr>
        <w:trPr>
          <w:trHeight w:val="426"/>
        </w:trPr>
        <w:tc>
          <w:tcPr>
            <w:tcW w:w="6660" w:type="dxa"/>
            <w:vAlign w:val="bottom"/>
            <w:gridSpan w:val="7"/>
          </w:tcPr>
          <w:p>
            <w:pPr>
              <w:jc w:val="center"/>
              <w:ind w:right="1040"/>
              <w:spacing w:after="0"/>
              <w:rPr>
                <w:sz w:val="20"/>
                <w:szCs w:val="20"/>
                <w:color w:val="auto"/>
              </w:rPr>
            </w:pPr>
            <w:r>
              <w:rPr>
                <w:rFonts w:ascii="Arial" w:cs="Arial" w:eastAsia="Arial" w:hAnsi="Arial"/>
                <w:sz w:val="18"/>
                <w:szCs w:val="18"/>
                <w:b w:val="1"/>
                <w:bCs w:val="1"/>
                <w:color w:val="auto"/>
                <w:w w:val="79"/>
              </w:rPr>
              <w:t>343 STATE STREET, ROCHESTER, NEW YORK</w:t>
            </w:r>
          </w:p>
        </w:tc>
        <w:tc>
          <w:tcPr>
            <w:tcW w:w="3980" w:type="dxa"/>
            <w:vAlign w:val="bottom"/>
            <w:gridSpan w:val="4"/>
          </w:tcPr>
          <w:p>
            <w:pPr>
              <w:jc w:val="right"/>
              <w:ind w:right="1899"/>
              <w:spacing w:after="0"/>
              <w:rPr>
                <w:sz w:val="20"/>
                <w:szCs w:val="20"/>
                <w:color w:val="auto"/>
              </w:rPr>
            </w:pPr>
            <w:r>
              <w:rPr>
                <w:rFonts w:ascii="Arial" w:cs="Arial" w:eastAsia="Arial" w:hAnsi="Arial"/>
                <w:sz w:val="18"/>
                <w:szCs w:val="18"/>
                <w:b w:val="1"/>
                <w:bCs w:val="1"/>
                <w:color w:val="auto"/>
              </w:rPr>
              <w:t>14650</w:t>
            </w:r>
          </w:p>
        </w:tc>
      </w:tr>
      <w:tr>
        <w:trPr>
          <w:trHeight w:val="176"/>
        </w:trPr>
        <w:tc>
          <w:tcPr>
            <w:tcW w:w="1240" w:type="dxa"/>
            <w:vAlign w:val="bottom"/>
          </w:tcPr>
          <w:p>
            <w:pPr>
              <w:spacing w:after="0"/>
              <w:rPr>
                <w:sz w:val="15"/>
                <w:szCs w:val="15"/>
                <w:color w:val="auto"/>
              </w:rPr>
            </w:pPr>
          </w:p>
        </w:tc>
        <w:tc>
          <w:tcPr>
            <w:tcW w:w="5420" w:type="dxa"/>
            <w:vAlign w:val="bottom"/>
            <w:gridSpan w:val="6"/>
          </w:tcPr>
          <w:p>
            <w:pPr>
              <w:jc w:val="center"/>
              <w:ind w:right="2260"/>
              <w:spacing w:after="0"/>
              <w:rPr>
                <w:sz w:val="20"/>
                <w:szCs w:val="20"/>
                <w:color w:val="auto"/>
              </w:rPr>
            </w:pPr>
            <w:r>
              <w:rPr>
                <w:rFonts w:ascii="Arial" w:cs="Arial" w:eastAsia="Arial" w:hAnsi="Arial"/>
                <w:sz w:val="14"/>
                <w:szCs w:val="14"/>
                <w:color w:val="auto"/>
                <w:w w:val="97"/>
              </w:rPr>
              <w:t>(Address of principal executve ofces)</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80" w:type="dxa"/>
            <w:vAlign w:val="bottom"/>
          </w:tcPr>
          <w:p>
            <w:pPr>
              <w:jc w:val="center"/>
              <w:ind w:right="1059"/>
              <w:spacing w:after="0"/>
              <w:rPr>
                <w:sz w:val="20"/>
                <w:szCs w:val="20"/>
                <w:color w:val="auto"/>
              </w:rPr>
            </w:pPr>
            <w:r>
              <w:rPr>
                <w:rFonts w:ascii="Arial" w:cs="Arial" w:eastAsia="Arial" w:hAnsi="Arial"/>
                <w:sz w:val="14"/>
                <w:szCs w:val="14"/>
                <w:color w:val="auto"/>
                <w:w w:val="87"/>
              </w:rPr>
              <w:t>(Zip Code)</w:t>
            </w:r>
          </w:p>
        </w:tc>
      </w:tr>
      <w:tr>
        <w:trPr>
          <w:trHeight w:val="175"/>
        </w:trPr>
        <w:tc>
          <w:tcPr>
            <w:tcW w:w="1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2"/>
          </w:tcPr>
          <w:p>
            <w:pPr>
              <w:jc w:val="right"/>
              <w:spacing w:after="0"/>
              <w:rPr>
                <w:sz w:val="20"/>
                <w:szCs w:val="20"/>
                <w:color w:val="auto"/>
              </w:rPr>
            </w:pPr>
            <w:r>
              <w:rPr>
                <w:rFonts w:ascii="Arial" w:cs="Arial" w:eastAsia="Arial" w:hAnsi="Arial"/>
                <w:sz w:val="14"/>
                <w:szCs w:val="14"/>
                <w:b w:val="1"/>
                <w:bCs w:val="1"/>
                <w:color w:val="auto"/>
              </w:rPr>
              <w:t>(800) 356-3259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167"/>
        </w:trPr>
        <w:tc>
          <w:tcPr>
            <w:tcW w:w="1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40" w:type="dxa"/>
            <w:vAlign w:val="bottom"/>
            <w:gridSpan w:val="8"/>
          </w:tcPr>
          <w:p>
            <w:pPr>
              <w:jc w:val="center"/>
              <w:ind w:right="2719"/>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214"/>
        </w:trPr>
        <w:tc>
          <w:tcPr>
            <w:tcW w:w="1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40" w:type="dxa"/>
            <w:vAlign w:val="bottom"/>
            <w:gridSpan w:val="8"/>
          </w:tcPr>
          <w:p>
            <w:pPr>
              <w:jc w:val="center"/>
              <w:ind w:right="2699"/>
              <w:spacing w:after="0"/>
              <w:rPr>
                <w:sz w:val="20"/>
                <w:szCs w:val="20"/>
                <w:color w:val="auto"/>
              </w:rPr>
            </w:pPr>
            <w:r>
              <w:rPr>
                <w:rFonts w:ascii="Arial" w:cs="Arial" w:eastAsia="Arial" w:hAnsi="Arial"/>
                <w:sz w:val="18"/>
                <w:szCs w:val="18"/>
                <w:color w:val="auto"/>
                <w:w w:val="93"/>
              </w:rPr>
              <w:t>Securites registered pursuant to Secton 12(b) of the Act:</w:t>
            </w:r>
          </w:p>
        </w:tc>
      </w:tr>
      <w:tr>
        <w:trPr>
          <w:trHeight w:val="196"/>
        </w:trPr>
        <w:tc>
          <w:tcPr>
            <w:tcW w:w="1240" w:type="dxa"/>
            <w:vAlign w:val="bottom"/>
          </w:tcPr>
          <w:p>
            <w:pPr>
              <w:spacing w:after="0"/>
              <w:rPr>
                <w:sz w:val="17"/>
                <w:szCs w:val="17"/>
                <w:color w:val="auto"/>
              </w:rPr>
            </w:pPr>
          </w:p>
        </w:tc>
        <w:tc>
          <w:tcPr>
            <w:tcW w:w="2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89"/>
              </w:rPr>
              <w:t>Title of each class Common</w:t>
            </w:r>
          </w:p>
        </w:tc>
        <w:tc>
          <w:tcPr>
            <w:tcW w:w="1560" w:type="dxa"/>
            <w:vAlign w:val="bottom"/>
          </w:tcPr>
          <w:p>
            <w:pPr>
              <w:spacing w:after="0"/>
              <w:rPr>
                <w:sz w:val="17"/>
                <w:szCs w:val="17"/>
                <w:color w:val="auto"/>
              </w:rPr>
            </w:pPr>
          </w:p>
        </w:tc>
        <w:tc>
          <w:tcPr>
            <w:tcW w:w="1700" w:type="dxa"/>
            <w:vAlign w:val="bottom"/>
            <w:gridSpan w:val="3"/>
          </w:tcPr>
          <w:p>
            <w:pPr>
              <w:jc w:val="center"/>
              <w:ind w:right="380"/>
              <w:spacing w:after="0" w:line="196" w:lineRule="exact"/>
              <w:rPr>
                <w:sz w:val="20"/>
                <w:szCs w:val="20"/>
                <w:color w:val="auto"/>
              </w:rPr>
            </w:pPr>
            <w:r>
              <w:rPr>
                <w:rFonts w:ascii="Arial" w:cs="Arial" w:eastAsia="Arial" w:hAnsi="Arial"/>
                <w:sz w:val="18"/>
                <w:szCs w:val="18"/>
                <w:b w:val="1"/>
                <w:bCs w:val="1"/>
                <w:color w:val="auto"/>
                <w:w w:val="83"/>
              </w:rPr>
              <w:t>Trading Symbol(s)</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r>
      <w:tr>
        <w:trPr>
          <w:trHeight w:val="228"/>
        </w:trPr>
        <w:tc>
          <w:tcPr>
            <w:tcW w:w="3400" w:type="dxa"/>
            <w:vAlign w:val="bottom"/>
            <w:gridSpan w:val="3"/>
          </w:tcPr>
          <w:p>
            <w:pPr>
              <w:spacing w:after="0"/>
              <w:rPr>
                <w:sz w:val="20"/>
                <w:szCs w:val="20"/>
                <w:color w:val="auto"/>
              </w:rPr>
            </w:pPr>
            <w:r>
              <w:rPr>
                <w:rFonts w:ascii="Arial" w:cs="Arial" w:eastAsia="Arial" w:hAnsi="Arial"/>
                <w:sz w:val="18"/>
                <w:szCs w:val="18"/>
                <w:color w:val="auto"/>
              </w:rPr>
              <w:t>Common stock, par value $0.01 per share</w:t>
            </w:r>
          </w:p>
        </w:tc>
        <w:tc>
          <w:tcPr>
            <w:tcW w:w="1560" w:type="dxa"/>
            <w:vAlign w:val="bottom"/>
          </w:tcPr>
          <w:p>
            <w:pPr>
              <w:spacing w:after="0"/>
              <w:rPr>
                <w:sz w:val="19"/>
                <w:szCs w:val="19"/>
                <w:color w:val="auto"/>
              </w:rPr>
            </w:pPr>
          </w:p>
        </w:tc>
        <w:tc>
          <w:tcPr>
            <w:tcW w:w="1700" w:type="dxa"/>
            <w:vAlign w:val="bottom"/>
            <w:gridSpan w:val="3"/>
          </w:tcPr>
          <w:p>
            <w:pPr>
              <w:jc w:val="center"/>
              <w:ind w:right="380"/>
              <w:spacing w:after="0"/>
              <w:rPr>
                <w:sz w:val="20"/>
                <w:szCs w:val="20"/>
                <w:color w:val="auto"/>
              </w:rPr>
            </w:pPr>
            <w:r>
              <w:rPr>
                <w:rFonts w:ascii="Arial" w:cs="Arial" w:eastAsia="Arial" w:hAnsi="Arial"/>
                <w:sz w:val="18"/>
                <w:szCs w:val="18"/>
                <w:color w:val="auto"/>
                <w:w w:val="78"/>
              </w:rPr>
              <w:t>KODK</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6"/>
              </w:rPr>
              <w:t>New York Stock Exchange</w:t>
            </w:r>
          </w:p>
        </w:tc>
      </w:tr>
    </w:tbl>
    <w:p>
      <w:pPr>
        <w:spacing w:after="0" w:line="165" w:lineRule="exact"/>
        <w:rPr>
          <w:sz w:val="24"/>
          <w:szCs w:val="24"/>
          <w:color w:val="auto"/>
        </w:rPr>
      </w:pPr>
    </w:p>
    <w:p>
      <w:pPr>
        <w:jc w:val="both"/>
        <w:ind w:right="240"/>
        <w:spacing w:after="0" w:line="236" w:lineRule="exact"/>
        <w:rPr>
          <w:sz w:val="20"/>
          <w:szCs w:val="20"/>
          <w:color w:val="auto"/>
        </w:rPr>
      </w:pPr>
      <w:r>
        <w:rPr>
          <w:rFonts w:ascii="Arial" w:cs="Arial" w:eastAsia="Arial" w:hAnsi="Arial"/>
          <w:sz w:val="18"/>
          <w:szCs w:val="18"/>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ind w:right="200"/>
        <w:spacing w:after="0" w:line="236" w:lineRule="exact"/>
        <w:rPr>
          <w:sz w:val="20"/>
          <w:szCs w:val="20"/>
          <w:color w:val="auto"/>
        </w:rPr>
      </w:pPr>
      <w:r>
        <w:rPr>
          <w:rFonts w:ascii="Arial" w:cs="Arial" w:eastAsia="Arial" w:hAnsi="Arial"/>
          <w:sz w:val="18"/>
          <w:szCs w:val="18"/>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ind w:right="120"/>
        <w:spacing w:after="0" w:line="262" w:lineRule="auto"/>
        <w:rPr>
          <w:sz w:val="20"/>
          <w:szCs w:val="20"/>
          <w:color w:val="auto"/>
        </w:rPr>
      </w:pPr>
      <w:r>
        <w:rPr>
          <w:rFonts w:ascii="Arial" w:cs="Arial" w:eastAsia="Arial" w:hAnsi="Arial"/>
          <w:sz w:val="18"/>
          <w:szCs w:val="18"/>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Large accelerated fler</w:t>
            </w:r>
          </w:p>
        </w:tc>
        <w:tc>
          <w:tcPr>
            <w:tcW w:w="27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920"/>
              <w:spacing w:after="0"/>
              <w:rPr>
                <w:sz w:val="20"/>
                <w:szCs w:val="20"/>
                <w:color w:val="auto"/>
              </w:rPr>
            </w:pPr>
            <w:r>
              <w:rPr>
                <w:rFonts w:ascii="Arial" w:cs="Arial" w:eastAsia="Arial" w:hAnsi="Arial"/>
                <w:sz w:val="18"/>
                <w:szCs w:val="18"/>
                <w:color w:val="auto"/>
              </w:rPr>
              <w:t>Accelerated fler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600" w:type="dxa"/>
            <w:vAlign w:val="bottom"/>
          </w:tcPr>
          <w:p>
            <w:pPr>
              <w:spacing w:after="0"/>
              <w:rPr>
                <w:sz w:val="20"/>
                <w:szCs w:val="20"/>
                <w:color w:val="auto"/>
              </w:rPr>
            </w:pPr>
            <w:r>
              <w:rPr>
                <w:rFonts w:ascii="Arial" w:cs="Arial" w:eastAsia="Arial" w:hAnsi="Arial"/>
                <w:sz w:val="18"/>
                <w:szCs w:val="18"/>
                <w:color w:val="auto"/>
              </w:rPr>
              <w:t>Non-accelerated fler</w:t>
            </w:r>
          </w:p>
        </w:tc>
        <w:tc>
          <w:tcPr>
            <w:tcW w:w="27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920"/>
              <w:spacing w:after="0"/>
              <w:rPr>
                <w:sz w:val="20"/>
                <w:szCs w:val="20"/>
                <w:color w:val="auto"/>
              </w:rPr>
            </w:pPr>
            <w:r>
              <w:rPr>
                <w:rFonts w:ascii="Arial" w:cs="Arial" w:eastAsia="Arial" w:hAnsi="Arial"/>
                <w:sz w:val="18"/>
                <w:szCs w:val="18"/>
                <w:color w:val="auto"/>
              </w:rPr>
              <w:t>Smaller reportng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6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7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69" w:lineRule="exact"/>
        <w:rPr>
          <w:sz w:val="24"/>
          <w:szCs w:val="24"/>
          <w:color w:val="auto"/>
        </w:rPr>
      </w:pPr>
    </w:p>
    <w:p>
      <w:pPr>
        <w:spacing w:after="0" w:line="24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As of August 1, 2023, the registrant had 79,473,557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520" w:type="dxa"/>
            <w:vAlign w:val="bottom"/>
            <w:gridSpan w:val="23"/>
          </w:tcPr>
          <w:p>
            <w:pPr>
              <w:spacing w:after="0"/>
              <w:rPr>
                <w:sz w:val="20"/>
                <w:szCs w:val="20"/>
                <w:color w:val="auto"/>
              </w:rPr>
            </w:pPr>
            <w:r>
              <w:rPr>
                <w:rFonts w:ascii="Arial" w:cs="Arial" w:eastAsia="Arial" w:hAnsi="Arial"/>
                <w:sz w:val="18"/>
                <w:szCs w:val="18"/>
                <w:color w:val="0000EE"/>
              </w:rPr>
              <w:t>Table of Contents</w:t>
            </w:r>
          </w:p>
        </w:tc>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1"/>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gridSpan w:val="10"/>
          </w:tcPr>
          <w:p>
            <w:pPr>
              <w:jc w:val="center"/>
              <w:ind w:right="740"/>
              <w:spacing w:after="0"/>
              <w:rPr>
                <w:sz w:val="20"/>
                <w:szCs w:val="20"/>
                <w:color w:val="auto"/>
              </w:rPr>
            </w:pPr>
            <w:r>
              <w:rPr>
                <w:rFonts w:ascii="Arial" w:cs="Arial" w:eastAsia="Arial" w:hAnsi="Arial"/>
                <w:sz w:val="18"/>
                <w:szCs w:val="18"/>
                <w:b w:val="1"/>
                <w:bCs w:val="1"/>
                <w:color w:val="auto"/>
                <w:w w:val="83"/>
              </w:rPr>
              <w:t>EASTMAN KODAK COMPANY</w:t>
            </w: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7"/>
          </w:tcPr>
          <w:p>
            <w:pPr>
              <w:jc w:val="center"/>
              <w:ind w:right="1400"/>
              <w:spacing w:after="0"/>
              <w:rPr>
                <w:sz w:val="20"/>
                <w:szCs w:val="20"/>
                <w:color w:val="auto"/>
              </w:rPr>
            </w:pPr>
            <w:r>
              <w:rPr>
                <w:rFonts w:ascii="Arial" w:cs="Arial" w:eastAsia="Arial" w:hAnsi="Arial"/>
                <w:sz w:val="18"/>
                <w:szCs w:val="18"/>
                <w:b w:val="1"/>
                <w:bCs w:val="1"/>
                <w:color w:val="auto"/>
                <w:w w:val="88"/>
              </w:rPr>
              <w:t>Form 10-Q</w:t>
            </w:r>
          </w:p>
        </w:tc>
        <w:tc>
          <w:tcPr>
            <w:tcW w:w="2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7"/>
          </w:tcPr>
          <w:p>
            <w:pPr>
              <w:jc w:val="center"/>
              <w:ind w:right="1380"/>
              <w:spacing w:after="0"/>
              <w:rPr>
                <w:sz w:val="20"/>
                <w:szCs w:val="20"/>
                <w:color w:val="auto"/>
              </w:rPr>
            </w:pPr>
            <w:r>
              <w:rPr>
                <w:rFonts w:ascii="Arial" w:cs="Arial" w:eastAsia="Arial" w:hAnsi="Arial"/>
                <w:sz w:val="18"/>
                <w:szCs w:val="18"/>
                <w:b w:val="1"/>
                <w:bCs w:val="1"/>
                <w:color w:val="auto"/>
                <w:w w:val="87"/>
              </w:rPr>
              <w:t>June 30, 2023</w:t>
            </w: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8"/>
          </w:tcPr>
          <w:p>
            <w:pPr>
              <w:jc w:val="center"/>
              <w:ind w:right="1120"/>
              <w:spacing w:after="0"/>
              <w:rPr>
                <w:sz w:val="20"/>
                <w:szCs w:val="20"/>
                <w:color w:val="auto"/>
              </w:rPr>
            </w:pPr>
            <w:r>
              <w:rPr>
                <w:rFonts w:ascii="Arial" w:cs="Arial" w:eastAsia="Arial" w:hAnsi="Arial"/>
                <w:sz w:val="18"/>
                <w:szCs w:val="18"/>
                <w:b w:val="1"/>
                <w:bCs w:val="1"/>
                <w:color w:val="auto"/>
                <w:w w:val="85"/>
              </w:rPr>
              <w:t>Table of Contents</w:t>
            </w: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10"/>
            <w:vMerge w:val="restart"/>
          </w:tcPr>
          <w:p>
            <w:pPr>
              <w:jc w:val="center"/>
              <w:spacing w:after="0"/>
              <w:rPr>
                <w:sz w:val="20"/>
                <w:szCs w:val="20"/>
                <w:color w:val="auto"/>
              </w:rPr>
            </w:pPr>
            <w:r>
              <w:rPr>
                <w:rFonts w:ascii="Arial" w:cs="Arial" w:eastAsia="Arial" w:hAnsi="Arial"/>
                <w:sz w:val="18"/>
                <w:szCs w:val="18"/>
                <w:b w:val="1"/>
                <w:bCs w:val="1"/>
                <w:color w:val="0000EE"/>
                <w:w w:val="89"/>
              </w:rPr>
              <w:t>Part I.</w:t>
            </w:r>
            <w:r>
              <w:rPr>
                <w:rFonts w:ascii="Arial" w:cs="Arial" w:eastAsia="Arial" w:hAnsi="Arial"/>
                <w:sz w:val="18"/>
                <w:szCs w:val="18"/>
                <w:color w:val="0000EE"/>
                <w:w w:val="89"/>
              </w:rPr>
              <w:t>—</w:t>
            </w:r>
            <w:r>
              <w:rPr>
                <w:rFonts w:ascii="Arial" w:cs="Arial" w:eastAsia="Arial" w:hAnsi="Arial"/>
                <w:sz w:val="18"/>
                <w:szCs w:val="18"/>
                <w:b w:val="1"/>
                <w:bCs w:val="1"/>
                <w:color w:val="0000EE"/>
                <w:w w:val="89"/>
              </w:rPr>
              <w:t>Financial Informaton</w:t>
            </w:r>
          </w:p>
        </w:tc>
        <w:tc>
          <w:tcPr>
            <w:tcW w:w="900" w:type="dxa"/>
            <w:vAlign w:val="bottom"/>
            <w:vMerge w:val="restart"/>
          </w:tcPr>
          <w:p>
            <w:pPr>
              <w:spacing w:after="0"/>
              <w:rPr>
                <w:sz w:val="24"/>
                <w:szCs w:val="24"/>
                <w:color w:val="auto"/>
              </w:rPr>
            </w:pPr>
          </w:p>
        </w:tc>
        <w:tc>
          <w:tcPr>
            <w:tcW w:w="3720" w:type="dxa"/>
            <w:vAlign w:val="bottom"/>
            <w:gridSpan w:val="5"/>
          </w:tcPr>
          <w:p>
            <w:pPr>
              <w:ind w:left="28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tcBorders>
              <w:bottom w:val="single" w:sz="8" w:color="0000EE"/>
            </w:tcBorders>
            <w:gridSpan w:val="10"/>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6380" w:type="dxa"/>
            <w:vAlign w:val="bottom"/>
            <w:gridSpan w:val="22"/>
          </w:tcPr>
          <w:p>
            <w:pPr>
              <w:spacing w:after="0"/>
              <w:rPr>
                <w:sz w:val="20"/>
                <w:szCs w:val="20"/>
                <w:color w:val="auto"/>
              </w:rPr>
            </w:pPr>
            <w:r>
              <w:rPr>
                <w:rFonts w:ascii="Arial" w:cs="Arial" w:eastAsia="Arial" w:hAnsi="Arial"/>
                <w:sz w:val="18"/>
                <w:szCs w:val="18"/>
                <w:color w:val="0000EE"/>
              </w:rPr>
              <w:t>Financial Statements</w:t>
            </w:r>
          </w:p>
        </w:tc>
        <w:tc>
          <w:tcPr>
            <w:tcW w:w="3100" w:type="dxa"/>
            <w:vAlign w:val="bottom"/>
            <w:gridSpan w:val="3"/>
          </w:tcPr>
          <w:p>
            <w:pPr>
              <w:jc w:val="center"/>
              <w:ind w:left="2910"/>
              <w:spacing w:after="0"/>
              <w:rPr>
                <w:sz w:val="20"/>
                <w:szCs w:val="20"/>
                <w:color w:val="auto"/>
              </w:rPr>
            </w:pPr>
            <w:r>
              <w:rPr>
                <w:rFonts w:ascii="Arial" w:cs="Arial" w:eastAsia="Arial" w:hAnsi="Arial"/>
                <w:sz w:val="18"/>
                <w:szCs w:val="18"/>
                <w:color w:val="0000EE"/>
                <w:w w:val="99"/>
              </w:rPr>
              <w:t>3</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72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Consolidated Statement of Operatons (Unaudited)</w:t>
            </w:r>
          </w:p>
        </w:tc>
        <w:tc>
          <w:tcPr>
            <w:tcW w:w="2660" w:type="dxa"/>
            <w:vAlign w:val="bottom"/>
            <w:gridSpan w:val="8"/>
          </w:tcPr>
          <w:p>
            <w:pPr>
              <w:spacing w:after="0"/>
              <w:rPr>
                <w:sz w:val="17"/>
                <w:szCs w:val="17"/>
                <w:color w:val="auto"/>
              </w:rPr>
            </w:pPr>
          </w:p>
        </w:tc>
        <w:tc>
          <w:tcPr>
            <w:tcW w:w="300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9"/>
              </w:rPr>
              <w:t>3</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Consolidated Statement of Comprehensive (Loss) Income (Unaudited)</w:t>
            </w:r>
          </w:p>
        </w:tc>
        <w:tc>
          <w:tcPr>
            <w:tcW w:w="1300" w:type="dxa"/>
            <w:vAlign w:val="bottom"/>
            <w:gridSpan w:val="3"/>
          </w:tcPr>
          <w:p>
            <w:pPr>
              <w:spacing w:after="0"/>
              <w:rPr>
                <w:sz w:val="17"/>
                <w:szCs w:val="17"/>
                <w:color w:val="auto"/>
              </w:rPr>
            </w:pPr>
          </w:p>
        </w:tc>
        <w:tc>
          <w:tcPr>
            <w:tcW w:w="300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9"/>
              </w:rPr>
              <w:t>4</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380" w:type="dxa"/>
            <w:vAlign w:val="bottom"/>
            <w:gridSpan w:val="22"/>
          </w:tcPr>
          <w:p>
            <w:pPr>
              <w:spacing w:after="0" w:line="196" w:lineRule="exact"/>
              <w:rPr>
                <w:sz w:val="20"/>
                <w:szCs w:val="20"/>
                <w:color w:val="auto"/>
              </w:rPr>
            </w:pPr>
            <w:r>
              <w:rPr>
                <w:rFonts w:ascii="Arial" w:cs="Arial" w:eastAsia="Arial" w:hAnsi="Arial"/>
                <w:sz w:val="18"/>
                <w:szCs w:val="18"/>
                <w:color w:val="0000EE"/>
              </w:rPr>
              <w:t>Consolidated Statement of Financial Positon (Unaudited)</w:t>
            </w:r>
          </w:p>
        </w:tc>
        <w:tc>
          <w:tcPr>
            <w:tcW w:w="3100" w:type="dxa"/>
            <w:vAlign w:val="bottom"/>
            <w:gridSpan w:val="3"/>
          </w:tcPr>
          <w:p>
            <w:pPr>
              <w:jc w:val="center"/>
              <w:ind w:left="2910"/>
              <w:spacing w:after="0" w:line="196" w:lineRule="exact"/>
              <w:rPr>
                <w:sz w:val="20"/>
                <w:szCs w:val="20"/>
                <w:color w:val="auto"/>
              </w:rPr>
            </w:pPr>
            <w:r>
              <w:rPr>
                <w:rFonts w:ascii="Arial" w:cs="Arial" w:eastAsia="Arial" w:hAnsi="Arial"/>
                <w:sz w:val="18"/>
                <w:szCs w:val="18"/>
                <w:color w:val="0000EE"/>
                <w:w w:val="99"/>
              </w:rPr>
              <w:t>5</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Consolidated Statement of Cash Flows (Unaudited)</w:t>
            </w:r>
          </w:p>
        </w:tc>
        <w:tc>
          <w:tcPr>
            <w:tcW w:w="460" w:type="dxa"/>
            <w:vAlign w:val="bottom"/>
            <w:tcBorders>
              <w:top w:val="single" w:sz="8" w:color="0000EE"/>
            </w:tcBorders>
            <w:gridSpan w:val="3"/>
          </w:tcPr>
          <w:p>
            <w:pPr>
              <w:spacing w:after="0"/>
              <w:rPr>
                <w:sz w:val="17"/>
                <w:szCs w:val="17"/>
                <w:color w:val="auto"/>
              </w:rPr>
            </w:pPr>
          </w:p>
        </w:tc>
        <w:tc>
          <w:tcPr>
            <w:tcW w:w="2220" w:type="dxa"/>
            <w:vAlign w:val="bottom"/>
            <w:gridSpan w:val="6"/>
          </w:tcPr>
          <w:p>
            <w:pPr>
              <w:spacing w:after="0"/>
              <w:rPr>
                <w:sz w:val="17"/>
                <w:szCs w:val="17"/>
                <w:color w:val="auto"/>
              </w:rPr>
            </w:pPr>
          </w:p>
        </w:tc>
        <w:tc>
          <w:tcPr>
            <w:tcW w:w="300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9"/>
              </w:rPr>
              <w:t>6</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2"/>
              </w:rPr>
              <w:t>Consolidated Statement of Equity (Defcit) (Unaudited)</w:t>
            </w:r>
          </w:p>
        </w:tc>
        <w:tc>
          <w:tcPr>
            <w:tcW w:w="2400" w:type="dxa"/>
            <w:vAlign w:val="bottom"/>
            <w:gridSpan w:val="7"/>
          </w:tcPr>
          <w:p>
            <w:pPr>
              <w:spacing w:after="0"/>
              <w:rPr>
                <w:sz w:val="17"/>
                <w:szCs w:val="17"/>
                <w:color w:val="auto"/>
              </w:rPr>
            </w:pPr>
          </w:p>
        </w:tc>
        <w:tc>
          <w:tcPr>
            <w:tcW w:w="300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9"/>
              </w:rPr>
              <w:t>7</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380" w:type="dxa"/>
            <w:vAlign w:val="bottom"/>
            <w:gridSpan w:val="22"/>
          </w:tcPr>
          <w:p>
            <w:pPr>
              <w:spacing w:after="0" w:line="196" w:lineRule="exact"/>
              <w:rPr>
                <w:sz w:val="20"/>
                <w:szCs w:val="20"/>
                <w:color w:val="auto"/>
              </w:rPr>
            </w:pPr>
            <w:r>
              <w:rPr>
                <w:rFonts w:ascii="Arial" w:cs="Arial" w:eastAsia="Arial" w:hAnsi="Arial"/>
                <w:sz w:val="18"/>
                <w:szCs w:val="18"/>
                <w:color w:val="0000EE"/>
              </w:rPr>
              <w:t>Notes to Financial Statements (Unaudited)</w:t>
            </w:r>
          </w:p>
        </w:tc>
        <w:tc>
          <w:tcPr>
            <w:tcW w:w="3100" w:type="dxa"/>
            <w:vAlign w:val="bottom"/>
            <w:gridSpan w:val="3"/>
          </w:tcPr>
          <w:p>
            <w:pPr>
              <w:jc w:val="center"/>
              <w:ind w:left="2910"/>
              <w:spacing w:after="0" w:line="196" w:lineRule="exact"/>
              <w:rPr>
                <w:sz w:val="20"/>
                <w:szCs w:val="20"/>
                <w:color w:val="auto"/>
              </w:rPr>
            </w:pPr>
            <w:r>
              <w:rPr>
                <w:rFonts w:ascii="Arial" w:cs="Arial" w:eastAsia="Arial" w:hAnsi="Arial"/>
                <w:sz w:val="18"/>
                <w:szCs w:val="18"/>
                <w:color w:val="0000EE"/>
                <w:w w:val="99"/>
              </w:rPr>
              <w:t>9</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80" w:type="dxa"/>
            <w:vAlign w:val="bottom"/>
            <w:gridSpan w:val="22"/>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Conditon and Results of Operatons</w:t>
            </w:r>
          </w:p>
        </w:tc>
        <w:tc>
          <w:tcPr>
            <w:tcW w:w="3720" w:type="dxa"/>
            <w:vAlign w:val="bottom"/>
            <w:gridSpan w:val="5"/>
          </w:tcPr>
          <w:p>
            <w:pPr>
              <w:jc w:val="center"/>
              <w:ind w:left="2290"/>
              <w:spacing w:after="0" w:line="196" w:lineRule="exact"/>
              <w:rPr>
                <w:sz w:val="20"/>
                <w:szCs w:val="20"/>
                <w:color w:val="auto"/>
              </w:rPr>
            </w:pPr>
            <w:r>
              <w:rPr>
                <w:rFonts w:ascii="Arial" w:cs="Arial" w:eastAsia="Arial" w:hAnsi="Arial"/>
                <w:sz w:val="18"/>
                <w:szCs w:val="18"/>
                <w:color w:val="0000EE"/>
                <w:w w:val="89"/>
              </w:rPr>
              <w:t>36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60" w:type="dxa"/>
            <w:vAlign w:val="bottom"/>
            <w:gridSpan w:val="9"/>
          </w:tcPr>
          <w:p>
            <w:pPr>
              <w:spacing w:after="0" w:line="196" w:lineRule="exact"/>
              <w:rPr>
                <w:sz w:val="20"/>
                <w:szCs w:val="20"/>
                <w:color w:val="auto"/>
              </w:rPr>
            </w:pPr>
            <w:r>
              <w:rPr>
                <w:rFonts w:ascii="Arial" w:cs="Arial" w:eastAsia="Arial" w:hAnsi="Arial"/>
                <w:sz w:val="18"/>
                <w:szCs w:val="18"/>
                <w:color w:val="0000EE"/>
                <w:w w:val="88"/>
              </w:rPr>
              <w:t>Liquidity and Capital Resources</w:t>
            </w:r>
          </w:p>
        </w:tc>
        <w:tc>
          <w:tcPr>
            <w:tcW w:w="4120" w:type="dxa"/>
            <w:vAlign w:val="bottom"/>
            <w:gridSpan w:val="13"/>
          </w:tcPr>
          <w:p>
            <w:pPr>
              <w:spacing w:after="0"/>
              <w:rPr>
                <w:sz w:val="17"/>
                <w:szCs w:val="17"/>
                <w:color w:val="auto"/>
              </w:rPr>
            </w:pPr>
          </w:p>
        </w:tc>
        <w:tc>
          <w:tcPr>
            <w:tcW w:w="3720" w:type="dxa"/>
            <w:vAlign w:val="bottom"/>
            <w:gridSpan w:val="5"/>
          </w:tcPr>
          <w:p>
            <w:pPr>
              <w:jc w:val="center"/>
              <w:ind w:left="2290"/>
              <w:spacing w:after="0" w:line="196" w:lineRule="exact"/>
              <w:rPr>
                <w:sz w:val="20"/>
                <w:szCs w:val="20"/>
                <w:color w:val="auto"/>
              </w:rPr>
            </w:pPr>
            <w:r>
              <w:rPr>
                <w:rFonts w:ascii="Arial" w:cs="Arial" w:eastAsia="Arial" w:hAnsi="Arial"/>
                <w:sz w:val="18"/>
                <w:szCs w:val="18"/>
                <w:color w:val="0000EE"/>
                <w:w w:val="89"/>
              </w:rPr>
              <w:t>46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80" w:type="dxa"/>
            <w:vAlign w:val="bottom"/>
            <w:gridSpan w:val="22"/>
          </w:tcPr>
          <w:p>
            <w:pPr>
              <w:spacing w:after="0" w:line="196" w:lineRule="exact"/>
              <w:rPr>
                <w:sz w:val="20"/>
                <w:szCs w:val="20"/>
                <w:color w:val="auto"/>
              </w:rPr>
            </w:pPr>
            <w:r>
              <w:rPr>
                <w:rFonts w:ascii="Arial" w:cs="Arial" w:eastAsia="Arial" w:hAnsi="Arial"/>
                <w:sz w:val="18"/>
                <w:szCs w:val="18"/>
                <w:color w:val="0000EE"/>
              </w:rPr>
              <w:t>Quanttatve and Qualitatve Disclosures About Market Risk</w:t>
            </w:r>
          </w:p>
        </w:tc>
        <w:tc>
          <w:tcPr>
            <w:tcW w:w="3720" w:type="dxa"/>
            <w:vAlign w:val="bottom"/>
            <w:gridSpan w:val="5"/>
          </w:tcPr>
          <w:p>
            <w:pPr>
              <w:jc w:val="center"/>
              <w:ind w:left="2290"/>
              <w:spacing w:after="0" w:line="196" w:lineRule="exact"/>
              <w:rPr>
                <w:sz w:val="20"/>
                <w:szCs w:val="20"/>
                <w:color w:val="auto"/>
              </w:rPr>
            </w:pPr>
            <w:r>
              <w:rPr>
                <w:rFonts w:ascii="Arial" w:cs="Arial" w:eastAsia="Arial" w:hAnsi="Arial"/>
                <w:sz w:val="18"/>
                <w:szCs w:val="18"/>
                <w:color w:val="0000EE"/>
                <w:w w:val="89"/>
              </w:rPr>
              <w:t>51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gridSpan w:val="17"/>
          </w:tcPr>
          <w:p>
            <w:pPr>
              <w:spacing w:after="0" w:line="196" w:lineRule="exact"/>
              <w:rPr>
                <w:sz w:val="20"/>
                <w:szCs w:val="20"/>
                <w:color w:val="auto"/>
              </w:rPr>
            </w:pPr>
            <w:r>
              <w:rPr>
                <w:rFonts w:ascii="Arial" w:cs="Arial" w:eastAsia="Arial" w:hAnsi="Arial"/>
                <w:sz w:val="18"/>
                <w:szCs w:val="18"/>
                <w:color w:val="0000EE"/>
              </w:rPr>
              <w:t>Controls and Procedures</w:t>
            </w:r>
          </w:p>
        </w:tc>
        <w:tc>
          <w:tcPr>
            <w:tcW w:w="2080" w:type="dxa"/>
            <w:vAlign w:val="bottom"/>
            <w:gridSpan w:val="5"/>
          </w:tcPr>
          <w:p>
            <w:pPr>
              <w:spacing w:after="0"/>
              <w:rPr>
                <w:sz w:val="17"/>
                <w:szCs w:val="17"/>
                <w:color w:val="auto"/>
              </w:rPr>
            </w:pPr>
          </w:p>
        </w:tc>
        <w:tc>
          <w:tcPr>
            <w:tcW w:w="3720" w:type="dxa"/>
            <w:vAlign w:val="bottom"/>
            <w:gridSpan w:val="5"/>
          </w:tcPr>
          <w:p>
            <w:pPr>
              <w:jc w:val="center"/>
              <w:ind w:left="2290"/>
              <w:spacing w:after="0" w:line="196" w:lineRule="exact"/>
              <w:rPr>
                <w:sz w:val="20"/>
                <w:szCs w:val="20"/>
                <w:color w:val="auto"/>
              </w:rPr>
            </w:pPr>
            <w:r>
              <w:rPr>
                <w:rFonts w:ascii="Arial" w:cs="Arial" w:eastAsia="Arial" w:hAnsi="Arial"/>
                <w:sz w:val="18"/>
                <w:szCs w:val="18"/>
                <w:color w:val="0000EE"/>
                <w:w w:val="89"/>
              </w:rPr>
              <w:t>51</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gridSpan w:val="10"/>
          </w:tcPr>
          <w:p>
            <w:pPr>
              <w:jc w:val="center"/>
              <w:ind w:right="980"/>
              <w:spacing w:after="0"/>
              <w:rPr>
                <w:sz w:val="20"/>
                <w:szCs w:val="20"/>
                <w:color w:val="auto"/>
              </w:rPr>
            </w:pPr>
            <w:r>
              <w:rPr>
                <w:rFonts w:ascii="Arial" w:cs="Arial" w:eastAsia="Arial" w:hAnsi="Arial"/>
                <w:sz w:val="18"/>
                <w:szCs w:val="18"/>
                <w:b w:val="1"/>
                <w:bCs w:val="1"/>
                <w:color w:val="0000EE"/>
                <w:w w:val="91"/>
              </w:rPr>
              <w:t xml:space="preserve">Part II. </w:t>
            </w:r>
            <w:r>
              <w:rPr>
                <w:rFonts w:ascii="Arial" w:cs="Arial" w:eastAsia="Arial" w:hAnsi="Arial"/>
                <w:sz w:val="18"/>
                <w:szCs w:val="18"/>
                <w:color w:val="0000EE"/>
                <w:w w:val="91"/>
              </w:rPr>
              <w:t>—</w:t>
            </w:r>
            <w:r>
              <w:rPr>
                <w:rFonts w:ascii="Arial" w:cs="Arial" w:eastAsia="Arial" w:hAnsi="Arial"/>
                <w:sz w:val="18"/>
                <w:szCs w:val="18"/>
                <w:b w:val="1"/>
                <w:bCs w:val="1"/>
                <w:color w:val="0000EE"/>
                <w:w w:val="91"/>
              </w:rPr>
              <w:t>Other Informaton</w:t>
            </w:r>
          </w:p>
        </w:tc>
        <w:tc>
          <w:tcPr>
            <w:tcW w:w="29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gridSpan w:val="6"/>
          </w:tcPr>
          <w:p>
            <w:pPr>
              <w:spacing w:after="0"/>
              <w:rPr>
                <w:sz w:val="20"/>
                <w:szCs w:val="20"/>
                <w:color w:val="auto"/>
              </w:rPr>
            </w:pPr>
            <w:r>
              <w:rPr>
                <w:rFonts w:ascii="Arial" w:cs="Arial" w:eastAsia="Arial" w:hAnsi="Arial"/>
                <w:sz w:val="18"/>
                <w:szCs w:val="18"/>
                <w:color w:val="0000EE"/>
                <w:w w:val="85"/>
              </w:rPr>
              <w:t>Legal Proceedings</w:t>
            </w:r>
          </w:p>
        </w:tc>
        <w:tc>
          <w:tcPr>
            <w:tcW w:w="2040" w:type="dxa"/>
            <w:vAlign w:val="bottom"/>
            <w:gridSpan w:val="6"/>
          </w:tcPr>
          <w:p>
            <w:pPr>
              <w:spacing w:after="0"/>
              <w:rPr>
                <w:sz w:val="24"/>
                <w:szCs w:val="24"/>
                <w:color w:val="auto"/>
              </w:rPr>
            </w:pPr>
          </w:p>
        </w:tc>
        <w:tc>
          <w:tcPr>
            <w:tcW w:w="2060" w:type="dxa"/>
            <w:vAlign w:val="bottom"/>
            <w:tcBorders>
              <w:top w:val="single" w:sz="8" w:color="0000EE"/>
            </w:tcBorders>
            <w:gridSpan w:val="8"/>
          </w:tcPr>
          <w:p>
            <w:pPr>
              <w:spacing w:after="0"/>
              <w:rPr>
                <w:sz w:val="24"/>
                <w:szCs w:val="24"/>
                <w:color w:val="auto"/>
              </w:rPr>
            </w:pPr>
          </w:p>
        </w:tc>
        <w:tc>
          <w:tcPr>
            <w:tcW w:w="980" w:type="dxa"/>
            <w:vAlign w:val="bottom"/>
            <w:gridSpan w:val="2"/>
          </w:tcPr>
          <w:p>
            <w:pPr>
              <w:spacing w:after="0"/>
              <w:rPr>
                <w:sz w:val="24"/>
                <w:szCs w:val="24"/>
                <w:color w:val="auto"/>
              </w:rPr>
            </w:pPr>
          </w:p>
        </w:tc>
        <w:tc>
          <w:tcPr>
            <w:tcW w:w="3720" w:type="dxa"/>
            <w:vAlign w:val="bottom"/>
            <w:gridSpan w:val="5"/>
          </w:tcPr>
          <w:p>
            <w:pPr>
              <w:jc w:val="center"/>
              <w:ind w:left="2290"/>
              <w:spacing w:after="0"/>
              <w:rPr>
                <w:sz w:val="20"/>
                <w:szCs w:val="20"/>
                <w:color w:val="auto"/>
              </w:rPr>
            </w:pPr>
            <w:r>
              <w:rPr>
                <w:rFonts w:ascii="Arial" w:cs="Arial" w:eastAsia="Arial" w:hAnsi="Arial"/>
                <w:sz w:val="18"/>
                <w:szCs w:val="18"/>
                <w:color w:val="0000EE"/>
                <w:w w:val="89"/>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20" w:type="dxa"/>
            <w:vAlign w:val="bottom"/>
            <w:gridSpan w:val="1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0000EE"/>
              </w:rPr>
              <w:t>Risk Factors</w:t>
            </w:r>
          </w:p>
        </w:tc>
        <w:tc>
          <w:tcPr>
            <w:tcW w:w="5080" w:type="dxa"/>
            <w:vAlign w:val="bottom"/>
            <w:gridSpan w:val="16"/>
          </w:tcPr>
          <w:p>
            <w:pPr>
              <w:spacing w:after="0"/>
              <w:rPr>
                <w:sz w:val="17"/>
                <w:szCs w:val="17"/>
                <w:color w:val="auto"/>
              </w:rPr>
            </w:pPr>
          </w:p>
        </w:tc>
        <w:tc>
          <w:tcPr>
            <w:tcW w:w="3720" w:type="dxa"/>
            <w:vAlign w:val="bottom"/>
            <w:gridSpan w:val="5"/>
          </w:tcPr>
          <w:p>
            <w:pPr>
              <w:jc w:val="center"/>
              <w:ind w:left="2290"/>
              <w:spacing w:after="0" w:line="196" w:lineRule="exact"/>
              <w:rPr>
                <w:sz w:val="20"/>
                <w:szCs w:val="20"/>
                <w:color w:val="auto"/>
              </w:rPr>
            </w:pPr>
            <w:r>
              <w:rPr>
                <w:rFonts w:ascii="Arial" w:cs="Arial" w:eastAsia="Arial" w:hAnsi="Arial"/>
                <w:sz w:val="18"/>
                <w:szCs w:val="18"/>
                <w:color w:val="0000EE"/>
                <w:w w:val="89"/>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13"/>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20" w:type="dxa"/>
            <w:vAlign w:val="bottom"/>
            <w:gridSpan w:val="18"/>
          </w:tcPr>
          <w:p>
            <w:pPr>
              <w:spacing w:after="0" w:line="196" w:lineRule="exact"/>
              <w:rPr>
                <w:sz w:val="20"/>
                <w:szCs w:val="20"/>
                <w:color w:val="auto"/>
              </w:rPr>
            </w:pPr>
            <w:r>
              <w:rPr>
                <w:rFonts w:ascii="Arial" w:cs="Arial" w:eastAsia="Arial" w:hAnsi="Arial"/>
                <w:sz w:val="18"/>
                <w:szCs w:val="18"/>
                <w:color w:val="0000EE"/>
                <w:w w:val="89"/>
              </w:rPr>
              <w:t>Unregistered Sales of Equity Securites and Use of Proceeds</w:t>
            </w:r>
          </w:p>
        </w:tc>
        <w:tc>
          <w:tcPr>
            <w:tcW w:w="2060" w:type="dxa"/>
            <w:vAlign w:val="bottom"/>
            <w:gridSpan w:val="4"/>
          </w:tcPr>
          <w:p>
            <w:pPr>
              <w:spacing w:after="0"/>
              <w:rPr>
                <w:sz w:val="17"/>
                <w:szCs w:val="17"/>
                <w:color w:val="auto"/>
              </w:rPr>
            </w:pPr>
          </w:p>
        </w:tc>
        <w:tc>
          <w:tcPr>
            <w:tcW w:w="3720" w:type="dxa"/>
            <w:vAlign w:val="bottom"/>
            <w:gridSpan w:val="5"/>
          </w:tcPr>
          <w:p>
            <w:pPr>
              <w:jc w:val="center"/>
              <w:ind w:left="2290"/>
              <w:spacing w:after="0" w:line="196" w:lineRule="exact"/>
              <w:rPr>
                <w:sz w:val="20"/>
                <w:szCs w:val="20"/>
                <w:color w:val="auto"/>
              </w:rPr>
            </w:pPr>
            <w:r>
              <w:rPr>
                <w:rFonts w:ascii="Arial" w:cs="Arial" w:eastAsia="Arial" w:hAnsi="Arial"/>
                <w:sz w:val="18"/>
                <w:szCs w:val="18"/>
                <w:color w:val="0000EE"/>
                <w:w w:val="89"/>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120" w:type="dxa"/>
            <w:vAlign w:val="bottom"/>
            <w:gridSpan w:val="13"/>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560" w:type="dxa"/>
            <w:vAlign w:val="bottom"/>
            <w:gridSpan w:val="2"/>
          </w:tcPr>
          <w:p>
            <w:pPr>
              <w:spacing w:after="0" w:line="196" w:lineRule="exact"/>
              <w:rPr>
                <w:sz w:val="20"/>
                <w:szCs w:val="20"/>
                <w:color w:val="auto"/>
              </w:rPr>
            </w:pPr>
            <w:r>
              <w:rPr>
                <w:rFonts w:ascii="Arial" w:cs="Arial" w:eastAsia="Arial" w:hAnsi="Arial"/>
                <w:sz w:val="18"/>
                <w:szCs w:val="18"/>
                <w:color w:val="0000EE"/>
                <w:w w:val="85"/>
              </w:rPr>
              <w:t>Exhibits</w:t>
            </w:r>
          </w:p>
        </w:tc>
        <w:tc>
          <w:tcPr>
            <w:tcW w:w="3760" w:type="dxa"/>
            <w:vAlign w:val="bottom"/>
            <w:gridSpan w:val="16"/>
          </w:tcPr>
          <w:p>
            <w:pPr>
              <w:spacing w:after="0"/>
              <w:rPr>
                <w:sz w:val="17"/>
                <w:szCs w:val="17"/>
                <w:color w:val="auto"/>
              </w:rPr>
            </w:pPr>
          </w:p>
        </w:tc>
        <w:tc>
          <w:tcPr>
            <w:tcW w:w="2060" w:type="dxa"/>
            <w:vAlign w:val="bottom"/>
            <w:gridSpan w:val="4"/>
          </w:tcPr>
          <w:p>
            <w:pPr>
              <w:spacing w:after="0"/>
              <w:rPr>
                <w:sz w:val="17"/>
                <w:szCs w:val="17"/>
                <w:color w:val="auto"/>
              </w:rPr>
            </w:pPr>
          </w:p>
        </w:tc>
        <w:tc>
          <w:tcPr>
            <w:tcW w:w="3720" w:type="dxa"/>
            <w:vAlign w:val="bottom"/>
            <w:gridSpan w:val="5"/>
          </w:tcPr>
          <w:p>
            <w:pPr>
              <w:jc w:val="center"/>
              <w:ind w:left="2290"/>
              <w:spacing w:after="0" w:line="196" w:lineRule="exact"/>
              <w:rPr>
                <w:sz w:val="20"/>
                <w:szCs w:val="20"/>
                <w:color w:val="auto"/>
              </w:rPr>
            </w:pPr>
            <w:r>
              <w:rPr>
                <w:rFonts w:ascii="Arial" w:cs="Arial" w:eastAsia="Arial" w:hAnsi="Arial"/>
                <w:sz w:val="18"/>
                <w:szCs w:val="18"/>
                <w:color w:val="0000EE"/>
                <w:w w:val="89"/>
              </w:rPr>
              <w:t>53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180" w:type="dxa"/>
            <w:vAlign w:val="bottom"/>
            <w:gridSpan w:val="17"/>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0" w:type="dxa"/>
            <w:vAlign w:val="bottom"/>
            <w:gridSpan w:val="5"/>
          </w:tcPr>
          <w:p>
            <w:pPr>
              <w:spacing w:after="0" w:line="196" w:lineRule="exact"/>
              <w:rPr>
                <w:sz w:val="20"/>
                <w:szCs w:val="20"/>
                <w:color w:val="auto"/>
              </w:rPr>
            </w:pPr>
            <w:r>
              <w:rPr>
                <w:rFonts w:ascii="Arial" w:cs="Arial" w:eastAsia="Arial" w:hAnsi="Arial"/>
                <w:sz w:val="18"/>
                <w:szCs w:val="18"/>
                <w:color w:val="0000EE"/>
                <w:w w:val="89"/>
              </w:rPr>
              <w:t>Index to Exhibits</w:t>
            </w:r>
          </w:p>
        </w:tc>
        <w:tc>
          <w:tcPr>
            <w:tcW w:w="5180" w:type="dxa"/>
            <w:vAlign w:val="bottom"/>
            <w:gridSpan w:val="17"/>
          </w:tcPr>
          <w:p>
            <w:pPr>
              <w:spacing w:after="0"/>
              <w:rPr>
                <w:sz w:val="17"/>
                <w:szCs w:val="17"/>
                <w:color w:val="auto"/>
              </w:rPr>
            </w:pPr>
          </w:p>
        </w:tc>
        <w:tc>
          <w:tcPr>
            <w:tcW w:w="3720" w:type="dxa"/>
            <w:vAlign w:val="bottom"/>
            <w:gridSpan w:val="5"/>
          </w:tcPr>
          <w:p>
            <w:pPr>
              <w:jc w:val="center"/>
              <w:ind w:left="2290"/>
              <w:spacing w:after="0" w:line="196" w:lineRule="exact"/>
              <w:rPr>
                <w:sz w:val="20"/>
                <w:szCs w:val="20"/>
                <w:color w:val="auto"/>
              </w:rPr>
            </w:pPr>
            <w:r>
              <w:rPr>
                <w:rFonts w:ascii="Arial" w:cs="Arial" w:eastAsia="Arial" w:hAnsi="Arial"/>
                <w:sz w:val="18"/>
                <w:szCs w:val="18"/>
                <w:color w:val="0000EE"/>
                <w:w w:val="89"/>
              </w:rPr>
              <w:t>53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180" w:type="dxa"/>
            <w:vAlign w:val="bottom"/>
            <w:gridSpan w:val="17"/>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3"/>
          </w:tcPr>
          <w:p>
            <w:pPr>
              <w:spacing w:after="0" w:line="196" w:lineRule="exact"/>
              <w:rPr>
                <w:sz w:val="20"/>
                <w:szCs w:val="20"/>
                <w:color w:val="auto"/>
              </w:rPr>
            </w:pPr>
            <w:r>
              <w:rPr>
                <w:rFonts w:ascii="Arial" w:cs="Arial" w:eastAsia="Arial" w:hAnsi="Arial"/>
                <w:sz w:val="18"/>
                <w:szCs w:val="18"/>
                <w:color w:val="0000EE"/>
                <w:w w:val="85"/>
              </w:rPr>
              <w:t>Signatures</w:t>
            </w:r>
          </w:p>
        </w:tc>
        <w:tc>
          <w:tcPr>
            <w:tcW w:w="440" w:type="dxa"/>
            <w:vAlign w:val="bottom"/>
            <w:gridSpan w:val="2"/>
          </w:tcPr>
          <w:p>
            <w:pPr>
              <w:spacing w:after="0"/>
              <w:rPr>
                <w:sz w:val="17"/>
                <w:szCs w:val="17"/>
                <w:color w:val="auto"/>
              </w:rPr>
            </w:pPr>
          </w:p>
        </w:tc>
        <w:tc>
          <w:tcPr>
            <w:tcW w:w="5180" w:type="dxa"/>
            <w:vAlign w:val="bottom"/>
            <w:gridSpan w:val="17"/>
          </w:tcPr>
          <w:p>
            <w:pPr>
              <w:spacing w:after="0"/>
              <w:rPr>
                <w:sz w:val="17"/>
                <w:szCs w:val="17"/>
                <w:color w:val="auto"/>
              </w:rPr>
            </w:pPr>
          </w:p>
        </w:tc>
        <w:tc>
          <w:tcPr>
            <w:tcW w:w="3720" w:type="dxa"/>
            <w:vAlign w:val="bottom"/>
            <w:gridSpan w:val="5"/>
          </w:tcPr>
          <w:p>
            <w:pPr>
              <w:jc w:val="center"/>
              <w:ind w:left="2290"/>
              <w:spacing w:after="0" w:line="196" w:lineRule="exact"/>
              <w:rPr>
                <w:sz w:val="20"/>
                <w:szCs w:val="20"/>
                <w:color w:val="auto"/>
              </w:rPr>
            </w:pPr>
            <w:r>
              <w:rPr>
                <w:rFonts w:ascii="Arial" w:cs="Arial" w:eastAsia="Arial" w:hAnsi="Arial"/>
                <w:sz w:val="18"/>
                <w:szCs w:val="18"/>
                <w:color w:val="0000EE"/>
                <w:w w:val="89"/>
              </w:rPr>
              <w:t>55</w:t>
            </w: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320" w:type="dxa"/>
            <w:vAlign w:val="bottom"/>
            <w:gridSpan w:val="16"/>
          </w:tcPr>
          <w:p>
            <w:pPr>
              <w:jc w:val="center"/>
              <w:ind w:left="3030"/>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4"/>
        </w:trPr>
        <w:tc>
          <w:tcPr>
            <w:tcW w:w="5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500"/>
              <w:spacing w:after="0"/>
              <w:rPr>
                <w:sz w:val="20"/>
                <w:szCs w:val="20"/>
                <w:color w:val="auto"/>
              </w:rPr>
            </w:pPr>
            <w:r>
              <w:rPr>
                <w:rFonts w:ascii="Arial" w:cs="Arial" w:eastAsia="Arial" w:hAnsi="Arial"/>
                <w:sz w:val="18"/>
                <w:szCs w:val="18"/>
                <w:color w:val="auto"/>
              </w:rPr>
              <w:t>Sales</w:t>
            </w:r>
          </w:p>
        </w:tc>
        <w:tc>
          <w:tcPr>
            <w:tcW w:w="9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8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50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Total cost of revenues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Gross proft</w:t>
            </w: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Selling, general and administratve expenses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operatng income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5840" w:type="dxa"/>
            <w:vAlign w:val="bottom"/>
            <w:tcBorders>
              <w:top w:val="single" w:sz="8" w:color="CCEEFF"/>
            </w:tcBorders>
          </w:tcPr>
          <w:p>
            <w:pPr>
              <w:spacing w:after="0" w:line="177" w:lineRule="exact"/>
              <w:rPr>
                <w:sz w:val="20"/>
                <w:szCs w:val="20"/>
                <w:color w:val="auto"/>
              </w:rPr>
            </w:pPr>
            <w:r>
              <w:rPr>
                <w:rFonts w:ascii="Arial" w:cs="Arial" w:eastAsia="Arial" w:hAnsi="Arial"/>
                <w:sz w:val="18"/>
                <w:szCs w:val="18"/>
                <w:color w:val="auto"/>
              </w:rPr>
              <w:t>Earnings (loss) from operatons before interest expense, pension income</w:t>
            </w:r>
          </w:p>
        </w:tc>
        <w:tc>
          <w:tcPr>
            <w:tcW w:w="1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w w:val="97"/>
              </w:rPr>
              <w:t>excluding service cost component, other charges (income), net and income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taxes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charges (income), net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Earnings from operatons before income taxes</w:t>
            </w: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(beneft) for income taxes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8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40" w:type="dxa"/>
            <w:vAlign w:val="bottom"/>
          </w:tcPr>
          <w:p>
            <w:pPr>
              <w:spacing w:after="0" w:line="183" w:lineRule="exact"/>
              <w:rPr>
                <w:sz w:val="20"/>
                <w:szCs w:val="20"/>
                <w:color w:val="auto"/>
              </w:rPr>
            </w:pPr>
            <w:r>
              <w:rPr>
                <w:rFonts w:ascii="Arial" w:cs="Arial" w:eastAsia="Arial" w:hAnsi="Arial"/>
                <w:sz w:val="18"/>
                <w:szCs w:val="18"/>
                <w:color w:val="auto"/>
                <w:w w:val="92"/>
              </w:rPr>
              <w:t>Basic net earnings per share atributable to Eastman Kodak Company common</w:t>
            </w:r>
          </w:p>
        </w:tc>
        <w:tc>
          <w:tcPr>
            <w:tcW w:w="900" w:type="dxa"/>
            <w:vAlign w:val="bottom"/>
            <w:gridSpan w:val="2"/>
            <w:vMerge w:val="restart"/>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91"/>
              </w:rPr>
              <w:t>0.35</w:t>
            </w:r>
          </w:p>
        </w:tc>
        <w:tc>
          <w:tcPr>
            <w:tcW w:w="140" w:type="dxa"/>
            <w:vAlign w:val="bottom"/>
          </w:tcPr>
          <w:p>
            <w:pPr>
              <w:spacing w:after="0"/>
              <w:rPr>
                <w:sz w:val="15"/>
                <w:szCs w:val="15"/>
                <w:color w:val="auto"/>
              </w:rPr>
            </w:pPr>
          </w:p>
        </w:tc>
        <w:tc>
          <w:tcPr>
            <w:tcW w:w="86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6"/>
              </w:rPr>
              <w:t>0.20</w:t>
            </w: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0.68</w:t>
            </w:r>
          </w:p>
        </w:tc>
        <w:tc>
          <w:tcPr>
            <w:tcW w:w="2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840" w:type="dxa"/>
            <w:vAlign w:val="bottom"/>
          </w:tcPr>
          <w:p>
            <w:pPr>
              <w:spacing w:after="0"/>
              <w:rPr>
                <w:sz w:val="20"/>
                <w:szCs w:val="20"/>
                <w:color w:val="auto"/>
              </w:rPr>
            </w:pPr>
            <w:r>
              <w:rPr>
                <w:rFonts w:ascii="Arial" w:cs="Arial" w:eastAsia="Arial" w:hAnsi="Arial"/>
                <w:sz w:val="18"/>
                <w:szCs w:val="18"/>
                <w:color w:val="auto"/>
              </w:rPr>
              <w:t>shareholders</w:t>
            </w:r>
          </w:p>
        </w:tc>
        <w:tc>
          <w:tcPr>
            <w:tcW w:w="9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84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Diluted net earnings per share atributable to Eastman Kodak Company</w:t>
            </w:r>
          </w:p>
        </w:tc>
        <w:tc>
          <w:tcPr>
            <w:tcW w:w="900" w:type="dxa"/>
            <w:vAlign w:val="bottom"/>
            <w:gridSpan w:val="2"/>
            <w:vMerge w:val="restart"/>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0.32</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6"/>
              </w:rPr>
              <w:t>0.19</w:t>
            </w: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w:t>
            </w:r>
          </w:p>
        </w:tc>
        <w:tc>
          <w:tcPr>
            <w:tcW w:w="900" w:type="dxa"/>
            <w:vAlign w:val="bottom"/>
            <w:gridSpan w:val="2"/>
            <w:vMerge w:val="continue"/>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500" w:type="dxa"/>
            <w:vAlign w:val="bottom"/>
            <w:gridSpan w:val="2"/>
            <w:vMerge w:val="continue"/>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w w:val="96"/>
              </w:rPr>
              <w:t>Number of common shares used in basic and diluted net earnings per share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79.4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78.9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90.2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1"/>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EASTMAN KODAK COMPANY</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w w:val="84"/>
              </w:rPr>
              <w:t>CONSOLIDATED STATEMENT OF COMPREHENSIVE (LOSS) INCOME (Unaudited)</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59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12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5"/>
          </w:tcPr>
          <w:p>
            <w:pPr>
              <w:jc w:val="right"/>
              <w:ind w:right="47"/>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44"/>
        </w:trPr>
        <w:tc>
          <w:tcPr>
            <w:tcW w:w="128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right"/>
              <w:ind w:right="527"/>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translaton adjustments</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Pension and other postretrement beneft plan obligaton actvity, net of tax</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r>
      <w:tr>
        <w:trPr>
          <w:trHeight w:val="209"/>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(134)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gridSpan w:val="2"/>
          </w:tcPr>
          <w:p>
            <w:pPr>
              <w:spacing w:after="0"/>
              <w:rPr>
                <w:sz w:val="20"/>
                <w:szCs w:val="20"/>
                <w:color w:val="auto"/>
              </w:rPr>
            </w:pPr>
            <w:r>
              <w:rPr>
                <w:rFonts w:ascii="Arial" w:cs="Arial" w:eastAsia="Arial" w:hAnsi="Arial"/>
                <w:sz w:val="18"/>
                <w:szCs w:val="18"/>
                <w:color w:val="auto"/>
              </w:rPr>
              <w:t>COMPREHENSIVE (LOSS) INCOME, NET OF TAX</w:t>
            </w:r>
          </w:p>
        </w:tc>
        <w:tc>
          <w:tcPr>
            <w:tcW w:w="780" w:type="dxa"/>
            <w:vAlign w:val="bottom"/>
            <w:gridSpan w:val="2"/>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8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1"/>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EASTMAN KODAK COMPANY</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FINANCIAL POSITION (Unaudited)</w:t>
            </w: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7"/>
        </w:trPr>
        <w:tc>
          <w:tcPr>
            <w:tcW w:w="1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44"/>
        </w:trPr>
        <w:tc>
          <w:tcPr>
            <w:tcW w:w="79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 net of allowances of $8 and $7, respectvely</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Current assets held for sale</w:t>
            </w:r>
          </w:p>
        </w:tc>
        <w:tc>
          <w:tcPr>
            <w:tcW w:w="10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09"/>
        </w:trPr>
        <w:tc>
          <w:tcPr>
            <w:tcW w:w="7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0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Property, plant and equipment, net of accumulated depreciaton of $463 and $450, respectvely</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Operatng lease right-of-use assets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other postretrement assets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2,221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12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Accounts payable, trade</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 and current porton of long-term debt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Current porton of operatng leases</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current liabilites</w:t>
            </w: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gridSpan w:val="2"/>
          </w:tcPr>
          <w:p>
            <w:pPr>
              <w:ind w:left="500"/>
              <w:spacing w:after="0"/>
              <w:rPr>
                <w:sz w:val="20"/>
                <w:szCs w:val="20"/>
                <w:color w:val="auto"/>
              </w:rPr>
            </w:pPr>
            <w:r>
              <w:rPr>
                <w:rFonts w:ascii="Arial" w:cs="Arial" w:eastAsia="Arial" w:hAnsi="Arial"/>
                <w:sz w:val="18"/>
                <w:szCs w:val="18"/>
                <w:color w:val="auto"/>
              </w:rPr>
              <w:t>Total current liabilites</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porton</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Pension and other postretrement liabilites</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Operatng leases, net of current porton</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Other long-term liabilites</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liabilites</w:t>
            </w: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1,047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Contngencies (Note 7)</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convertble preferred stock, no par value, $100 per share liquidaton preference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Common stock, $0.01 par value</w:t>
            </w:r>
          </w:p>
        </w:tc>
        <w:tc>
          <w:tcPr>
            <w:tcW w:w="10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Additonal paid in capital</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Treasury stock, at cost</w:t>
            </w:r>
          </w:p>
        </w:tc>
        <w:tc>
          <w:tcPr>
            <w:tcW w:w="10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defcit</w:t>
            </w: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2,221</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2,285</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EASTMAN KODAK COMPANY</w:t>
            </w: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CASH FLOWS (Unaudited)</w:t>
            </w: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12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00" w:type="dxa"/>
            <w:vAlign w:val="bottom"/>
            <w:gridSpan w:val="5"/>
            <w:shd w:val="clear" w:color="auto" w:fill="CCEEFF"/>
          </w:tcPr>
          <w:p>
            <w:pPr>
              <w:ind w:left="1340"/>
              <w:spacing w:after="0"/>
              <w:rPr>
                <w:sz w:val="20"/>
                <w:szCs w:val="20"/>
                <w:color w:val="auto"/>
              </w:rPr>
            </w:pPr>
            <w:r>
              <w:rPr>
                <w:rFonts w:ascii="Arial" w:cs="Arial" w:eastAsia="Arial" w:hAnsi="Arial"/>
                <w:sz w:val="18"/>
                <w:szCs w:val="18"/>
                <w:color w:val="auto"/>
              </w:rPr>
              <w:t>Six Months Ended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June 30,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 millions)</w:t>
            </w:r>
          </w:p>
        </w:tc>
        <w:tc>
          <w:tcPr>
            <w:tcW w:w="14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000" w:type="dxa"/>
            <w:vAlign w:val="bottom"/>
            <w:gridSpan w:val="2"/>
          </w:tcPr>
          <w:p>
            <w:pPr>
              <w:spacing w:after="0"/>
              <w:rPr>
                <w:sz w:val="20"/>
                <w:szCs w:val="20"/>
                <w:color w:val="auto"/>
              </w:rPr>
            </w:pPr>
            <w:r>
              <w:rPr>
                <w:rFonts w:ascii="Arial" w:cs="Arial" w:eastAsia="Arial" w:hAnsi="Arial"/>
                <w:sz w:val="18"/>
                <w:szCs w:val="18"/>
                <w:color w:val="auto"/>
              </w:rPr>
              <w:t>Cash fows from operatng actvites:</w:t>
            </w: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Adjustments to reconcile to net cash provided by (used in) operatng actvites:</w:t>
            </w: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Depreciaton and amortzaton</w:t>
            </w: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gridSpan w:val="2"/>
          </w:tcPr>
          <w:p>
            <w:pPr>
              <w:ind w:left="340"/>
              <w:spacing w:after="0"/>
              <w:rPr>
                <w:sz w:val="20"/>
                <w:szCs w:val="20"/>
                <w:color w:val="auto"/>
              </w:rPr>
            </w:pPr>
            <w:r>
              <w:rPr>
                <w:rFonts w:ascii="Arial" w:cs="Arial" w:eastAsia="Arial" w:hAnsi="Arial"/>
                <w:sz w:val="18"/>
                <w:szCs w:val="18"/>
                <w:color w:val="auto"/>
              </w:rPr>
              <w:t>Pension income</w:t>
            </w:r>
          </w:p>
        </w:tc>
        <w:tc>
          <w:tcPr>
            <w:tcW w:w="140" w:type="dxa"/>
            <w:vAlign w:val="bottom"/>
          </w:tcPr>
          <w:p>
            <w:pPr>
              <w:spacing w:after="0"/>
              <w:rPr>
                <w:sz w:val="18"/>
                <w:szCs w:val="18"/>
                <w:color w:val="auto"/>
              </w:rPr>
            </w:pP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7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Change in fair value of the Preferred Stock and Convertble Notes embedded derivatves</w:t>
            </w: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7000" w:type="dxa"/>
            <w:vAlign w:val="bottom"/>
            <w:gridSpan w:val="2"/>
          </w:tcPr>
          <w:p>
            <w:pPr>
              <w:ind w:left="340"/>
              <w:spacing w:after="0"/>
              <w:rPr>
                <w:sz w:val="20"/>
                <w:szCs w:val="20"/>
                <w:color w:val="auto"/>
              </w:rPr>
            </w:pPr>
            <w:r>
              <w:rPr>
                <w:rFonts w:ascii="Arial" w:cs="Arial" w:eastAsia="Arial" w:hAnsi="Arial"/>
                <w:sz w:val="18"/>
                <w:szCs w:val="18"/>
                <w:color w:val="auto"/>
              </w:rPr>
              <w:t>Non-cash changes in workers' compensaton and employee beneft reserves</w:t>
            </w:r>
          </w:p>
        </w:tc>
        <w:tc>
          <w:tcPr>
            <w:tcW w:w="140" w:type="dxa"/>
            <w:vAlign w:val="bottom"/>
          </w:tcPr>
          <w:p>
            <w:pPr>
              <w:spacing w:after="0"/>
              <w:rPr>
                <w:sz w:val="18"/>
                <w:szCs w:val="18"/>
                <w:color w:val="auto"/>
              </w:rPr>
            </w:pPr>
          </w:p>
        </w:tc>
        <w:tc>
          <w:tcPr>
            <w:tcW w:w="2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7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based compensaton</w:t>
            </w: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gridSpan w:val="2"/>
          </w:tcPr>
          <w:p>
            <w:pPr>
              <w:ind w:left="340"/>
              <w:spacing w:after="0"/>
              <w:rPr>
                <w:sz w:val="20"/>
                <w:szCs w:val="20"/>
                <w:color w:val="auto"/>
              </w:rPr>
            </w:pPr>
            <w:r>
              <w:rPr>
                <w:rFonts w:ascii="Arial" w:cs="Arial" w:eastAsia="Arial" w:hAnsi="Arial"/>
                <w:sz w:val="18"/>
                <w:szCs w:val="18"/>
                <w:color w:val="auto"/>
              </w:rPr>
              <w:t>Gain on sale of assets</w:t>
            </w:r>
          </w:p>
        </w:tc>
        <w:tc>
          <w:tcPr>
            <w:tcW w:w="140" w:type="dxa"/>
            <w:vAlign w:val="bottom"/>
          </w:tcPr>
          <w:p>
            <w:pPr>
              <w:spacing w:after="0"/>
              <w:rPr>
                <w:sz w:val="18"/>
                <w:szCs w:val="18"/>
                <w:color w:val="auto"/>
              </w:rPr>
            </w:pP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deferred taxes</w:t>
            </w: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7000" w:type="dxa"/>
            <w:vAlign w:val="bottom"/>
            <w:gridSpan w:val="2"/>
          </w:tcPr>
          <w:p>
            <w:pPr>
              <w:ind w:left="340"/>
              <w:spacing w:after="0"/>
              <w:rPr>
                <w:sz w:val="20"/>
                <w:szCs w:val="20"/>
                <w:color w:val="auto"/>
              </w:rPr>
            </w:pPr>
            <w:r>
              <w:rPr>
                <w:rFonts w:ascii="Arial" w:cs="Arial" w:eastAsia="Arial" w:hAnsi="Arial"/>
                <w:sz w:val="18"/>
                <w:szCs w:val="18"/>
                <w:color w:val="auto"/>
              </w:rPr>
              <w:t>Decrease (increase) in trade receivables</w:t>
            </w:r>
          </w:p>
        </w:tc>
        <w:tc>
          <w:tcPr>
            <w:tcW w:w="1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7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 miscellaneous receivables</w:t>
            </w: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gridSpan w:val="2"/>
          </w:tcPr>
          <w:p>
            <w:pPr>
              <w:ind w:left="340"/>
              <w:spacing w:after="0"/>
              <w:rPr>
                <w:sz w:val="20"/>
                <w:szCs w:val="20"/>
                <w:color w:val="auto"/>
              </w:rPr>
            </w:pPr>
            <w:r>
              <w:rPr>
                <w:rFonts w:ascii="Arial" w:cs="Arial" w:eastAsia="Arial" w:hAnsi="Arial"/>
                <w:sz w:val="18"/>
                <w:szCs w:val="18"/>
                <w:color w:val="auto"/>
              </w:rPr>
              <w:t>Increase in inventories</w:t>
            </w:r>
          </w:p>
        </w:tc>
        <w:tc>
          <w:tcPr>
            <w:tcW w:w="140" w:type="dxa"/>
            <w:vAlign w:val="bottom"/>
          </w:tcPr>
          <w:p>
            <w:pPr>
              <w:spacing w:after="0"/>
              <w:rPr>
                <w:sz w:val="18"/>
                <w:szCs w:val="18"/>
                <w:color w:val="auto"/>
              </w:rPr>
            </w:pP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7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increase in trade payables</w:t>
            </w: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gridSpan w:val="2"/>
          </w:tcPr>
          <w:p>
            <w:pPr>
              <w:ind w:left="340"/>
              <w:spacing w:after="0"/>
              <w:rPr>
                <w:sz w:val="20"/>
                <w:szCs w:val="20"/>
                <w:color w:val="auto"/>
              </w:rPr>
            </w:pPr>
            <w:r>
              <w:rPr>
                <w:rFonts w:ascii="Arial" w:cs="Arial" w:eastAsia="Arial" w:hAnsi="Arial"/>
                <w:sz w:val="18"/>
                <w:szCs w:val="18"/>
                <w:color w:val="auto"/>
              </w:rPr>
              <w:t>Decrease in liabilites excluding borrowings and trade payables</w:t>
            </w:r>
          </w:p>
        </w:tc>
        <w:tc>
          <w:tcPr>
            <w:tcW w:w="140" w:type="dxa"/>
            <w:vAlign w:val="bottom"/>
          </w:tcPr>
          <w:p>
            <w:pPr>
              <w:spacing w:after="0"/>
              <w:rPr>
                <w:sz w:val="18"/>
                <w:szCs w:val="18"/>
                <w:color w:val="auto"/>
              </w:rPr>
            </w:pP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items, net</w:t>
            </w:r>
          </w:p>
        </w:tc>
        <w:tc>
          <w:tcPr>
            <w:tcW w:w="14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000" w:type="dxa"/>
            <w:vAlign w:val="bottom"/>
            <w:gridSpan w:val="2"/>
          </w:tcPr>
          <w:p>
            <w:pPr>
              <w:ind w:left="660"/>
              <w:spacing w:after="0"/>
              <w:rPr>
                <w:sz w:val="20"/>
                <w:szCs w:val="20"/>
                <w:color w:val="auto"/>
              </w:rPr>
            </w:pPr>
            <w:r>
              <w:rPr>
                <w:rFonts w:ascii="Arial" w:cs="Arial" w:eastAsia="Arial" w:hAnsi="Arial"/>
                <w:sz w:val="18"/>
                <w:szCs w:val="18"/>
                <w:color w:val="auto"/>
              </w:rPr>
              <w:t>Total adjustments</w:t>
            </w:r>
          </w:p>
        </w:tc>
        <w:tc>
          <w:tcPr>
            <w:tcW w:w="140" w:type="dxa"/>
            <w:vAlign w:val="bottom"/>
          </w:tcPr>
          <w:p>
            <w:pPr>
              <w:spacing w:after="0"/>
              <w:rPr>
                <w:sz w:val="18"/>
                <w:szCs w:val="18"/>
                <w:color w:val="auto"/>
              </w:rPr>
            </w:pP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r>
      <w:tr>
        <w:trPr>
          <w:trHeight w:val="210"/>
        </w:trPr>
        <w:tc>
          <w:tcPr>
            <w:tcW w:w="7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Net cash provided by (used in) operatng actvites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000" w:type="dxa"/>
            <w:vAlign w:val="bottom"/>
            <w:gridSpan w:val="2"/>
          </w:tcPr>
          <w:p>
            <w:pPr>
              <w:spacing w:after="0"/>
              <w:rPr>
                <w:sz w:val="20"/>
                <w:szCs w:val="20"/>
                <w:color w:val="auto"/>
              </w:rPr>
            </w:pPr>
            <w:r>
              <w:rPr>
                <w:rFonts w:ascii="Arial" w:cs="Arial" w:eastAsia="Arial" w:hAnsi="Arial"/>
                <w:sz w:val="18"/>
                <w:szCs w:val="18"/>
                <w:color w:val="auto"/>
              </w:rPr>
              <w:t>Cash fows from investng actvites:</w:t>
            </w: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Additons to propertes</w:t>
            </w: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0"/>
        </w:trPr>
        <w:tc>
          <w:tcPr>
            <w:tcW w:w="1280" w:type="dxa"/>
            <w:vAlign w:val="bottom"/>
            <w:shd w:val="clear" w:color="auto" w:fill="CCEEFF"/>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7000" w:type="dxa"/>
            <w:vAlign w:val="bottom"/>
            <w:gridSpan w:val="2"/>
          </w:tcPr>
          <w:p>
            <w:pPr>
              <w:ind w:left="660"/>
              <w:spacing w:after="0"/>
              <w:rPr>
                <w:sz w:val="20"/>
                <w:szCs w:val="20"/>
                <w:color w:val="auto"/>
              </w:rPr>
            </w:pPr>
            <w:r>
              <w:rPr>
                <w:rFonts w:ascii="Arial" w:cs="Arial" w:eastAsia="Arial" w:hAnsi="Arial"/>
                <w:sz w:val="18"/>
                <w:szCs w:val="18"/>
                <w:color w:val="auto"/>
              </w:rPr>
              <w:t>Net cash used in investng actvites</w:t>
            </w:r>
          </w:p>
        </w:tc>
        <w:tc>
          <w:tcPr>
            <w:tcW w:w="140" w:type="dxa"/>
            <w:vAlign w:val="bottom"/>
          </w:tcPr>
          <w:p>
            <w:pPr>
              <w:spacing w:after="0"/>
              <w:rPr>
                <w:sz w:val="20"/>
                <w:szCs w:val="20"/>
                <w:color w:val="auto"/>
              </w:rPr>
            </w:pP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fows from fnancing actvites:</w:t>
            </w:r>
          </w:p>
        </w:tc>
        <w:tc>
          <w:tcPr>
            <w:tcW w:w="140" w:type="dxa"/>
            <w:vAlign w:val="bottom"/>
            <w:tcBorders>
              <w:top w:val="single" w:sz="8" w:color="auto"/>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7000" w:type="dxa"/>
            <w:vAlign w:val="bottom"/>
            <w:gridSpan w:val="2"/>
          </w:tcPr>
          <w:p>
            <w:pPr>
              <w:ind w:left="340"/>
              <w:spacing w:after="0"/>
              <w:rPr>
                <w:sz w:val="20"/>
                <w:szCs w:val="20"/>
                <w:color w:val="auto"/>
              </w:rPr>
            </w:pPr>
            <w:r>
              <w:rPr>
                <w:rFonts w:ascii="Arial" w:cs="Arial" w:eastAsia="Arial" w:hAnsi="Arial"/>
                <w:sz w:val="18"/>
                <w:szCs w:val="18"/>
                <w:color w:val="auto"/>
              </w:rPr>
              <w:t>Net proceeds from Term Loan Credit Agreement</w:t>
            </w:r>
          </w:p>
        </w:tc>
        <w:tc>
          <w:tcPr>
            <w:tcW w:w="140" w:type="dxa"/>
            <w:vAlign w:val="bottom"/>
          </w:tcPr>
          <w:p>
            <w:pPr>
              <w:spacing w:after="0"/>
              <w:rPr>
                <w:sz w:val="19"/>
                <w:szCs w:val="19"/>
                <w:color w:val="auto"/>
              </w:rPr>
            </w:pPr>
          </w:p>
        </w:tc>
        <w:tc>
          <w:tcPr>
            <w:tcW w:w="2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r>
        <w:trPr>
          <w:trHeight w:val="217"/>
        </w:trPr>
        <w:tc>
          <w:tcPr>
            <w:tcW w:w="7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cash dividend payments</w:t>
            </w: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1280" w:type="dxa"/>
            <w:vAlign w:val="bottom"/>
            <w:shd w:val="clear" w:color="auto" w:fill="CCEEFF"/>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000" w:type="dxa"/>
            <w:vAlign w:val="bottom"/>
            <w:gridSpan w:val="2"/>
          </w:tcPr>
          <w:p>
            <w:pPr>
              <w:ind w:left="660"/>
              <w:spacing w:after="0"/>
              <w:rPr>
                <w:sz w:val="20"/>
                <w:szCs w:val="20"/>
                <w:color w:val="auto"/>
              </w:rPr>
            </w:pPr>
            <w:r>
              <w:rPr>
                <w:rFonts w:ascii="Arial" w:cs="Arial" w:eastAsia="Arial" w:hAnsi="Arial"/>
                <w:sz w:val="18"/>
                <w:szCs w:val="18"/>
                <w:color w:val="auto"/>
              </w:rPr>
              <w:t>Net cash (used in) provided by fnancing actvites</w:t>
            </w:r>
          </w:p>
        </w:tc>
        <w:tc>
          <w:tcPr>
            <w:tcW w:w="140" w:type="dxa"/>
            <w:vAlign w:val="bottom"/>
          </w:tcPr>
          <w:p>
            <w:pPr>
              <w:spacing w:after="0"/>
              <w:rPr>
                <w:sz w:val="18"/>
                <w:szCs w:val="18"/>
                <w:color w:val="auto"/>
              </w:rPr>
            </w:pP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Efect of exchange rate changes on cash, cash equivalents and restricted cash</w:t>
            </w: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1280" w:type="dxa"/>
            <w:vAlign w:val="bottom"/>
            <w:shd w:val="clear" w:color="auto" w:fill="CCEEFF"/>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8"/>
              </w:rPr>
              <w:t>Six-Month Period Ending June 30, 2023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12"/>
          </w:tcPr>
          <w:p>
            <w:pPr>
              <w:jc w:val="right"/>
              <w:ind w:right="680"/>
              <w:spacing w:after="0"/>
              <w:rPr>
                <w:sz w:val="20"/>
                <w:szCs w:val="20"/>
                <w:color w:val="auto"/>
              </w:rPr>
            </w:pPr>
            <w:r>
              <w:rPr>
                <w:rFonts w:ascii="Arial" w:cs="Arial" w:eastAsia="Arial" w:hAnsi="Arial"/>
                <w:sz w:val="14"/>
                <w:szCs w:val="14"/>
                <w:b w:val="1"/>
                <w:bCs w:val="1"/>
                <w:color w:val="auto"/>
                <w:w w:val="98"/>
              </w:rPr>
              <w:t>Eastman Kodak Company Common Shareholders</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1"/>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jc w:val="center"/>
              <w:ind w:right="200"/>
              <w:spacing w:after="0" w:line="151"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2"/>
              </w:rPr>
              <w:t>Redeemable</w:t>
            </w:r>
          </w:p>
        </w:tc>
        <w:tc>
          <w:tcPr>
            <w:tcW w:w="100" w:type="dxa"/>
            <w:vAlign w:val="bottom"/>
          </w:tcPr>
          <w:p>
            <w:pPr>
              <w:spacing w:after="0"/>
              <w:rPr>
                <w:sz w:val="13"/>
                <w:szCs w:val="13"/>
                <w:color w:val="auto"/>
              </w:rPr>
            </w:pPr>
          </w:p>
        </w:tc>
      </w:tr>
      <w:tr>
        <w:trPr>
          <w:trHeight w:val="176"/>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Additonal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Convertble</w:t>
            </w:r>
          </w:p>
        </w:tc>
        <w:tc>
          <w:tcPr>
            <w:tcW w:w="100" w:type="dxa"/>
            <w:vAlign w:val="bottom"/>
          </w:tcPr>
          <w:p>
            <w:pPr>
              <w:spacing w:after="0"/>
              <w:rPr>
                <w:sz w:val="15"/>
                <w:szCs w:val="15"/>
                <w:color w:val="auto"/>
              </w:rPr>
            </w:pPr>
          </w:p>
        </w:tc>
      </w:tr>
      <w:tr>
        <w:trPr>
          <w:trHeight w:val="175"/>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Paid in</w:t>
            </w:r>
          </w:p>
        </w:tc>
        <w:tc>
          <w:tcPr>
            <w:tcW w:w="100" w:type="dxa"/>
            <w:vAlign w:val="bottom"/>
          </w:tcPr>
          <w:p>
            <w:pPr>
              <w:spacing w:after="0"/>
              <w:rPr>
                <w:sz w:val="15"/>
                <w:szCs w:val="15"/>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Accumulated</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12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Treasury</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15"/>
                <w:szCs w:val="15"/>
                <w:color w:val="auto"/>
              </w:rPr>
            </w:pPr>
          </w:p>
        </w:tc>
      </w:tr>
      <w:tr>
        <w:trPr>
          <w:trHeight w:val="193"/>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Defcit</w:t>
            </w:r>
          </w:p>
        </w:tc>
        <w:tc>
          <w:tcPr>
            <w:tcW w:w="16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72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6"/>
                <w:szCs w:val="16"/>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Equity (defcit) as of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340"/>
              <w:spacing w:after="0"/>
              <w:rPr>
                <w:sz w:val="20"/>
                <w:szCs w:val="20"/>
                <w:color w:val="auto"/>
              </w:rPr>
            </w:pPr>
            <w:r>
              <w:rPr>
                <w:rFonts w:ascii="Arial" w:cs="Arial" w:eastAsia="Arial" w:hAnsi="Arial"/>
                <w:sz w:val="18"/>
                <w:szCs w:val="18"/>
                <w:color w:val="auto"/>
              </w:rPr>
              <w:t>Currency translaton adjustments</w:t>
            </w: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184"/>
        </w:trPr>
        <w:tc>
          <w:tcPr>
            <w:tcW w:w="4140" w:type="dxa"/>
            <w:vAlign w:val="bottom"/>
            <w:shd w:val="clear" w:color="auto" w:fill="CCEEFF"/>
          </w:tcPr>
          <w:p>
            <w:pPr>
              <w:ind w:left="340"/>
              <w:spacing w:after="0" w:line="183" w:lineRule="exact"/>
              <w:rPr>
                <w:sz w:val="20"/>
                <w:szCs w:val="20"/>
                <w:color w:val="auto"/>
              </w:rPr>
            </w:pPr>
            <w:r>
              <w:rPr>
                <w:rFonts w:ascii="Arial" w:cs="Arial" w:eastAsia="Arial" w:hAnsi="Arial"/>
                <w:sz w:val="18"/>
                <w:szCs w:val="18"/>
                <w:color w:val="auto"/>
              </w:rPr>
              <w:t>Pension and other postretrement liability</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8"/>
        </w:trPr>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Preferred stock cash dividends</w:t>
            </w: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in-kind dividends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Preferred stock deemed dividends</w:t>
            </w: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Equity (defcit) as of March 31, 2023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8"/>
                <w:szCs w:val="18"/>
                <w:color w:val="auto"/>
                <w:w w:val="77"/>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translaton adjustments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184"/>
        </w:trPr>
        <w:tc>
          <w:tcPr>
            <w:tcW w:w="4140" w:type="dxa"/>
            <w:vAlign w:val="bottom"/>
          </w:tcPr>
          <w:p>
            <w:pPr>
              <w:ind w:left="340"/>
              <w:spacing w:after="0" w:line="183" w:lineRule="exact"/>
              <w:rPr>
                <w:sz w:val="20"/>
                <w:szCs w:val="20"/>
                <w:color w:val="auto"/>
              </w:rPr>
            </w:pPr>
            <w:r>
              <w:rPr>
                <w:rFonts w:ascii="Arial" w:cs="Arial" w:eastAsia="Arial" w:hAnsi="Arial"/>
                <w:sz w:val="18"/>
                <w:szCs w:val="18"/>
                <w:color w:val="auto"/>
              </w:rPr>
              <w:t>Pension and other postretrement liability</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414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cash dividends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Preferred stock in-kind dividends</w:t>
            </w: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Equity (defcit) as of June 30, 2023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8"/>
                <w:szCs w:val="18"/>
                <w:color w:val="auto"/>
                <w:w w:val="77"/>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1"/>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4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 (cont</w:t>
      </w:r>
      <w:r>
        <w:rPr>
          <w:rFonts w:ascii="Arial" w:cs="Arial" w:eastAsia="Arial" w:hAnsi="Arial"/>
          <w:sz w:val="18"/>
          <w:szCs w:val="18"/>
          <w:color w:val="auto"/>
        </w:rPr>
        <w:t>’</w:t>
      </w:r>
      <w:r>
        <w:rPr>
          <w:rFonts w:ascii="Arial" w:cs="Arial" w:eastAsia="Arial" w:hAnsi="Arial"/>
          <w:sz w:val="18"/>
          <w:szCs w:val="18"/>
          <w:b w:val="1"/>
          <w:bCs w:val="1"/>
          <w:color w:val="auto"/>
        </w:rPr>
        <w:t>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4"/>
                <w:szCs w:val="14"/>
                <w:b w:val="1"/>
                <w:bCs w:val="1"/>
                <w:color w:val="auto"/>
                <w:w w:val="88"/>
              </w:rPr>
              <w:t>Six-Month Period Ending June 30, 2022</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12"/>
          </w:tcPr>
          <w:p>
            <w:pPr>
              <w:jc w:val="right"/>
              <w:ind w:right="760"/>
              <w:spacing w:after="0"/>
              <w:rPr>
                <w:sz w:val="20"/>
                <w:szCs w:val="20"/>
                <w:color w:val="auto"/>
              </w:rPr>
            </w:pPr>
            <w:r>
              <w:rPr>
                <w:rFonts w:ascii="Arial" w:cs="Arial" w:eastAsia="Arial" w:hAnsi="Arial"/>
                <w:sz w:val="14"/>
                <w:szCs w:val="14"/>
                <w:b w:val="1"/>
                <w:bCs w:val="1"/>
                <w:color w:val="auto"/>
                <w:w w:val="97"/>
              </w:rPr>
              <w:t>Eastman Kodak Company Common Shareholders</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1"/>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20"/>
              <w:spacing w:after="0" w:line="151"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2"/>
              </w:rPr>
              <w:t>Redeemable</w:t>
            </w:r>
          </w:p>
        </w:tc>
        <w:tc>
          <w:tcPr>
            <w:tcW w:w="100" w:type="dxa"/>
            <w:vAlign w:val="bottom"/>
          </w:tcPr>
          <w:p>
            <w:pPr>
              <w:spacing w:after="0"/>
              <w:rPr>
                <w:sz w:val="13"/>
                <w:szCs w:val="13"/>
                <w:color w:val="auto"/>
              </w:rPr>
            </w:pPr>
          </w:p>
        </w:tc>
      </w:tr>
      <w:tr>
        <w:trPr>
          <w:trHeight w:val="176"/>
        </w:trPr>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Additonal</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Convertble</w:t>
            </w:r>
          </w:p>
        </w:tc>
        <w:tc>
          <w:tcPr>
            <w:tcW w:w="100" w:type="dxa"/>
            <w:vAlign w:val="bottom"/>
          </w:tcPr>
          <w:p>
            <w:pPr>
              <w:spacing w:after="0"/>
              <w:rPr>
                <w:sz w:val="15"/>
                <w:szCs w:val="15"/>
                <w:color w:val="auto"/>
              </w:rPr>
            </w:pPr>
          </w:p>
        </w:tc>
      </w:tr>
      <w:tr>
        <w:trPr>
          <w:trHeight w:val="176"/>
        </w:trPr>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Paid in</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Treasury</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15"/>
                <w:szCs w:val="15"/>
                <w:color w:val="auto"/>
              </w:rPr>
            </w:pPr>
          </w:p>
        </w:tc>
      </w:tr>
      <w:tr>
        <w:trPr>
          <w:trHeight w:val="193"/>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Defcit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6"/>
                <w:szCs w:val="16"/>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72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6"/>
                <w:szCs w:val="16"/>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Equity (defcit) as of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340"/>
              <w:spacing w:after="0"/>
              <w:rPr>
                <w:sz w:val="20"/>
                <w:szCs w:val="20"/>
                <w:color w:val="auto"/>
              </w:rPr>
            </w:pPr>
            <w:r>
              <w:rPr>
                <w:rFonts w:ascii="Arial" w:cs="Arial" w:eastAsia="Arial" w:hAnsi="Arial"/>
                <w:sz w:val="18"/>
                <w:szCs w:val="18"/>
                <w:color w:val="auto"/>
              </w:rPr>
              <w:t>Currency translaton adjustments</w:t>
            </w:r>
          </w:p>
        </w:tc>
        <w:tc>
          <w:tcPr>
            <w:tcW w:w="12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cash dividends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Preferred stock in-kind dividends</w:t>
            </w:r>
          </w:p>
        </w:tc>
        <w:tc>
          <w:tcPr>
            <w:tcW w:w="12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deemed dividends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Stock-based compensaton</w:t>
            </w:r>
          </w:p>
        </w:tc>
        <w:tc>
          <w:tcPr>
            <w:tcW w:w="12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(defcit) as of March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7"/>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414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7"/>
                <w:szCs w:val="17"/>
                <w:color w:val="auto"/>
              </w:rPr>
            </w:pPr>
          </w:p>
        </w:tc>
        <w:tc>
          <w:tcPr>
            <w:tcW w:w="900" w:type="dxa"/>
            <w:vAlign w:val="bottom"/>
            <w:gridSpan w:val="2"/>
          </w:tcPr>
          <w:p>
            <w:pPr>
              <w:ind w:left="5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340"/>
              <w:spacing w:after="0"/>
              <w:rPr>
                <w:sz w:val="20"/>
                <w:szCs w:val="20"/>
                <w:color w:val="auto"/>
              </w:rPr>
            </w:pPr>
            <w:r>
              <w:rPr>
                <w:rFonts w:ascii="Arial" w:cs="Arial" w:eastAsia="Arial" w:hAnsi="Arial"/>
                <w:sz w:val="18"/>
                <w:szCs w:val="18"/>
                <w:color w:val="auto"/>
              </w:rPr>
              <w:t>Currency translaton adjustments</w:t>
            </w:r>
          </w:p>
        </w:tc>
        <w:tc>
          <w:tcPr>
            <w:tcW w:w="12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184"/>
        </w:trPr>
        <w:tc>
          <w:tcPr>
            <w:tcW w:w="4140" w:type="dxa"/>
            <w:vAlign w:val="bottom"/>
            <w:shd w:val="clear" w:color="auto" w:fill="CCEEFF"/>
          </w:tcPr>
          <w:p>
            <w:pPr>
              <w:ind w:left="340"/>
              <w:spacing w:after="0" w:line="183" w:lineRule="exact"/>
              <w:rPr>
                <w:sz w:val="20"/>
                <w:szCs w:val="20"/>
                <w:color w:val="auto"/>
              </w:rPr>
            </w:pPr>
            <w:r>
              <w:rPr>
                <w:rFonts w:ascii="Arial" w:cs="Arial" w:eastAsia="Arial" w:hAnsi="Arial"/>
                <w:sz w:val="18"/>
                <w:szCs w:val="18"/>
                <w:color w:val="auto"/>
              </w:rPr>
              <w:t>Pension and other postretrement liability</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8"/>
        </w:trPr>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Preferred stock cash dividends</w:t>
            </w:r>
          </w:p>
        </w:tc>
        <w:tc>
          <w:tcPr>
            <w:tcW w:w="12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in-kind dividends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Stock-based compensaton</w:t>
            </w:r>
          </w:p>
        </w:tc>
        <w:tc>
          <w:tcPr>
            <w:tcW w:w="12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(defcit) as of June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7"/>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consolidated interim fnancial statements are unaudited, and certain informaton and footnote disclosures related thereto normally included in fnancial statements prepared in accordance with accountng principles generally accepted in the United States of America (“U.S. GAAP”) have been omited in accordance with the instructons to Form 10-Q and Rule 10-01 of Regulaton S-X. In the opinion of management, the accompanying unaudited consolidated interim fnancial statements refect all adjustments (consistng of normal recurring adjustments) necessary for a fair statement of the results of operatons, fnancial positon and cash fows of Eastman Kodak Company and all companies directly or indirectly controlled, either through majority ownership or otherwise (“Kodak” or the “Company”). The results of operatons for the interim periods are not necessarily indicatve of the results for the entre fscal year. These consolidated interim statements should be read in conjuncton with the Company’s Annual Report on Form 10-K for the year ended December 31, 2022 (the “2022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Reclassifcaton</w:t>
      </w:r>
      <w:r>
        <w:rPr>
          <w:rFonts w:ascii="Arial" w:cs="Arial" w:eastAsia="Arial" w:hAnsi="Arial"/>
          <w:sz w:val="18"/>
          <w:szCs w:val="18"/>
          <w:color w:val="auto"/>
        </w:rPr>
        <w: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Certain amounts from previous periods have been reclassifed to conform to the current period classifcaton due to Kodak's new organizaton structure as of February 2023. Refer to Note 17, "Segment Informaton" and Note 9, "Revenue" for additonal informaton.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41" w:lineRule="exact"/>
        <w:rPr>
          <w:sz w:val="20"/>
          <w:szCs w:val="20"/>
          <w:color w:val="auto"/>
        </w:rPr>
      </w:pPr>
    </w:p>
    <w:p>
      <w:pPr>
        <w:spacing w:after="0" w:line="223" w:lineRule="exact"/>
        <w:rPr>
          <w:sz w:val="20"/>
          <w:szCs w:val="20"/>
          <w:color w:val="auto"/>
        </w:rPr>
      </w:pPr>
      <w:r>
        <w:rPr>
          <w:rFonts w:ascii="Arial" w:cs="Arial" w:eastAsia="Arial" w:hAnsi="Arial"/>
          <w:sz w:val="17"/>
          <w:szCs w:val="17"/>
          <w:color w:val="auto"/>
        </w:rPr>
        <w:t>In June 2016, the Financial Accountng Standards Board ("FASB") issued Accountng Standards Update ("ASU") 2016</w:t>
      </w:r>
      <w:r>
        <w:rPr>
          <w:rFonts w:ascii="MS PGothic" w:cs="MS PGothic" w:eastAsia="MS PGothic" w:hAnsi="MS PGothic"/>
          <w:sz w:val="17"/>
          <w:szCs w:val="17"/>
          <w:color w:val="auto"/>
        </w:rPr>
        <w:t>‐</w:t>
      </w:r>
      <w:r>
        <w:rPr>
          <w:rFonts w:ascii="Arial" w:cs="Arial" w:eastAsia="Arial" w:hAnsi="Arial"/>
          <w:sz w:val="17"/>
          <w:szCs w:val="17"/>
          <w:color w:val="auto"/>
        </w:rPr>
        <w:t>13, Financial Instruments—Credit Losses (Topic 326): Measurement of Credit Losses on Financial Instruments. ASU 2016</w:t>
      </w:r>
      <w:r>
        <w:rPr>
          <w:rFonts w:ascii="MS PGothic" w:cs="MS PGothic" w:eastAsia="MS PGothic" w:hAnsi="MS PGothic"/>
          <w:sz w:val="17"/>
          <w:szCs w:val="17"/>
          <w:color w:val="auto"/>
        </w:rPr>
        <w:t>‐</w:t>
      </w:r>
      <w:r>
        <w:rPr>
          <w:rFonts w:ascii="Arial" w:cs="Arial" w:eastAsia="Arial" w:hAnsi="Arial"/>
          <w:sz w:val="17"/>
          <w:szCs w:val="17"/>
          <w:color w:val="auto"/>
        </w:rPr>
        <w:t>13 (as amended by ASUs 2018</w:t>
      </w:r>
      <w:r>
        <w:rPr>
          <w:rFonts w:ascii="MS PGothic" w:cs="MS PGothic" w:eastAsia="MS PGothic" w:hAnsi="MS PGothic"/>
          <w:sz w:val="17"/>
          <w:szCs w:val="17"/>
          <w:color w:val="auto"/>
        </w:rPr>
        <w:t>‐</w:t>
      </w:r>
      <w:r>
        <w:rPr>
          <w:rFonts w:ascii="Arial" w:cs="Arial" w:eastAsia="Arial" w:hAnsi="Arial"/>
          <w:sz w:val="17"/>
          <w:szCs w:val="17"/>
          <w:color w:val="auto"/>
        </w:rPr>
        <w:t>19, 2019</w:t>
      </w:r>
      <w:r>
        <w:rPr>
          <w:rFonts w:ascii="MS PGothic" w:cs="MS PGothic" w:eastAsia="MS PGothic" w:hAnsi="MS PGothic"/>
          <w:sz w:val="17"/>
          <w:szCs w:val="17"/>
          <w:color w:val="auto"/>
        </w:rPr>
        <w:t>‐</w:t>
      </w:r>
      <w:r>
        <w:rPr>
          <w:rFonts w:ascii="Arial" w:cs="Arial" w:eastAsia="Arial" w:hAnsi="Arial"/>
          <w:sz w:val="17"/>
          <w:szCs w:val="17"/>
          <w:color w:val="auto"/>
        </w:rPr>
        <w:t>04, 2019</w:t>
      </w:r>
      <w:r>
        <w:rPr>
          <w:rFonts w:ascii="MS PGothic" w:cs="MS PGothic" w:eastAsia="MS PGothic" w:hAnsi="MS PGothic"/>
          <w:sz w:val="17"/>
          <w:szCs w:val="17"/>
          <w:color w:val="auto"/>
        </w:rPr>
        <w:t>‐</w:t>
      </w:r>
      <w:r>
        <w:rPr>
          <w:rFonts w:ascii="Arial" w:cs="Arial" w:eastAsia="Arial" w:hAnsi="Arial"/>
          <w:sz w:val="17"/>
          <w:szCs w:val="17"/>
          <w:color w:val="auto"/>
        </w:rPr>
        <w:t>05, 2019</w:t>
      </w:r>
      <w:r>
        <w:rPr>
          <w:rFonts w:ascii="MS PGothic" w:cs="MS PGothic" w:eastAsia="MS PGothic" w:hAnsi="MS PGothic"/>
          <w:sz w:val="17"/>
          <w:szCs w:val="17"/>
          <w:color w:val="auto"/>
        </w:rPr>
        <w:t>‐</w:t>
      </w:r>
      <w:r>
        <w:rPr>
          <w:rFonts w:ascii="Arial" w:cs="Arial" w:eastAsia="Arial" w:hAnsi="Arial"/>
          <w:sz w:val="17"/>
          <w:szCs w:val="17"/>
          <w:color w:val="auto"/>
        </w:rPr>
        <w:t>10, 2019</w:t>
      </w:r>
      <w:r>
        <w:rPr>
          <w:rFonts w:ascii="MS PGothic" w:cs="MS PGothic" w:eastAsia="MS PGothic" w:hAnsi="MS PGothic"/>
          <w:sz w:val="17"/>
          <w:szCs w:val="17"/>
          <w:color w:val="auto"/>
        </w:rPr>
        <w:t>‐</w:t>
      </w:r>
      <w:r>
        <w:rPr>
          <w:rFonts w:ascii="Arial" w:cs="Arial" w:eastAsia="Arial" w:hAnsi="Arial"/>
          <w:sz w:val="17"/>
          <w:szCs w:val="17"/>
          <w:color w:val="auto"/>
        </w:rPr>
        <w:t>11, 2020</w:t>
      </w:r>
      <w:r>
        <w:rPr>
          <w:rFonts w:ascii="MS PGothic" w:cs="MS PGothic" w:eastAsia="MS PGothic" w:hAnsi="MS PGothic"/>
          <w:sz w:val="17"/>
          <w:szCs w:val="17"/>
          <w:color w:val="auto"/>
        </w:rPr>
        <w:t>‐</w:t>
      </w:r>
      <w:r>
        <w:rPr>
          <w:rFonts w:ascii="Arial" w:cs="Arial" w:eastAsia="Arial" w:hAnsi="Arial"/>
          <w:sz w:val="17"/>
          <w:szCs w:val="17"/>
          <w:color w:val="auto"/>
        </w:rPr>
        <w:t>02, 2020</w:t>
      </w:r>
      <w:r>
        <w:rPr>
          <w:rFonts w:ascii="MS PGothic" w:cs="MS PGothic" w:eastAsia="MS PGothic" w:hAnsi="MS PGothic"/>
          <w:sz w:val="17"/>
          <w:szCs w:val="17"/>
          <w:color w:val="auto"/>
        </w:rPr>
        <w:t>‐</w:t>
      </w:r>
      <w:r>
        <w:rPr>
          <w:rFonts w:ascii="Arial" w:cs="Arial" w:eastAsia="Arial" w:hAnsi="Arial"/>
          <w:sz w:val="17"/>
          <w:szCs w:val="17"/>
          <w:color w:val="auto"/>
        </w:rPr>
        <w:t>03 and 2022</w:t>
      </w:r>
      <w:r>
        <w:rPr>
          <w:rFonts w:ascii="MS PGothic" w:cs="MS PGothic" w:eastAsia="MS PGothic" w:hAnsi="MS PGothic"/>
          <w:sz w:val="17"/>
          <w:szCs w:val="17"/>
          <w:color w:val="auto"/>
        </w:rPr>
        <w:t>‐</w:t>
      </w:r>
      <w:r>
        <w:rPr>
          <w:rFonts w:ascii="Arial" w:cs="Arial" w:eastAsia="Arial" w:hAnsi="Arial"/>
          <w:sz w:val="17"/>
          <w:szCs w:val="17"/>
          <w:color w:val="auto"/>
        </w:rPr>
        <w:t>02) requires a fnancial asset (or a group of fnancial assets) measured at amortzed cost basis to be presented at the net amount expected to be collected. In additon, the ASU requires credit losses relatng to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debt securites to be recorded through an allowance for credit losses. The amendments in this ASU broaden the informaton that an entty must consider in developing its expected credit loss estmate for assets measured either collectvely or individually. The ASU is efectve for Kodak for fscal years, and interim periods within those fscal years, beginning afer December 15, 2022 ( January 1, 2023 for Kodak). Kodak adopted the new standard on January 1, 2023 using the modifed retrospectve approach and it did not have a material impact on Kodak’s consolidated fnancial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Kodak records allowance for credit losses for the current expected credit losses inherent in the asset over its expected life. The allowance for credit losses is maintained based on historical experience, current conditons and reasonable and supportable forecasts that afect the collectability of the reported amount. Kodak records a specifc reserve for individual accounts when Kodak becomes aware of specifc customer circumstances, such as in the case of a bankruptcy fling or deterioraton in the customer's operatng results or fnancial positon.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There are no recently issued accountng pronouncements that are applicable to Kodak.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27" w:lineRule="exact"/>
        <w:rPr>
          <w:sz w:val="20"/>
          <w:szCs w:val="20"/>
          <w:color w:val="auto"/>
        </w:rPr>
      </w:pPr>
    </w:p>
    <w:p>
      <w:pPr>
        <w:ind w:left="20" w:right="560"/>
        <w:spacing w:after="0" w:line="273" w:lineRule="auto"/>
        <w:rPr>
          <w:sz w:val="20"/>
          <w:szCs w:val="20"/>
          <w:color w:val="auto"/>
        </w:rPr>
      </w:pPr>
      <w:r>
        <w:rPr>
          <w:rFonts w:ascii="Arial" w:cs="Arial" w:eastAsia="Arial" w:hAnsi="Arial"/>
          <w:sz w:val="18"/>
          <w:szCs w:val="18"/>
          <w:color w:val="auto"/>
        </w:rPr>
        <w:t>The following table provides a reconciliaton of cash, cash equivalents and restricted cash reported within the Consolidated Statement of Financial Positon that sums to the total of such amounts shown in the Consolidated Statement of Cash Flows: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4"/>
        </w:trPr>
        <w:tc>
          <w:tcPr>
            <w:tcW w:w="5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Restricted cash reported in Other current assets</w:t>
            </w:r>
          </w:p>
        </w:tc>
        <w:tc>
          <w:tcPr>
            <w:tcW w:w="1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tcPr>
          <w:p>
            <w:pPr>
              <w:ind w:left="20"/>
              <w:spacing w:after="0" w:line="177" w:lineRule="exact"/>
              <w:rPr>
                <w:sz w:val="20"/>
                <w:szCs w:val="20"/>
                <w:color w:val="auto"/>
              </w:rPr>
            </w:pPr>
            <w:r>
              <w:rPr>
                <w:rFonts w:ascii="Arial" w:cs="Arial" w:eastAsia="Arial" w:hAnsi="Arial"/>
                <w:sz w:val="18"/>
                <w:szCs w:val="18"/>
                <w:color w:val="auto"/>
                <w:w w:val="94"/>
              </w:rPr>
              <w:t>Total cash, cash equivalents and restricted cash shown in the Statement of</w:t>
            </w:r>
          </w:p>
        </w:tc>
        <w:tc>
          <w:tcPr>
            <w:tcW w:w="1160" w:type="dxa"/>
            <w:vAlign w:val="bottom"/>
            <w:vMerge w:val="restart"/>
          </w:tcPr>
          <w:p>
            <w:pPr>
              <w:jc w:val="right"/>
              <w:ind w:right="998"/>
              <w:spacing w:after="0"/>
              <w:rPr>
                <w:sz w:val="20"/>
                <w:szCs w:val="20"/>
                <w:color w:val="auto"/>
              </w:rPr>
            </w:pPr>
            <w:r>
              <w:rPr>
                <w:rFonts w:ascii="Arial" w:cs="Arial" w:eastAsia="Arial" w:hAnsi="Arial"/>
                <w:sz w:val="15"/>
                <w:szCs w:val="15"/>
                <w:color w:val="auto"/>
                <w:w w:val="71"/>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5"/>
                <w:szCs w:val="15"/>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8"/>
        </w:trPr>
        <w:tc>
          <w:tcPr>
            <w:tcW w:w="5660" w:type="dxa"/>
            <w:vAlign w:val="bottom"/>
          </w:tcPr>
          <w:p>
            <w:pPr>
              <w:ind w:left="180"/>
              <w:spacing w:after="0"/>
              <w:rPr>
                <w:sz w:val="20"/>
                <w:szCs w:val="20"/>
                <w:color w:val="auto"/>
              </w:rPr>
            </w:pPr>
            <w:r>
              <w:rPr>
                <w:rFonts w:ascii="Arial" w:cs="Arial" w:eastAsia="Arial" w:hAnsi="Arial"/>
                <w:sz w:val="18"/>
                <w:szCs w:val="18"/>
                <w:color w:val="auto"/>
              </w:rPr>
              <w:t>Cash Flows</w:t>
            </w:r>
          </w:p>
        </w:tc>
        <w:tc>
          <w:tcPr>
            <w:tcW w:w="116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line="273" w:lineRule="auto"/>
        <w:rPr>
          <w:sz w:val="20"/>
          <w:szCs w:val="20"/>
          <w:color w:val="auto"/>
        </w:rPr>
      </w:pPr>
      <w:r>
        <w:rPr>
          <w:rFonts w:ascii="Arial" w:cs="Arial" w:eastAsia="Arial" w:hAnsi="Arial"/>
          <w:sz w:val="18"/>
          <w:szCs w:val="18"/>
          <w:color w:val="auto"/>
        </w:rPr>
        <w:t>Restricted cash reported in Other current assets on the Consolidated Statement of Financial Positon primarily represented amounts that support hedging actvites.</w:t>
      </w:r>
    </w:p>
    <w:p>
      <w:pPr>
        <w:spacing w:after="0" w:line="177"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Restricted cash included $43 million and $44 million as of June 30, 2023 and December 31, 2022, respectvely, representng the cash collateral required to be posted by the Company under the Leter of Credit Facility (“L/C Cash Collateral”). In additon, Restricted cash as of both June 30, 2023 and December 31, 2022 included an escrow of $5 million in China to secure various ongoing obligatons under the agreements for a strategic relatonship with Lucky HuaGuang Graphics Co. Ltd. Restricted cash also included $6 million of security posted related to Brazilian legal contngencies as of both June 30, 2023 and December 31, 2022, respectvely, and $5 million of cash collateral posted in the United Kingdom for a leter of credit for aluminum purchases as of both June 30, 2023 and December 31, 2022, respectvely.</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7"/>
        </w:trPr>
        <w:tc>
          <w:tcPr>
            <w:tcW w:w="11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44"/>
        </w:trPr>
        <w:tc>
          <w:tcPr>
            <w:tcW w:w="1120" w:type="dxa"/>
            <w:vAlign w:val="bottom"/>
          </w:tcPr>
          <w:p>
            <w:pPr>
              <w:spacing w:after="0"/>
              <w:rPr>
                <w:sz w:val="21"/>
                <w:szCs w:val="21"/>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1120" w:type="dxa"/>
            <w:vAlign w:val="bottom"/>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160" w:type="dxa"/>
            <w:vAlign w:val="bottom"/>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1120" w:type="dxa"/>
            <w:vAlign w:val="bottom"/>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r>
      <w:tr>
        <w:trPr>
          <w:trHeight w:val="20"/>
        </w:trPr>
        <w:tc>
          <w:tcPr>
            <w:tcW w:w="11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ind w:right="998"/>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0"/>
        </w:trPr>
        <w:tc>
          <w:tcPr>
            <w:tcW w:w="11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DEBT AND CREDIT FACILITIES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Term Loan Credit Agreement</w:t>
      </w:r>
    </w:p>
    <w:p>
      <w:pPr>
        <w:spacing w:after="0" w:line="227" w:lineRule="exact"/>
        <w:rPr>
          <w:sz w:val="20"/>
          <w:szCs w:val="20"/>
          <w:color w:val="auto"/>
        </w:rPr>
      </w:pPr>
    </w:p>
    <w:p>
      <w:pPr>
        <w:ind w:left="20" w:right="20"/>
        <w:spacing w:after="0" w:line="221" w:lineRule="exact"/>
        <w:rPr>
          <w:sz w:val="20"/>
          <w:szCs w:val="20"/>
          <w:color w:val="auto"/>
        </w:rPr>
      </w:pPr>
      <w:r>
        <w:rPr>
          <w:rFonts w:ascii="Arial" w:cs="Arial" w:eastAsia="Arial" w:hAnsi="Arial"/>
          <w:sz w:val="17"/>
          <w:szCs w:val="17"/>
          <w:color w:val="auto"/>
        </w:rPr>
        <w:t>On February 26, 2021, the Company entered into a Credit Agreement (the “Existng Term Loan Credit Agreement”) with certain funds afliated with Kennedy Lewis Investment Management LLC (“KLIM”) as lenders (the “Term Loan Lenders”) and Alter Domus (US) LLC, as administratve agent (the “Agent”). Pursuant to the Existng Term Loan Credit Agreement, the Term Loan Lenders provided the Company with (i) an inital term loan in the amount of $225 million, which was drawn in full on the same date, and (ii) a commitment to provide delayed draw term loans in an aggregate principal amount of up to $50 million on or before February 26, 2023 (collectvely, the “Term Loans”). The delayed draw term loans were drawn in full on June 15, 2022. The maturity date of the Term Loans was February 26, 2026, and the Term Loans were non</w:t>
      </w:r>
      <w:r>
        <w:rPr>
          <w:rFonts w:ascii="MS PGothic" w:cs="MS PGothic" w:eastAsia="MS PGothic" w:hAnsi="MS PGothic"/>
          <w:sz w:val="17"/>
          <w:szCs w:val="17"/>
          <w:color w:val="auto"/>
        </w:rPr>
        <w:t>‐</w:t>
      </w:r>
      <w:r>
        <w:rPr>
          <w:rFonts w:ascii="Arial" w:cs="Arial" w:eastAsia="Arial" w:hAnsi="Arial"/>
          <w:sz w:val="17"/>
          <w:szCs w:val="17"/>
          <w:color w:val="auto"/>
        </w:rPr>
        <w:t>amortzing.</w:t>
      </w:r>
    </w:p>
    <w:p>
      <w:pPr>
        <w:spacing w:after="0" w:line="20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On June 30, 2023, the Company and certain of its subsidiaries (the “Subsidiary Guarantors”) entered into an amendment (the “Term Loan Amendment”) to the Existng Term Loan Credit Agreement (the Existng Term Loan Credit Agreement, as amended and restated by the Term Loan Amendment, the “Amended and Restated Term Loan Credit Agreement”), with certain funds afliated with KLIM as lenders (the “Refnancing Term Loan Lenders”) and the Agent.</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94615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34" w:lineRule="exact"/>
        <w:rPr>
          <w:sz w:val="20"/>
          <w:szCs w:val="20"/>
          <w:color w:val="auto"/>
        </w:rPr>
      </w:pPr>
    </w:p>
    <w:p>
      <w:pPr>
        <w:ind w:right="400"/>
        <w:spacing w:after="0" w:line="273" w:lineRule="auto"/>
        <w:rPr>
          <w:sz w:val="20"/>
          <w:szCs w:val="20"/>
          <w:color w:val="auto"/>
        </w:rPr>
      </w:pPr>
      <w:r>
        <w:rPr>
          <w:rFonts w:ascii="Arial" w:cs="Arial" w:eastAsia="Arial" w:hAnsi="Arial"/>
          <w:sz w:val="18"/>
          <w:szCs w:val="18"/>
          <w:color w:val="auto"/>
        </w:rPr>
        <w:t>Subject to the terms and conditons of the Term Loan Amendment, the Refnancing Term Loan Lenders provided the Company with a commitment to provide term loans in an aggregate principal amount of $450 million (the “Refnancing Term Loans”).</w:t>
      </w:r>
    </w:p>
    <w:p>
      <w:pPr>
        <w:spacing w:after="0" w:line="177" w:lineRule="exact"/>
        <w:rPr>
          <w:sz w:val="20"/>
          <w:szCs w:val="20"/>
          <w:color w:val="auto"/>
        </w:rPr>
      </w:pPr>
    </w:p>
    <w:p>
      <w:pPr>
        <w:ind w:left="20"/>
        <w:spacing w:after="0" w:line="270" w:lineRule="auto"/>
        <w:rPr>
          <w:sz w:val="20"/>
          <w:szCs w:val="20"/>
          <w:color w:val="auto"/>
        </w:rPr>
      </w:pPr>
      <w:r>
        <w:rPr>
          <w:rFonts w:ascii="Arial" w:cs="Arial" w:eastAsia="Arial" w:hAnsi="Arial"/>
          <w:sz w:val="17"/>
          <w:szCs w:val="17"/>
          <w:color w:val="auto"/>
        </w:rPr>
        <w:t>On July 21, 2023, the Amended and Restated Term Loan Credit Agreement became efectve and the Company completed its borrowing of the Refnancing Term Loans. The Company received net proceeds of $435 million from the Refnancing Term Loans which were used to (i) refnance the obligatons under the Existng Term Loan Credit Agreement, (ii) repay in full and terminate the commitments under the Company’s asset-based revolving credit facility made available pursuant to the 2023 Amended ABL Credit Agreement as defned below, (iii) repay in full the Company’s outstanding 5.0% unsecured convertble promissory notes due May 28, 2026 (the "Convertble Notes") held by the Term Loan Lenders, (iv) pay certain fees and expenses related to the foregoing and the Amended and Restated L/C Facility Agreement (defned below), (v) provide cash collateral in respect of the Amended and Restated L/C Facility Agreement, as described below, or other collateral obligatons, and (vi) the remaining net proceeds of $29 million for general corporate purposes and working capital needs of the Company and its subsidiaries.</w:t>
      </w:r>
    </w:p>
    <w:p>
      <w:pPr>
        <w:spacing w:after="0" w:line="185" w:lineRule="exact"/>
        <w:rPr>
          <w:sz w:val="20"/>
          <w:szCs w:val="20"/>
          <w:color w:val="auto"/>
        </w:rPr>
      </w:pPr>
    </w:p>
    <w:p>
      <w:pPr>
        <w:ind w:left="20" w:right="120"/>
        <w:spacing w:after="0" w:line="274" w:lineRule="auto"/>
        <w:rPr>
          <w:sz w:val="20"/>
          <w:szCs w:val="20"/>
          <w:color w:val="auto"/>
        </w:rPr>
      </w:pPr>
      <w:r>
        <w:rPr>
          <w:rFonts w:ascii="Arial" w:cs="Arial" w:eastAsia="Arial" w:hAnsi="Arial"/>
          <w:sz w:val="17"/>
          <w:szCs w:val="17"/>
          <w:color w:val="auto"/>
        </w:rPr>
        <w:t>The Term Loan Amendment also amended and restated the Existng Term Loan Credit Agreement to, among other things, (i) extend the maturity date to the earlier of August 15, 2028 or the date that is 91 days prior to the maturity date or mandatory redempton date of any of the Company’s then-outstanding Series B Preferred Stock or Series C Preferred Stock or any extensions or refnancings of any of the foregoing, (ii) make certain other changes to the terms of the Existng Term Loan Credit Agreement and (iii) make certain other changes to the terms of the Guarantee and Collateral Agreement, dated as of February 26, 2021, among the Company, the Subsidiary Guarantors and the Agent.</w:t>
      </w:r>
    </w:p>
    <w:p>
      <w:pPr>
        <w:spacing w:after="0" w:line="180" w:lineRule="exact"/>
        <w:rPr>
          <w:sz w:val="20"/>
          <w:szCs w:val="20"/>
          <w:color w:val="auto"/>
        </w:rPr>
      </w:pPr>
    </w:p>
    <w:p>
      <w:pPr>
        <w:ind w:left="20" w:right="100"/>
        <w:spacing w:after="0" w:line="300" w:lineRule="auto"/>
        <w:rPr>
          <w:sz w:val="20"/>
          <w:szCs w:val="20"/>
          <w:color w:val="auto"/>
        </w:rPr>
      </w:pPr>
      <w:r>
        <w:rPr>
          <w:rFonts w:ascii="Arial" w:cs="Arial" w:eastAsia="Arial" w:hAnsi="Arial"/>
          <w:sz w:val="16"/>
          <w:szCs w:val="16"/>
          <w:color w:val="auto"/>
        </w:rPr>
        <w:t>The Refnancing Term Loans bear interest at a rate of 7.5% per annum payable in cash and 5.0% per annum payable “in-kind” or in cash at the Company’s opton, for an aggregate interest rate of 12.5% per annum. Obligatons under the Amended and Restated Term Loan Credit Agreement are secured by a frst priority lien on substantally all assets of the Company and the Subsidiary Guarantors (subject to certain exceptons) not consttutng L/C Cash Collateral, as defned below (collectvely, the “Term Loan Priority Collateral”) and a second priority lien on the L/C Cash Collateral.</w:t>
      </w:r>
    </w:p>
    <w:p>
      <w:pPr>
        <w:spacing w:after="0" w:line="160" w:lineRule="exact"/>
        <w:rPr>
          <w:sz w:val="20"/>
          <w:szCs w:val="20"/>
          <w:color w:val="auto"/>
        </w:rPr>
      </w:pPr>
    </w:p>
    <w:p>
      <w:pPr>
        <w:ind w:left="20"/>
        <w:spacing w:after="0" w:line="270" w:lineRule="auto"/>
        <w:rPr>
          <w:sz w:val="20"/>
          <w:szCs w:val="20"/>
          <w:color w:val="auto"/>
        </w:rPr>
      </w:pPr>
      <w:r>
        <w:rPr>
          <w:rFonts w:ascii="Arial" w:cs="Arial" w:eastAsia="Arial" w:hAnsi="Arial"/>
          <w:sz w:val="17"/>
          <w:szCs w:val="17"/>
          <w:color w:val="auto"/>
        </w:rPr>
        <w:t>The Amended and Restated Term Loan Credit Agreement contnues to limit, among other things, the ability of the Company and its Restricted Subsidiaries (as defned in the Amended and Restated Term Loan Credit Agreement) to (i) incur indebtedness, (ii) incur or create liens, (iii) dispose of assets, (iv) make restricted payments and (v) make investments. The Amended and Restated Term Loan Credit Agreement does contain customary afrmatve covenants, including delivery of certain of the Company’s fnancial statements, and customary event of default provisions, including a cross-default provision that would give rise to an event of default if there is a default under or acceleraton of “Material Indebtedness” other than inter-company indebtedness. Material Indebtedness includes obligatons having a principal amount of at least $20 million (increasing to $25 million if the Refnancing Term Loans are paid down to $200 million, which is referred to as the “Deleveraging Milestone Date”). The Amended and Restated Term Loan Credit Agreement does not include a fnancial maintenance covenant or any subjectve acceleraton clauses.</w:t>
      </w:r>
    </w:p>
    <w:p>
      <w:pPr>
        <w:spacing w:after="0" w:line="185" w:lineRule="exact"/>
        <w:rPr>
          <w:sz w:val="20"/>
          <w:szCs w:val="20"/>
          <w:color w:val="auto"/>
        </w:rPr>
      </w:pPr>
    </w:p>
    <w:p>
      <w:pPr>
        <w:ind w:left="20" w:right="20"/>
        <w:spacing w:after="0" w:line="274" w:lineRule="auto"/>
        <w:rPr>
          <w:sz w:val="20"/>
          <w:szCs w:val="20"/>
          <w:color w:val="auto"/>
        </w:rPr>
      </w:pPr>
      <w:r>
        <w:rPr>
          <w:rFonts w:ascii="Arial" w:cs="Arial" w:eastAsia="Arial" w:hAnsi="Arial"/>
          <w:sz w:val="17"/>
          <w:szCs w:val="17"/>
          <w:color w:val="auto"/>
        </w:rPr>
        <w:t>On an annual basis, the Company will prepay, within 10 business days following the fling of annual Form 10-K, outstanding Loans in an amount equal to Excess Cash Flow (“ECF”) as defned in the Amended and Restated Term Loan Credit Agreement provided no such prepayment is required if such prepayment would cause U.S. liquidity to be less than $60 million, or $85 million afer the Deleveraging Milestone Date. In additon to customary prepayment covenants, the Company is also required to use the Net Proceeds from the monetzaton of Target Non-Core Assets as such terms are defned in the Amended and Restated Term Loan Credit Agreement to make prepayments subject to certain exceptons.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94615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Rights Agreement</w:t>
      </w:r>
    </w:p>
    <w:p>
      <w:pPr>
        <w:spacing w:after="0" w:line="227"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On June 30, 2023, in connecton with the executon of the Term Loan Amendment, the Company entered into an amendment (the "Board Rights Agreement Amendment") to the leter agreement with KLIM, dated February 26, 2021 (the “Existng Board Rights Agreement”). Pursuant to the Board Rights Agreement Amendment, KLIM's right to nominate one individual for electon as a member of the Company’s board of directors will last untl the date on which KLIM ceases to hold at least $200 million of the original principal amount of Refnancing Term Loans. The individual nominated pursuant to the Existng Board Rights Agreement was appointed to the Company's Board of Directors on April 1, 2021 and has been elected to serve one</w:t>
      </w:r>
      <w:r>
        <w:rPr>
          <w:rFonts w:ascii="MS PGothic" w:cs="MS PGothic" w:eastAsia="MS PGothic" w:hAnsi="MS PGothic"/>
          <w:sz w:val="18"/>
          <w:szCs w:val="18"/>
          <w:color w:val="auto"/>
        </w:rPr>
        <w:t>‐</w:t>
      </w:r>
      <w:r>
        <w:rPr>
          <w:rFonts w:ascii="Arial" w:cs="Arial" w:eastAsia="Arial" w:hAnsi="Arial"/>
          <w:sz w:val="18"/>
          <w:szCs w:val="18"/>
          <w:color w:val="auto"/>
        </w:rPr>
        <w:t>year terms at each of the annual meetngs since May 19,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Convertble Notes</w:t>
      </w:r>
    </w:p>
    <w:p>
      <w:pPr>
        <w:spacing w:after="0" w:line="2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February 26, 2021, the Company entered into a Securites Purchase Agreement with certain funds afliated with KLIM as lenders (the “Buyers”) pursuant to which the Company sold to the Buyers $25 million aggregate principal amount of the Company’s Convertble Notes in a private placement transacton. The maturity date of the Convertble Notes was May 28, 2026. On July 21, 2023, the Company repaid in full the Company’s outstanding Convertble Notes in an aggregate original principal amount of $25 million plus accrued paid-in-kind or unpaid cash interest. The Convertble Notes were terminated and the Company’s obligatons under the Convertble Notes were cancelled.</w:t>
      </w:r>
    </w:p>
    <w:p>
      <w:pPr>
        <w:spacing w:after="0" w:line="19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Convertble Notes bore interest at a rate of 5.0% per annum, which was payable in cash on the maturity (or repayment) date and in additonal shares of Common Stock on any conversion date. The payment of interest only at the maturity date had the same efect as delivering additonal debt instruments to the Holders of the Convertble Notes and therefore was considered payable-in-kind ("PIK"). PIK was being added to the carrying value of the debt through the term. Interest expense was being recorded using the efectve interest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2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Buyers had the right to elect at any tme to convert the Convertble Notes into shares of the Company's Common Stock, par value $0.01 per share ("Common Stock"), at an inital conversion rate equal to 100 shares of Common Stock per each $1,000 principal amount of the Convertble Notes (based on an inital conversion price equal to $10.00 per share of Common Stock). The conversion rate and conversion price were subject to certain customary ant-diluton adjustments.</w:t>
      </w:r>
    </w:p>
    <w:p>
      <w:pPr>
        <w:spacing w:after="0" w:line="1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If the closing price of the Common Stock equaled or exceeded $14.50 (subject to adjustment in the same manner as the conversion price) for 45 trading days within any period of 60 consecutve trading days, the Company had the right to cause the mandatory conversion of the Convertble Notes into shares of Common Stock.</w:t>
      </w:r>
    </w:p>
    <w:p>
      <w:pPr>
        <w:spacing w:after="0" w:line="18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the event of certain fundamental transactons, the Buyers had the right, within a period of 30 days following the occurrence of such transacton, to elect to either require prepayment of the Convertble Notes at par plus accrued and unpaid interest or convert all or a porton of the Convertble Notes into shares of Common Stock at the conversion rate then in efect plus any additonal shares based on the price per share of Common Stock in connecton with the fundamental transacton, or to receive the shares of a successor entty,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Derivatves</w:t>
      </w:r>
    </w:p>
    <w:p>
      <w:pPr>
        <w:spacing w:after="0" w:line="2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Company allocated $12 million of the net proceeds received from the issuance of the Convertble Notes to a derivatve liability based on the aggregate fair value of the embedded features on the date of issuance which reduced the net carrying value of the Convertble Notes. The derivatve was being accounted for at fair value with subsequent changes in the fair value being reported as part of Other charges (income), net in the Consolidated Statement of Operatons. The fair value of the Convertble Notes embedded derivatve at June 30, 2023 and December 31, 2022 was a liability of</w:t>
      </w:r>
    </w:p>
    <w:p>
      <w:pPr>
        <w:spacing w:after="0"/>
        <w:rPr>
          <w:sz w:val="20"/>
          <w:szCs w:val="20"/>
          <w:color w:val="auto"/>
        </w:rPr>
      </w:pPr>
      <w:r>
        <w:rPr>
          <w:rFonts w:ascii="Arial" w:cs="Arial" w:eastAsia="Arial" w:hAnsi="Arial"/>
          <w:sz w:val="17"/>
          <w:szCs w:val="17"/>
          <w:color w:val="auto"/>
        </w:rPr>
        <w:t>$4 million and $2 million, respectvely, and is included in Other long-term liabilites in the accompanying Consolidated Statement of Financial Positon.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19, “Financial Instruments” for informaton on the valuaton of the derivatve.</w:t>
      </w:r>
    </w:p>
    <w:p>
      <w:pPr>
        <w:spacing w:after="0" w:line="21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carrying value of the Convertble Notes at June 30, 2023 and December 31, 2022 was $19 million and $18 million, respectvely. The Convertble Notes unamortzed discount at June 30, 2023 and December 31, 2022 was $8 million and $9 million, respectvely. The estmated fair value of the Convertble Notes as of June 30, 2023 and December 31, 2022 was $20 million and $16 million, respectvely, (Level 3). The carrying value was being accreted to the aggregate principal amount using the efectve interest method from the date of issuance through the maturity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Amended and Restated ABL Credit Agreement</w:t>
      </w:r>
    </w:p>
    <w:p>
      <w:pPr>
        <w:spacing w:after="0" w:line="227" w:lineRule="exact"/>
        <w:rPr>
          <w:sz w:val="20"/>
          <w:szCs w:val="20"/>
          <w:color w:val="auto"/>
        </w:rPr>
      </w:pPr>
    </w:p>
    <w:p>
      <w:pPr>
        <w:ind w:left="60" w:right="40"/>
        <w:spacing w:after="0" w:line="270" w:lineRule="auto"/>
        <w:rPr>
          <w:sz w:val="20"/>
          <w:szCs w:val="20"/>
          <w:color w:val="auto"/>
        </w:rPr>
      </w:pPr>
      <w:r>
        <w:rPr>
          <w:rFonts w:ascii="Arial" w:cs="Arial" w:eastAsia="Arial" w:hAnsi="Arial"/>
          <w:sz w:val="17"/>
          <w:szCs w:val="17"/>
          <w:color w:val="auto"/>
        </w:rPr>
        <w:t>On March 14, 2023, the Company and the Subsidiary Guarantors entered into amendment No. 5 to the Amended and Restated Credit Agreement (the “2023 Amended ABL Credit Agreement") with the lenders party thereto (the “Lenders”), Bank of America, N.A., as administratve agent and collateral agent to, among other things: (i) extend the maturity date of the Company's asset based loan facility from February 26, 2024 to the earliest of June 12, 2024, the terminaton of the 2023 Amended L/C Facility Agreement (as defned below) or the date that is 91 days prior to the earliest scheduled maturity date or mandatory redempton date of any of the Company’s Term Loans, Convertble Notes, Series B Preferred Stock, Series C Preferred Stock or any refnancings of any of the foregoing; (ii) require the Company to maintain daily Minimum Liquidity of $50 million, subject to certain cure rights, in additon to maintaining the existng quarterly Minimum Liquidity of $80 million, and (iii) on February 26, 2024, decrease the aggregate amount of commitments from $90 million to $81 million. Each of the capitalized but undefned terms used in the context of describing the 2023 Amended ABL Credit Agreement has the meaning ascribed to such term in the 2023 Amended ABL Credit Agreement.</w:t>
      </w:r>
    </w:p>
    <w:p>
      <w:pPr>
        <w:spacing w:after="0" w:line="181" w:lineRule="exact"/>
        <w:rPr>
          <w:sz w:val="20"/>
          <w:szCs w:val="20"/>
          <w:color w:val="auto"/>
        </w:rPr>
      </w:pPr>
    </w:p>
    <w:p>
      <w:pPr>
        <w:ind w:left="40" w:right="20"/>
        <w:spacing w:after="0" w:line="309" w:lineRule="auto"/>
        <w:rPr>
          <w:sz w:val="20"/>
          <w:szCs w:val="20"/>
          <w:color w:val="auto"/>
        </w:rPr>
      </w:pPr>
      <w:r>
        <w:rPr>
          <w:rFonts w:ascii="Arial" w:cs="Arial" w:eastAsia="Arial" w:hAnsi="Arial"/>
          <w:sz w:val="16"/>
          <w:szCs w:val="16"/>
          <w:color w:val="auto"/>
        </w:rPr>
        <w:t>If Minimum Liquidity fell below the daily or quarterly required minimum an Event of Default would have occurred, in which case the Agent had the right to declare the obligaton of each Lender to make Revolving Loans and of the Issuing Banks to issue Leters of Credit to be terminated, and declare the Revolving Loans, all interest thereon and all other amounts payable under the 2023 Amended ABL Credit Agreement to be due and payable.</w:t>
      </w:r>
    </w:p>
    <w:p>
      <w:pPr>
        <w:spacing w:after="0" w:line="15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On July 21, 2023, the Company used the net proceeds from the Refnancing Term Loans to repay in full the amounts outstanding under its 2023 Amended ABL Credit Agreement (the “ABL Prepayment”). Upon the administratve agent’s receipt in full of the ABL Prepayment, the Existng ABL Credit Agreement was terminated and the lenders’ security interest in any of the Company’s or its subsidiaries assets or property securing the Existng ABL Credit Agreement was released.</w:t>
      </w:r>
    </w:p>
    <w:p>
      <w:pPr>
        <w:spacing w:after="0" w:line="203" w:lineRule="exact"/>
        <w:rPr>
          <w:sz w:val="20"/>
          <w:szCs w:val="20"/>
          <w:color w:val="auto"/>
        </w:rPr>
      </w:pPr>
    </w:p>
    <w:p>
      <w:pPr>
        <w:ind w:left="60" w:right="160"/>
        <w:spacing w:after="0" w:line="224" w:lineRule="exact"/>
        <w:rPr>
          <w:sz w:val="20"/>
          <w:szCs w:val="20"/>
          <w:color w:val="auto"/>
        </w:rPr>
      </w:pPr>
      <w:r>
        <w:rPr>
          <w:rFonts w:ascii="Arial" w:cs="Arial" w:eastAsia="Arial" w:hAnsi="Arial"/>
          <w:sz w:val="18"/>
          <w:szCs w:val="18"/>
          <w:color w:val="auto"/>
        </w:rPr>
        <w:t>The revolving loans bore interest at the rate of 3.50%</w:t>
      </w:r>
      <w:r>
        <w:rPr>
          <w:rFonts w:ascii="MS PGothic" w:cs="MS PGothic" w:eastAsia="MS PGothic" w:hAnsi="MS PGothic"/>
          <w:sz w:val="18"/>
          <w:szCs w:val="18"/>
          <w:color w:val="auto"/>
        </w:rPr>
        <w:t>‐</w:t>
      </w:r>
      <w:r>
        <w:rPr>
          <w:rFonts w:ascii="Arial" w:cs="Arial" w:eastAsia="Arial" w:hAnsi="Arial"/>
          <w:sz w:val="18"/>
          <w:szCs w:val="18"/>
          <w:color w:val="auto"/>
        </w:rPr>
        <w:t>4.00% per annum based on the secured overnight fnancing rate as administered by the Federal Reserve Bank of New York (or a successor administrator). The Company paid an unused line fee of 37.5</w:t>
      </w:r>
      <w:r>
        <w:rPr>
          <w:rFonts w:ascii="MS PGothic" w:cs="MS PGothic" w:eastAsia="MS PGothic" w:hAnsi="MS PGothic"/>
          <w:sz w:val="18"/>
          <w:szCs w:val="18"/>
          <w:color w:val="auto"/>
        </w:rPr>
        <w:t>‐</w:t>
      </w:r>
      <w:r>
        <w:rPr>
          <w:rFonts w:ascii="Arial" w:cs="Arial" w:eastAsia="Arial" w:hAnsi="Arial"/>
          <w:sz w:val="18"/>
          <w:szCs w:val="18"/>
          <w:color w:val="auto"/>
        </w:rPr>
        <w:t>50 basis points per annum, depending on whether the unused porton of the maximum amount available is less than or equal to 50% or greater than 50%, respectvely. The Company paid a leter of credit fee of 3.50%</w:t>
      </w:r>
      <w:r>
        <w:rPr>
          <w:rFonts w:ascii="MS PGothic" w:cs="MS PGothic" w:eastAsia="MS PGothic" w:hAnsi="MS PGothic"/>
          <w:sz w:val="18"/>
          <w:szCs w:val="18"/>
          <w:color w:val="auto"/>
        </w:rPr>
        <w:t>‐</w:t>
      </w:r>
      <w:r>
        <w:rPr>
          <w:rFonts w:ascii="Arial" w:cs="Arial" w:eastAsia="Arial" w:hAnsi="Arial"/>
          <w:sz w:val="18"/>
          <w:szCs w:val="18"/>
          <w:color w:val="auto"/>
        </w:rPr>
        <w:t>4.00% per annum, based on Excess Availability, on issued and outstanding leters of credit, in additon to a frontng fee of 25 basis points on such leters of credit.</w:t>
      </w:r>
    </w:p>
    <w:p>
      <w:pPr>
        <w:spacing w:after="0" w:line="206" w:lineRule="exact"/>
        <w:rPr>
          <w:sz w:val="20"/>
          <w:szCs w:val="20"/>
          <w:color w:val="auto"/>
        </w:rPr>
      </w:pPr>
    </w:p>
    <w:p>
      <w:pPr>
        <w:ind w:left="60" w:right="120"/>
        <w:spacing w:after="0" w:line="256" w:lineRule="auto"/>
        <w:rPr>
          <w:sz w:val="20"/>
          <w:szCs w:val="20"/>
          <w:color w:val="auto"/>
        </w:rPr>
      </w:pPr>
      <w:r>
        <w:rPr>
          <w:rFonts w:ascii="Arial" w:cs="Arial" w:eastAsia="Arial" w:hAnsi="Arial"/>
          <w:sz w:val="18"/>
          <w:szCs w:val="18"/>
          <w:color w:val="auto"/>
        </w:rPr>
        <w:t>Obligatons under the 2023 Amended ABL Credit Agreement were secured by: (i) a frst priority lien on assets of the Company and the Subsidiary Guarantors consttutng cash (other than L/C Cash Collateral, as defned below), accounts receivable, inventory, machinery and equipment and certain other assets (the “ABL Priority Collateral”) and (ii) a second priority lien on substantally all assets of the Company and the Subsidiary Guarantors (subject to certain exceptons) other than the ABL Priority Collateral, including the L/C cash collateral and 100% of the stock of material U.S. subsidiaries and 65% of the stock of material foreign subsidiaries.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2023 Amended ABL Credit Agreement limited, among other things, the ability of the Company and its Restricted Subsidiaries to (i) incur indebtedness,</w:t>
      </w:r>
    </w:p>
    <w:p>
      <w:pPr>
        <w:spacing w:after="0" w:line="43" w:lineRule="exact"/>
        <w:rPr>
          <w:sz w:val="20"/>
          <w:szCs w:val="20"/>
          <w:color w:val="auto"/>
        </w:rPr>
      </w:pPr>
    </w:p>
    <w:p>
      <w:pPr>
        <w:ind w:left="60" w:right="160" w:hanging="10"/>
        <w:spacing w:after="0" w:line="290" w:lineRule="auto"/>
        <w:tabs>
          <w:tab w:leader="none" w:pos="292"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incur or create liens, (iii) dispose of assets, (iv) make restricted payments and (v) make investments. The 2023 Amended ABL Credit Agreement leaves in place customary afrmatve covenants, including delivery of certain of the Company’s fnancial statements set forth therein.</w:t>
      </w:r>
    </w:p>
    <w:p>
      <w:pPr>
        <w:spacing w:after="0" w:line="165" w:lineRule="exact"/>
        <w:rPr>
          <w:sz w:val="20"/>
          <w:szCs w:val="20"/>
          <w:color w:val="auto"/>
        </w:rPr>
      </w:pPr>
    </w:p>
    <w:p>
      <w:pPr>
        <w:ind w:left="60"/>
        <w:spacing w:after="0" w:line="262" w:lineRule="auto"/>
        <w:rPr>
          <w:sz w:val="20"/>
          <w:szCs w:val="20"/>
          <w:color w:val="auto"/>
        </w:rPr>
      </w:pPr>
      <w:r>
        <w:rPr>
          <w:rFonts w:ascii="Arial" w:cs="Arial" w:eastAsia="Arial" w:hAnsi="Arial"/>
          <w:sz w:val="18"/>
          <w:szCs w:val="18"/>
          <w:color w:val="auto"/>
        </w:rPr>
        <w:t>Quarterly Minimum Liquidity was $143 million and $150 million at March 31, 2023 and December 31, 2022, respectvely, and daily Minimum Liquidity exceeded the $50 million threshold. Quarterly Minimum Liquidity as of June 30, 2023 was not required to be calculated or furnished to the Lenders as the 2023 Amended ABL Credit Agreement was terminated on July 21, 2023.</w:t>
      </w:r>
    </w:p>
    <w:p>
      <w:pPr>
        <w:spacing w:after="0" w:line="186" w:lineRule="exact"/>
        <w:rPr>
          <w:sz w:val="20"/>
          <w:szCs w:val="20"/>
          <w:color w:val="auto"/>
        </w:rPr>
      </w:pPr>
    </w:p>
    <w:p>
      <w:pPr>
        <w:ind w:left="60" w:right="160"/>
        <w:spacing w:after="0" w:line="258" w:lineRule="auto"/>
        <w:rPr>
          <w:sz w:val="20"/>
          <w:szCs w:val="20"/>
          <w:color w:val="auto"/>
        </w:rPr>
      </w:pPr>
      <w:r>
        <w:rPr>
          <w:rFonts w:ascii="Arial" w:cs="Arial" w:eastAsia="Arial" w:hAnsi="Arial"/>
          <w:sz w:val="18"/>
          <w:szCs w:val="18"/>
          <w:color w:val="auto"/>
        </w:rPr>
        <w:t>The Company was required to maintain Excess Availability above the greater of 12.5% of lender commitments ($11.25 million at both May 31, 2023 and December 31, 2022) which was tested at the end of each month. Excess Availability was $17 million and $21 million as of May 31, 2023 and December 31, 2022, respectvely. Excess Availability as of June 30, 2023 was not required to be calculated or furnished to the Lenders as the 2023 Amended ABL Credit Agreement was terminated on July 21, 2023.</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94615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5"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34" w:lineRule="exact"/>
        <w:rPr>
          <w:sz w:val="20"/>
          <w:szCs w:val="20"/>
          <w:color w:val="auto"/>
        </w:rPr>
      </w:pPr>
    </w:p>
    <w:p>
      <w:pPr>
        <w:ind w:left="20" w:right="20"/>
        <w:spacing w:after="0" w:line="255" w:lineRule="auto"/>
        <w:rPr>
          <w:sz w:val="20"/>
          <w:szCs w:val="20"/>
          <w:color w:val="auto"/>
        </w:rPr>
      </w:pPr>
      <w:r>
        <w:rPr>
          <w:rFonts w:ascii="Arial" w:cs="Arial" w:eastAsia="Arial" w:hAnsi="Arial"/>
          <w:sz w:val="18"/>
          <w:szCs w:val="18"/>
          <w:color w:val="auto"/>
        </w:rPr>
        <w:t>If Excess Availability fell below the greater of 12.5% of lender commitments or $11.25 million, a Fixed Charge Coverage Rato Trigger Event would have occurred. During any Fixed Charge Coverage Rato Trigger Event, the Company was required to maintain a Fixed Charge Coverage Rato of greater than or equal to 1.0 to 1.0. If Excess Availability fell below the greater of 12.5% of lender commitments or $11.25 million, Kodak could, in additon to the requirement to be in compliance with the minimum Fixed Charge Coverage Rato, have become subject to cash dominion control. Since Excess Availability was greater than 12.5% of lender commitments or $11.25 million at May 31, 2023 and December 31, 2022, Kodak was not required to have a minimum Fixed Charge Coverage Rato of 1.0 to 1.0.</w:t>
      </w:r>
    </w:p>
    <w:p>
      <w:pPr>
        <w:spacing w:after="0" w:line="192" w:lineRule="exact"/>
        <w:rPr>
          <w:sz w:val="20"/>
          <w:szCs w:val="20"/>
          <w:color w:val="auto"/>
        </w:rPr>
      </w:pPr>
    </w:p>
    <w:p>
      <w:pPr>
        <w:jc w:val="both"/>
        <w:ind w:left="20" w:right="200"/>
        <w:spacing w:after="0" w:line="258" w:lineRule="auto"/>
        <w:rPr>
          <w:sz w:val="20"/>
          <w:szCs w:val="20"/>
          <w:color w:val="auto"/>
        </w:rPr>
      </w:pPr>
      <w:r>
        <w:rPr>
          <w:rFonts w:ascii="Arial" w:cs="Arial" w:eastAsia="Arial" w:hAnsi="Arial"/>
          <w:sz w:val="18"/>
          <w:szCs w:val="18"/>
          <w:color w:val="auto"/>
        </w:rPr>
        <w:t>If Excess Availability fell below the greater of 12.5% of lender commitments or $11.25 million and the Fixed Charge Coverage Rato was less than 1.0 to 1.0, an Event of Default would have occurred and the Agent would have had the right to declare the obligaton of each Lender to make Revolving Loans and of the Issuing Banks to issue Leters of Credit to be terminated, and declare the Revolving Loans, all interest thereon and all other amounts payable under the 2023 Amended ABL Credit Agreement to be due and payable.</w:t>
      </w:r>
    </w:p>
    <w:p>
      <w:pPr>
        <w:spacing w:after="0" w:line="190" w:lineRule="exact"/>
        <w:rPr>
          <w:sz w:val="20"/>
          <w:szCs w:val="20"/>
          <w:color w:val="auto"/>
        </w:rPr>
      </w:pPr>
    </w:p>
    <w:p>
      <w:pPr>
        <w:ind w:left="20"/>
        <w:spacing w:after="0" w:line="256" w:lineRule="auto"/>
        <w:rPr>
          <w:sz w:val="20"/>
          <w:szCs w:val="20"/>
          <w:color w:val="auto"/>
        </w:rPr>
      </w:pPr>
      <w:r>
        <w:rPr>
          <w:rFonts w:ascii="Arial" w:cs="Arial" w:eastAsia="Arial" w:hAnsi="Arial"/>
          <w:sz w:val="18"/>
          <w:szCs w:val="18"/>
          <w:color w:val="auto"/>
        </w:rPr>
        <w:t>As noted above, since Excess Availability was the greater of 12.5% of lender commitments or $11.25 million, Kodak was not required to have a minimum Fixed Charge Coverage Rato of 1.0 to 1.0. As of March 31, 2023 Consolidated EBITDA (minus Capital Expenditures and income taxes paid in cash) (as defned in the 2023 Amended ABL Credit Agreement) exceeded Fixed Charges by approximately $9 million, therefore the Fixed Charge Coverage Rato was more than 1.0 to 1.0. The Fixed Charge Coverage Rato as of June 30, 2023 was not required to be calculated or furnished to the Lenders as the 2023 Amended ABL Credit Agreement was terminated on July 21, 2023.</w:t>
      </w:r>
    </w:p>
    <w:p>
      <w:pPr>
        <w:spacing w:after="0" w:line="192" w:lineRule="exact"/>
        <w:rPr>
          <w:sz w:val="20"/>
          <w:szCs w:val="20"/>
          <w:color w:val="auto"/>
        </w:rPr>
      </w:pPr>
    </w:p>
    <w:p>
      <w:pPr>
        <w:ind w:left="20" w:right="680"/>
        <w:spacing w:after="0" w:line="262" w:lineRule="auto"/>
        <w:rPr>
          <w:sz w:val="20"/>
          <w:szCs w:val="20"/>
          <w:color w:val="auto"/>
        </w:rPr>
      </w:pPr>
      <w:r>
        <w:rPr>
          <w:rFonts w:ascii="Arial" w:cs="Arial" w:eastAsia="Arial" w:hAnsi="Arial"/>
          <w:sz w:val="18"/>
          <w:szCs w:val="18"/>
          <w:color w:val="auto"/>
        </w:rPr>
        <w:t>Each existng direct or indirect U.S. subsidiary of the Company (other than Immaterial Subsidiaries, Unrestricted Subsidiaries and certain other subsidiaries) provided an unconditonal guarantee (and any such future subsidiaries were required to provide an unconditonal guarantee) of the obligatons of the Company under the Credit Agreements (as defned below).</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Leter of Credit Facility Agreement</w:t>
      </w:r>
    </w:p>
    <w:p>
      <w:pPr>
        <w:spacing w:after="0" w:line="227"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On February 26, 2021, the Company and the Subsidiary Guarantors entered into a Leter of Credit Facility Agreement (the “L/C Facility Agreement”, and together with the 2023 Amended ABL Credit Agreement, the “Credit Agreements”) among the Company, the Subsidiary Guarantors, the lenders party thereto (the “L/C Lenders”), Bank of America, N.A., as agent, and Bank of America, N.A., as issuing bank. Pursuant to the L/C Facility Agreement, the L/C Lenders commited to issue leters of credit on the Company’s behalf in an aggregate amount of up to $50 million, provided that the Company posts cash collateral in an amount greater than or equal to 103% of the aggregate amount of leters of credit issued and outstanding at any given tme (the “L/C Cash Collateral”).</w:t>
      </w:r>
    </w:p>
    <w:p>
      <w:pPr>
        <w:spacing w:after="0" w:line="192" w:lineRule="exact"/>
        <w:rPr>
          <w:sz w:val="20"/>
          <w:szCs w:val="20"/>
          <w:color w:val="auto"/>
        </w:rPr>
      </w:pPr>
    </w:p>
    <w:p>
      <w:pPr>
        <w:ind w:left="20" w:right="80"/>
        <w:spacing w:after="0" w:line="271" w:lineRule="auto"/>
        <w:rPr>
          <w:sz w:val="20"/>
          <w:szCs w:val="20"/>
          <w:color w:val="auto"/>
        </w:rPr>
      </w:pPr>
      <w:r>
        <w:rPr>
          <w:rFonts w:ascii="Arial" w:cs="Arial" w:eastAsia="Arial" w:hAnsi="Arial"/>
          <w:sz w:val="17"/>
          <w:szCs w:val="17"/>
          <w:color w:val="auto"/>
        </w:rPr>
        <w:t>On March 14, 2023, the Company entered into an amendment to the L/C Facility Agreement (the “2023 Amended L/C Facility Agreement") to, among other things: (i) extend the maturity date of the L/C Facility Agreement from February 26, 2024 to the earliest of June 12, 2024, the terminaton of the 2023 Amended ABL Credit Agreement, as applicable, or the date that is 91 days prior to the earliest scheduled maturity date or mandatory redempton date of any of the Company’s Term Loans, Convertble Notes, Series B Preferred Stock, Series C Preferred Stock or any refnancing of any of the foregoing and (ii) require the Company to maintain daily Minimum Liquidity of $50 million, subject to certain cure rights, in additon to maintaining the existng quarterly Minimum Liquidity of $80 million. Each of the capitalized but undefned terms used in the context of describing the 2023 Amended L/C Facility Agreement has the meaning ascribed to such term in the 2023 Amended L/C Facility Agreement.</w:t>
      </w:r>
    </w:p>
    <w:p>
      <w:pPr>
        <w:spacing w:after="0" w:line="183" w:lineRule="exact"/>
        <w:rPr>
          <w:sz w:val="20"/>
          <w:szCs w:val="20"/>
          <w:color w:val="auto"/>
        </w:rPr>
      </w:pPr>
    </w:p>
    <w:p>
      <w:pPr>
        <w:ind w:left="20" w:right="20"/>
        <w:spacing w:after="0" w:line="256" w:lineRule="auto"/>
        <w:rPr>
          <w:sz w:val="20"/>
          <w:szCs w:val="20"/>
          <w:color w:val="auto"/>
        </w:rPr>
      </w:pPr>
      <w:r>
        <w:rPr>
          <w:rFonts w:ascii="Arial" w:cs="Arial" w:eastAsia="Arial" w:hAnsi="Arial"/>
          <w:sz w:val="18"/>
          <w:szCs w:val="18"/>
          <w:color w:val="auto"/>
        </w:rPr>
        <w:t>As with the 2023 Amended ABL Credit Agreement, the 2023 Amended L/C Facility Agreement required the Company to maintain Excess Availability above the greater of 12.5% of lender commitments or $11.25 million. If Excess Availability fell below the greater of 12.5% of lender commitments or $11.25 million, a Fixed Charge Coverage Rato Trigger Event would have occurred under the 2023 Amended L/C Facility Agreement as with the 2023 Amended ABL Credit Agreement. During any Fixed Charge Coverage Rato Trigger Event, the Company would have been required to maintain a Fixed Charge Coverage Rato of greater than or equal to 1.0 to 1.0.</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The quarterly Minimum Liquidity, Excess Availability and Fixed Charge Coverage Rato as of June 30, 2023 were not required to be calculated or furnished to the L/C Lenders as a result of the June 2023 L/C Facility Amendment.</w:t>
      </w:r>
    </w:p>
    <w:p>
      <w:pPr>
        <w:spacing w:after="0" w:line="177" w:lineRule="exact"/>
        <w:rPr>
          <w:sz w:val="20"/>
          <w:szCs w:val="20"/>
          <w:color w:val="auto"/>
        </w:rPr>
      </w:pPr>
    </w:p>
    <w:p>
      <w:pPr>
        <w:ind w:left="20" w:right="40"/>
        <w:spacing w:after="0" w:line="262" w:lineRule="auto"/>
        <w:rPr>
          <w:sz w:val="20"/>
          <w:szCs w:val="20"/>
          <w:color w:val="auto"/>
        </w:rPr>
      </w:pPr>
      <w:r>
        <w:rPr>
          <w:rFonts w:ascii="Arial" w:cs="Arial" w:eastAsia="Arial" w:hAnsi="Arial"/>
          <w:sz w:val="18"/>
          <w:szCs w:val="18"/>
          <w:color w:val="auto"/>
        </w:rPr>
        <w:t>The Company’s obligatons under the 2023 Amended L/C Facility Agreement were guaranteed by the Subsidiary Guarantors and were secured by (i) a frst priority lien on the L/C Cash Collateral, (ii) a second priority lien on the ABL Priority Collateral and (iii) a third priority lien on the Term Loan Priority Collateral.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94615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34"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The Company issued approximately $58 million and $41 million leters of credit under the 2023 Amended ABL Agreement and L/C Facility Agreement, respectvely, as of June 30, 2023 and $58 million and $43 million, respectvely, as of December 31, 2022. The balance on deposit in the L/C Cash Collateral account as of June 30, 2023 and December 31, 2022 was approximately $43 million and $44 million, respectvely.</w:t>
      </w:r>
    </w:p>
    <w:p>
      <w:pPr>
        <w:spacing w:after="0" w:line="17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On June 30, 2023, the Company and the Subsidiary Guarantors entered into an amendment (the “June 2023 L/C Facility Amendment”) to the 2023 Amended L/C Facility Agreement (as amended and restated by the June 2023 L/C Facility Amendment, the “Amended and Restated L/C Facility Agreement”), with Bank of America, N.A., as L/C Lender, L/C Agent and Issuing Bank. The June 2023 L/C Facility Amendment became efectve on July 21, 2023.</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terms and conditons of the June 2023 L/C Facility Amendment, the L/C Lender commited to issue additonal leters of credit on the Company’s behalf in an aggregate amount of up to $50 million, to an aggregate principal amount of commitments of up to $100 million (the “L/C Facility Commitments”), untl August 30, 2023, upon which the aggregate L/C Facility Commitments will reduce to $50 million, provided that, at all tmes, the Company posts cash collateral in an amount greater than or equal to 104% of the aggregate amount of leters of credit issued and outstanding at any given tme (the “L/C Cash Collateral”). With the funding of the Refnancing Term Loans on July 21, 2023, the balance on deposit in the L/C Cash Collateral account was increased by $59 million.</w:t>
      </w:r>
    </w:p>
    <w:p>
      <w:pPr>
        <w:spacing w:after="0" w:line="192"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The June 2023 L/C Facility Amendment also amended and restated the 2023 Amended L/C Facility Agreement to, among other things, (i) extended the maturity date to the earliest of (x) the ffh anniversary of the Restatement Date (as defned therein), (y) the date that is 90 days prior to the maturity of the Amended and Restated Term Loan Credit Agreement, as such date may be extended pursuant to the terms thereof (or the maturity date of any refnancing thereof), or (z) the date that is 90 days prior to the earliest scheduled maturity date or mandatory redempton date of any of the Company’s then-outstanding Series B Preferred Stock or Series C Preferred Stock or any refnancings of any of the foregoing, (ii) eliminated the existng cash maintenance requirements, and (iii) made certain other changes to the terms of the 2023 Amended L/C Facility Agreement.</w:t>
      </w:r>
    </w:p>
    <w:p>
      <w:pPr>
        <w:spacing w:after="0" w:line="16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Company’s obligatons under the Amended and Restated L/C Facility Agreement are guaranteed by the Subsidiary Guarantors and are secured by (i) a frst priority lien on the L/C Cash Collateral and (ii) a second priority lien on certain Term Loan Priority Collateral of the Company and U.S. subsidiary guarantors.</w:t>
      </w:r>
    </w:p>
    <w:p>
      <w:pPr>
        <w:spacing w:after="0" w:line="186" w:lineRule="exact"/>
        <w:rPr>
          <w:sz w:val="20"/>
          <w:szCs w:val="20"/>
          <w:color w:val="auto"/>
        </w:rPr>
      </w:pPr>
    </w:p>
    <w:p>
      <w:pPr>
        <w:spacing w:after="0" w:line="337" w:lineRule="auto"/>
        <w:rPr>
          <w:sz w:val="20"/>
          <w:szCs w:val="20"/>
          <w:color w:val="auto"/>
        </w:rPr>
      </w:pPr>
      <w:r>
        <w:rPr>
          <w:rFonts w:ascii="Arial" w:cs="Arial" w:eastAsia="Arial" w:hAnsi="Arial"/>
          <w:sz w:val="16"/>
          <w:szCs w:val="16"/>
          <w:color w:val="auto"/>
        </w:rPr>
        <w:t>The L/C Facility Agreement contains certain afrmatve and negatve covenants similar to the afrmatve and negatve covenants contained in the Amended and Restated Term Loan Credit Agreement. The L/C Facility Agreement does not include a minimum liquidity or fnancial maintenance covenant.</w:t>
      </w:r>
    </w:p>
    <w:p>
      <w:pPr>
        <w:spacing w:after="0" w:line="145" w:lineRule="exact"/>
        <w:rPr>
          <w:sz w:val="20"/>
          <w:szCs w:val="20"/>
          <w:color w:val="auto"/>
        </w:rPr>
      </w:pPr>
    </w:p>
    <w:p>
      <w:pPr>
        <w:ind w:right="100"/>
        <w:spacing w:after="0" w:line="218" w:lineRule="exact"/>
        <w:rPr>
          <w:sz w:val="20"/>
          <w:szCs w:val="20"/>
          <w:color w:val="auto"/>
        </w:rPr>
      </w:pPr>
      <w:r>
        <w:rPr>
          <w:rFonts w:ascii="Arial" w:cs="Arial" w:eastAsia="Arial" w:hAnsi="Arial"/>
          <w:sz w:val="18"/>
          <w:szCs w:val="18"/>
          <w:color w:val="auto"/>
        </w:rPr>
        <w:t>The Company will pay an unused line fee of 37.5</w:t>
      </w:r>
      <w:r>
        <w:rPr>
          <w:rFonts w:ascii="MS PGothic" w:cs="MS PGothic" w:eastAsia="MS PGothic" w:hAnsi="MS PGothic"/>
          <w:sz w:val="18"/>
          <w:szCs w:val="18"/>
          <w:color w:val="auto"/>
        </w:rPr>
        <w:t>‐</w:t>
      </w:r>
      <w:r>
        <w:rPr>
          <w:rFonts w:ascii="Arial" w:cs="Arial" w:eastAsia="Arial" w:hAnsi="Arial"/>
          <w:sz w:val="18"/>
          <w:szCs w:val="18"/>
          <w:color w:val="auto"/>
        </w:rPr>
        <w:t>50 basis points per annum, depending on whether the unused porton of the maximum commitments is less than or equal to 50% or greater than 50% of such commitments, respectvely. The Company will pay a leter of credit fee of 3.75% per annum on issued and outstanding leters of credit, in additon to a frontng fee of 25 basis points on such leters of credit. Amounts drawn under any leter of credit will be reimbursed from the L/C Cash Collateral. If not so reimbursed, and not otherwise repaid by the Company to the L/C Lender, such amounts will accrue interest, to be paid monthly, at a foatng Base Rate (as defned in the Amended and Restated L/C Facility Agreement) plus 2.75% per annum untl repaid.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w w:val="91"/>
              </w:rPr>
              <w:t>NOTE 5: REDEEMABLE, CONVERTIBLE PREFERRED STOCK</w:t>
            </w:r>
          </w:p>
        </w:tc>
        <w:tc>
          <w:tcPr>
            <w:tcW w:w="1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0"/>
        </w:trPr>
        <w:tc>
          <w:tcPr>
            <w:tcW w:w="4820" w:type="dxa"/>
            <w:vAlign w:val="bottom"/>
            <w:gridSpan w:val="2"/>
          </w:tcPr>
          <w:p>
            <w:pPr>
              <w:spacing w:after="0"/>
              <w:rPr>
                <w:sz w:val="20"/>
                <w:szCs w:val="20"/>
                <w:color w:val="auto"/>
              </w:rPr>
            </w:pPr>
            <w:r>
              <w:rPr>
                <w:rFonts w:ascii="Arial" w:cs="Arial" w:eastAsia="Arial" w:hAnsi="Arial"/>
                <w:sz w:val="18"/>
                <w:szCs w:val="18"/>
                <w:color w:val="auto"/>
              </w:rPr>
              <w:t>Redeemable convertble preferred stock was as follows:</w:t>
            </w:r>
          </w:p>
        </w:tc>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9"/>
        </w:trPr>
        <w:tc>
          <w:tcPr>
            <w:tcW w:w="1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60" w:type="dxa"/>
            <w:vAlign w:val="bottom"/>
          </w:tcPr>
          <w:p>
            <w:pPr>
              <w:jc w:val="right"/>
              <w:ind w:right="21"/>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1120" w:type="dxa"/>
            <w:vAlign w:val="bottom"/>
          </w:tcPr>
          <w:p>
            <w:pPr>
              <w:spacing w:after="0"/>
              <w:rPr>
                <w:sz w:val="24"/>
                <w:szCs w:val="24"/>
                <w:color w:val="auto"/>
              </w:rPr>
            </w:pPr>
          </w:p>
        </w:tc>
      </w:tr>
      <w:tr>
        <w:trPr>
          <w:trHeight w:val="244"/>
        </w:trPr>
        <w:tc>
          <w:tcPr>
            <w:tcW w:w="112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1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2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preferred stock</w:t>
            </w:r>
          </w:p>
        </w:tc>
        <w:tc>
          <w:tcPr>
            <w:tcW w:w="19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Series C preferred stock</w:t>
            </w:r>
          </w:p>
        </w:tc>
        <w:tc>
          <w:tcPr>
            <w:tcW w:w="1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120" w:type="dxa"/>
            <w:vAlign w:val="bottom"/>
          </w:tcPr>
          <w:p>
            <w:pPr>
              <w:spacing w:after="0"/>
              <w:rPr>
                <w:sz w:val="18"/>
                <w:szCs w:val="18"/>
                <w:color w:val="auto"/>
              </w:rPr>
            </w:pPr>
          </w:p>
        </w:tc>
      </w:tr>
      <w:tr>
        <w:trPr>
          <w:trHeight w:val="250"/>
        </w:trPr>
        <w:tc>
          <w:tcPr>
            <w:tcW w:w="112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100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391"/>
        </w:trPr>
        <w:tc>
          <w:tcPr>
            <w:tcW w:w="1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960" w:type="dxa"/>
            <w:vAlign w:val="bottom"/>
          </w:tcPr>
          <w:p>
            <w:pPr>
              <w:jc w:val="right"/>
              <w:ind w:right="910"/>
              <w:spacing w:after="0"/>
              <w:rPr>
                <w:sz w:val="20"/>
                <w:szCs w:val="20"/>
                <w:color w:val="auto"/>
              </w:rPr>
            </w:pPr>
            <w:r>
              <w:rPr>
                <w:rFonts w:ascii="Arial" w:cs="Arial" w:eastAsia="Arial" w:hAnsi="Arial"/>
                <w:sz w:val="18"/>
                <w:szCs w:val="18"/>
                <w:color w:val="auto"/>
              </w:rPr>
              <w:t>[15]</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7"/>
        </w:trPr>
        <w:tc>
          <w:tcPr>
            <w:tcW w:w="112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2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26, 2021 the Company agreed to exchange one million shares of Series A Preferred Stock held by Southeastern Asset Management, Inc. (“Southeastern”) and Longleaf Partners Small-Cap Fund, C2W Partners Master Fund Limited and Deseret Mutual Pension Trust, which are investment funds managed by Southeastern (such investment funds, collectvely, the “Purchasers”), for shares of the Company’s newly created 4.0% Series B Convertble Preferred Stock, no par value (the “Series B Preferred Stock”), on a one-for-one basis plus accrued and unpaid dividends. The fair value of the Series B Preferred Stock at the tme of issuance approximated $95 million. The Company has classifed the Series B Preferred Stock as temporary equity in the Consolidated Statement of Financial Positon. If any shares of Series B Preferred Stock have not been converted prior to May 28, 2026 (the “Redempton Date”), the Company is required to redeem such shares at $100 per share plus the amount of accrued and unpaid dividends.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Series B Preferred Stock ranks senior to the Common Stock and pari passu with the Series C Preferred Stock with respect to dividend rights and rights on liquidaton, winding-up and dissoluton. The Series B Preferred Stock has a liquidaton preference of $100 per share, and the holders of Series B Preferred Stock are enttled to cumulatve dividends payable quarterly in cash at a rate of 4.0% per annum. If dividends on any Series B Preferred Stock are in arrears for six or more consecutve or non-consecutve dividend periods, the holders of the Series B Preferred Stock will be enttled to nominate one director at the next annual shareholder meetng and all subsequent shareholder meetngs untl all accumulated dividends on such Series B Preferred Stock have been paid or set aside. Dividends owed on the Series B Preferred Stock have been declared and paid when due.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2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Each share of Series B Preferred Stock is convertble, at the opton of each holder at any tme, into shares of Common Stock at the inital conversion rate of 9.5238 shares of Common Stock for each share of Series B Preferred Stock (equivalent to an inital conversion price of $10.50 per share of Common Stock). The inital conversion rate and the corresponding conversion price are subject to certain customary ant-diluton adjustments. If a holder elects to convert any shares of Series B Preferred Stock during a specifed period in connecton with a fundamental change (as defned in the Series B Certfcate of Designatons), such holder can elect to have the conversion rate adjusted and can elect to receive a cash payment in lieu of shares for a porton of the shares. Such holder will also be enttled to a payment in respect of accumulated dividends. In additon, the Company will have the right to require holders to convert any shares of Series B Preferred Stock in connecton with certain reorganizaton events in which case the conversion rate will be adjusted, subject to certain limitatons.</w:t>
      </w:r>
    </w:p>
    <w:p>
      <w:pPr>
        <w:spacing w:after="0" w:line="199"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color w:val="auto"/>
        </w:rPr>
        <w:t>The Company will have the right to cause the mandatory conversion of the Series B Preferred Stock into shares of Common Stock at any tme afer the inital issuance of the Series B Preferred Stock if the closing price of the Common Stock has equaled or exceeded $14.50 (subject to adjustment in the same manner as the conversion price) for 45 trading days within a period of 60 consecutve trading days.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2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allocated $1 million to a derivatve liability based on the aggregate fair value of the embedded conversion feature of the Series B Preferred Stock on the date of issuance which reduced the original carrying value of the Series B Preferred Stock. The derivatve is being accounted for at fair value with subsequent changes in the fair value being reported as part of Other charges (income), net in the Consolidated Statement of Operatons. The fair value of the Series B Preferred Stock embedded derivatve as of both June 30, 2023 and December 31, 2022 was a liability of $1 million and is included in Other long-term liabilites in the accompanying Consolidated Statement of Financial Positon. Refer to Note 19, “Financial Instruments” for informaton on the valuaton of the derivatve.</w:t>
      </w:r>
    </w:p>
    <w:p>
      <w:pPr>
        <w:spacing w:after="0" w:line="19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carrying value of the Series B Preferred Stock is being accreted to the mandatory redempton amount using the efectve interest method to Additonal paid in capital in the Consolidated Statement of Financial Positon as a deemed dividend from the date of issuance through the mandatory redempton date, May 28, 2026.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Convertble Preferred Stock, no par value per share (the “Series C Preferred Stock”), for a purchase price of $100 per share, representng $100 million of gross proceeds to the Company. The Investor is a fund managed by Grand Oaks Capital. The Company has classifed the Series C Preferred Stock as temporary equity in the Consolidated Statement of Financial Positon. If any shares of Series C Preferred Stock have not been converted prior to the Redempton Date, the Company is required to redeem such shares at $100 per share plus the amount of accrued and unpaid dividends thereon; provided that the holders of the Series C Preferred Stock have the right to extend such redempton date by up to two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24" w:lineRule="exact"/>
        <w:rPr>
          <w:sz w:val="20"/>
          <w:szCs w:val="20"/>
          <w:color w:val="auto"/>
        </w:rPr>
      </w:pPr>
    </w:p>
    <w:p>
      <w:pPr>
        <w:ind w:right="200"/>
        <w:spacing w:after="0" w:line="219" w:lineRule="exact"/>
        <w:rPr>
          <w:sz w:val="20"/>
          <w:szCs w:val="20"/>
          <w:color w:val="auto"/>
        </w:rPr>
      </w:pPr>
      <w:r>
        <w:rPr>
          <w:rFonts w:ascii="Arial" w:cs="Arial" w:eastAsia="Arial" w:hAnsi="Arial"/>
          <w:sz w:val="17"/>
          <w:szCs w:val="17"/>
          <w:color w:val="auto"/>
        </w:rPr>
        <w:t>The Series C Preferred Stock has a liquidaton preference of $100 per share, and the holders of Series C Preferred Stock are enttled to cumulatve dividends payable quarterly “in</w:t>
      </w:r>
      <w:r>
        <w:rPr>
          <w:rFonts w:ascii="MS PGothic" w:cs="MS PGothic" w:eastAsia="MS PGothic" w:hAnsi="MS PGothic"/>
          <w:sz w:val="17"/>
          <w:szCs w:val="17"/>
          <w:color w:val="auto"/>
        </w:rPr>
        <w:t>‐</w:t>
      </w:r>
      <w:r>
        <w:rPr>
          <w:rFonts w:ascii="Arial" w:cs="Arial" w:eastAsia="Arial" w:hAnsi="Arial"/>
          <w:sz w:val="17"/>
          <w:szCs w:val="17"/>
          <w:color w:val="auto"/>
        </w:rPr>
        <w:t>kind” in the form of additonal shares of Series C Preferred Stock at a rate of 5.0% per annum. Dividends owed on the Series C Preferred Stock have been declared and additonal Series C shares issued when due. Holders of the Series C Preferred Stock are also enttled to partcipate in any dividends paid on the Common Stock (other than stock dividends) on an as-converted basis, with such dividends on any shares of the Series C Preferred Stock being payable upon conversion of such shares of Series C Preferred Stock to Common Stock.</w:t>
      </w:r>
    </w:p>
    <w:p>
      <w:pPr>
        <w:spacing w:after="0" w:line="219"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Holders of Series C Preferred Stock are enttled to vote together with the holders of the Common Stock as a single class, in each case, on an as</w:t>
      </w:r>
      <w:r>
        <w:rPr>
          <w:rFonts w:ascii="MS PGothic" w:cs="MS PGothic" w:eastAsia="MS PGothic" w:hAnsi="MS PGothic"/>
          <w:sz w:val="18"/>
          <w:szCs w:val="18"/>
          <w:color w:val="auto"/>
        </w:rPr>
        <w:t>‐</w:t>
      </w:r>
      <w:r>
        <w:rPr>
          <w:rFonts w:ascii="Arial" w:cs="Arial" w:eastAsia="Arial" w:hAnsi="Arial"/>
          <w:sz w:val="18"/>
          <w:szCs w:val="18"/>
          <w:color w:val="auto"/>
        </w:rPr>
        <w:t>converted basis, except where a separate class vote is required by law. Holders of Series C Preferred Stock have certain limited special approval rights, including with respect to the issuance of pari passu or senior equity securites of the Company. The Investor has the right to nominate one director at each annual or special meetng of the Company’s shareholders untl the earlier of the third anniversary of the executon of the Purchase Agreement and such tme as the Investor and its Afliates (as defned in the Purchase Agreement) do not hold at least a majority of the Series C Preferred Stock purchased under the Purchase Agreement. The Investor’s nominee pursuant to this right was elected to serve one</w:t>
      </w:r>
      <w:r>
        <w:rPr>
          <w:rFonts w:ascii="MS PGothic" w:cs="MS PGothic" w:eastAsia="MS PGothic" w:hAnsi="MS PGothic"/>
          <w:sz w:val="18"/>
          <w:szCs w:val="18"/>
          <w:color w:val="auto"/>
        </w:rPr>
        <w:t>‐</w:t>
      </w:r>
      <w:r>
        <w:rPr>
          <w:rFonts w:ascii="Arial" w:cs="Arial" w:eastAsia="Arial" w:hAnsi="Arial"/>
          <w:sz w:val="18"/>
          <w:szCs w:val="18"/>
          <w:color w:val="auto"/>
        </w:rPr>
        <w:t>year terms at each of the annual meetngs since May 19,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2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Each share of Series C Preferred Stock is convertble, at the opton of each holder at any tme, into shares of Common Stock at the inital conversion price of $10 per share of Common Stock. The inital conversion price and the corresponding conversion rate are subject to certain customary ant-diluton adjustments and to proportonal increase in the event the liquidaton preference of the Series C Preferred Stock is automatcally increased as described above. If a holder elects to convert any shares of Series C Preferred Stock during a specifed period in connecton with a fundamental change (as defned in the Series C Certfcate of Designatons), such holder can elect to have the conversion rate adjusted and can elect to receive a cash payment in lieu of shares for a porton of the shares of Common Stock. Such holder will also be enttled to a payment in respect of accumulated dividends and a payment based on the present value of all required remaining dividend payments through May 28, 2026, the mandatory redempton date. Such additonal payments will be payable at the Company’s opton in cash or in additonal shares of Common Stock. In additon, the Company will have the right to require holders to convert any shares of Series C Preferred Stock in connecton with certain reorganizaton events in which case the conversion rate will be adjusted, subject to certain limitatons.</w:t>
      </w:r>
    </w:p>
    <w:p>
      <w:pPr>
        <w:spacing w:after="0" w:line="188"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color w:val="auto"/>
        </w:rPr>
        <w:t>The Company will have the right to cause the mandatory conversion of the Series C Preferred Stock into shares of Common Stock (i) at any tme afer February 26, 2023 if the closing price of the Common Stock has equaled or exceeded 200% of the then-efectve conversion price for 45 trading days within a period of 60 consecutve trading days, or (ii) at any tme afer February 26, 2024 if the closing price of the Common Stock has equaled or exceeded 150% of the then-efectve conversion price for 45 trading days within a period of 60 consecutve trading days.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2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Company allocated $2 million of the net proceeds received to a derivatve liability based on the aggregate fair value of the embedded conversion feature of the Series C Preferred Stock on the dates of issuance which reduced the original carrying value of the Series C Preferred Stock. The derivatve is being accounted for at fair value with subsequent changes in the fair value being reported as part of Other charges (income), net in the Consolidated Statement of Operatons. The fair value of the Series C Preferred Stock derivatve as of both June 30, 2023 and December 31, 2022 was a liability of</w:t>
      </w:r>
    </w:p>
    <w:p>
      <w:pPr>
        <w:ind w:right="300"/>
        <w:spacing w:after="0" w:line="260" w:lineRule="auto"/>
        <w:rPr>
          <w:sz w:val="20"/>
          <w:szCs w:val="20"/>
          <w:color w:val="auto"/>
        </w:rPr>
      </w:pPr>
      <w:r>
        <w:rPr>
          <w:rFonts w:ascii="Arial" w:cs="Arial" w:eastAsia="Arial" w:hAnsi="Arial"/>
          <w:sz w:val="18"/>
          <w:szCs w:val="18"/>
          <w:color w:val="auto"/>
        </w:rPr>
        <w:t>$1 million and is included in Other long-term liabilites in the accompanying Consolidated Statement of Financial Positon. Refer to Note 19, “Financial Instruments” for informaton on the valuaton of the derivatve.</w:t>
      </w:r>
    </w:p>
    <w:p>
      <w:pPr>
        <w:spacing w:after="0" w:line="18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carrying value of the Series C Preferred Stock is being accreted to the mandatory redempton amount using the efectve interest method to Additonal paid in capital in the Consolidated Statement of Financial Positon as a deemed dividend from the date of issuance through the mandatory redempton date.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27"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auto"/>
        </w:rPr>
        <w:t>Income recognized on operatng lease arrangements for the three and six months ended June 30, 2023 and 2022 is presented below. Income recognized for sales-type lease arrangements for the three and six months ended June 30, 2023 and 2022 was less than $1 million.</w:t>
      </w:r>
    </w:p>
    <w:p>
      <w:pPr>
        <w:spacing w:after="0" w:line="15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33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8"/>
                <w:szCs w:val="18"/>
                <w:b w:val="1"/>
                <w:bCs w:val="1"/>
                <w:color w:val="auto"/>
                <w:w w:val="99"/>
              </w:rPr>
              <w:t>June 30,</w:t>
            </w:r>
          </w:p>
        </w:tc>
        <w:tc>
          <w:tcPr>
            <w:tcW w:w="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w w:val="97"/>
              </w:rPr>
              <w:t>June 30,</w:t>
            </w:r>
          </w:p>
        </w:tc>
        <w:tc>
          <w:tcPr>
            <w:tcW w:w="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3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income - operatng leases:</w:t>
            </w: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Lease income</w:t>
            </w:r>
          </w:p>
        </w:tc>
        <w:tc>
          <w:tcPr>
            <w:tcW w:w="90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3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income</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33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20"/>
              <w:spacing w:after="0"/>
              <w:rPr>
                <w:sz w:val="20"/>
                <w:szCs w:val="20"/>
                <w:color w:val="auto"/>
              </w:rPr>
            </w:pPr>
            <w:r>
              <w:rPr>
                <w:rFonts w:ascii="Arial" w:cs="Arial" w:eastAsia="Arial" w:hAnsi="Arial"/>
                <w:sz w:val="18"/>
                <w:szCs w:val="18"/>
                <w:color w:val="auto"/>
              </w:rPr>
              <w:t>Total lease income</w:t>
            </w:r>
          </w:p>
        </w:tc>
        <w:tc>
          <w:tcPr>
            <w:tcW w:w="90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0"/>
        </w:trPr>
        <w:tc>
          <w:tcPr>
            <w:tcW w:w="3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June 30, 2023, the Company had outstanding leters of credit of $58 million and $41 million issued under the 2023 Amended ABL Credit Agreement and the 2023 Amended L/C Facility Agreement, respectvely, as well as bank guarantees and leters of credit of $1 million, surety bonds in the amount of $28 million, and restricted cash of $69 million, primarily related to cash collateral for the outstanding leters of credit under the 2023 Amended L/C Facility Agreement, to ensure payment of possible casualty and workers’ compensaton claims, legal contngencies, hedging actvites, environmental liabilites, rental payments and to support various customs, tax and trade actvites.</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Kodak’s Brazilian operatons are involved in various litgaton maters in Brazil and have received or been the subject of numerous governmental assessments related to indirect and other taxes in various stages of litgaton, as well as civil litgaton and disputes associated with former employees and contract labor. The tax maters, which comprise the majority of the litgaton maters, are primarily related to federal and state value-added taxes. Kodak’s Brazilian operatons are disputng these maters and intend to vigorously defend its positon. Kodak routnely assesses all these maters as to the probability of ultmately incurring a liability in its Brazilian operatons and records its best estmate of the ultmate loss in situatons where it assesses the likelihood of loss as probable. As of June 30, 2023, Kodak’s Brazilian Operatons maintained accruals of approximately $2 million for claims aggregatng approximately $125 million inclusive of interest and penaltes where appropriate. The unreserved porton of the indirect taxes, civil litgaton and disputes associated with former employees and contract labor claims, inclusive of any related interest and penaltes, for which there was at least a reasonable possibility that a loss may be incurred, amounted to approximately $6 million.</w:t>
      </w:r>
    </w:p>
    <w:p>
      <w:pPr>
        <w:spacing w:after="0" w:line="181"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In connecton with assessments in Brazil, local regulatons may require Kodak’s Brazilian operatons to post security for a porton of the amounts in dispute. As of June 30, 2023, Kodak’s Brazilian operatons have posted security composed of $6 million of pledged cash reported within Restricted cash in the Consolidated Statement of Financial Positon and liens on certain Brazilian assets with a net book value of approximately $45 million. Generally, any encumbrances on the Brazilian assets would be removed to the extent the mater is resolved in Kodak's favor.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3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has received fve requests under New Jersey law demanding, among other things, that the Company take certain actons in response to alleged breaches of fduciary duty relatng to opton grants and securites transactons and alleged proxy statement disclosure defciencies (each a “Derivatve Demand”, and collectvely the “Derivatve Demands”) in the context of an announcement on July 28, 2020 (the “DFC Announcement”) by the U.S. Internatonal Development Finance Corporaton (the “DFC”) regarding the signing of a non-binding leter of interest to provide a subsidiary of the Company with a potental $765 million loan (the “DFC Loan”) to support the launch of Kodak Pharmaceutcals, an initatve that would manufacture pharmaceutcal ingredients for essental generic drugs (the “DFC Pharmaceutcal Project”).</w:t>
      </w:r>
    </w:p>
    <w:p>
      <w:pPr>
        <w:spacing w:after="0" w:line="18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May 19, 2021 Louis Peters, one of the persons making a Derivatve Demand (“Peters”), commenced a derivatve lawsuit on behalf of the Company against certain ofcers and current and former directors of the Company and the Company as a nominal defendant in the Supreme Court of the State of New York in Monroe County seeking damages and equitable relief based on alleged breaches of fduciary duty and unjust enrichment resultng from stock trades, opton grants and a charitable contributon in the context of the DFC Announcement of the potental DFC Loan and DFC Pharmaceutcal Project (the “State Derivatve Lawsuit”). The plaintf fled an amended complaint in the State Derivatve Lawsuit on August 23, 2021, and the Company and individual defendants fled motons to dismiss (or alternatvely, in the case of the Company, a moton for summary judgment) in the State Derivatve Lawsuit on October 22, 2021. On March 17, 2022, the court issued an order staying the State Derivatve Lawsuit pending the resoluton of the Federal Derivatve Lawsuit described below.</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September 2, 2021 Herbert Silverberg, another person making a Derivatve Demand (“Silverberg”), commenced a derivatve lawsuit on behalf of the Company against one current and one former director of the Company and the Company as a nominal defendant in the Federal District Court for the Western District of New York seeking damages and equitable relief on a basis overlapping with the State Derivatve Lawsuit and alleged proxy statement misrepresentatons and omissions. On October 4, 2021 Peters commenced a derivatve lawsuit on behalf of the Company against the same partes named in the State Derivatve Lawsuit in the Federal District Court for the Western District of New York seeking damages and equitable relief on a basis overlapping with the State Derivatve Lawsuit and alleged violatons of Secton 10(b) of the Exchange Act. The Federal derivatve lawsuits fled by Silverberg and Peters were consolidated into a single proceeding (the “Federal Derivatve Lawsuit”) on January 18, 2022, and Peters was appointed as lead plaintf in the Federal Derivatve Lawsuit. An amended consolidated complaint combining the allegatons contained in the Federal derivatve lawsuits fled by Silverberg and Peters was fled in the Federal Derivatve Lawsuit on February 16, 2022, and the Company and individual defendants served motons to dismiss or, in the alternatve in the case of the Company, for summary judgment on April 15, 2022. Threshold discovery in the case has been completed, and the Company and individual defendants formally fled their motons to dismiss on September 30, 2022. The plaintfs fled an oppositon to the motons to dismiss/for summary judgment on November 14, 2022, and the Company and the individual defendants fled responses to the plaintfs’ oppositon on December 27, 2022 and December 23, 2022, respectvely.</w:t>
      </w:r>
    </w:p>
    <w:p>
      <w:pPr>
        <w:spacing w:after="0" w:line="186" w:lineRule="exact"/>
        <w:rPr>
          <w:sz w:val="20"/>
          <w:szCs w:val="20"/>
          <w:color w:val="auto"/>
        </w:rPr>
      </w:pPr>
    </w:p>
    <w:p>
      <w:pPr>
        <w:ind w:right="120"/>
        <w:spacing w:after="0" w:line="219" w:lineRule="exact"/>
        <w:rPr>
          <w:sz w:val="20"/>
          <w:szCs w:val="20"/>
          <w:color w:val="auto"/>
        </w:rPr>
      </w:pPr>
      <w:r>
        <w:rPr>
          <w:rFonts w:ascii="Arial" w:cs="Arial" w:eastAsia="Arial" w:hAnsi="Arial"/>
          <w:sz w:val="16"/>
          <w:szCs w:val="16"/>
          <w:color w:val="auto"/>
        </w:rPr>
        <w:t>Additonal shareholder derivatve lawsuits may be brought based on the other Derivatve Demands (any such lawsuits, collectvely with the State Derivatve Lawsuit, the Federal Derivatve Lawsuit and the Fiduciary Class Acton, the “Fiduciary Maters”). The Company, actng through a Special Commitee of Independent Directors, previously determined that there was no merit to the claims alleged by the Derivatve Demands made through the tme of its determinaton (except with respect to the charitable contributon, which was not fully considered by the Special Commitee). See the Company’s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fled with the SEC on September 16, 2020. The Company, actng through a separate Special Litgaton Commitee of Independent Directors, concurred with the frst Special Commitee’s fndings and further concluded that it is not in the Company’s interest to bring or allow any other shareholder to assert any of the claims alleged by the State Derivatve Lawsuit or Federal Derivatve Lawsuit (with the excepton of the Peters claim purportedly arising under Secton 10(b) of the Exchange Act, which was not addressed as no demand was made with respect to such claim). The second Special Litgaton Commitee will carefully review any other additonal complaints consttutng Fiduciary Maters which may be fled.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34" w:lineRule="exact"/>
        <w:rPr>
          <w:sz w:val="20"/>
          <w:szCs w:val="20"/>
          <w:color w:val="auto"/>
        </w:rPr>
      </w:pPr>
    </w:p>
    <w:p>
      <w:pPr>
        <w:ind w:left="20" w:right="160"/>
        <w:spacing w:after="0" w:line="273" w:lineRule="auto"/>
        <w:rPr>
          <w:sz w:val="20"/>
          <w:szCs w:val="20"/>
          <w:color w:val="auto"/>
        </w:rPr>
      </w:pPr>
      <w:r>
        <w:rPr>
          <w:rFonts w:ascii="Arial" w:cs="Arial" w:eastAsia="Arial" w:hAnsi="Arial"/>
          <w:sz w:val="18"/>
          <w:szCs w:val="18"/>
          <w:color w:val="auto"/>
        </w:rPr>
        <w:t>The DFC Announcement has also prompted investgatons by several congressional commitees, the SEC and the New York Atorney General’s ofce. The Company has cooperated in those investgatons.</w:t>
      </w:r>
    </w:p>
    <w:p>
      <w:pPr>
        <w:spacing w:after="0" w:line="177" w:lineRule="exact"/>
        <w:rPr>
          <w:sz w:val="20"/>
          <w:szCs w:val="20"/>
          <w:color w:val="auto"/>
        </w:rPr>
      </w:pPr>
    </w:p>
    <w:p>
      <w:pPr>
        <w:ind w:left="20" w:right="120"/>
        <w:spacing w:after="0" w:line="255" w:lineRule="auto"/>
        <w:rPr>
          <w:sz w:val="20"/>
          <w:szCs w:val="20"/>
          <w:color w:val="auto"/>
        </w:rPr>
      </w:pPr>
      <w:r>
        <w:rPr>
          <w:rFonts w:ascii="Arial" w:cs="Arial" w:eastAsia="Arial" w:hAnsi="Arial"/>
          <w:sz w:val="18"/>
          <w:szCs w:val="18"/>
          <w:color w:val="auto"/>
        </w:rPr>
        <w:t>As previously reported, the Atorney General of the State of New York (the “NYAG”) has threatened to fle a lawsuit against the Company and its Chief Executve Ofcer alleging violatons of New York State’s Martn Act (the “Threatened Claim”). In connecton with the Threatened Claim and pursuant to a special process under New York law, in 2021 additonal documents were produced by the Company to the NYAG and the NYAG took testmony of the Company’s Chief Executve Ofcer and General Counsel. The Company had discussions with the NYAG regarding a potental resoluton of the Threatened Claim in the spring of 2022, but those discussions did not result in a resoluton. If the Threatened Claim is ultmately brought by the NYAG, the Company intends to vigorously defend itself against the Threatened Claim.</w:t>
      </w:r>
    </w:p>
    <w:p>
      <w:pPr>
        <w:spacing w:after="0" w:line="192" w:lineRule="exact"/>
        <w:rPr>
          <w:sz w:val="20"/>
          <w:szCs w:val="20"/>
          <w:color w:val="auto"/>
        </w:rPr>
      </w:pPr>
    </w:p>
    <w:p>
      <w:pPr>
        <w:ind w:left="20"/>
        <w:spacing w:after="0" w:line="270" w:lineRule="auto"/>
        <w:rPr>
          <w:sz w:val="20"/>
          <w:szCs w:val="20"/>
          <w:color w:val="auto"/>
        </w:rPr>
      </w:pPr>
      <w:r>
        <w:rPr>
          <w:rFonts w:ascii="Arial" w:cs="Arial" w:eastAsia="Arial" w:hAnsi="Arial"/>
          <w:sz w:val="17"/>
          <w:szCs w:val="17"/>
          <w:color w:val="auto"/>
        </w:rPr>
        <w:t>In additon, Kodak is involved in various lawsuits, claims, investgatons, remediatons and proceedings, including, from tme to tme, commercial, customs, employment, environmental, tort and health and safety maters, which are being handled and defended in the ordinary course of business. Kodak is also subject, from tme to tme, to various assertons, claims, proceedings and requests for indemnifcaton concerning intellectual property, including patent infringement suits involving technologies that are incorporated in a broad spectrum of Kodak’s products. These maters are in various stages of investgaton and litgaton and are being vigorously defended. Based on informaton currently available, Kodak does not believe that it is probable that the outcomes in these various maters, individually or collectvely, will have a material adverse efect on its fnancial conditon or results of operatons. Litgaton is inherently unpredictable, and judgments could be rendered or setlements entered that could adversely afect Kodak’s operatng results or cash fows in a partcular period. Kodak routnely assesses all of its litgaton and threatened litgaton as to the probability of ultmately incurring a liability and records its best estmate of the ultmate loss in situatons where it assesses the likelihood of loss as probable.</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GUARANTEES</w:t>
      </w:r>
    </w:p>
    <w:p>
      <w:pPr>
        <w:spacing w:after="0" w:line="227" w:lineRule="exact"/>
        <w:rPr>
          <w:sz w:val="20"/>
          <w:szCs w:val="20"/>
          <w:color w:val="auto"/>
        </w:rPr>
      </w:pPr>
    </w:p>
    <w:p>
      <w:pPr>
        <w:ind w:left="20" w:right="60"/>
        <w:spacing w:after="0" w:line="309" w:lineRule="auto"/>
        <w:rPr>
          <w:sz w:val="20"/>
          <w:szCs w:val="20"/>
          <w:color w:val="auto"/>
        </w:rPr>
      </w:pPr>
      <w:r>
        <w:rPr>
          <w:rFonts w:ascii="Arial" w:cs="Arial" w:eastAsia="Arial" w:hAnsi="Arial"/>
          <w:sz w:val="16"/>
          <w:szCs w:val="16"/>
          <w:color w:val="auto"/>
        </w:rPr>
        <w:t>In connecton with the setlement of certain of the Company’s historical environmental liabilites at Eastman Business Park, a more than 1,200-acre technology center and industrial complex in Rochester, New York, in the event the historical liabilites exceed $99 million, the Company will become liable for 50% of the porton above $99 million with no limitaton to the maximum potental future payments. There is no liability recorded for this guarantee.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227"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Kodak ofers its customers extended warranty arrangements that are generally one year but may range from three months to six years afer the original warranty period. The change in Kodak’s deferred revenue balance in relaton to these extended warranty and maintenance arrangements from December 31, 2022 to June 30, 2023, which is refected in Other current liabilites in the accompanying Consolidated Statement of Financial Positon, was as follows:</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1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on extended warrantes as of December 31, 2022</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New extended warranty and maintenance arrangements deferred</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Recogniton of extended warranty and maintenance arrangement revenue</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Deferred revenue on extended warrantes as of June 30, 2023</w:t>
            </w: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0" w:type="dxa"/>
            <w:vAlign w:val="bottom"/>
            <w:vMerge w:val="restart"/>
          </w:tcPr>
          <w:p>
            <w:pPr>
              <w:ind w:left="4360"/>
              <w:spacing w:after="0"/>
              <w:rPr>
                <w:sz w:val="20"/>
                <w:szCs w:val="20"/>
                <w:color w:val="auto"/>
              </w:rPr>
            </w:pPr>
            <w:r>
              <w:rPr>
                <w:rFonts w:ascii="Arial" w:cs="Arial" w:eastAsia="Arial" w:hAnsi="Arial"/>
                <w:sz w:val="18"/>
                <w:szCs w:val="18"/>
                <w:color w:val="auto"/>
              </w:rPr>
              <w:t>[20]</w:t>
            </w:r>
          </w:p>
        </w:tc>
        <w:tc>
          <w:tcPr>
            <w:tcW w:w="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12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12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Disaggregaton of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and geography: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Advanced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Materials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Print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Chemicals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Core products </w:t>
            </w:r>
            <w:r>
              <w:rPr>
                <w:rFonts w:ascii="Arial" w:cs="Arial" w:eastAsia="Arial" w:hAnsi="Arial"/>
                <w:sz w:val="25"/>
                <w:szCs w:val="25"/>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Plates, inks and other consumables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r>
      <w:tr>
        <w:trPr>
          <w:trHeight w:val="216"/>
        </w:trPr>
        <w:tc>
          <w:tcPr>
            <w:tcW w:w="46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Ongoing service arrangements</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0"/>
        </w:trPr>
        <w:tc>
          <w:tcPr>
            <w:tcW w:w="46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ind w:left="660"/>
              <w:spacing w:after="0"/>
              <w:rPr>
                <w:sz w:val="20"/>
                <w:szCs w:val="20"/>
                <w:color w:val="auto"/>
              </w:rPr>
            </w:pPr>
            <w:r>
              <w:rPr>
                <w:rFonts w:ascii="Arial" w:cs="Arial" w:eastAsia="Arial" w:hAnsi="Arial"/>
                <w:sz w:val="18"/>
                <w:szCs w:val="18"/>
                <w:color w:val="auto"/>
              </w:rPr>
              <w:t>Total annuites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r>
      <w:tr>
        <w:trPr>
          <w:trHeight w:val="209"/>
        </w:trPr>
        <w:tc>
          <w:tcPr>
            <w:tcW w:w="46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&amp; sofware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Film and chemicals</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09"/>
        </w:trPr>
        <w:tc>
          <w:tcPr>
            <w:tcW w:w="462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Core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tcPr>
          <w:p>
            <w:pPr>
              <w:spacing w:after="0" w:line="210" w:lineRule="exact"/>
              <w:rPr>
                <w:sz w:val="20"/>
                <w:szCs w:val="20"/>
                <w:color w:val="auto"/>
              </w:rPr>
            </w:pPr>
            <w:r>
              <w:rPr>
                <w:rFonts w:ascii="Arial" w:cs="Arial" w:eastAsia="Arial" w:hAnsi="Arial"/>
                <w:sz w:val="15"/>
                <w:szCs w:val="15"/>
                <w:color w:val="auto"/>
              </w:rPr>
              <w:t xml:space="preserve">Growth products </w:t>
            </w:r>
            <w:r>
              <w:rPr>
                <w:rFonts w:ascii="Arial" w:cs="Arial" w:eastAsia="Arial" w:hAnsi="Arial"/>
                <w:sz w:val="24"/>
                <w:szCs w:val="24"/>
                <w:color w:val="auto"/>
                <w:vertAlign w:val="superscript"/>
              </w:rPr>
              <w:t>(2)</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46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0"/>
        </w:trPr>
        <w:tc>
          <w:tcPr>
            <w:tcW w:w="46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8"/>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 2023</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7"/>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Advanced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Materials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Print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Chemicals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Core products </w:t>
            </w:r>
            <w:r>
              <w:rPr>
                <w:rFonts w:ascii="Arial" w:cs="Arial" w:eastAsia="Arial" w:hAnsi="Arial"/>
                <w:sz w:val="25"/>
                <w:szCs w:val="25"/>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Plates, inks and other consumables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r>
      <w:tr>
        <w:trPr>
          <w:trHeight w:val="216"/>
        </w:trPr>
        <w:tc>
          <w:tcPr>
            <w:tcW w:w="46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Ongoing service arrangements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tcPr>
          <w:p>
            <w:pPr>
              <w:ind w:left="660"/>
              <w:spacing w:after="0"/>
              <w:rPr>
                <w:sz w:val="20"/>
                <w:szCs w:val="20"/>
                <w:color w:val="auto"/>
              </w:rPr>
            </w:pPr>
            <w:r>
              <w:rPr>
                <w:rFonts w:ascii="Arial" w:cs="Arial" w:eastAsia="Arial" w:hAnsi="Arial"/>
                <w:sz w:val="18"/>
                <w:szCs w:val="18"/>
                <w:color w:val="auto"/>
              </w:rPr>
              <w:t>Total annuites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r>
      <w:tr>
        <w:trPr>
          <w:trHeight w:val="209"/>
        </w:trPr>
        <w:tc>
          <w:tcPr>
            <w:tcW w:w="46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&amp; sofware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Film and chemicals</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r>
      <w:tr>
        <w:trPr>
          <w:trHeight w:val="209"/>
        </w:trPr>
        <w:tc>
          <w:tcPr>
            <w:tcW w:w="462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Core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tcPr>
          <w:p>
            <w:pPr>
              <w:spacing w:after="0" w:line="210" w:lineRule="exact"/>
              <w:rPr>
                <w:sz w:val="20"/>
                <w:szCs w:val="20"/>
                <w:color w:val="auto"/>
              </w:rPr>
            </w:pPr>
            <w:r>
              <w:rPr>
                <w:rFonts w:ascii="Arial" w:cs="Arial" w:eastAsia="Arial" w:hAnsi="Arial"/>
                <w:sz w:val="15"/>
                <w:szCs w:val="15"/>
                <w:color w:val="auto"/>
              </w:rPr>
              <w:t xml:space="preserve">Growth products </w:t>
            </w:r>
            <w:r>
              <w:rPr>
                <w:rFonts w:ascii="Arial" w:cs="Arial" w:eastAsia="Arial" w:hAnsi="Arial"/>
                <w:sz w:val="24"/>
                <w:szCs w:val="24"/>
                <w:color w:val="auto"/>
                <w:vertAlign w:val="superscript"/>
              </w:rPr>
              <w:t>(2)</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4620" w:type="dxa"/>
            <w:vAlign w:val="bottom"/>
            <w:tcBorders>
              <w:bottom w:val="single" w:sz="8" w:color="CCEEFF"/>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(3)</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1"/>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4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5"/>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4"/>
          </w:tcPr>
          <w:p>
            <w:pPr>
              <w:jc w:val="center"/>
              <w:ind w:right="630"/>
              <w:spacing w:after="0"/>
              <w:rPr>
                <w:sz w:val="20"/>
                <w:szCs w:val="20"/>
                <w:color w:val="auto"/>
              </w:rPr>
            </w:pPr>
            <w:r>
              <w:rPr>
                <w:rFonts w:ascii="Arial" w:cs="Arial" w:eastAsia="Arial" w:hAnsi="Arial"/>
                <w:sz w:val="18"/>
                <w:szCs w:val="18"/>
                <w:b w:val="1"/>
                <w:bCs w:val="1"/>
                <w:color w:val="auto"/>
                <w:w w:val="87"/>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7"/>
              </w:rPr>
              <w:t>June 30, 2022</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7"/>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Advanced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Materials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6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Print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Chemicals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tcBorders>
              <w:right w:val="single" w:sz="8" w:color="CCEEFF"/>
            </w:tcBorders>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Core products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Plates, inks and other consumables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r>
      <w:tr>
        <w:trPr>
          <w:trHeight w:val="216"/>
        </w:trPr>
        <w:tc>
          <w:tcPr>
            <w:tcW w:w="46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Ongoing service arrangements</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ind w:left="660"/>
              <w:spacing w:after="0"/>
              <w:rPr>
                <w:sz w:val="20"/>
                <w:szCs w:val="20"/>
                <w:color w:val="auto"/>
              </w:rPr>
            </w:pPr>
            <w:r>
              <w:rPr>
                <w:rFonts w:ascii="Arial" w:cs="Arial" w:eastAsia="Arial" w:hAnsi="Arial"/>
                <w:sz w:val="18"/>
                <w:szCs w:val="18"/>
                <w:color w:val="auto"/>
              </w:rPr>
              <w:t>Total annuites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r>
      <w:tr>
        <w:trPr>
          <w:trHeight w:val="209"/>
        </w:trPr>
        <w:tc>
          <w:tcPr>
            <w:tcW w:w="46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&amp; sofware</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Film and chemicals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0"/>
        </w:trPr>
        <w:tc>
          <w:tcPr>
            <w:tcW w:w="4620" w:type="dxa"/>
            <w:vAlign w:val="bottom"/>
            <w:tcBorders>
              <w:bottom w:val="single" w:sz="8" w:color="CCEEFF"/>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Core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gridSpan w:val="2"/>
          </w:tcPr>
          <w:p>
            <w:pPr>
              <w:spacing w:after="0" w:line="210" w:lineRule="exact"/>
              <w:rPr>
                <w:sz w:val="20"/>
                <w:szCs w:val="20"/>
                <w:color w:val="auto"/>
              </w:rPr>
            </w:pPr>
            <w:r>
              <w:rPr>
                <w:rFonts w:ascii="Arial" w:cs="Arial" w:eastAsia="Arial" w:hAnsi="Arial"/>
                <w:sz w:val="15"/>
                <w:szCs w:val="15"/>
                <w:color w:val="auto"/>
              </w:rPr>
              <w:t xml:space="preserve">Growth products </w:t>
            </w:r>
            <w:r>
              <w:rPr>
                <w:rFonts w:ascii="Arial" w:cs="Arial" w:eastAsia="Arial" w:hAnsi="Arial"/>
                <w:sz w:val="24"/>
                <w:szCs w:val="24"/>
                <w:color w:val="auto"/>
                <w:vertAlign w:val="superscript"/>
              </w:rPr>
              <w:t>(2)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4620" w:type="dxa"/>
            <w:vAlign w:val="bottom"/>
            <w:tcBorders>
              <w:right w:val="single" w:sz="8" w:color="CCEEFF"/>
            </w:tcBorders>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8"/>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4"/>
          </w:tcPr>
          <w:p>
            <w:pPr>
              <w:jc w:val="center"/>
              <w:ind w:right="610"/>
              <w:spacing w:after="0"/>
              <w:rPr>
                <w:sz w:val="20"/>
                <w:szCs w:val="20"/>
                <w:color w:val="auto"/>
              </w:rPr>
            </w:pPr>
            <w:r>
              <w:rPr>
                <w:rFonts w:ascii="Arial" w:cs="Arial" w:eastAsia="Arial" w:hAnsi="Arial"/>
                <w:sz w:val="18"/>
                <w:szCs w:val="18"/>
                <w:b w:val="1"/>
                <w:bCs w:val="1"/>
                <w:color w:val="auto"/>
                <w:w w:val="85"/>
              </w:rPr>
              <w:t>Six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7"/>
              </w:rPr>
              <w:t>June 30, 2022</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7"/>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Advanced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Materials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6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Print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Chemicals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tcBorders>
              <w:right w:val="single" w:sz="8" w:color="CCEEFF"/>
            </w:tcBorders>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Core products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Plates, inks and other consumables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r>
      <w:tr>
        <w:trPr>
          <w:trHeight w:val="216"/>
        </w:trPr>
        <w:tc>
          <w:tcPr>
            <w:tcW w:w="4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Ongoing service arrangements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Total annuites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r>
      <w:tr>
        <w:trPr>
          <w:trHeight w:val="210"/>
        </w:trPr>
        <w:tc>
          <w:tcPr>
            <w:tcW w:w="4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Equipment &amp; sofware</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Film and chemicals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r>
      <w:tr>
        <w:trPr>
          <w:trHeight w:val="210"/>
        </w:trPr>
        <w:tc>
          <w:tcPr>
            <w:tcW w:w="4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Core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gridSpan w:val="2"/>
          </w:tcPr>
          <w:p>
            <w:pPr>
              <w:spacing w:after="0" w:line="210" w:lineRule="exact"/>
              <w:rPr>
                <w:sz w:val="20"/>
                <w:szCs w:val="20"/>
                <w:color w:val="auto"/>
              </w:rPr>
            </w:pPr>
            <w:r>
              <w:rPr>
                <w:rFonts w:ascii="Arial" w:cs="Arial" w:eastAsia="Arial" w:hAnsi="Arial"/>
                <w:sz w:val="15"/>
                <w:szCs w:val="15"/>
                <w:color w:val="auto"/>
              </w:rPr>
              <w:t xml:space="preserve">Growth products </w:t>
            </w:r>
            <w:r>
              <w:rPr>
                <w:rFonts w:ascii="Arial" w:cs="Arial" w:eastAsia="Arial" w:hAnsi="Arial"/>
                <w:sz w:val="24"/>
                <w:szCs w:val="24"/>
                <w:color w:val="auto"/>
                <w:vertAlign w:val="superscript"/>
              </w:rPr>
              <w:t>(2)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4620" w:type="dxa"/>
            <w:vAlign w:val="bottom"/>
            <w:tcBorders>
              <w:bottom w:val="single" w:sz="8" w:color="CCEEFF"/>
              <w:right w:val="single" w:sz="8" w:color="CCEEFF"/>
            </w:tcBorders>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(3)</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ind w:left="500" w:right="780" w:hanging="492"/>
        <w:spacing w:after="0" w:line="192" w:lineRule="auto"/>
        <w:tabs>
          <w:tab w:leader="none" w:pos="50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Core includes the Print segment and the Moton Picture and Industrial Film and Chemicals businesses within the Advanced Materials and Chemicals segment, excluding coatng and product commercializaton services (“Coatng Services”).</w:t>
      </w:r>
    </w:p>
    <w:p>
      <w:pPr>
        <w:spacing w:after="0" w:line="99" w:lineRule="exact"/>
        <w:rPr>
          <w:rFonts w:ascii="Arial" w:cs="Arial" w:eastAsia="Arial" w:hAnsi="Arial"/>
          <w:sz w:val="30"/>
          <w:szCs w:val="30"/>
          <w:color w:val="auto"/>
          <w:vertAlign w:val="superscript"/>
        </w:rPr>
      </w:pPr>
    </w:p>
    <w:p>
      <w:pPr>
        <w:ind w:left="500" w:hanging="492"/>
        <w:spacing w:after="0"/>
        <w:tabs>
          <w:tab w:leader="none" w:pos="500" w:val="left"/>
        </w:tabs>
        <w:numPr>
          <w:ilvl w:val="0"/>
          <w:numId w:val="4"/>
        </w:numPr>
        <w:rPr>
          <w:rFonts w:ascii="Arial" w:cs="Arial" w:eastAsia="Arial" w:hAnsi="Arial"/>
          <w:sz w:val="29"/>
          <w:szCs w:val="29"/>
          <w:color w:val="auto"/>
          <w:vertAlign w:val="superscript"/>
        </w:rPr>
      </w:pPr>
      <w:r>
        <w:rPr>
          <w:rFonts w:ascii="Arial" w:cs="Arial" w:eastAsia="Arial" w:hAnsi="Arial"/>
          <w:sz w:val="17"/>
          <w:szCs w:val="17"/>
          <w:color w:val="auto"/>
        </w:rPr>
        <w:t>Growth consists of Coatng Services and Advanced Materials and Functonal Printng within the Advanced Materials and Chemicals segment.</w:t>
      </w:r>
    </w:p>
    <w:p>
      <w:pPr>
        <w:spacing w:after="0" w:line="133" w:lineRule="exact"/>
        <w:rPr>
          <w:rFonts w:ascii="Arial" w:cs="Arial" w:eastAsia="Arial" w:hAnsi="Arial"/>
          <w:sz w:val="29"/>
          <w:szCs w:val="29"/>
          <w:color w:val="auto"/>
          <w:vertAlign w:val="superscript"/>
        </w:rPr>
      </w:pPr>
    </w:p>
    <w:p>
      <w:pPr>
        <w:ind w:left="500" w:hanging="492"/>
        <w:spacing w:after="0" w:line="207" w:lineRule="auto"/>
        <w:tabs>
          <w:tab w:leader="none" w:pos="50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Other consists of Intellectual Property Licensing ("IP Licensing"), Brand Licensing and Eastman Business Park.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94"/>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w w:val="96"/>
              </w:rPr>
              <w:t xml:space="preserve">Geography </w:t>
            </w:r>
            <w:r>
              <w:rPr>
                <w:rFonts w:ascii="Arial" w:cs="Arial" w:eastAsia="Arial" w:hAnsi="Arial"/>
                <w:sz w:val="29"/>
                <w:szCs w:val="29"/>
                <w:b w:val="1"/>
                <w:bCs w:val="1"/>
                <w:color w:val="auto"/>
                <w:w w:val="96"/>
                <w:vertAlign w:val="superscript"/>
              </w:rPr>
              <w:t>(1):</w:t>
            </w: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3"/>
        </w:trPr>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center"/>
              <w:ind w:right="630"/>
              <w:spacing w:after="0"/>
              <w:rPr>
                <w:sz w:val="20"/>
                <w:szCs w:val="20"/>
                <w:color w:val="auto"/>
              </w:rPr>
            </w:pPr>
            <w:r>
              <w:rPr>
                <w:rFonts w:ascii="Arial" w:cs="Arial" w:eastAsia="Arial" w:hAnsi="Arial"/>
                <w:sz w:val="18"/>
                <w:szCs w:val="18"/>
                <w:b w:val="1"/>
                <w:bCs w:val="1"/>
                <w:color w:val="auto"/>
                <w:w w:val="87"/>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12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87"/>
              </w:rPr>
              <w:t>June 30, 2023</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7"/>
        </w:trPr>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Advanced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Materials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6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ind w:left="240"/>
              <w:spacing w:after="0"/>
              <w:rPr>
                <w:sz w:val="20"/>
                <w:szCs w:val="20"/>
                <w:color w:val="auto"/>
              </w:rPr>
            </w:pPr>
            <w:r>
              <w:rPr>
                <w:rFonts w:ascii="Arial" w:cs="Arial" w:eastAsia="Arial" w:hAnsi="Arial"/>
                <w:sz w:val="18"/>
                <w:szCs w:val="18"/>
                <w:b w:val="1"/>
                <w:bCs w:val="1"/>
                <w:color w:val="auto"/>
              </w:rPr>
              <w:t>Print</w:t>
            </w: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Chemicals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09"/>
        </w:trPr>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North America</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0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Latn America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49"/>
        </w:trPr>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378"/>
        </w:trPr>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center"/>
              <w:ind w:right="610"/>
              <w:spacing w:after="0"/>
              <w:rPr>
                <w:sz w:val="20"/>
                <w:szCs w:val="20"/>
                <w:color w:val="auto"/>
              </w:rPr>
            </w:pPr>
            <w:r>
              <w:rPr>
                <w:rFonts w:ascii="Arial" w:cs="Arial" w:eastAsia="Arial" w:hAnsi="Arial"/>
                <w:sz w:val="18"/>
                <w:szCs w:val="18"/>
                <w:b w:val="1"/>
                <w:bCs w:val="1"/>
                <w:color w:val="auto"/>
                <w:w w:val="85"/>
              </w:rPr>
              <w:t>Six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12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87"/>
              </w:rPr>
              <w:t>June 30, 2023</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7"/>
        </w:trPr>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Advanced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Materials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6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ind w:left="240"/>
              <w:spacing w:after="0"/>
              <w:rPr>
                <w:sz w:val="20"/>
                <w:szCs w:val="20"/>
                <w:color w:val="auto"/>
              </w:rPr>
            </w:pPr>
            <w:r>
              <w:rPr>
                <w:rFonts w:ascii="Arial" w:cs="Arial" w:eastAsia="Arial" w:hAnsi="Arial"/>
                <w:sz w:val="18"/>
                <w:szCs w:val="18"/>
                <w:b w:val="1"/>
                <w:bCs w:val="1"/>
                <w:color w:val="auto"/>
              </w:rPr>
              <w:t>Print</w:t>
            </w: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Chemicals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09"/>
        </w:trPr>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North America</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0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Latn America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50"/>
        </w:trPr>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91"/>
        </w:trPr>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128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ectPr>
          <w:pgSz w:w="11900" w:h="16838" w:orient="portrait"/>
          <w:cols w:equalWidth="0" w:num="1">
            <w:col w:w="11240"/>
          </w:cols>
          <w:pgMar w:left="320" w:top="108"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5"/>
        </w:trPr>
        <w:tc>
          <w:tcPr>
            <w:tcW w:w="1280" w:type="dxa"/>
            <w:vAlign w:val="bottom"/>
            <w:tcBorders>
              <w:top w:val="single" w:sz="8" w:color="0000EE"/>
            </w:tcBorders>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center"/>
              <w:ind w:right="630"/>
              <w:spacing w:after="0"/>
              <w:rPr>
                <w:sz w:val="20"/>
                <w:szCs w:val="20"/>
                <w:color w:val="auto"/>
              </w:rPr>
            </w:pPr>
            <w:r>
              <w:rPr>
                <w:rFonts w:ascii="Arial" w:cs="Arial" w:eastAsia="Arial" w:hAnsi="Arial"/>
                <w:sz w:val="18"/>
                <w:szCs w:val="18"/>
                <w:b w:val="1"/>
                <w:bCs w:val="1"/>
                <w:color w:val="auto"/>
                <w:w w:val="87"/>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12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87"/>
              </w:rPr>
              <w:t>June 30, 2022</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7"/>
        </w:trPr>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Advanced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Materials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6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Chemicals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0"/>
        </w:trPr>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North America</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0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Latn America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50"/>
        </w:trPr>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378"/>
        </w:trPr>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center"/>
              <w:ind w:right="610"/>
              <w:spacing w:after="0"/>
              <w:rPr>
                <w:sz w:val="20"/>
                <w:szCs w:val="20"/>
                <w:color w:val="auto"/>
              </w:rPr>
            </w:pPr>
            <w:r>
              <w:rPr>
                <w:rFonts w:ascii="Arial" w:cs="Arial" w:eastAsia="Arial" w:hAnsi="Arial"/>
                <w:sz w:val="18"/>
                <w:szCs w:val="18"/>
                <w:b w:val="1"/>
                <w:bCs w:val="1"/>
                <w:color w:val="auto"/>
                <w:w w:val="85"/>
              </w:rPr>
              <w:t>Six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12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87"/>
              </w:rPr>
              <w:t>June 30, 2022</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7"/>
        </w:trPr>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Advanced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Materials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6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Chemicals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09"/>
        </w:trPr>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North America</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0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Latn America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50"/>
        </w:trPr>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6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Sales are reported in the geographic area in which they originate.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tming of revenue recogniton, billings and cash collectons results in billed trade receivables, unbilled receivables (contract assets), and customer advances and deposits (contract liabilites) in the Consolidated Statement of Financial Positon. The contract assets are transferred to trade receivables when the rights to consideraton become unconditonal. The amount recorded for contract assets at both June 30, 2023 and December 31, 2022 was $1 million and is reported in Other current assets in the Consolidated Statement of Financial Positon. The contract liabilites primarily relate to prepaid service contracts, upfront payments for certain equipment purchases or prepaid royaltes on intellectual property arrangements. The amount recorded for contract liabilites in the Consolidated Statement of Financial Positon at June 30, 2023 and December 31, 2022 was $52 million and $51 million, respectvely, of which $42 million and $40 million, respectvely, was reported in Other current liabilites and $10 million and $11 million, respectvely, was reported in Other long-term liabilites.</w:t>
      </w:r>
    </w:p>
    <w:p>
      <w:pPr>
        <w:spacing w:after="0" w:line="19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Revenue recognized for the three and six months ended June 30, 2023 and 2022 that was included in the contract liability balance at the beginning of the year was $8 million and $28 million, respectvely, in 2023 and $12 million and $29 million, respectvely, in 2022 and primarily represented revenue from prepaid service contracts and equipment revenue recogniton. Contract liabilites as of June 30, 2023 included $22 million and $27 million of cash payments received during the three and six months ended June 30, 2023, respectvely. Contract liabilites as of June 30, 2022 included $22 million and $33 million of cash payments received during the three and six months ended June 30, 2022, respectvely.</w:t>
      </w:r>
    </w:p>
    <w:p>
      <w:pPr>
        <w:spacing w:after="0" w:line="180" w:lineRule="exact"/>
        <w:rPr>
          <w:sz w:val="20"/>
          <w:szCs w:val="20"/>
          <w:color w:val="auto"/>
        </w:rPr>
      </w:pPr>
    </w:p>
    <w:p>
      <w:pPr>
        <w:jc w:val="both"/>
        <w:ind w:right="200"/>
        <w:spacing w:after="0" w:line="295" w:lineRule="auto"/>
        <w:rPr>
          <w:sz w:val="20"/>
          <w:szCs w:val="20"/>
          <w:color w:val="auto"/>
        </w:rPr>
      </w:pPr>
      <w:r>
        <w:rPr>
          <w:rFonts w:ascii="Arial" w:cs="Arial" w:eastAsia="Arial" w:hAnsi="Arial"/>
          <w:sz w:val="16"/>
          <w:szCs w:val="16"/>
          <w:color w:val="auto"/>
        </w:rPr>
        <w:t>Kodak does not disclose the value of unsatsfed performance obligatons for contracts with an original expected length of one year or less or for which revenue is recognized at the amount to which Kodak has the right to invoice for services performed. Performance obligatons with an original expected length of greater than one year generally consist of deferred service contracts, operatng leases and licensing arrangements. As of June 30, 2023, there was approximately $45 million of unrecognized revenue from unsatsfed performance obligatons. Approximately 25% of the revenue from unsatsfed performance obligatons is expected to be recognized in the remainder of 2023, 25% in 2024, 15% in 2025 and 35% thereafer.</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NOTE 10: OTHER CHARGES (INCOME)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7"/>
        </w:trPr>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5"/>
              </w:rPr>
              <w:t>Six Months Ended</w:t>
            </w:r>
          </w:p>
        </w:tc>
      </w:tr>
      <w:tr>
        <w:trPr>
          <w:trHeight w:val="244"/>
        </w:trPr>
        <w:tc>
          <w:tcPr>
            <w:tcW w:w="11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5"/>
              </w:rPr>
              <w:t>June 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1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177"/>
        </w:trPr>
        <w:tc>
          <w:tcPr>
            <w:tcW w:w="1120" w:type="dxa"/>
            <w:vAlign w:val="bottom"/>
          </w:tcPr>
          <w:p>
            <w:pPr>
              <w:spacing w:after="0"/>
              <w:rPr>
                <w:sz w:val="15"/>
                <w:szCs w:val="15"/>
                <w:color w:val="auto"/>
              </w:rPr>
            </w:pPr>
          </w:p>
        </w:tc>
        <w:tc>
          <w:tcPr>
            <w:tcW w:w="33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Change in fair value of embedded</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48"/>
        </w:trPr>
        <w:tc>
          <w:tcPr>
            <w:tcW w:w="1120" w:type="dxa"/>
            <w:vAlign w:val="bottom"/>
          </w:tcPr>
          <w:p>
            <w:pPr>
              <w:spacing w:after="0"/>
              <w:rPr>
                <w:sz w:val="21"/>
                <w:szCs w:val="21"/>
                <w:color w:val="auto"/>
              </w:rPr>
            </w:pPr>
          </w:p>
        </w:tc>
        <w:tc>
          <w:tcPr>
            <w:tcW w:w="3320" w:type="dxa"/>
            <w:vAlign w:val="bottom"/>
            <w:shd w:val="clear" w:color="auto" w:fill="CCEEFF"/>
          </w:tcPr>
          <w:p>
            <w:pPr>
              <w:ind w:left="20"/>
              <w:spacing w:after="0" w:line="249" w:lineRule="exact"/>
              <w:rPr>
                <w:sz w:val="20"/>
                <w:szCs w:val="20"/>
                <w:color w:val="auto"/>
              </w:rPr>
            </w:pPr>
            <w:r>
              <w:rPr>
                <w:rFonts w:ascii="Arial" w:cs="Arial" w:eastAsia="Arial" w:hAnsi="Arial"/>
                <w:sz w:val="17"/>
                <w:szCs w:val="17"/>
                <w:color w:val="auto"/>
              </w:rPr>
              <w:t xml:space="preserve">conversion features derivatve liability </w:t>
            </w:r>
            <w:r>
              <w:rPr>
                <w:rFonts w:ascii="Arial" w:cs="Arial" w:eastAsia="Arial" w:hAnsi="Arial"/>
                <w:sz w:val="28"/>
                <w:szCs w:val="28"/>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1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Loss on foreign exchange transactons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1120" w:type="dxa"/>
            <w:vAlign w:val="bottom"/>
          </w:tcPr>
          <w:p>
            <w:pPr>
              <w:spacing w:after="0"/>
              <w:rPr>
                <w:sz w:val="18"/>
                <w:szCs w:val="18"/>
                <w:color w:val="auto"/>
              </w:rPr>
            </w:pPr>
          </w:p>
        </w:tc>
        <w:tc>
          <w:tcPr>
            <w:tcW w:w="3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11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1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6" w:lineRule="exact"/>
        <w:rPr>
          <w:sz w:val="20"/>
          <w:szCs w:val="20"/>
          <w:color w:val="auto"/>
        </w:rPr>
      </w:pPr>
    </w:p>
    <w:p>
      <w:pPr>
        <w:ind w:left="1500" w:hanging="369"/>
        <w:spacing w:after="0"/>
        <w:tabs>
          <w:tab w:leader="none" w:pos="150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Refer to Note 19, "Financial Instruments".</w:t>
      </w:r>
    </w:p>
    <w:p>
      <w:pPr>
        <w:spacing w:after="0" w:line="35" w:lineRule="exact"/>
        <w:rPr>
          <w:rFonts w:ascii="Arial" w:cs="Arial" w:eastAsia="Arial" w:hAnsi="Arial"/>
          <w:sz w:val="30"/>
          <w:szCs w:val="30"/>
          <w:color w:val="auto"/>
          <w:vertAlign w:val="superscript"/>
        </w:rPr>
      </w:pPr>
    </w:p>
    <w:p>
      <w:pPr>
        <w:jc w:val="both"/>
        <w:ind w:left="1500" w:right="1140" w:hanging="369"/>
        <w:spacing w:after="0" w:line="192" w:lineRule="auto"/>
        <w:tabs>
          <w:tab w:leader="none" w:pos="1500"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Includes interest income associated with a refund received in the frst quarter of 2023 from a governmental authority in a locaton outside the U.S. that was previously held in order to guarantee potental tax disputes in that jurisdicton.</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Kodak’s income tax provision (beneft) and efectve tax rate were as follows:</w:t>
      </w:r>
    </w:p>
    <w:p>
      <w:pPr>
        <w:spacing w:after="0" w:line="22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60" w:type="dxa"/>
            <w:vAlign w:val="bottom"/>
            <w:gridSpan w:val="4"/>
          </w:tcPr>
          <w:p>
            <w:pPr>
              <w:jc w:val="right"/>
              <w:ind w:right="101"/>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8"/>
                <w:szCs w:val="18"/>
                <w:b w:val="1"/>
                <w:bCs w:val="1"/>
                <w:color w:val="auto"/>
                <w:w w:val="99"/>
              </w:rPr>
              <w:t>June 30,</w:t>
            </w:r>
          </w:p>
        </w:tc>
        <w:tc>
          <w:tcPr>
            <w:tcW w:w="3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operatons before income taxes</w:t>
            </w:r>
          </w:p>
        </w:tc>
        <w:tc>
          <w:tcPr>
            <w:tcW w:w="860" w:type="dxa"/>
            <w:vAlign w:val="bottom"/>
            <w:tcBorders>
              <w:top w:val="single" w:sz="8" w:color="auto"/>
            </w:tcBorders>
            <w:shd w:val="clear" w:color="auto" w:fill="CCEEFF"/>
          </w:tcPr>
          <w:p>
            <w:pPr>
              <w:jc w:val="right"/>
              <w:ind w:right="69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Efectve tax rate</w:t>
            </w:r>
          </w:p>
        </w:tc>
        <w:tc>
          <w:tcPr>
            <w:tcW w:w="8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8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w:t>
            </w:r>
          </w:p>
        </w:tc>
        <w:tc>
          <w:tcPr>
            <w:tcW w:w="2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(beneft) for income taxes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Provision for income taxes at U.S. statutory tax rate</w:t>
            </w: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Diference between tax at efectve vs. statutory rate</w:t>
            </w:r>
          </w:p>
        </w:tc>
        <w:tc>
          <w:tcPr>
            <w:tcW w:w="860" w:type="dxa"/>
            <w:vAlign w:val="bottom"/>
            <w:shd w:val="clear" w:color="auto" w:fill="CCEEFF"/>
          </w:tcPr>
          <w:p>
            <w:pPr>
              <w:jc w:val="right"/>
              <w:ind w:right="698"/>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For the three and six months ended June 30, 2023, the diference between Kodak’s efectve tax rate and the U.S. statutory rate of 21.0% is primarily atributable to: (1) the impact related to existng valuaton allowances associated with changes in net deferred tax assets from current earnings and losses, (2) the results from operatons in jurisdictons outside the U.S., (3) a beneft associated with foreign withholding taxes on undistributed earnings and (4) changes in audit reserves, including a setlement with a taxing authority in a locaton outside the U.S.</w:t>
      </w:r>
    </w:p>
    <w:p>
      <w:pPr>
        <w:spacing w:after="0" w:line="17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During the quarter ended June 30, 2023, Kodak agreed to terms with a taxing authority outside the U.S. and setled open tax audits for years 2013 through 2017. This setlement included a cash payment of $1 million which is refected in the provision for taxes in the quarter-to-date and year-to-date periods.</w:t>
      </w:r>
    </w:p>
    <w:p>
      <w:pPr>
        <w:spacing w:after="0" w:line="186"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For the three months ended June 30, 2022, the diference between Kodak’s efectve tax rate and the U.S. statutory rate of 21.0% is primarily atributable to: (1) the impact related to existng valuaton allowances associated with changes in net deferred tax assets from current earnings and losses, (2) the results from operatons in jurisdictons outside the U.S. and (3) a beneft associated with foreign withholding taxes on undistributed earnings.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2022, the diference between Kodak’s efectve tax rate and the U.S. statutory rate of 21.0% is primarily atributable to:</w:t>
      </w:r>
    </w:p>
    <w:p>
      <w:pPr>
        <w:spacing w:after="0" w:line="43" w:lineRule="exact"/>
        <w:rPr>
          <w:sz w:val="20"/>
          <w:szCs w:val="20"/>
          <w:color w:val="auto"/>
        </w:rPr>
      </w:pPr>
    </w:p>
    <w:p>
      <w:pPr>
        <w:ind w:firstLine="8"/>
        <w:spacing w:after="0" w:line="255" w:lineRule="auto"/>
        <w:tabs>
          <w:tab w:leader="none" w:pos="24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related to existng valuaton allowances associated with changes in net deferred tax assets from current earnings and losses, (2) the results from operatons in jurisdictons outside the U.S., (3) a beneft associated with foreign withholding taxes on undistributed earnings and (4) changes in audit reserves, including a setlement with a taxing authority in a locaton outside the U.S.</w:t>
      </w:r>
    </w:p>
    <w:p>
      <w:pPr>
        <w:spacing w:after="0" w:line="193"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During the quarter ended March 31, 2022, Kodak agreed to terms with a taxing authority outside the U.S. and setled open tax audits for years 2015 through 2018. This setlement included a cash payment of $2 million which is refected in the provision for taxes in the prior year-to-date period, and a decrease in net deferred tax assets of $3 million which was fully ofset by a corresponding change in the valuaton allowance.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 AND OTHER POSTRETIREMENT BENEFITS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beneft cost for all major U.S. and non-U.S. defned beneft plans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9"/>
              </w:rPr>
              <w:t>Six Months Ended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w w:val="86"/>
              </w:rPr>
              <w:t>Non-U.S.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6"/>
              </w:rPr>
              <w:t>U.S.</w:t>
            </w:r>
          </w:p>
        </w:tc>
        <w:tc>
          <w:tcPr>
            <w:tcW w:w="10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w w:val="86"/>
              </w:rPr>
              <w:t>Non-U.S.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b w:val="1"/>
                <w:bCs w:val="1"/>
                <w:color w:val="auto"/>
                <w:w w:val="99"/>
              </w:rPr>
              <w:t>Non-U.S.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1"/>
              </w:rPr>
              <w:t>U.S.</w:t>
            </w:r>
          </w:p>
        </w:tc>
        <w:tc>
          <w:tcPr>
            <w:tcW w:w="1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Non-U.S.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Major defned beneft plans: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4"/>
              </w:rPr>
              <w:t>Expected return on plan assets</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Amortzaton of:</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Prior service cost (credit)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 loss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80" w:type="dxa"/>
            <w:vAlign w:val="bottom"/>
          </w:tcPr>
          <w:p>
            <w:pPr>
              <w:spacing w:after="0" w:line="177" w:lineRule="exact"/>
              <w:rPr>
                <w:sz w:val="20"/>
                <w:szCs w:val="20"/>
                <w:color w:val="auto"/>
              </w:rPr>
            </w:pPr>
            <w:r>
              <w:rPr>
                <w:rFonts w:ascii="Arial" w:cs="Arial" w:eastAsia="Arial" w:hAnsi="Arial"/>
                <w:sz w:val="18"/>
                <w:szCs w:val="18"/>
                <w:color w:val="auto"/>
              </w:rPr>
              <w:t>Total net pension (income)</w:t>
            </w: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(37)</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240" w:type="dxa"/>
            <w:vAlign w:val="bottom"/>
            <w:vMerge w:val="restart"/>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(25)</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5"/>
                <w:szCs w:val="15"/>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(74)</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(53)</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20"/>
                <w:szCs w:val="20"/>
                <w:color w:val="auto"/>
              </w:rPr>
            </w:pPr>
            <w:r>
              <w:rPr>
                <w:rFonts w:ascii="Arial" w:cs="Arial" w:eastAsia="Arial" w:hAnsi="Arial"/>
                <w:sz w:val="18"/>
                <w:szCs w:val="18"/>
                <w:color w:val="auto"/>
              </w:rPr>
              <w:t>expense</w:t>
            </w:r>
          </w:p>
        </w:tc>
        <w:tc>
          <w:tcPr>
            <w:tcW w:w="18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60"/>
        <w:spacing w:after="0" w:line="273" w:lineRule="auto"/>
        <w:rPr>
          <w:sz w:val="20"/>
          <w:szCs w:val="20"/>
          <w:color w:val="auto"/>
        </w:rPr>
      </w:pPr>
      <w:r>
        <w:rPr>
          <w:rFonts w:ascii="Arial" w:cs="Arial" w:eastAsia="Arial" w:hAnsi="Arial"/>
          <w:sz w:val="18"/>
          <w:szCs w:val="18"/>
          <w:color w:val="auto"/>
        </w:rPr>
        <w:t>The Kodak Retrement Income Plan (“KRIP”) was remeasured on May 31, 2023 due to a plan amendment which provided a lump sum service credit to eligible employees’ cash balance accounts.</w:t>
      </w:r>
    </w:p>
    <w:p>
      <w:pPr>
        <w:spacing w:after="0" w:line="177" w:lineRule="exact"/>
        <w:rPr>
          <w:sz w:val="20"/>
          <w:szCs w:val="20"/>
          <w:color w:val="auto"/>
        </w:rPr>
      </w:pPr>
    </w:p>
    <w:p>
      <w:pPr>
        <w:ind w:right="60"/>
        <w:spacing w:after="0" w:line="222" w:lineRule="exact"/>
        <w:rPr>
          <w:sz w:val="20"/>
          <w:szCs w:val="20"/>
          <w:color w:val="auto"/>
        </w:rPr>
      </w:pPr>
      <w:r>
        <w:rPr>
          <w:rFonts w:ascii="Arial" w:cs="Arial" w:eastAsia="Arial" w:hAnsi="Arial"/>
          <w:sz w:val="18"/>
          <w:szCs w:val="18"/>
          <w:color w:val="auto"/>
        </w:rPr>
        <w:t>As a result of the remeasurement and plan amendment, KRIP’s projected beneft obligaton increased $38 million, including $9 million from a decrease in the discount rate used for the remeasurement, and $29 million due to the impact of the plan amendment. The discount rate assumpton used in the May 31, 2023 remeasurement was 5.08% compared to 5.13% used in the December 31, 2022 remeasurement. The remeasurement decreased the fair value of KRIP’s plan assets by $80 million. The expected long</w:t>
      </w:r>
      <w:r>
        <w:rPr>
          <w:rFonts w:ascii="MS PGothic" w:cs="MS PGothic" w:eastAsia="MS PGothic" w:hAnsi="MS PGothic"/>
          <w:sz w:val="18"/>
          <w:szCs w:val="18"/>
          <w:color w:val="auto"/>
        </w:rPr>
        <w:t>‐</w:t>
      </w:r>
      <w:r>
        <w:rPr>
          <w:rFonts w:ascii="Arial" w:cs="Arial" w:eastAsia="Arial" w:hAnsi="Arial"/>
          <w:sz w:val="18"/>
          <w:szCs w:val="18"/>
          <w:color w:val="auto"/>
        </w:rPr>
        <w:t>term rate of return on plan assets assumpton used in the May 31, 2023 remeasurement was unchanged from the rate used in the previous year</w:t>
      </w:r>
      <w:r>
        <w:rPr>
          <w:rFonts w:ascii="MS PGothic" w:cs="MS PGothic" w:eastAsia="MS PGothic" w:hAnsi="MS PGothic"/>
          <w:sz w:val="18"/>
          <w:szCs w:val="18"/>
          <w:color w:val="auto"/>
        </w:rPr>
        <w:t>‐</w:t>
      </w:r>
      <w:r>
        <w:rPr>
          <w:rFonts w:ascii="Arial" w:cs="Arial" w:eastAsia="Arial" w:hAnsi="Arial"/>
          <w:sz w:val="18"/>
          <w:szCs w:val="18"/>
          <w:color w:val="auto"/>
        </w:rPr>
        <w:t>end remeasurement (7.50%). The total impact of the remeasurement and plan amendment was a decrease in KRIP’s funded status of $118 million.</w:t>
      </w:r>
    </w:p>
    <w:p>
      <w:pPr>
        <w:spacing w:after="0" w:line="209" w:lineRule="exact"/>
        <w:rPr>
          <w:sz w:val="20"/>
          <w:szCs w:val="20"/>
          <w:color w:val="auto"/>
        </w:rPr>
      </w:pPr>
    </w:p>
    <w:p>
      <w:pPr>
        <w:ind w:right="140"/>
        <w:spacing w:after="0" w:line="224" w:lineRule="exact"/>
        <w:rPr>
          <w:sz w:val="20"/>
          <w:szCs w:val="20"/>
          <w:color w:val="auto"/>
        </w:rPr>
      </w:pPr>
      <w:r>
        <w:rPr>
          <w:rFonts w:ascii="Arial" w:cs="Arial" w:eastAsia="Arial" w:hAnsi="Arial"/>
          <w:sz w:val="18"/>
          <w:szCs w:val="18"/>
          <w:color w:val="auto"/>
        </w:rPr>
        <w:t>KRIP was remeasured on May 31, 2022 due to a plan amendment. The plan amendment increased the employees’ creditng rates from 9% or 10% of pay based on employee classifcaton to 12% or 13% of pay, retroactve to January 1, 2022. The plan amendment also provided a one</w:t>
      </w:r>
      <w:r>
        <w:rPr>
          <w:rFonts w:ascii="MS PGothic" w:cs="MS PGothic" w:eastAsia="MS PGothic" w:hAnsi="MS PGothic"/>
          <w:sz w:val="18"/>
          <w:szCs w:val="18"/>
          <w:color w:val="auto"/>
        </w:rPr>
        <w:t>‐</w:t>
      </w:r>
      <w:r>
        <w:rPr>
          <w:rFonts w:ascii="Arial" w:cs="Arial" w:eastAsia="Arial" w:hAnsi="Arial"/>
          <w:sz w:val="18"/>
          <w:szCs w:val="18"/>
          <w:color w:val="auto"/>
        </w:rPr>
        <w:t>tme service credit to eligible employees’ cash balance accounts.</w:t>
      </w:r>
    </w:p>
    <w:p>
      <w:pPr>
        <w:spacing w:after="0" w:line="207" w:lineRule="exact"/>
        <w:rPr>
          <w:sz w:val="20"/>
          <w:szCs w:val="20"/>
          <w:color w:val="auto"/>
        </w:rPr>
      </w:pPr>
    </w:p>
    <w:p>
      <w:pPr>
        <w:ind w:right="60"/>
        <w:spacing w:after="0" w:line="222" w:lineRule="exact"/>
        <w:rPr>
          <w:sz w:val="20"/>
          <w:szCs w:val="20"/>
          <w:color w:val="auto"/>
        </w:rPr>
      </w:pPr>
      <w:r>
        <w:rPr>
          <w:rFonts w:ascii="Arial" w:cs="Arial" w:eastAsia="Arial" w:hAnsi="Arial"/>
          <w:sz w:val="18"/>
          <w:szCs w:val="18"/>
          <w:color w:val="auto"/>
        </w:rPr>
        <w:t>As a result of the remeasurement, KRIP’s projected beneft obligaton decreased $345 million primarily driven by an increase in the discount rate ($376 million) partally ofset by the impacts from the plan amendments ($28 million) and changes in other demographic assumptons ($3 million). The discount rate assumpton used in the May 31, 2022 remeasurement was 4.16% compared to 2.54% used in the December 31, 2021 remeasurement. The remeasurement decreased the fair value of KRIP’s plan assets by $236 million. The expected long</w:t>
      </w:r>
      <w:r>
        <w:rPr>
          <w:rFonts w:ascii="MS PGothic" w:cs="MS PGothic" w:eastAsia="MS PGothic" w:hAnsi="MS PGothic"/>
          <w:sz w:val="18"/>
          <w:szCs w:val="18"/>
          <w:color w:val="auto"/>
        </w:rPr>
        <w:t>‐</w:t>
      </w:r>
      <w:r>
        <w:rPr>
          <w:rFonts w:ascii="Arial" w:cs="Arial" w:eastAsia="Arial" w:hAnsi="Arial"/>
          <w:sz w:val="18"/>
          <w:szCs w:val="18"/>
          <w:color w:val="auto"/>
        </w:rPr>
        <w:t>term rate of return on plan assets assumpton used in the May 31, 2022 remeasurement was unchanged from the rate used in the previous year</w:t>
      </w:r>
      <w:r>
        <w:rPr>
          <w:rFonts w:ascii="MS PGothic" w:cs="MS PGothic" w:eastAsia="MS PGothic" w:hAnsi="MS PGothic"/>
          <w:sz w:val="18"/>
          <w:szCs w:val="18"/>
          <w:color w:val="auto"/>
        </w:rPr>
        <w:t>‐</w:t>
      </w:r>
      <w:r>
        <w:rPr>
          <w:rFonts w:ascii="Arial" w:cs="Arial" w:eastAsia="Arial" w:hAnsi="Arial"/>
          <w:sz w:val="18"/>
          <w:szCs w:val="18"/>
          <w:color w:val="auto"/>
        </w:rPr>
        <w:t>end remeasurement (5.20%). The net impact of the remeasurement increased KRIP's funded status by $109 million.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2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Basic earnings per share computatons are based on the weighted-average number of shares of common stock outstanding during the period. Diluted earnings per share computatons include any dilutve efect of potental common shares. In periods with a net loss available to common shareholders, diluted earnings per share are calculated using weighted-average basic shares for that period, as utlizing diluted shares would be ant-dilutve to loss per share.</w:t>
      </w:r>
    </w:p>
    <w:p>
      <w:pPr>
        <w:spacing w:after="0" w:line="190" w:lineRule="exact"/>
        <w:rPr>
          <w:sz w:val="20"/>
          <w:szCs w:val="20"/>
          <w:color w:val="auto"/>
        </w:rPr>
      </w:pPr>
    </w:p>
    <w:p>
      <w:pPr>
        <w:ind w:right="600"/>
        <w:spacing w:after="0" w:line="273" w:lineRule="auto"/>
        <w:rPr>
          <w:sz w:val="20"/>
          <w:szCs w:val="20"/>
          <w:color w:val="auto"/>
        </w:rPr>
      </w:pPr>
      <w:r>
        <w:rPr>
          <w:rFonts w:ascii="Arial" w:cs="Arial" w:eastAsia="Arial" w:hAnsi="Arial"/>
          <w:sz w:val="18"/>
          <w:szCs w:val="18"/>
          <w:color w:val="auto"/>
        </w:rPr>
        <w:t>A reconciliaton of the amounts used to calculate basic and diluted earnings per share for the three and six months ended June 30, 2023 and 2022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8"/>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44"/>
        </w:trPr>
        <w:tc>
          <w:tcPr>
            <w:tcW w:w="5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Less: Series B Preferred stock cash dividends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Series C Preferred stock in-kind dividends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Less: Preferred stock deemed dividends</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Earnings atributable to Series C Preferred shareholders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5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Net earnings available to common shareholders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25" w:lineRule="auto"/>
        <w:rPr>
          <w:sz w:val="20"/>
          <w:szCs w:val="20"/>
          <w:color w:val="auto"/>
        </w:rPr>
      </w:pPr>
      <w:r>
        <w:rPr>
          <w:rFonts w:ascii="Arial" w:cs="Arial" w:eastAsia="Arial" w:hAnsi="Arial"/>
          <w:sz w:val="18"/>
          <w:szCs w:val="18"/>
          <w:color w:val="auto"/>
        </w:rPr>
        <w:t>Efect of dilutve securites:</w:t>
      </w:r>
    </w:p>
    <w:p>
      <w:pPr>
        <w:ind w:left="180"/>
        <w:spacing w:after="0"/>
        <w:rPr>
          <w:sz w:val="20"/>
          <w:szCs w:val="20"/>
          <w:color w:val="auto"/>
        </w:rPr>
      </w:pPr>
      <w:r>
        <w:rPr>
          <w:rFonts w:ascii="Arial" w:cs="Arial" w:eastAsia="Arial" w:hAnsi="Arial"/>
          <w:sz w:val="16"/>
          <w:szCs w:val="16"/>
          <w:color w:val="auto"/>
        </w:rPr>
        <w:t>Add back: Series B preferred stock cash and deemed dividends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 back: Convertble Notes interest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earnings available to common shareholders - diluted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 millions of shares)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 basic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Efect of dilutve securites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Employee stock optons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Unvested restricted stock units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B Preferred Stock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Convertble Notes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 diluted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4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2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7"/>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-2005330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-1722120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-993775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-719455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-445135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-162560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240" w:space="720"/>
            <w:col w:w="5280"/>
          </w:cols>
          <w:pgMar w:left="320" w:top="125" w:right="339" w:bottom="1440" w:gutter="0" w:footer="0" w:header="0"/>
          <w:type w:val="continuous"/>
        </w:sectPr>
      </w:pPr>
    </w:p>
    <w:p>
      <w:pPr>
        <w:ind w:right="240"/>
        <w:spacing w:after="0" w:line="309" w:lineRule="auto"/>
        <w:rPr>
          <w:sz w:val="20"/>
          <w:szCs w:val="20"/>
          <w:color w:val="auto"/>
        </w:rPr>
      </w:pPr>
      <w:r>
        <w:rPr>
          <w:rFonts w:ascii="Arial" w:cs="Arial" w:eastAsia="Arial" w:hAnsi="Arial"/>
          <w:sz w:val="16"/>
          <w:szCs w:val="16"/>
          <w:color w:val="auto"/>
        </w:rPr>
        <w:t>The computaton of diluted earnings per share for the three and six months ended June 30, 2023 excluded the impact of (1) the assumed conversion of 1.1 million shares of Series C Preferred Stock, (2) the assumed exercise of 4.1 million outstanding employee stock optons, and (3) for the six months ended June 30, 2023 the assumed vestng of 0.7 million unvested restricted stock units because the efects would have been ant-dilutve.</w:t>
      </w:r>
    </w:p>
    <w:p>
      <w:pPr>
        <w:spacing w:after="0" w:line="153" w:lineRule="exact"/>
        <w:rPr>
          <w:sz w:val="20"/>
          <w:szCs w:val="20"/>
          <w:color w:val="auto"/>
        </w:rPr>
      </w:pPr>
    </w:p>
    <w:p>
      <w:pPr>
        <w:jc w:val="both"/>
        <w:ind w:right="160"/>
        <w:spacing w:after="0" w:line="227" w:lineRule="exact"/>
        <w:rPr>
          <w:sz w:val="20"/>
          <w:szCs w:val="20"/>
          <w:color w:val="auto"/>
        </w:rPr>
      </w:pPr>
      <w:r>
        <w:rPr>
          <w:rFonts w:ascii="Arial" w:cs="Arial" w:eastAsia="Arial" w:hAnsi="Arial"/>
          <w:sz w:val="18"/>
          <w:szCs w:val="18"/>
          <w:color w:val="auto"/>
        </w:rPr>
        <w:t>The computaton of diluted earnings per share for the three and six months ended June 30, 2022 excluded the impact of (1) the assumed conversion of $25 million of Convertble Notes, (2) the assumed conversion of 1.1 million shares of Series C Preferred Stock and (3) the assumed exercise of 3.6 million outstanding employee stock optons in each period because the efects would have been ant</w:t>
      </w:r>
      <w:r>
        <w:rPr>
          <w:rFonts w:ascii="MS PGothic" w:cs="MS PGothic" w:eastAsia="MS PGothic" w:hAnsi="MS PGothic"/>
          <w:sz w:val="18"/>
          <w:szCs w:val="18"/>
          <w:color w:val="auto"/>
        </w:rPr>
        <w:t>‐</w:t>
      </w:r>
      <w:r>
        <w:rPr>
          <w:rFonts w:ascii="Arial" w:cs="Arial" w:eastAsia="Arial" w:hAnsi="Arial"/>
          <w:sz w:val="18"/>
          <w:szCs w:val="18"/>
          <w:color w:val="auto"/>
        </w:rPr>
        <w:t>dilutve.</w:t>
      </w:r>
    </w:p>
    <w:p>
      <w:pPr>
        <w:spacing w:after="0" w:line="197" w:lineRule="exact"/>
        <w:rPr>
          <w:sz w:val="20"/>
          <w:szCs w:val="20"/>
          <w:color w:val="auto"/>
        </w:rPr>
      </w:pPr>
    </w:p>
    <w:p>
      <w:pPr>
        <w:ind w:right="40"/>
        <w:spacing w:after="0" w:line="224" w:lineRule="exact"/>
        <w:rPr>
          <w:sz w:val="20"/>
          <w:szCs w:val="20"/>
          <w:color w:val="auto"/>
        </w:rPr>
      </w:pPr>
      <w:r>
        <w:rPr>
          <w:rFonts w:ascii="Arial" w:cs="Arial" w:eastAsia="Arial" w:hAnsi="Arial"/>
          <w:sz w:val="18"/>
          <w:szCs w:val="18"/>
          <w:color w:val="auto"/>
        </w:rPr>
        <w:t>In additon, the computaton of diluted earnings per share for the six months ended June 30, 2022 excluded the impact of the assumed conversion of 1.0 million shares of Series B Preferred Stock and the assumed vestng of 0.2 million unvested restricted stock units because the efects would have been ant</w:t>
      </w:r>
      <w:r>
        <w:rPr>
          <w:rFonts w:ascii="MS PGothic" w:cs="MS PGothic" w:eastAsia="MS PGothic" w:hAnsi="MS PGothic"/>
          <w:sz w:val="18"/>
          <w:szCs w:val="18"/>
          <w:color w:val="auto"/>
        </w:rPr>
        <w:t>‐</w:t>
      </w:r>
      <w:r>
        <w:rPr>
          <w:rFonts w:ascii="Arial" w:cs="Arial" w:eastAsia="Arial" w:hAnsi="Arial"/>
          <w:sz w:val="18"/>
          <w:szCs w:val="18"/>
          <w:color w:val="auto"/>
        </w:rPr>
        <w:t xml:space="preserve"> dilutve.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STOCK-BASED COMPENSATION</w:t>
      </w:r>
    </w:p>
    <w:p>
      <w:pPr>
        <w:spacing w:after="0" w:line="227"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On February 16, 2023, the Compensaton, Nominatng and Governance Commitee of the Board of Directors approved extending the expiraton dates for non-qualifed stock optons awarded between 2016 and 2020 to currently actve employees. No other terms were modifed. The contractual terms were extended from approximately seven years to approximately ten years. The change in the terms of the awards was accounted for as a modifcaton. The fair value of the awards was calculated using a binomial latce-based valuaton model. The key assumptons used in the fair value calculatons were:</w:t>
      </w:r>
    </w:p>
    <w:p>
      <w:pPr>
        <w:spacing w:after="0" w:line="158"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4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February 16, 2023</w:t>
            </w:r>
          </w:p>
        </w:tc>
      </w:tr>
      <w:tr>
        <w:trPr>
          <w:trHeight w:val="216"/>
        </w:trPr>
        <w:tc>
          <w:tcPr>
            <w:tcW w:w="3420" w:type="dxa"/>
            <w:vAlign w:val="bottom"/>
          </w:tcPr>
          <w:p>
            <w:pPr>
              <w:spacing w:after="0"/>
              <w:rPr>
                <w:sz w:val="18"/>
                <w:szCs w:val="18"/>
                <w:color w:val="auto"/>
              </w:rPr>
            </w:pPr>
          </w:p>
        </w:tc>
        <w:tc>
          <w:tcPr>
            <w:tcW w:w="4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Opton Award</w:t>
            </w:r>
          </w:p>
        </w:tc>
      </w:tr>
      <w:tr>
        <w:trPr>
          <w:trHeight w:val="216"/>
        </w:trPr>
        <w:tc>
          <w:tcPr>
            <w:tcW w:w="3420" w:type="dxa"/>
            <w:vAlign w:val="bottom"/>
          </w:tcPr>
          <w:p>
            <w:pPr>
              <w:spacing w:after="0"/>
              <w:rPr>
                <w:sz w:val="18"/>
                <w:szCs w:val="18"/>
                <w:color w:val="auto"/>
              </w:rPr>
            </w:pPr>
          </w:p>
        </w:tc>
        <w:tc>
          <w:tcPr>
            <w:tcW w:w="4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Modifcatons</w:t>
            </w:r>
          </w:p>
        </w:tc>
      </w:tr>
      <w:tr>
        <w:trPr>
          <w:trHeight w:val="244"/>
        </w:trPr>
        <w:tc>
          <w:tcPr>
            <w:tcW w:w="3420" w:type="dxa"/>
            <w:vAlign w:val="bottom"/>
          </w:tcPr>
          <w:p>
            <w:pPr>
              <w:spacing w:after="0"/>
              <w:rPr>
                <w:sz w:val="21"/>
                <w:szCs w:val="21"/>
                <w:color w:val="auto"/>
              </w:rPr>
            </w:pPr>
          </w:p>
        </w:tc>
        <w:tc>
          <w:tcPr>
            <w:tcW w:w="2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Immediately Before</w:t>
            </w:r>
          </w:p>
        </w:tc>
        <w:tc>
          <w:tcPr>
            <w:tcW w:w="160" w:type="dxa"/>
            <w:vAlign w:val="bottom"/>
          </w:tcPr>
          <w:p>
            <w:pPr>
              <w:spacing w:after="0"/>
              <w:rPr>
                <w:sz w:val="21"/>
                <w:szCs w:val="21"/>
                <w:color w:val="auto"/>
              </w:rPr>
            </w:pPr>
          </w:p>
        </w:tc>
        <w:tc>
          <w:tcPr>
            <w:tcW w:w="1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Immediately Afer</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Range of fair values</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0.000 -2.1414</w:t>
            </w: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1.322 -2.2424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3.82% - 4.99%</w:t>
            </w:r>
          </w:p>
        </w:tc>
        <w:tc>
          <w:tcPr>
            <w:tcW w:w="210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3.82% - 4.99%</w:t>
            </w:r>
          </w:p>
        </w:tc>
      </w:tr>
      <w:tr>
        <w:trPr>
          <w:trHeight w:val="184"/>
        </w:trPr>
        <w:tc>
          <w:tcPr>
            <w:tcW w:w="34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Range of remaining contractual terms (in</w:t>
            </w:r>
          </w:p>
        </w:tc>
        <w:tc>
          <w:tcPr>
            <w:tcW w:w="2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28"/>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w:t>
            </w: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0.37 - 4.25</w:t>
            </w:r>
          </w:p>
        </w:tc>
        <w:tc>
          <w:tcPr>
            <w:tcW w:w="210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3.37 - 7.25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Range of weighted volatlites</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66.96% - 103.39%</w:t>
            </w:r>
          </w:p>
        </w:tc>
        <w:tc>
          <w:tcPr>
            <w:tcW w:w="210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66.96% - 103.39%</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0.00%</w:t>
            </w:r>
          </w:p>
        </w:tc>
        <w:tc>
          <w:tcPr>
            <w:tcW w:w="2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6"/>
              </w:rPr>
              <w:t>0.00%</w:t>
            </w:r>
          </w:p>
        </w:tc>
      </w:tr>
    </w:tbl>
    <w:p>
      <w:pPr>
        <w:spacing w:after="0" w:line="184" w:lineRule="exact"/>
        <w:rPr>
          <w:sz w:val="20"/>
          <w:szCs w:val="20"/>
          <w:color w:val="auto"/>
        </w:rPr>
      </w:pPr>
    </w:p>
    <w:p>
      <w:pPr>
        <w:jc w:val="both"/>
        <w:ind w:right="120"/>
        <w:spacing w:after="0" w:line="284" w:lineRule="auto"/>
        <w:rPr>
          <w:sz w:val="20"/>
          <w:szCs w:val="20"/>
          <w:color w:val="auto"/>
        </w:rPr>
      </w:pPr>
      <w:r>
        <w:rPr>
          <w:rFonts w:ascii="Arial" w:cs="Arial" w:eastAsia="Arial" w:hAnsi="Arial"/>
          <w:sz w:val="17"/>
          <w:szCs w:val="17"/>
          <w:color w:val="auto"/>
        </w:rPr>
        <w:t>As a result of the modifcaton, Kodak recognized $3 million of incremental compensaton expense in the frst quarter of 2023, refectng the incremental fair value of the modifed awards over the fair value of the original awards immediately before the modifcaton. The incremental compensaton expense (less than $1 million) for awards that had not yet vested is being recognized ratably over the remaining service period.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7" w:lineRule="exact"/>
        <w:rPr>
          <w:sz w:val="20"/>
          <w:szCs w:val="20"/>
          <w:color w:val="auto"/>
        </w:rPr>
      </w:pPr>
    </w:p>
    <w:p>
      <w:pPr>
        <w:ind w:right="980"/>
        <w:spacing w:after="0" w:line="273" w:lineRule="auto"/>
        <w:rPr>
          <w:sz w:val="20"/>
          <w:szCs w:val="20"/>
          <w:color w:val="auto"/>
        </w:rPr>
      </w:pPr>
      <w:r>
        <w:rPr>
          <w:rFonts w:ascii="Arial" w:cs="Arial" w:eastAsia="Arial" w:hAnsi="Arial"/>
          <w:sz w:val="18"/>
          <w:szCs w:val="18"/>
          <w:color w:val="auto"/>
        </w:rPr>
        <w:t>The Company has 560 million shares of authorized stock, consistng of: (i) 500 million shares of common stock, par value $0.01 per share and (ii) 60 million shares of preferred stock, no par value, issuable in one or more series.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there were 79.4 million and 79.1 million shares of common stock outstanding, respectvely.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Preferred stock issued and outstanding as of June 30, 2023 and December 31, 2022 consisted of 1.0 million shares of Series B Preferred Stock and 1.1 million shares of Series C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Treasury stock consisted of approximately 0.9 million shares as of both June 30, 2023 and December 31,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COMPREHENSIVE (LOSS) INCOME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(loss) income by component, were as follows:</w:t>
      </w:r>
    </w:p>
    <w:p>
      <w:pPr>
        <w:spacing w:after="0" w:line="22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Currency translaton adjustments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Currency translaton adjustments</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w w:val="95"/>
              </w:rPr>
              <w:t>Pension and other postretrement beneft plan changes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Newly established net (loss) gain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Tax provision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Newly established net (loss) gain, net of tax</w:t>
            </w: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lef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Reclassifcaton adjustments:</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640"/>
              <w:spacing w:after="0" w:line="216" w:lineRule="exact"/>
              <w:rPr>
                <w:sz w:val="20"/>
                <w:szCs w:val="20"/>
                <w:color w:val="auto"/>
              </w:rPr>
            </w:pPr>
            <w:r>
              <w:rPr>
                <w:rFonts w:ascii="Arial" w:cs="Arial" w:eastAsia="Arial" w:hAnsi="Arial"/>
                <w:sz w:val="16"/>
                <w:szCs w:val="16"/>
                <w:color w:val="auto"/>
              </w:rPr>
              <w:t xml:space="preserve">Amortzaton of prior service cost (credit)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40"/>
              <w:spacing w:after="0" w:line="216" w:lineRule="exact"/>
              <w:rPr>
                <w:sz w:val="20"/>
                <w:szCs w:val="20"/>
                <w:color w:val="auto"/>
              </w:rPr>
            </w:pPr>
            <w:r>
              <w:rPr>
                <w:rFonts w:ascii="Arial" w:cs="Arial" w:eastAsia="Arial" w:hAnsi="Arial"/>
                <w:sz w:val="16"/>
                <w:szCs w:val="16"/>
                <w:color w:val="auto"/>
              </w:rPr>
              <w:t xml:space="preserve">Amortzaton of actuarial (gains) losses </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reclassifcaton adjustments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Tax provision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Reclassifcaton adjustments, net of tax</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440" w:type="dxa"/>
            <w:vAlign w:val="bottom"/>
          </w:tcPr>
          <w:p>
            <w:pPr>
              <w:spacing w:after="0" w:line="177" w:lineRule="exact"/>
              <w:rPr>
                <w:sz w:val="20"/>
                <w:szCs w:val="20"/>
                <w:color w:val="auto"/>
              </w:rPr>
            </w:pPr>
            <w:r>
              <w:rPr>
                <w:rFonts w:ascii="Arial" w:cs="Arial" w:eastAsia="Arial" w:hAnsi="Arial"/>
                <w:sz w:val="18"/>
                <w:szCs w:val="18"/>
                <w:color w:val="auto"/>
                <w:w w:val="95"/>
              </w:rPr>
              <w:t>Pension and other postretrement beneft plan changes, net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5"/>
                <w:szCs w:val="15"/>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5"/>
                <w:szCs w:val="15"/>
                <w:color w:val="auto"/>
              </w:rPr>
            </w:pPr>
          </w:p>
        </w:tc>
        <w:tc>
          <w:tcPr>
            <w:tcW w:w="116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60" w:type="dxa"/>
            <w:vAlign w:val="bottom"/>
            <w:gridSpan w:val="2"/>
          </w:tcPr>
          <w:p>
            <w:pPr>
              <w:spacing w:after="0"/>
              <w:rPr>
                <w:sz w:val="20"/>
                <w:szCs w:val="20"/>
                <w:color w:val="auto"/>
              </w:rPr>
            </w:pPr>
            <w:r>
              <w:rPr>
                <w:rFonts w:ascii="Arial" w:cs="Arial" w:eastAsia="Arial" w:hAnsi="Arial"/>
                <w:sz w:val="18"/>
                <w:szCs w:val="18"/>
                <w:color w:val="auto"/>
              </w:rPr>
              <w:t>of tax</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lef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480" w:right="1020" w:hanging="4910"/>
        <w:spacing w:after="0" w:line="364" w:lineRule="auto"/>
        <w:tabs>
          <w:tab w:leader="none" w:pos="976"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Reclassifed to Total Net Periodic Beneft Cost - refer to Note 12, "Retrement Plans and Other Postretrement Benefts".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Segments</w:t>
      </w:r>
    </w:p>
    <w:p>
      <w:pPr>
        <w:spacing w:after="0" w:line="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Efectve February 2023 Kodak changed its organizatonal structure. The Traditonal Printng segment and the Digital Printng segment were combined into one segment, named the Print segment. No changes were made to Kodak's other segments.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Kodak has three reportable segments: Print, Advanced Materials and Chemicals and Brand. A descripton of Kodak’s reportable segments follows.</w:t>
      </w:r>
    </w:p>
    <w:p>
      <w:pPr>
        <w:spacing w:after="0" w:line="235"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Print</w:t>
      </w:r>
      <w:r>
        <w:rPr>
          <w:rFonts w:ascii="Arial" w:cs="Arial" w:eastAsia="Arial" w:hAnsi="Arial"/>
          <w:sz w:val="18"/>
          <w:szCs w:val="18"/>
          <w:color w:val="auto"/>
        </w:rPr>
        <w:t>: The Print segment is comprised of fve lines of business: the Prepress Solutons business, the PROSPER business, the Sofware business,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Electrophotographic Printng Solutons business and the VERSAMARK business.</w:t>
      </w:r>
    </w:p>
    <w:p>
      <w:pPr>
        <w:spacing w:after="0" w:line="17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color w:val="auto"/>
        </w:rPr>
        <w:t xml:space="preserve">Advanced Materials and Chemicals: </w:t>
      </w:r>
      <w:r>
        <w:rPr>
          <w:rFonts w:ascii="Arial" w:cs="Arial" w:eastAsia="Arial" w:hAnsi="Arial"/>
          <w:sz w:val="18"/>
          <w:szCs w:val="18"/>
          <w:color w:val="auto"/>
        </w:rPr>
        <w:t>The Advanced Materials and Chemicals segment is comprised of four lines of business: the Industrial Film and</w:t>
      </w:r>
      <w:r>
        <w:rPr>
          <w:rFonts w:ascii="Arial" w:cs="Arial" w:eastAsia="Arial" w:hAnsi="Arial"/>
          <w:sz w:val="18"/>
          <w:szCs w:val="18"/>
          <w:b w:val="1"/>
          <w:bCs w:val="1"/>
          <w:color w:val="auto"/>
        </w:rPr>
        <w:t xml:space="preserve"> </w:t>
      </w:r>
      <w:r>
        <w:rPr>
          <w:rFonts w:ascii="Arial" w:cs="Arial" w:eastAsia="Arial" w:hAnsi="Arial"/>
          <w:sz w:val="18"/>
          <w:szCs w:val="18"/>
          <w:color w:val="auto"/>
        </w:rPr>
        <w:t>Chemicals business, the Moton Picture business, the Advanced Materials and Functonal Printng business and the IP Licensing and Analytcal Services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w:t>
      </w:r>
      <w:r>
        <w:rPr>
          <w:rFonts w:ascii="Arial" w:cs="Arial" w:eastAsia="Arial" w:hAnsi="Arial"/>
          <w:sz w:val="18"/>
          <w:szCs w:val="18"/>
          <w:color w:val="auto"/>
        </w:rPr>
        <w:t>: The Brand segment contains the brand licensing business.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Other</w:t>
      </w:r>
      <w:r>
        <w:rPr>
          <w:rFonts w:ascii="Arial" w:cs="Arial" w:eastAsia="Arial" w:hAnsi="Arial"/>
          <w:sz w:val="17"/>
          <w:szCs w:val="17"/>
          <w:color w:val="auto"/>
        </w:rPr>
        <w:t>: All Other is comprised of the operatons of the Eastman Business Park, a more than 1,200-acre technology center and industrial complex.</w:t>
      </w:r>
    </w:p>
    <w:p>
      <w:pPr>
        <w:sectPr>
          <w:pgSz w:w="11900" w:h="16838" w:orient="portrait"/>
          <w:cols w:equalWidth="0" w:num="1">
            <w:col w:w="11180"/>
          </w:cols>
          <w:pgMar w:left="320" w:top="125" w:right="39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Segment fnancial informaton is shown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Advanced Materials and Chemicals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Brand</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Other</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40" w:type="dxa"/>
            <w:vAlign w:val="bottom"/>
          </w:tcPr>
          <w:p>
            <w:pPr>
              <w:jc w:val="right"/>
              <w:ind w:right="678"/>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215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690"/>
              <w:spacing w:after="0" w:line="177"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252</w:t>
            </w:r>
          </w:p>
        </w:tc>
        <w:tc>
          <w:tcPr>
            <w:tcW w:w="200" w:type="dxa"/>
            <w:vAlign w:val="bottom"/>
          </w:tcPr>
          <w:p>
            <w:pPr>
              <w:spacing w:after="0"/>
              <w:rPr>
                <w:sz w:val="15"/>
                <w:szCs w:val="15"/>
                <w:color w:val="auto"/>
              </w:rPr>
            </w:pPr>
          </w:p>
        </w:tc>
        <w:tc>
          <w:tcPr>
            <w:tcW w:w="260" w:type="dxa"/>
            <w:vAlign w:val="bottom"/>
          </w:tcPr>
          <w:p>
            <w:pPr>
              <w:jc w:val="right"/>
              <w:ind w:right="70"/>
              <w:spacing w:after="0" w:line="177"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77" w:lineRule="exact"/>
              <w:rPr>
                <w:sz w:val="20"/>
                <w:szCs w:val="20"/>
                <w:color w:val="auto"/>
              </w:rPr>
            </w:pPr>
            <w:r>
              <w:rPr>
                <w:rFonts w:ascii="Arial" w:cs="Arial" w:eastAsia="Arial" w:hAnsi="Arial"/>
                <w:sz w:val="18"/>
                <w:szCs w:val="18"/>
                <w:color w:val="auto"/>
              </w:rPr>
              <w:t>424</w:t>
            </w:r>
          </w:p>
        </w:tc>
        <w:tc>
          <w:tcPr>
            <w:tcW w:w="200" w:type="dxa"/>
            <w:vAlign w:val="bottom"/>
          </w:tcPr>
          <w:p>
            <w:pPr>
              <w:spacing w:after="0"/>
              <w:rPr>
                <w:sz w:val="15"/>
                <w:szCs w:val="15"/>
                <w:color w:val="auto"/>
              </w:rPr>
            </w:pPr>
          </w:p>
        </w:tc>
        <w:tc>
          <w:tcPr>
            <w:tcW w:w="320" w:type="dxa"/>
            <w:vAlign w:val="bottom"/>
          </w:tcPr>
          <w:p>
            <w:pPr>
              <w:jc w:val="right"/>
              <w:ind w:right="130"/>
              <w:spacing w:after="0" w:line="177"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77"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tcPr>
          <w:p>
            <w:pPr>
              <w:jc w:val="right"/>
              <w:ind w:right="678"/>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0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0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-719455</wp:posOffset>
            </wp:positionV>
            <wp:extent cx="641223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-445135</wp:posOffset>
            </wp:positionV>
            <wp:extent cx="641223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-161925</wp:posOffset>
            </wp:positionV>
            <wp:extent cx="641223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4400" w:space="720"/>
            <w:col w:w="6060"/>
          </w:cols>
          <w:pgMar w:left="320" w:top="125" w:right="399" w:bottom="1440" w:gutter="0" w:footer="0" w:header="0"/>
          <w:type w:val="continuous"/>
        </w:sectPr>
      </w:pPr>
    </w:p>
    <w:p>
      <w:pPr>
        <w:jc w:val="center"/>
        <w:ind w:right="-7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0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66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7940" w:type="dxa"/>
            <w:vAlign w:val="bottom"/>
            <w:gridSpan w:val="10"/>
          </w:tcPr>
          <w:p>
            <w:pPr>
              <w:spacing w:after="0"/>
              <w:rPr>
                <w:sz w:val="20"/>
                <w:szCs w:val="20"/>
                <w:color w:val="auto"/>
              </w:rPr>
            </w:pPr>
            <w:r>
              <w:rPr>
                <w:rFonts w:ascii="Arial" w:cs="Arial" w:eastAsia="Arial" w:hAnsi="Arial"/>
                <w:sz w:val="18"/>
                <w:szCs w:val="18"/>
                <w:b w:val="1"/>
                <w:bCs w:val="1"/>
                <w:color w:val="auto"/>
                <w:w w:val="97"/>
              </w:rPr>
              <w:t>Segment Operatonal EBITDA and Consolidated Earnings from Operatons Before Income Taxes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7"/>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r>
      <w:tr>
        <w:trPr>
          <w:trHeight w:val="244"/>
        </w:trPr>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020" w:type="dxa"/>
            <w:vAlign w:val="bottom"/>
            <w:gridSpan w:val="3"/>
          </w:tcPr>
          <w:p>
            <w:pPr>
              <w:ind w:left="56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Advanced Materials and Chemicals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Total of reportable segments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Depreciaton and amortzaton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 and other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Stock based compensaton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80" w:type="dxa"/>
            <w:vAlign w:val="bottom"/>
          </w:tcPr>
          <w:p>
            <w:pPr>
              <w:spacing w:after="0"/>
              <w:rPr>
                <w:sz w:val="18"/>
                <w:szCs w:val="18"/>
                <w:color w:val="auto"/>
              </w:rPr>
            </w:pPr>
          </w:p>
        </w:tc>
        <w:tc>
          <w:tcPr>
            <w:tcW w:w="44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Consultng and other costs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80" w:type="dxa"/>
            <w:vAlign w:val="bottom"/>
          </w:tcPr>
          <w:p>
            <w:pPr>
              <w:spacing w:after="0"/>
              <w:rPr>
                <w:sz w:val="18"/>
                <w:szCs w:val="18"/>
                <w:color w:val="auto"/>
              </w:rPr>
            </w:pPr>
          </w:p>
        </w:tc>
        <w:tc>
          <w:tcPr>
            <w:tcW w:w="44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Idle costs </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tcPr>
          <w:p>
            <w:pPr>
              <w:spacing w:after="0"/>
              <w:rPr>
                <w:sz w:val="18"/>
                <w:szCs w:val="18"/>
                <w:color w:val="auto"/>
              </w:rPr>
            </w:pPr>
          </w:p>
        </w:tc>
        <w:tc>
          <w:tcPr>
            <w:tcW w:w="44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operatng income </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4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5"/>
                <w:szCs w:val="25"/>
                <w:color w:val="auto"/>
                <w:vertAlign w:val="superscript"/>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80" w:type="dxa"/>
            <w:vAlign w:val="bottom"/>
          </w:tcPr>
          <w:p>
            <w:pPr>
              <w:spacing w:after="0"/>
              <w:rPr>
                <w:sz w:val="18"/>
                <w:szCs w:val="18"/>
                <w:color w:val="auto"/>
              </w:rPr>
            </w:pPr>
          </w:p>
        </w:tc>
        <w:tc>
          <w:tcPr>
            <w:tcW w:w="44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Pension income excluding service cost component </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(charges) income, net </w:t>
            </w:r>
            <w:r>
              <w:rPr>
                <w:rFonts w:ascii="Arial" w:cs="Arial" w:eastAsia="Arial" w:hAnsi="Arial"/>
                <w:sz w:val="25"/>
                <w:szCs w:val="25"/>
                <w:color w:val="auto"/>
                <w:vertAlign w:val="superscript"/>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9"/>
        </w:trPr>
        <w:tc>
          <w:tcPr>
            <w:tcW w:w="58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Consolidated earnings from operatons before income taxes</w:t>
            </w:r>
          </w:p>
        </w:tc>
        <w:tc>
          <w:tcPr>
            <w:tcW w:w="10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980" w:right="500" w:hanging="410"/>
        <w:spacing w:after="0" w:line="227" w:lineRule="auto"/>
        <w:tabs>
          <w:tab w:leader="none" w:pos="98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Consultng and other costs are primarily professional services and internal costs associated with certain corporate strategic initatves, investgatons and litgaton. Consultng and other costs includes $1 million and $11 million of income in the three and six months ended June 30, 2023, respectvely, representng insurance reimbursement of legal costs previously paid by the Company associated with investgatons and litgaton maters. Kodak received $16 million of insurance reimbursement proceeds in the frst six months of 2023, of which $5 million was recorded in Other current assets in the Consolidated Statement of Financial Positon as of December 31, 2022.</w:t>
      </w:r>
    </w:p>
    <w:p>
      <w:pPr>
        <w:spacing w:after="0" w:line="206" w:lineRule="exact"/>
        <w:rPr>
          <w:rFonts w:ascii="Arial" w:cs="Arial" w:eastAsia="Arial" w:hAnsi="Arial"/>
          <w:sz w:val="30"/>
          <w:szCs w:val="30"/>
          <w:color w:val="auto"/>
          <w:vertAlign w:val="superscript"/>
        </w:rPr>
      </w:pPr>
    </w:p>
    <w:p>
      <w:pPr>
        <w:jc w:val="both"/>
        <w:ind w:left="980" w:right="680" w:hanging="410"/>
        <w:spacing w:after="0" w:line="215" w:lineRule="auto"/>
        <w:tabs>
          <w:tab w:leader="none" w:pos="980"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Consists of third-party costs such as security, maintenance and utlites required to maintain land and buildings in certain locatons not used in any Kodak operatons and the costs, net of any rental income received, of underutlized portons of certain propertes.</w:t>
      </w:r>
    </w:p>
    <w:p>
      <w:pPr>
        <w:spacing w:after="0" w:line="87" w:lineRule="exact"/>
        <w:rPr>
          <w:rFonts w:ascii="Arial" w:cs="Arial" w:eastAsia="Arial" w:hAnsi="Arial"/>
          <w:sz w:val="27"/>
          <w:szCs w:val="27"/>
          <w:color w:val="auto"/>
          <w:vertAlign w:val="superscript"/>
        </w:rPr>
      </w:pPr>
    </w:p>
    <w:p>
      <w:pPr>
        <w:ind w:left="980" w:hanging="410"/>
        <w:spacing w:after="0"/>
        <w:tabs>
          <w:tab w:leader="none" w:pos="98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As reported in the Consolidated Statement of Operatons.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Kodak decreased employee beneft reserves by approximately $1 million in the three months ended June 30, 2023, driven by changes in discount rates.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employee beneft reserves in the six months ended June 30, 2023 was less than $1 million.</w:t>
      </w:r>
    </w:p>
    <w:p>
      <w:pPr>
        <w:spacing w:after="0" w:line="21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Kodak decreased workers’ compensaton reserves by approximately $4 million and $8 million in the three and six months ended June 30, 2022, driven by changes in discount rates. The decrease in reserves in the three months ended June 30, 2022 impacted gross proft by approximately $2 million and Selling, general and administratve expenses (“SG&amp;A”) by approximately $2 million. The decrease in reserves in the six months ended June 30, 2022 impacted gross proft by approximately $5 million and SG&amp;A expenses by approximately $3 million.</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Proft and Loss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Kodak’s segment measure of proft and loss is an adjusted earnings before interest, taxes, depreciaton and amortzaton (“Operatonal EBITDA”).</w:t>
      </w:r>
    </w:p>
    <w:p>
      <w:pPr>
        <w:spacing w:after="0" w:line="22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As demonstrated in the above table, Operatonal EBITDA represents the earnings (loss) from operatons excluding the provision for income taxes; non-service cost components of pension and other postemployment benefts (“OPEB”) income; depreciaton and amortzaton expense; restructuring costs and other; stock-based compensaton expense; consultng and other costs; idle costs; interest expense, other operatng income, net and other (charges) income, net.</w:t>
      </w:r>
    </w:p>
    <w:p>
      <w:pPr>
        <w:spacing w:after="0" w:line="190" w:lineRule="exact"/>
        <w:rPr>
          <w:sz w:val="20"/>
          <w:szCs w:val="20"/>
          <w:color w:val="auto"/>
        </w:rPr>
      </w:pPr>
    </w:p>
    <w:p>
      <w:pPr>
        <w:ind w:right="400"/>
        <w:spacing w:after="0" w:line="309" w:lineRule="auto"/>
        <w:rPr>
          <w:sz w:val="20"/>
          <w:szCs w:val="20"/>
          <w:color w:val="auto"/>
        </w:rPr>
      </w:pPr>
      <w:r>
        <w:rPr>
          <w:rFonts w:ascii="Arial" w:cs="Arial" w:eastAsia="Arial" w:hAnsi="Arial"/>
          <w:sz w:val="16"/>
          <w:szCs w:val="16"/>
          <w:color w:val="auto"/>
        </w:rPr>
        <w:t>Kodak’s segments are measured using Operatonal EBITDA both before and afer allocaton of corporate selling, general and administratve expenses ("SG&amp;A"). The segment earnings measure reported is afer allocaton of corporate SG&amp;A as this most closely aligns with U.S. GAAP. Research and Development actvites not directly related to the other segments are reported within the Advanced Materials and Chemicals segment.</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BUSINESS COMBINATION</w:t>
      </w:r>
    </w:p>
    <w:p>
      <w:pPr>
        <w:spacing w:after="0" w:line="227" w:lineRule="exact"/>
        <w:rPr>
          <w:sz w:val="20"/>
          <w:szCs w:val="20"/>
          <w:color w:val="auto"/>
        </w:rPr>
      </w:pPr>
    </w:p>
    <w:p>
      <w:pPr>
        <w:ind w:right="500"/>
        <w:spacing w:after="0" w:line="273" w:lineRule="auto"/>
        <w:rPr>
          <w:sz w:val="20"/>
          <w:szCs w:val="20"/>
          <w:color w:val="auto"/>
        </w:rPr>
      </w:pPr>
      <w:r>
        <w:rPr>
          <w:rFonts w:ascii="Arial" w:cs="Arial" w:eastAsia="Arial" w:hAnsi="Arial"/>
          <w:sz w:val="18"/>
          <w:szCs w:val="18"/>
          <w:color w:val="auto"/>
        </w:rPr>
        <w:t>On May 26, 2023 Kodak acquired 100% of the outstanding shares of Graphic Systems Services, Inc., a leading provider of web inkjet press transport systems and other print-related components and engineering services.</w:t>
      </w:r>
    </w:p>
    <w:p>
      <w:pPr>
        <w:spacing w:after="0" w:line="177"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auto"/>
        </w:rPr>
        <w:t>The acquisiton was immaterial to Kodak's fnancial positon as of June 30, 2023 and its results of operatons and cash fows for the three months ended June 30, 2023.</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FINANCIAL INSTRUMENTS</w:t>
      </w:r>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Kodak, as a result of its global operatng and fnancing actvites, is exposed to changes in foreign currency exchange rates and interest rates, which may adversely afect its results of operatons and fnancial positon. Kodak manages such exposures, in part, with derivatve fnancial instruments. Foreign currency forward contracts are used to mitgate currency risk related to foreign currency denominated assets and liabilites. Kodak’s exposure to changes in interest rates results from its investng and borrowing actvites used to meet its liquidity needs. Kodak does not utlize fnancial instruments for trading or other speculatve purposes.</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Kodak’s foreign currency forward contracts are not designated as hedges and are marked to market through net income at the same tme that the exposed assets and liabilites are remeasured through net income (both in Other charges (income), net in the Consolidated Statement of Operatons). The notonal amount of such contracts open at June 30, 2023 and December 31, 2022 was approximately $286 million and $308 million, respectvely. The majority of the contracts of this type held by Kodak as of June 30, 2023 and December 31, 2022 are denominated in euros, Chinese renminbi and Japanese yen.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net efect of foreign currency forward contracts in the results of operatons is shown in the following table:</w:t>
      </w:r>
    </w:p>
    <w:p>
      <w:pPr>
        <w:spacing w:after="0" w:line="22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3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Six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June 30,</w:t>
            </w:r>
          </w:p>
        </w:tc>
        <w:tc>
          <w:tcPr>
            <w:tcW w:w="2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900" w:type="dxa"/>
            <w:vAlign w:val="bottom"/>
          </w:tcPr>
          <w:p>
            <w:pPr>
              <w:jc w:val="right"/>
              <w:ind w:right="36"/>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454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rPr>
              <w:t>Net loss from derivatves not designated as hedging</w:t>
            </w:r>
          </w:p>
        </w:tc>
        <w:tc>
          <w:tcPr>
            <w:tcW w:w="9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7"/>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12</w:t>
            </w:r>
          </w:p>
        </w:tc>
        <w:tc>
          <w:tcPr>
            <w:tcW w:w="11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r>
      <w:tr>
        <w:trPr>
          <w:trHeight w:val="22"/>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derivatves designated as hedging instruments for the three and six months ended June 30, 2023 and 2022.</w:t>
      </w:r>
    </w:p>
    <w:p>
      <w:pPr>
        <w:spacing w:after="0" w:line="225"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In the event of a default under any of the Company’s credit agreements, or a default under any derivatve contract or similar obligaton of Kodak, subject to certain minimum thresholds, the derivatve counterpartes would have the right, although not the obligaton, to require immediate setlement of some or all open derivatve contracts at their then-current fair value, but with liability positons neted against asset positons with the same counterparty.</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3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concluded that the Convertble Notes were considered more akin to a debt-type instrument and that the economic characteristcs and risks of certain of the embedded conversion features were not considered clearly and closely related to the Convertble Notes. The embedded conversion features not considered clearly and closely related are the conversion at the opton of the holder (“Optonal Conversion”), the mandatory conversion by Kodak (“Mandatory Conversion”) and the conversion in the event of a fundamental transacton by the holder at the then applicable conversion rate (“Fundamental Change”). Accordingly, these embedded conversion features were bifurcated from the Convertble Notes and separately accounted for on a combined basis as a single derivatve asset or liability. The derivatve was in a liability positon at June 30, 2023 and December 31, 2022 and was reported in Other long-term liabilites in the Consolidated Statement of Financial Positon. The derivatve was being accounted for at fair value with changes in fair value included in Other charges (income), net in the Consolidated Statement of Operatons.</w:t>
      </w:r>
    </w:p>
    <w:p>
      <w:pPr>
        <w:spacing w:after="0" w:line="185"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Company concluded that the Series B Preferred Stock and the Series C Preferred Stock are each considered more akin to a debt-type instrument and that the economic characteristcs and risks of the conversion in the event of a Fundamental Change is not considered clearly and closely related to the Series B and Series C Preferred Stock. Accordingly, this embedded conversion feature was bifurcated from both the Series B and Series C Preferred Stock and both are separately accounted for as a single derivatve asset or liability. Both derivatves were in a liability positon at June 30, 2023 and December 31, 2022 and were reported in Other long-term liabilites in the Consolidated Statement of Financial Positon. The derivatves are being accounted for at fair value with changes in fair value included in Other charges (income), net in the Consolidated Statement of Operatons.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net efect of the Preferred Stock and Convertble Notes embedded derivatves on the results of operatons is shown in the following table:</w:t>
      </w:r>
    </w:p>
    <w:p>
      <w:pPr>
        <w:spacing w:after="0" w:line="22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340" w:type="dxa"/>
            <w:vAlign w:val="bottom"/>
            <w:gridSpan w:val="4"/>
          </w:tcPr>
          <w:p>
            <w:pPr>
              <w:jc w:val="center"/>
              <w:ind w:left="176"/>
              <w:spacing w:after="0"/>
              <w:rPr>
                <w:sz w:val="20"/>
                <w:szCs w:val="20"/>
                <w:color w:val="auto"/>
              </w:rPr>
            </w:pPr>
            <w:r>
              <w:rPr>
                <w:rFonts w:ascii="Arial" w:cs="Arial" w:eastAsia="Arial" w:hAnsi="Arial"/>
                <w:sz w:val="18"/>
                <w:szCs w:val="18"/>
                <w:b w:val="1"/>
                <w:bCs w:val="1"/>
                <w:color w:val="auto"/>
                <w:w w:val="87"/>
              </w:rPr>
              <w:t>Three Months Ended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7"/>
              </w:rPr>
              <w:t>Six Months Ended</w:t>
            </w:r>
          </w:p>
        </w:tc>
      </w:tr>
      <w:tr>
        <w:trPr>
          <w:trHeight w:val="244"/>
        </w:trPr>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right="530"/>
              <w:spacing w:after="0"/>
              <w:rPr>
                <w:sz w:val="20"/>
                <w:szCs w:val="20"/>
                <w:color w:val="auto"/>
              </w:rPr>
            </w:pPr>
            <w:r>
              <w:rPr>
                <w:rFonts w:ascii="Arial" w:cs="Arial" w:eastAsia="Arial" w:hAnsi="Arial"/>
                <w:sz w:val="18"/>
                <w:szCs w:val="18"/>
                <w:b w:val="1"/>
                <w:bCs w:val="1"/>
                <w:color w:val="auto"/>
                <w:w w:val="85"/>
              </w:rPr>
              <w:t>June 30,</w:t>
            </w:r>
          </w:p>
        </w:tc>
        <w:tc>
          <w:tcPr>
            <w:tcW w:w="2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3"/>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454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w w:val="96"/>
              </w:rPr>
              <w:t>Net loss (gain) from Preferred Stock and Convertble Notes</w:t>
            </w: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7"/>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embedded derivatves</w:t>
            </w: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Fair values of Kodak’s foreign currency forward contracts are determined using observable inputs (Level 2 fair value measurements) and are based on the present value of expected future cash fows (an income approach valuaton technique) considering the risks involved and using discount rates appropriate for the duraton of the contracts. The gross fair value of foreign currency forward contracts in an asset positon are reported in Other current assets and the gross fair value of foreign currency forward contracts in a liability positon are reported in Other current liabilites in the Consolidated Statement of Financial Positon. The gross fair value of forward contracts in an asset positon as of June 30, 2023 and December 31, 2022 was $0 million and $1 million, respectvely. The gross fair value of foreign currency forward contracts in a liability positon as of June 30, 2023 and December 31, 2022 was $6 million and $1 million, respectvely.</w:t>
      </w:r>
    </w:p>
    <w:p>
      <w:pPr>
        <w:spacing w:after="0" w:line="200" w:lineRule="exact"/>
        <w:rPr>
          <w:sz w:val="20"/>
          <w:szCs w:val="20"/>
          <w:color w:val="auto"/>
        </w:rPr>
      </w:pPr>
    </w:p>
    <w:p>
      <w:pPr>
        <w:ind w:right="440"/>
        <w:spacing w:after="0" w:line="303" w:lineRule="auto"/>
        <w:rPr>
          <w:sz w:val="20"/>
          <w:szCs w:val="20"/>
          <w:color w:val="auto"/>
        </w:rPr>
      </w:pPr>
      <w:r>
        <w:rPr>
          <w:rFonts w:ascii="Arial" w:cs="Arial" w:eastAsia="Arial" w:hAnsi="Arial"/>
          <w:sz w:val="17"/>
          <w:szCs w:val="17"/>
          <w:color w:val="auto"/>
        </w:rPr>
        <w:t>Transfers between levels of the fair value hierarchy are recognized based on the actual date of the event or change in circumstances that caused the transfer. There were no transfers between levels of the fair value hierarchy during the three and six months ended June 30, 2023.</w:t>
      </w:r>
    </w:p>
    <w:p>
      <w:pPr>
        <w:spacing w:after="0" w:line="154"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The fair values of the embedded conversion features derivatves were calculated using unobservable inputs (Level 3 fair measurements). The fair values of the embedded derivatves associated with the Convertble Notes and Series B and Series C Preferred Stock were calculated using a binomial latce model.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key inputs in the determinaton of fair value for the embedded conversion features: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00" w:type="dxa"/>
            <w:vAlign w:val="bottom"/>
            <w:gridSpan w:val="2"/>
          </w:tcPr>
          <w:p>
            <w:pPr>
              <w:spacing w:after="0"/>
              <w:rPr>
                <w:sz w:val="20"/>
                <w:szCs w:val="20"/>
                <w:color w:val="auto"/>
              </w:rPr>
            </w:pPr>
            <w:r>
              <w:rPr>
                <w:rFonts w:ascii="Arial" w:cs="Arial" w:eastAsia="Arial" w:hAnsi="Arial"/>
                <w:sz w:val="18"/>
                <w:szCs w:val="18"/>
                <w:color w:val="auto"/>
              </w:rPr>
              <w:t>Convertble Notes:</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9"/>
        </w:trPr>
        <w:tc>
          <w:tcPr>
            <w:tcW w:w="11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40" w:type="dxa"/>
            <w:vAlign w:val="bottom"/>
            <w:gridSpan w:val="8"/>
          </w:tcPr>
          <w:p>
            <w:pPr>
              <w:ind w:left="20"/>
              <w:spacing w:after="0"/>
              <w:rPr>
                <w:sz w:val="20"/>
                <w:szCs w:val="20"/>
                <w:color w:val="auto"/>
              </w:rPr>
            </w:pPr>
            <w:r>
              <w:rPr>
                <w:rFonts w:ascii="Arial" w:cs="Arial" w:eastAsia="Arial" w:hAnsi="Arial"/>
                <w:sz w:val="18"/>
                <w:szCs w:val="18"/>
                <w:b w:val="1"/>
                <w:bCs w:val="1"/>
                <w:color w:val="auto"/>
              </w:rPr>
              <w:t>Valuaton Date</w:t>
            </w:r>
          </w:p>
        </w:tc>
      </w:tr>
      <w:tr>
        <w:trPr>
          <w:trHeight w:val="216"/>
        </w:trPr>
        <w:tc>
          <w:tcPr>
            <w:tcW w:w="1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center"/>
              <w:ind w:left="370"/>
              <w:spacing w:after="0"/>
              <w:rPr>
                <w:sz w:val="20"/>
                <w:szCs w:val="20"/>
                <w:color w:val="auto"/>
              </w:rPr>
            </w:pPr>
            <w:r>
              <w:rPr>
                <w:rFonts w:ascii="Arial" w:cs="Arial" w:eastAsia="Arial" w:hAnsi="Arial"/>
                <w:sz w:val="18"/>
                <w:szCs w:val="18"/>
                <w:b w:val="1"/>
                <w:bCs w:val="1"/>
                <w:color w:val="auto"/>
                <w:w w:val="83"/>
              </w:rPr>
              <w:t>June 30,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4"/>
        </w:trPr>
        <w:tc>
          <w:tcPr>
            <w:tcW w:w="112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08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9"/>
              </w:rPr>
              <w:t>2023</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21"/>
                <w:szCs w:val="21"/>
                <w:color w:val="auto"/>
              </w:rPr>
            </w:pP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value of embedded derivatve liability ($ millions)</w:t>
            </w:r>
          </w:p>
        </w:tc>
        <w:tc>
          <w:tcPr>
            <w:tcW w:w="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Kodak's closing stock price</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2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stock price volatlity</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60.00%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12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Risk free rate</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4.52%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Implied credit spread on the Convertble Notes</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24.23%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26.19%</w:t>
            </w:r>
          </w:p>
        </w:tc>
      </w:tr>
      <w:tr>
        <w:trPr>
          <w:trHeight w:val="410"/>
        </w:trPr>
        <w:tc>
          <w:tcPr>
            <w:tcW w:w="6700" w:type="dxa"/>
            <w:vAlign w:val="bottom"/>
            <w:gridSpan w:val="2"/>
          </w:tcPr>
          <w:p>
            <w:pPr>
              <w:spacing w:after="0"/>
              <w:rPr>
                <w:sz w:val="20"/>
                <w:szCs w:val="20"/>
                <w:color w:val="auto"/>
              </w:rPr>
            </w:pPr>
            <w:r>
              <w:rPr>
                <w:rFonts w:ascii="Arial" w:cs="Arial" w:eastAsia="Arial" w:hAnsi="Arial"/>
                <w:sz w:val="18"/>
                <w:szCs w:val="18"/>
                <w:color w:val="auto"/>
              </w:rPr>
              <w:t>Series B Preferred Stock:</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9"/>
        </w:trPr>
        <w:tc>
          <w:tcPr>
            <w:tcW w:w="11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40" w:type="dxa"/>
            <w:vAlign w:val="bottom"/>
            <w:gridSpan w:val="8"/>
          </w:tcPr>
          <w:p>
            <w:pPr>
              <w:ind w:left="20"/>
              <w:spacing w:after="0"/>
              <w:rPr>
                <w:sz w:val="20"/>
                <w:szCs w:val="20"/>
                <w:color w:val="auto"/>
              </w:rPr>
            </w:pPr>
            <w:r>
              <w:rPr>
                <w:rFonts w:ascii="Arial" w:cs="Arial" w:eastAsia="Arial" w:hAnsi="Arial"/>
                <w:sz w:val="18"/>
                <w:szCs w:val="18"/>
                <w:b w:val="1"/>
                <w:bCs w:val="1"/>
                <w:color w:val="auto"/>
              </w:rPr>
              <w:t>Valuaton Date</w:t>
            </w:r>
          </w:p>
        </w:tc>
      </w:tr>
      <w:tr>
        <w:trPr>
          <w:trHeight w:val="216"/>
        </w:trPr>
        <w:tc>
          <w:tcPr>
            <w:tcW w:w="1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center"/>
              <w:ind w:left="370"/>
              <w:spacing w:after="0"/>
              <w:rPr>
                <w:sz w:val="20"/>
                <w:szCs w:val="20"/>
                <w:color w:val="auto"/>
              </w:rPr>
            </w:pPr>
            <w:r>
              <w:rPr>
                <w:rFonts w:ascii="Arial" w:cs="Arial" w:eastAsia="Arial" w:hAnsi="Arial"/>
                <w:sz w:val="18"/>
                <w:szCs w:val="18"/>
                <w:b w:val="1"/>
                <w:bCs w:val="1"/>
                <w:color w:val="auto"/>
                <w:w w:val="83"/>
              </w:rPr>
              <w:t>June 30,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4"/>
        </w:trPr>
        <w:tc>
          <w:tcPr>
            <w:tcW w:w="112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08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9"/>
              </w:rPr>
              <w:t>2023</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21"/>
                <w:szCs w:val="21"/>
                <w:color w:val="auto"/>
              </w:rPr>
            </w:pP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value of embedded derivatve liability ($ millions)</w:t>
            </w:r>
          </w:p>
        </w:tc>
        <w:tc>
          <w:tcPr>
            <w:tcW w:w="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Kodak's closing stock price</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2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stock price volatlity</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60.00%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12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Risk free rate</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4.52%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Implied credit spread on the preferred stock</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25.23%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27.19%</w:t>
            </w:r>
          </w:p>
        </w:tc>
      </w:tr>
      <w:tr>
        <w:trPr>
          <w:trHeight w:val="411"/>
        </w:trPr>
        <w:tc>
          <w:tcPr>
            <w:tcW w:w="670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9"/>
        </w:trPr>
        <w:tc>
          <w:tcPr>
            <w:tcW w:w="11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40" w:type="dxa"/>
            <w:vAlign w:val="bottom"/>
            <w:gridSpan w:val="8"/>
          </w:tcPr>
          <w:p>
            <w:pPr>
              <w:ind w:left="20"/>
              <w:spacing w:after="0"/>
              <w:rPr>
                <w:sz w:val="20"/>
                <w:szCs w:val="20"/>
                <w:color w:val="auto"/>
              </w:rPr>
            </w:pPr>
            <w:r>
              <w:rPr>
                <w:rFonts w:ascii="Arial" w:cs="Arial" w:eastAsia="Arial" w:hAnsi="Arial"/>
                <w:sz w:val="18"/>
                <w:szCs w:val="18"/>
                <w:b w:val="1"/>
                <w:bCs w:val="1"/>
                <w:color w:val="auto"/>
              </w:rPr>
              <w:t>Valuaton Date</w:t>
            </w:r>
          </w:p>
        </w:tc>
      </w:tr>
      <w:tr>
        <w:trPr>
          <w:trHeight w:val="216"/>
        </w:trPr>
        <w:tc>
          <w:tcPr>
            <w:tcW w:w="1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center"/>
              <w:ind w:left="330"/>
              <w:spacing w:after="0"/>
              <w:rPr>
                <w:sz w:val="20"/>
                <w:szCs w:val="20"/>
                <w:color w:val="auto"/>
              </w:rPr>
            </w:pPr>
            <w:r>
              <w:rPr>
                <w:rFonts w:ascii="Arial" w:cs="Arial" w:eastAsia="Arial" w:hAnsi="Arial"/>
                <w:sz w:val="18"/>
                <w:szCs w:val="18"/>
                <w:b w:val="1"/>
                <w:bCs w:val="1"/>
                <w:color w:val="auto"/>
                <w:w w:val="83"/>
              </w:rPr>
              <w:t>June 30,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4"/>
        </w:trPr>
        <w:tc>
          <w:tcPr>
            <w:tcW w:w="112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08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b w:val="1"/>
                <w:bCs w:val="1"/>
                <w:color w:val="auto"/>
                <w:w w:val="89"/>
              </w:rPr>
              <w:t>2023</w:t>
            </w:r>
          </w:p>
        </w:tc>
        <w:tc>
          <w:tcPr>
            <w:tcW w:w="4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21"/>
                <w:szCs w:val="21"/>
                <w:color w:val="auto"/>
              </w:rPr>
            </w:pP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value of embedded derivatve liability ($ millions)</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Kodak's closing stock price</w:t>
            </w:r>
          </w:p>
        </w:tc>
        <w:tc>
          <w:tcPr>
            <w:tcW w:w="1080" w:type="dxa"/>
            <w:vAlign w:val="bottom"/>
            <w:gridSpan w:val="2"/>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stock price volatlity</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60.00%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12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Risk free rate</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4.52%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Implied credit spread on the preferred stock</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27.23%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29.19%</w:t>
            </w:r>
          </w:p>
        </w:tc>
      </w:tr>
    </w:tbl>
    <w:p>
      <w:pPr>
        <w:spacing w:after="0" w:line="18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Fundamental Change values at issuance were calculated as the diference between the total value of the Convertble Notes, Series B or Series C Preferred Stock, as applicable, and the sum of the net present value of the cash fows if the Convertble Notes are repaid at their maturity date or Series B and Series C Preferred Stock are redeemed on their redempton date and the values of the other embedded derivatves. The Fundamental Change values reduce the value of the embedded conversion features derivatve liability. Other than events that alter the likelihood of a fundamental change or reorganizaton event, the value of the Fundamental Change refects the value as of the issuance date, amortzed for the passage of tme.</w:t>
      </w:r>
    </w:p>
    <w:p>
      <w:pPr>
        <w:spacing w:after="0" w:line="180"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fair values of long-term debt (Level 2 fair value measurements) are determined by reference to quoted market prices of similar instruments, if available, or by pricing models based on the value of related cash fows discounted at current market interest rates. The fair values of long-term borrowings were $290 million and $271 million at June 30, 2023 and December 31, 2022, respectvely. The carrying values of cash and cash equivalents, restricted cash and the current porton of long-term debt approximate their fair values at both June 30, 2023 and December 31, 2022.</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Conditon and Results of Operatons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PURSUANT TO SAFE HARBOR PROVISIONS OF THE PRIVATE SECURITIES LITIGATION REFORM ACT OF 1995</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defned under the Private Securites Litgaton Reform Act of 1995.</w:t>
      </w: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Forward–looking statements include statements concerning Kodak’s plans, objectves, goals, strategies, future events, future revenue or performance, capital expenditures, liquidity, investments, fnancing needs and business trends and other informaton that is not historical informaton. When used in this document, the words “estmates,” “expects,” “antcipates,” “projects,” “plans,” “intends,” “believes,” “predicts,” “forecasts,” “strategy,” “contnues,” “goals,” “targets” or future or conditonal verbs, such as “will,” “should,” “could,” or “may,” and similar words and expressions, as well as statements that do not relate strictly to historical or current facts, are intended to identfy forward–looking statements. All forward–looking statements, including management’s examinaton of historical operatng trends and data, are based upon Kodak’s current expectatons and assumptons. Forward-looking statements are subject to risks, uncertaintes and other factors that could cause actual results to difer materially from historical results or those expressed in or implied by such forward-looking statements. Important factors that could cause actual events or results to difer materially from the forward-looking statements include, among others, the risks and uncertaintes described in more detail in the Company’s Annual Report on Form 10–K for the year ended December 31, 2022 under the headings “Business,” “Risk Factors,” “Legal Proceedings,” and/or “Management’s Discussion and Analysis of Financial Conditon and Results of Operatons–Liquidity and Capital Resources,” in the corresponding sectons of this report on Form 10-Q and the Company’s quarterly report on Form 10-Q for the quarter ended March 31, 2023, and in other flings the Company makes with the SEC from tme to tme, as well as the following:</w:t>
      </w:r>
    </w:p>
    <w:p>
      <w:pPr>
        <w:spacing w:after="0" w:line="18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improve and sustain its operatng structure, cash fow, proftability and other fnancial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achieve strategic objectves, cash forecasts, fnancial projectons and projected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achieve the fnancial and operatonal results contained in its business plans;</w:t>
      </w:r>
    </w:p>
    <w:p>
      <w:pPr>
        <w:spacing w:after="0" w:line="225" w:lineRule="exact"/>
        <w:rPr>
          <w:rFonts w:ascii="Arial" w:cs="Arial" w:eastAsia="Arial" w:hAnsi="Arial"/>
          <w:sz w:val="18"/>
          <w:szCs w:val="18"/>
          <w:color w:val="auto"/>
        </w:rPr>
      </w:pPr>
    </w:p>
    <w:p>
      <w:pPr>
        <w:ind w:left="660" w:right="180" w:hanging="328"/>
        <w:spacing w:after="0" w:line="303"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Kodak’s ability to obtain additonal or alternate fnancing if and as needed, Kodak's contnued ability to manage world-wide cash through inter-company loans, distributons and other mechanisms, and Kodak's ability to provide or facilitate fnancing for its customers;</w:t>
      </w:r>
    </w:p>
    <w:p>
      <w:pPr>
        <w:spacing w:after="0" w:line="154" w:lineRule="exact"/>
        <w:rPr>
          <w:rFonts w:ascii="Arial" w:cs="Arial" w:eastAsia="Arial" w:hAnsi="Arial"/>
          <w:sz w:val="17"/>
          <w:szCs w:val="17"/>
          <w:color w:val="auto"/>
        </w:rPr>
      </w:pPr>
    </w:p>
    <w:p>
      <w:pPr>
        <w:ind w:left="660" w:right="100" w:hanging="328"/>
        <w:spacing w:after="0" w:line="27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fund contnued investments, capital needs, collateral requirements and restructuring payments and service its debt and Series B Preferred Stock and Series C Preferred Stock;</w:t>
      </w:r>
    </w:p>
    <w:p>
      <w:pPr>
        <w:spacing w:after="0" w:line="17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interest rates and tarif rates;</w:t>
      </w:r>
    </w:p>
    <w:p>
      <w:pPr>
        <w:spacing w:after="0" w:line="225" w:lineRule="exact"/>
        <w:rPr>
          <w:rFonts w:ascii="Arial" w:cs="Arial" w:eastAsia="Arial" w:hAnsi="Arial"/>
          <w:sz w:val="18"/>
          <w:szCs w:val="18"/>
          <w:color w:val="auto"/>
        </w:rPr>
      </w:pPr>
    </w:p>
    <w:p>
      <w:pPr>
        <w:ind w:left="660" w:right="700" w:hanging="328"/>
        <w:spacing w:after="0" w:line="284"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impact of the global economic environment, including infatonary pressures, medical epidemics such as the COVID-19 pandemic, geopolitcal issues such as the war in Ukraine, and Kodak’s ability to efectvely mitgate the associated increased costs of aluminum and other raw materials, energy, labor, shipping, delays in shipment and producton tmes, and fuctuatons in demand;</w:t>
      </w:r>
    </w:p>
    <w:p>
      <w:pPr>
        <w:spacing w:after="0" w:line="170" w:lineRule="exact"/>
        <w:rPr>
          <w:rFonts w:ascii="Arial" w:cs="Arial" w:eastAsia="Arial" w:hAnsi="Arial"/>
          <w:sz w:val="17"/>
          <w:szCs w:val="17"/>
          <w:color w:val="auto"/>
        </w:rPr>
      </w:pPr>
    </w:p>
    <w:p>
      <w:pPr>
        <w:ind w:left="660" w:right="1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by third partes of their obligatons to supply products, components or services to Kodak and Kodak’s ability to address supply chain disruptons and contnue to obtain raw materials and components available from single or limited sources of supply, which may be adversely afected by the COVID-19 pandemic and the war in Ukraine;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23" w:lineRule="exact"/>
        <w:rPr>
          <w:sz w:val="20"/>
          <w:szCs w:val="20"/>
          <w:color w:val="auto"/>
        </w:rPr>
      </w:pPr>
    </w:p>
    <w:p>
      <w:pPr>
        <w:jc w:val="both"/>
        <w:ind w:left="660" w:right="480" w:hanging="328"/>
        <w:spacing w:after="0" w:line="33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Kodak’s ability to efectvely antcipate technology and industry trends and develop and market new products, solutons and technologies, including products based on its technology and expertse that relate to industries in which it does not currently conduct material business;</w:t>
      </w:r>
    </w:p>
    <w:p>
      <w:pPr>
        <w:spacing w:after="0" w:line="13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efectvely compete with large, well-fnanced industry partcipants;</w:t>
      </w:r>
    </w:p>
    <w:p>
      <w:pPr>
        <w:spacing w:after="0" w:line="225" w:lineRule="exact"/>
        <w:rPr>
          <w:rFonts w:ascii="Arial" w:cs="Arial" w:eastAsia="Arial" w:hAnsi="Arial"/>
          <w:sz w:val="18"/>
          <w:szCs w:val="18"/>
          <w:color w:val="auto"/>
        </w:rPr>
      </w:pPr>
    </w:p>
    <w:p>
      <w:pPr>
        <w:ind w:left="660" w:right="240" w:hanging="328"/>
        <w:spacing w:after="0" w:line="27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efect strategic transactons, such as investments, acquisitons, strategic alliances, divesttures and similar transactons, or to achieve the benefts sought to be achieved from such strategic transactons;</w:t>
      </w:r>
    </w:p>
    <w:p>
      <w:pPr>
        <w:spacing w:after="0" w:line="17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discontnue, sell or spin-of certain non-core businesses or operatons, or otherwise monetze assets;</w:t>
      </w:r>
    </w:p>
    <w:p>
      <w:pPr>
        <w:spacing w:after="0" w:line="225" w:lineRule="exact"/>
        <w:rPr>
          <w:rFonts w:ascii="Arial" w:cs="Arial" w:eastAsia="Arial" w:hAnsi="Arial"/>
          <w:sz w:val="18"/>
          <w:szCs w:val="18"/>
          <w:color w:val="auto"/>
        </w:rPr>
      </w:pPr>
    </w:p>
    <w:p>
      <w:pPr>
        <w:ind w:left="660" w:right="180" w:hanging="328"/>
        <w:spacing w:after="0" w:line="224" w:lineRule="exact"/>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impact of the investgatons, litgaton and claims arising out of the circumstances surrounding the announcement on July 28, 2020, by the U.S. Internatonal Development Finance Corporaton of the signing of a non</w:t>
      </w:r>
      <w:r>
        <w:rPr>
          <w:rFonts w:ascii="MS PGothic" w:cs="MS PGothic" w:eastAsia="MS PGothic" w:hAnsi="MS PGothic"/>
          <w:sz w:val="17"/>
          <w:szCs w:val="17"/>
          <w:color w:val="auto"/>
        </w:rPr>
        <w:t>‐</w:t>
      </w:r>
      <w:r>
        <w:rPr>
          <w:rFonts w:ascii="Arial" w:cs="Arial" w:eastAsia="Arial" w:hAnsi="Arial"/>
          <w:sz w:val="17"/>
          <w:szCs w:val="17"/>
          <w:color w:val="auto"/>
        </w:rPr>
        <w:t>binding leter of interest to provide a subsidiary of Kodak with a potental loan to support the launch of an initatve for the manufacture of pharmaceutcal ingredients for essental generic drugs; and</w:t>
      </w:r>
    </w:p>
    <w:p>
      <w:pPr>
        <w:spacing w:after="0" w:line="219" w:lineRule="exact"/>
        <w:rPr>
          <w:rFonts w:ascii="Arial" w:cs="Arial" w:eastAsia="Arial" w:hAnsi="Arial"/>
          <w:sz w:val="17"/>
          <w:szCs w:val="17"/>
          <w:color w:val="auto"/>
        </w:rPr>
      </w:pPr>
    </w:p>
    <w:p>
      <w:pPr>
        <w:ind w:left="660" w:right="540" w:hanging="328"/>
        <w:spacing w:after="0" w:line="221" w:lineRule="exact"/>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potental impact of force majeure events, cyber</w:t>
      </w:r>
      <w:r>
        <w:rPr>
          <w:rFonts w:ascii="MS PGothic" w:cs="MS PGothic" w:eastAsia="MS PGothic" w:hAnsi="MS PGothic"/>
          <w:sz w:val="18"/>
          <w:szCs w:val="18"/>
          <w:color w:val="auto"/>
        </w:rPr>
        <w:t>‐</w:t>
      </w:r>
      <w:r>
        <w:rPr>
          <w:rFonts w:ascii="Arial" w:cs="Arial" w:eastAsia="Arial" w:hAnsi="Arial"/>
          <w:sz w:val="18"/>
          <w:szCs w:val="18"/>
          <w:color w:val="auto"/>
        </w:rPr>
        <w:t>atacks or other data security incidents that could disrupt or otherwise harm Kodak’s operatons.</w:t>
      </w:r>
    </w:p>
    <w:p>
      <w:pPr>
        <w:spacing w:after="0" w:line="2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Future events and other factors may cause Kodak’s actual results to difer materially from the forward–looking statements. All forward–looking statements atributable to Kodak or persons actng on its behalf apply only as of the date of this report on Form 10-Q and are expressly qualifed in their entrety by the cautonary statements included or referenced in this document.</w:t>
      </w:r>
    </w:p>
    <w:p>
      <w:pPr>
        <w:spacing w:after="0" w:line="186"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color w:val="auto"/>
        </w:rPr>
        <w:t>Kodak undertakes no obligaton to update or revise forward–looking statements to refect events or circumstances that arise afer the date made or to refect the occurrence of unantcipated events, except as required by law.</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Kodak is a global manufacturer focused on commercial print and advanced materials and chemicals. Kodak provides industry-leading hardware, sofware, consumables and services primarily to customers in commercial print, packaging, publishing, manufacturing and entertainment. With 79,000 patents earned over 130 years of research and development ("R&amp;D"), Kodak believes in the power of technology and science to enhance what the world sees and creates. Kodak’s innovatve, award-winning products, combined with its customer-frst approach, allows Kodak to atract customers worldwide. Kodak is commited to environmental stewardship, including industry leadership in developing sustainable solutons for print.</w:t>
      </w:r>
    </w:p>
    <w:p>
      <w:pPr>
        <w:spacing w:after="0" w:line="18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Consolidated revenues in the three and six months ended June 30, 2023 were $295 million and $573 million, respectvely, a decrease of $26 million (8%) and $38 million (6%) when compared to the three and six months ended June 30, 2022, respectvely. Currency had no impact on revenues in the three months ended June 30, 2023 compared to the three months ended June 30, 2022 and unfavorably impacted revenue in the six months ended June 30, 2023 compared to the six months ended June 30, 2022 ($10 million).</w:t>
      </w:r>
    </w:p>
    <w:p>
      <w:pPr>
        <w:spacing w:after="0" w:line="19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Print revenues, which accounted for 73% and 74% of Kodak’s total revenues for the three and six months ended June 30, 2023, respectvely, declined by $37 million (15%) and $56 million (12%) compared to the prior year quarter and six-month periods. For the three and six months ended June 30, 2023, volume for SONORA Process Free Plates declined by 9% and 11%, respectvely, or improved 3% and declined 5%, respectvely, when including volume under a royalty-based licensing agreement. In the three and six months ended June 30, 2023, Advanced Materials and Chemicals revenue improved $11 million (18%) and $18 million (16%), respectvely, compared to the prior year periods.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Environment and Other Global Events</w:t>
      </w:r>
      <w:r>
        <w:rPr>
          <w:rFonts w:ascii="Arial" w:cs="Arial" w:eastAsia="Arial" w:hAnsi="Arial"/>
          <w:sz w:val="18"/>
          <w:szCs w:val="18"/>
          <w:b w:val="1"/>
          <w:bCs w:val="1"/>
          <w:i w:val="1"/>
          <w:iCs w:val="1"/>
          <w:color w:val="auto"/>
        </w:rPr>
        <w:t>:</w:t>
      </w:r>
    </w:p>
    <w:p>
      <w:pPr>
        <w:spacing w:after="0" w:line="2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Kodak's products are sold and serviced in numerous countries across the globe with more than half of sales generated outside the U.S. Current global economic conditons remain highly volatle due to the uncertain and unpredictable macroeconomic environment, heightened levels of infaton, changes in foreign exchange rates, the war in Ukraine, and other global events which impact Kodak’s operatons. Kodak is experiencing supply chain disruptons, shortages in materials and labor, and increased labor, material and distributon costs as well as volume declines for certain businesses.</w:t>
      </w:r>
    </w:p>
    <w:p>
      <w:pPr>
        <w:spacing w:after="0" w:line="166" w:lineRule="exact"/>
        <w:rPr>
          <w:sz w:val="20"/>
          <w:szCs w:val="20"/>
          <w:color w:val="auto"/>
        </w:rPr>
      </w:pPr>
    </w:p>
    <w:p>
      <w:pPr>
        <w:jc w:val="both"/>
        <w:ind w:right="280"/>
        <w:spacing w:after="0" w:line="224" w:lineRule="exact"/>
        <w:rPr>
          <w:sz w:val="20"/>
          <w:szCs w:val="20"/>
          <w:color w:val="auto"/>
        </w:rPr>
      </w:pPr>
      <w:r>
        <w:rPr>
          <w:rFonts w:ascii="Arial" w:cs="Arial" w:eastAsia="Arial" w:hAnsi="Arial"/>
          <w:sz w:val="17"/>
          <w:szCs w:val="17"/>
          <w:color w:val="auto"/>
        </w:rPr>
        <w:t>Kodak has implemented numerous measures to mitgate the challenges associated with supply chain disruptons and shortages in materials, including increasing safety stock on certain materials, increasing lead</w:t>
      </w:r>
      <w:r>
        <w:rPr>
          <w:rFonts w:ascii="MS PGothic" w:cs="MS PGothic" w:eastAsia="MS PGothic" w:hAnsi="MS PGothic"/>
          <w:sz w:val="17"/>
          <w:szCs w:val="17"/>
          <w:color w:val="auto"/>
        </w:rPr>
        <w:t>‐</w:t>
      </w:r>
      <w:r>
        <w:rPr>
          <w:rFonts w:ascii="Arial" w:cs="Arial" w:eastAsia="Arial" w:hAnsi="Arial"/>
          <w:sz w:val="17"/>
          <w:szCs w:val="17"/>
          <w:color w:val="auto"/>
        </w:rPr>
        <w:t>tmes, providing suppliers with longer forecasts of future demand and certfying additonal sources or substtute materials where possible. These measures have enabled Kodak to largely meet current demand.</w:t>
      </w:r>
    </w:p>
    <w:p>
      <w:pPr>
        <w:spacing w:after="0" w:line="20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Kodak has also implemented various pricing actons in response to increased labor, material and distributon costs primarily within its Print and Advanced Materials and Chemicals segments. In order to mitgate the impact of higher aluminum, energy and packaging costs, the Print segment implemented surcharges on purchases of plates largely beginning in the later part of the second quarter of 2021 that contnue to be periodically reviewed and adjusted for accordingly.</w:t>
      </w:r>
    </w:p>
    <w:p>
      <w:pPr>
        <w:spacing w:after="0" w:line="19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Advanced Materials and Chemicals segment has experienced labor shortages in certain manufacturing areas. Increased demand for consumer flm products along with manufacturing equipment limitatons and labor shortages have contributed to increased backorders. Kodak has increased headcount in this segment to beter meet demand, but expects that supply will contnue to be constrained by manufacturing equipment limitatons without further capital improvements.</w:t>
      </w:r>
    </w:p>
    <w:p>
      <w:pPr>
        <w:spacing w:after="0" w:line="190" w:lineRule="exact"/>
        <w:rPr>
          <w:sz w:val="20"/>
          <w:szCs w:val="20"/>
          <w:color w:val="auto"/>
        </w:rPr>
      </w:pPr>
    </w:p>
    <w:p>
      <w:pPr>
        <w:ind w:right="620"/>
        <w:spacing w:after="0" w:line="300" w:lineRule="auto"/>
        <w:rPr>
          <w:sz w:val="20"/>
          <w:szCs w:val="20"/>
          <w:color w:val="auto"/>
        </w:rPr>
      </w:pPr>
      <w:r>
        <w:rPr>
          <w:rFonts w:ascii="Arial" w:cs="Arial" w:eastAsia="Arial" w:hAnsi="Arial"/>
          <w:sz w:val="16"/>
          <w:szCs w:val="16"/>
          <w:color w:val="auto"/>
        </w:rPr>
        <w:t>Due to current global economic conditons and pricing actons, the Print segment is experiencing a slowdown in customer demand for plates that negatvely impacted volume. Kodak has implemented various actons in response, including supply chain and workforce optmizaton, productvity improvements and other cost savings that are projected to mitgate the impact of lower volumes. However, the potental worsening of economic conditons and the negatve impact on customer demand due to further pricing actons could unfavorably impact this segment's operatng results.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Kodak contnues to monitor the rapidly evolving events surrounding the war in Ukraine and the various sanctons imposed in response to the war. Kodak is in compliance with all sanctons. Kodak is experiencing worldwide supply constraints for aluminum and electronic components, and increased energy and transportaton costs due in part to the war in Ukraine. The extent to which the military confict in Ukraine will contnue to impact the global economy and Kodak's business and operatons remains uncertain.</w:t>
      </w:r>
    </w:p>
    <w:p>
      <w:pPr>
        <w:spacing w:after="0" w:line="190"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war in Ukraine and the internatonal response have disrupted Kodak’s ability to operate its Russian subsidiary in the ordinary course, afectng its ability to pay vendors and employees, receive amounts owed from customers in Russia and deliver product. Kodak is in the process of an orderly winding down of its Russian subsidiary and has ceased direct operatons in Russia. The direct operatons of Kodak’s Russian subsidiary did not have a material impact on the Company’s fnancial statements (less than 1% of total consolidated revenues and assets for 2022), and there were no material impacts on the consolidated results of operatons as of and for the quarter ended June 30, 2023 from the wind-down actvites.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The ongoing changes in global economic conditons and the impact of other global events on Kodak’s operatons and fnancial performance remains uncertain and will depend on several factors such as the duraton of supply chain disruptons and slowdown in customer demand, the ability to secure raw materials and components and the ability to ofset higher labor, material and distributon costs through pricing actons.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Kodak</w:t>
      </w:r>
      <w:r>
        <w:rPr>
          <w:rFonts w:ascii="Arial" w:cs="Arial" w:eastAsia="Arial" w:hAnsi="Arial"/>
          <w:sz w:val="18"/>
          <w:szCs w:val="18"/>
          <w:color w:val="auto"/>
        </w:rPr>
        <w:t>’</w:t>
      </w:r>
      <w:r>
        <w:rPr>
          <w:rFonts w:ascii="Arial" w:cs="Arial" w:eastAsia="Arial" w:hAnsi="Arial"/>
          <w:sz w:val="18"/>
          <w:szCs w:val="18"/>
          <w:b w:val="1"/>
          <w:bCs w:val="1"/>
          <w:color w:val="auto"/>
        </w:rPr>
        <w:t>s strategy</w:t>
      </w:r>
      <w:r>
        <w:rPr>
          <w:rFonts w:ascii="Arial" w:cs="Arial" w:eastAsia="Arial" w:hAnsi="Arial"/>
          <w:sz w:val="18"/>
          <w:szCs w:val="18"/>
          <w:b w:val="1"/>
          <w:bCs w:val="1"/>
          <w:i w:val="1"/>
          <w:iCs w:val="1"/>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flm industry and segments within the print industry face competton from digital substtuton. Kodak’s strategy is to:</w:t>
      </w:r>
    </w:p>
    <w:p>
      <w:pPr>
        <w:spacing w:after="0" w:line="212" w:lineRule="exact"/>
        <w:rPr>
          <w:sz w:val="20"/>
          <w:szCs w:val="20"/>
          <w:color w:val="auto"/>
        </w:rPr>
      </w:pPr>
    </w:p>
    <w:p>
      <w:pPr>
        <w:ind w:left="660" w:right="420" w:hanging="328"/>
        <w:spacing w:after="0" w:line="30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Focus product investment in core competency areas of print and advanced materials, leveraging Kodak’s proprietary technologies to deliver technologically advanced products in the product goods packaging, graphic communicatons, and functonal printng markets;</w:t>
      </w:r>
    </w:p>
    <w:p>
      <w:pPr>
        <w:spacing w:after="0" w:line="154"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 revenues through a focus on customers in Kodak’s print division, increasing overall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Promote the use of flm and expand the applicatons of Kodak’s flm and chemicals to best utlize the existng infrastructure;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Contnue to streamline processes to drive cost reductons and improve operatng leverage.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opportunites and challenges related to Kodak’s strategy follows:</w:t>
      </w:r>
    </w:p>
    <w:p>
      <w:pPr>
        <w:spacing w:after="0" w:line="225" w:lineRule="exact"/>
        <w:rPr>
          <w:sz w:val="20"/>
          <w:szCs w:val="20"/>
          <w:color w:val="auto"/>
        </w:rPr>
      </w:pPr>
    </w:p>
    <w:p>
      <w:pPr>
        <w:ind w:left="660" w:right="20" w:hanging="328"/>
        <w:spacing w:after="0" w:line="219" w:lineRule="exact"/>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Print’s digital plate products include traditonal digital plates and Kodak SONORA Process Free Plates. SONORA Process Free Plates allow Kodak customers to skip the plate processing step prior to mountng plates on a printng press. This improvement in the printng process saves tme and costs for customers. Also, SONORA Process Free Plates reduce the environmental impact of the printng process because they eliminate the use of chemicals (including solvents), water and power that is otherwise required to process a traditonal plate. The segment's digital plate products are experiencing challenges from higher prices and availability of raw materials, digital substtuton and compettve pricing pressures. Kodak seeks to mitgate the impact of increases in manufacturing costs, including aluminum prices, through a combinaton of surcharges and price increases, improved producton efciency and cost reducton initatves. In additon, Kodak seeks to ofset the impact of short-term and long</w:t>
      </w:r>
      <w:r>
        <w:rPr>
          <w:rFonts w:ascii="MS PGothic" w:cs="MS PGothic" w:eastAsia="MS PGothic" w:hAnsi="MS PGothic"/>
          <w:sz w:val="18"/>
          <w:szCs w:val="18"/>
          <w:color w:val="auto"/>
        </w:rPr>
        <w:t>‐</w:t>
      </w:r>
      <w:r>
        <w:rPr>
          <w:rFonts w:ascii="Arial" w:cs="Arial" w:eastAsia="Arial" w:hAnsi="Arial"/>
          <w:sz w:val="18"/>
          <w:szCs w:val="18"/>
          <w:color w:val="auto"/>
        </w:rPr>
        <w:t xml:space="preserve"> term market dynamics on pricing and volume pressures through innovatons in Kodak product lines, including investng in digital print technologies.</w:t>
      </w:r>
    </w:p>
    <w:p>
      <w:pPr>
        <w:spacing w:after="0" w:line="209"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Print's digital printng businesses, the PROSPER business is expected to grow as the legacy VERSAMARK business contnues to decline as a percentage of the segment’s total revenue. The PROSPER Inkjet Systems business is expected to contnue to build proftability. Kodak launched the PROSPER 7000 Turbo Press in June 2022. The PROSPER 7000 Turbo Press enables commercial, publishing and newspaper printers to compete more efectvely with ofset and to shif more long run jobs from conventonal printng processes to inkjet. During the second quarter of 2023, Kodak placed its frst PROSPER 7000 Turbo Press and expects it to be in producton during the third quarter of 2023. Investment in the next generaton technology, ULTRASTREAM, is focused on the ability to place ULTRASTREAM writng systems in Kodak branded presses and in various original equipment manufacturers in applicatons ranging from commercial print to packaging. The frst fexible packaging printng system utlizing Kodak’s ULTRASTREAM inkjet technology was placed during the second quarter of 2022. In additon, Kodak ofcially launched the KODAK PROSPER ULTRA 520 Digital Press utlizing Kodak’s ULTRASTREAM inkjet technology, which ofers ofset print quality in a smaller footprint. During the second quarter of 2023, Kodak placed its frst KODAK PROSPER ULTRA 520 Digital Press and expects it to be in producton during the third quarter of 2023. Kodak's Electrophotographic Printng Solutons business ceased manufacturing NEXFINITY and ASCEND printers efectve December 2022. Kodak will contnue to ofer ink and other consumables as well as provide service to its installed base of printers.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660" w:right="360" w:hanging="328"/>
        <w:spacing w:after="0" w:line="27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Advanced Materials and Chemicals is using Kodak’s deep expertse in chemistry and strengths in depositon and coatng processes that come from decades of experience in flm manufacturing to work on new initatves:</w:t>
      </w:r>
    </w:p>
    <w:p>
      <w:pPr>
        <w:spacing w:after="0" w:line="177" w:lineRule="exact"/>
        <w:rPr>
          <w:rFonts w:ascii="Arial" w:cs="Arial" w:eastAsia="Arial" w:hAnsi="Arial"/>
          <w:sz w:val="18"/>
          <w:szCs w:val="18"/>
          <w:color w:val="auto"/>
        </w:rPr>
      </w:pPr>
    </w:p>
    <w:p>
      <w:pPr>
        <w:ind w:left="980" w:hanging="324"/>
        <w:spacing w:after="0" w:line="271" w:lineRule="auto"/>
        <w:rPr>
          <w:rFonts w:ascii="Arial" w:cs="Arial" w:eastAsia="Arial" w:hAnsi="Arial"/>
          <w:sz w:val="18"/>
          <w:szCs w:val="18"/>
          <w:color w:val="auto"/>
        </w:rPr>
      </w:pPr>
      <w:r>
        <w:rPr>
          <w:rFonts w:ascii="Arial" w:cs="Arial" w:eastAsia="Arial" w:hAnsi="Arial"/>
          <w:sz w:val="17"/>
          <w:szCs w:val="17"/>
          <w:color w:val="auto"/>
        </w:rPr>
        <w:t xml:space="preserve">o Electric Vehicle (“EV”)/Energy Storage Batery Material Manufacturing </w:t>
      </w:r>
      <w:r>
        <w:rPr>
          <w:rFonts w:ascii="Arial" w:cs="Arial" w:eastAsia="Arial" w:hAnsi="Arial"/>
          <w:sz w:val="17"/>
          <w:szCs w:val="17"/>
          <w:i w:val="1"/>
          <w:iCs w:val="1"/>
          <w:color w:val="auto"/>
        </w:rPr>
        <w:t>-</w:t>
      </w:r>
      <w:r>
        <w:rPr>
          <w:rFonts w:ascii="Arial" w:cs="Arial" w:eastAsia="Arial" w:hAnsi="Arial"/>
          <w:sz w:val="17"/>
          <w:szCs w:val="17"/>
          <w:color w:val="auto"/>
        </w:rPr>
        <w:t xml:space="preserve"> Coatng of substrates is a critcal aspect of manufacturing materials for bateries and Kodak plans to capitalize on its expertse in coatng technology to develop opportunites in this area. Kodak is currently in the process of expanding its pilot coatng facility. On July 13, 2022, Kodak invested $25 million to acquire a minority preferred equity interest in Wildcat Discovery Technologies, Inc. (“Wildcat”), a private technology company that uses proprietary methods to research and develop new batery materials, including an EV batery. Kodak has also entered into an agreement to provide coatng and engineering services in collaboraton with Wildcat to develop and scale flm coatng technologies. Wildcat has granted Kodak certain rights to negotate a producton or licensing arrangement with Wildcat when and if Wildcat’s technology reaches commercial readiness.</w:t>
      </w:r>
    </w:p>
    <w:p>
      <w:pPr>
        <w:spacing w:after="0" w:line="182" w:lineRule="exact"/>
        <w:rPr>
          <w:rFonts w:ascii="Arial" w:cs="Arial" w:eastAsia="Arial" w:hAnsi="Arial"/>
          <w:sz w:val="18"/>
          <w:szCs w:val="18"/>
          <w:color w:val="auto"/>
        </w:rPr>
      </w:pPr>
    </w:p>
    <w:p>
      <w:pPr>
        <w:ind w:left="980" w:right="160" w:hanging="324"/>
        <w:spacing w:after="0" w:line="222" w:lineRule="exact"/>
        <w:rPr>
          <w:rFonts w:ascii="Arial" w:cs="Arial" w:eastAsia="Arial" w:hAnsi="Arial"/>
          <w:sz w:val="18"/>
          <w:szCs w:val="18"/>
          <w:color w:val="auto"/>
        </w:rPr>
      </w:pPr>
      <w:r>
        <w:rPr>
          <w:rFonts w:ascii="Arial" w:cs="Arial" w:eastAsia="Arial" w:hAnsi="Arial"/>
          <w:sz w:val="18"/>
          <w:szCs w:val="18"/>
          <w:color w:val="auto"/>
        </w:rPr>
        <w:t>o Light-Blocking Technology - Kodak plans to leverage a proprietary technology initally developed for electrophotographic toners to commercialize a carbon</w:t>
      </w:r>
      <w:r>
        <w:rPr>
          <w:rFonts w:ascii="MS PGothic" w:cs="MS PGothic" w:eastAsia="MS PGothic" w:hAnsi="MS PGothic"/>
          <w:sz w:val="18"/>
          <w:szCs w:val="18"/>
          <w:color w:val="auto"/>
        </w:rPr>
        <w:t>‐</w:t>
      </w:r>
      <w:r>
        <w:rPr>
          <w:rFonts w:ascii="Arial" w:cs="Arial" w:eastAsia="Arial" w:hAnsi="Arial"/>
          <w:sz w:val="18"/>
          <w:szCs w:val="18"/>
          <w:color w:val="auto"/>
        </w:rPr>
        <w:t>less fabric coatng designed to ofer superior light management, from complete blackout to selectve light fltering, and coatng compatbility with an unmatched range of fabrics. Kodak is installing a producton-scale coatng machine to coat fabrics in Eastman Business Park, located in Rochester, NY.</w:t>
      </w:r>
    </w:p>
    <w:p>
      <w:pPr>
        <w:spacing w:after="0" w:line="206" w:lineRule="exact"/>
        <w:rPr>
          <w:rFonts w:ascii="Arial" w:cs="Arial" w:eastAsia="Arial" w:hAnsi="Arial"/>
          <w:sz w:val="18"/>
          <w:szCs w:val="18"/>
          <w:color w:val="auto"/>
        </w:rPr>
      </w:pPr>
    </w:p>
    <w:p>
      <w:pPr>
        <w:ind w:left="980" w:right="120" w:hanging="324"/>
        <w:spacing w:after="0" w:line="226" w:lineRule="exact"/>
        <w:rPr>
          <w:rFonts w:ascii="Arial" w:cs="Arial" w:eastAsia="Arial" w:hAnsi="Arial"/>
          <w:sz w:val="18"/>
          <w:szCs w:val="18"/>
          <w:color w:val="auto"/>
        </w:rPr>
      </w:pPr>
      <w:r>
        <w:rPr>
          <w:rFonts w:ascii="Arial" w:cs="Arial" w:eastAsia="Arial" w:hAnsi="Arial"/>
          <w:sz w:val="18"/>
          <w:szCs w:val="18"/>
          <w:color w:val="auto"/>
        </w:rPr>
        <w:t>o Transparent Antennas - Kodak plans to leverage its proprietary copper micro</w:t>
      </w:r>
      <w:r>
        <w:rPr>
          <w:rFonts w:ascii="MS PGothic" w:cs="MS PGothic" w:eastAsia="MS PGothic" w:hAnsi="MS PGothic"/>
          <w:sz w:val="18"/>
          <w:szCs w:val="18"/>
          <w:color w:val="auto"/>
        </w:rPr>
        <w:t>‐</w:t>
      </w:r>
      <w:r>
        <w:rPr>
          <w:rFonts w:ascii="Arial" w:cs="Arial" w:eastAsia="Arial" w:hAnsi="Arial"/>
          <w:sz w:val="18"/>
          <w:szCs w:val="18"/>
          <w:color w:val="auto"/>
        </w:rPr>
        <w:t>wire technologies and high</w:t>
      </w:r>
      <w:r>
        <w:rPr>
          <w:rFonts w:ascii="MS PGothic" w:cs="MS PGothic" w:eastAsia="MS PGothic" w:hAnsi="MS PGothic"/>
          <w:sz w:val="18"/>
          <w:szCs w:val="18"/>
          <w:color w:val="auto"/>
        </w:rPr>
        <w:t>‐</w:t>
      </w:r>
      <w:r>
        <w:rPr>
          <w:rFonts w:ascii="Arial" w:cs="Arial" w:eastAsia="Arial" w:hAnsi="Arial"/>
          <w:sz w:val="18"/>
          <w:szCs w:val="18"/>
          <w:color w:val="auto"/>
        </w:rPr>
        <w:t>resoluton printng expertse to contract</w:t>
      </w:r>
      <w:r>
        <w:rPr>
          <w:rFonts w:ascii="MS PGothic" w:cs="MS PGothic" w:eastAsia="MS PGothic" w:hAnsi="MS PGothic"/>
          <w:sz w:val="18"/>
          <w:szCs w:val="18"/>
          <w:color w:val="auto"/>
        </w:rPr>
        <w:t>‐</w:t>
      </w:r>
      <w:r>
        <w:rPr>
          <w:rFonts w:ascii="Arial" w:cs="Arial" w:eastAsia="Arial" w:hAnsi="Arial"/>
          <w:sz w:val="18"/>
          <w:szCs w:val="18"/>
          <w:color w:val="auto"/>
        </w:rPr>
        <w:t>manufacture custom transparent antennas for automotve, commercial constructon, and other applicatons requiring excellent radio frequency (“RF”) and optcal performance. The integraton of antennas is growing worldwide due to the rapid expansion of 5G and an overall increase in RF communicatons, and the ubiquity of glass surfaces makes transparent antennas atractve for multple end</w:t>
      </w:r>
      <w:r>
        <w:rPr>
          <w:rFonts w:ascii="MS PGothic" w:cs="MS PGothic" w:eastAsia="MS PGothic" w:hAnsi="MS PGothic"/>
          <w:sz w:val="18"/>
          <w:szCs w:val="18"/>
          <w:color w:val="auto"/>
        </w:rPr>
        <w:t>‐</w:t>
      </w:r>
      <w:r>
        <w:rPr>
          <w:rFonts w:ascii="Arial" w:cs="Arial" w:eastAsia="Arial" w:hAnsi="Arial"/>
          <w:sz w:val="18"/>
          <w:szCs w:val="18"/>
          <w:color w:val="auto"/>
        </w:rPr>
        <w:t>use markets.</w:t>
      </w:r>
    </w:p>
    <w:p>
      <w:pPr>
        <w:spacing w:after="0" w:line="206" w:lineRule="exact"/>
        <w:rPr>
          <w:rFonts w:ascii="Arial" w:cs="Arial" w:eastAsia="Arial" w:hAnsi="Arial"/>
          <w:sz w:val="18"/>
          <w:szCs w:val="18"/>
          <w:color w:val="auto"/>
        </w:rPr>
      </w:pPr>
    </w:p>
    <w:p>
      <w:pPr>
        <w:ind w:left="980" w:right="220" w:hanging="324"/>
        <w:spacing w:after="0" w:line="258" w:lineRule="auto"/>
        <w:rPr>
          <w:rFonts w:ascii="Arial" w:cs="Arial" w:eastAsia="Arial" w:hAnsi="Arial"/>
          <w:sz w:val="18"/>
          <w:szCs w:val="18"/>
          <w:color w:val="auto"/>
        </w:rPr>
      </w:pPr>
      <w:r>
        <w:rPr>
          <w:rFonts w:ascii="Arial" w:cs="Arial" w:eastAsia="Arial" w:hAnsi="Arial"/>
          <w:sz w:val="18"/>
          <w:szCs w:val="18"/>
          <w:color w:val="auto"/>
        </w:rPr>
        <w:t>o Reagent Manufacturing - Kodak plans to capitalize on its existng chemical manufacturing expertse, including current producton of unregulated Key Startng Materials for pharmaceutcals, to implement an expansion into manufacturing Diagnostc Test Reagent solutons. Kodak has started constructon of a lab and manufacturing facility to manufacture reagents for healthcare applicatons within an existng building located at Eastman Business Park.</w:t>
      </w:r>
    </w:p>
    <w:p>
      <w:pPr>
        <w:spacing w:after="0" w:line="189" w:lineRule="exact"/>
        <w:rPr>
          <w:rFonts w:ascii="Arial" w:cs="Arial" w:eastAsia="Arial" w:hAnsi="Arial"/>
          <w:sz w:val="18"/>
          <w:szCs w:val="18"/>
          <w:color w:val="auto"/>
        </w:rPr>
      </w:pPr>
    </w:p>
    <w:p>
      <w:pPr>
        <w:ind w:left="660" w:right="180" w:hanging="328"/>
        <w:spacing w:after="0" w:line="27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Film and related component manufacturing operatons and Kodak Research Laboratories utlize capacity at Eastman Business Park, which helps cost absorpton for both Kodak operatons and tenants at Eastman Business Park.</w:t>
      </w:r>
    </w:p>
    <w:p>
      <w:pPr>
        <w:spacing w:after="0" w:line="177" w:lineRule="exact"/>
        <w:rPr>
          <w:rFonts w:ascii="Arial" w:cs="Arial" w:eastAsia="Arial" w:hAnsi="Arial"/>
          <w:sz w:val="18"/>
          <w:szCs w:val="18"/>
          <w:color w:val="auto"/>
        </w:rPr>
      </w:pPr>
    </w:p>
    <w:p>
      <w:pPr>
        <w:ind w:left="660" w:right="360" w:hanging="328"/>
        <w:spacing w:after="0" w:line="27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opportunites in 3D printng materials, smart material applicatons, and printed electronics markets.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COMPARED TO 2022</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5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400"/>
              <w:spacing w:after="0" w:line="151"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400"/>
              <w:spacing w:after="0" w:line="151"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400"/>
              <w:spacing w:after="0" w:line="151"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400"/>
              <w:spacing w:after="0" w:line="151"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95"/>
        </w:trPr>
        <w:tc>
          <w:tcPr>
            <w:tcW w:w="3440" w:type="dxa"/>
            <w:vAlign w:val="bottom"/>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6"/>
                <w:szCs w:val="16"/>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6"/>
                <w:szCs w:val="16"/>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Change</w:t>
            </w:r>
          </w:p>
        </w:tc>
      </w:tr>
      <w:tr>
        <w:trPr>
          <w:trHeight w:val="174"/>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20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2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2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22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Arial" w:cs="Arial" w:eastAsia="Arial" w:hAnsi="Arial"/>
                <w:sz w:val="14"/>
                <w:szCs w:val="14"/>
                <w:color w:val="auto"/>
              </w:rPr>
              <w:t>Cost of revenues</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232</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270</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460</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527</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(67)</w:t>
            </w:r>
          </w:p>
        </w:tc>
      </w:tr>
      <w:tr>
        <w:trPr>
          <w:trHeight w:val="20"/>
        </w:trPr>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Gross proft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4"/>
                <w:szCs w:val="14"/>
                <w:color w:val="auto"/>
              </w:rPr>
            </w:pPr>
          </w:p>
        </w:tc>
      </w:tr>
      <w:tr>
        <w:trPr>
          <w:trHeight w:val="176"/>
        </w:trPr>
        <w:tc>
          <w:tcPr>
            <w:tcW w:w="3440" w:type="dxa"/>
            <w:vAlign w:val="bottom"/>
          </w:tcPr>
          <w:p>
            <w:pPr>
              <w:spacing w:after="0"/>
              <w:rPr>
                <w:sz w:val="20"/>
                <w:szCs w:val="20"/>
                <w:color w:val="auto"/>
              </w:rPr>
            </w:pPr>
            <w:r>
              <w:rPr>
                <w:rFonts w:ascii="Arial" w:cs="Arial" w:eastAsia="Arial" w:hAnsi="Arial"/>
                <w:sz w:val="14"/>
                <w:szCs w:val="14"/>
                <w:color w:val="auto"/>
              </w:rPr>
              <w:t>Selling, general and administratve expenses</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41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84</w:t>
            </w:r>
          </w:p>
        </w:tc>
        <w:tc>
          <w:tcPr>
            <w:tcW w:w="2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r>
      <w:tr>
        <w:trPr>
          <w:trHeight w:val="175"/>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 costs</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w:t>
            </w:r>
          </w:p>
        </w:tc>
      </w:tr>
      <w:tr>
        <w:trPr>
          <w:trHeight w:val="176"/>
        </w:trPr>
        <w:tc>
          <w:tcPr>
            <w:tcW w:w="3440" w:type="dxa"/>
            <w:vAlign w:val="bottom"/>
          </w:tcPr>
          <w:p>
            <w:pPr>
              <w:spacing w:after="0"/>
              <w:rPr>
                <w:sz w:val="20"/>
                <w:szCs w:val="20"/>
                <w:color w:val="auto"/>
              </w:rPr>
            </w:pPr>
            <w:r>
              <w:rPr>
                <w:rFonts w:ascii="Arial" w:cs="Arial" w:eastAsia="Arial" w:hAnsi="Arial"/>
                <w:sz w:val="14"/>
                <w:szCs w:val="14"/>
                <w:color w:val="auto"/>
              </w:rPr>
              <w:t>Restructuring costs and other</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r>
      <w:tr>
        <w:trPr>
          <w:trHeight w:val="175"/>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Other operatng income</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45"/>
        </w:trPr>
        <w:tc>
          <w:tcPr>
            <w:tcW w:w="3440" w:type="dxa"/>
            <w:vAlign w:val="bottom"/>
            <w:tcBorders>
              <w:top w:val="single" w:sz="8" w:color="CCEEFF"/>
            </w:tcBorders>
          </w:tcPr>
          <w:p>
            <w:pPr>
              <w:spacing w:after="0" w:line="145" w:lineRule="exact"/>
              <w:rPr>
                <w:sz w:val="20"/>
                <w:szCs w:val="20"/>
                <w:color w:val="auto"/>
              </w:rPr>
            </w:pPr>
            <w:r>
              <w:rPr>
                <w:rFonts w:ascii="Arial" w:cs="Arial" w:eastAsia="Arial" w:hAnsi="Arial"/>
                <w:sz w:val="14"/>
                <w:szCs w:val="14"/>
                <w:color w:val="auto"/>
              </w:rPr>
              <w:t>Income (loss) from operatons before interest expense,</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75"/>
        </w:trPr>
        <w:tc>
          <w:tcPr>
            <w:tcW w:w="3440" w:type="dxa"/>
            <w:vAlign w:val="bottom"/>
          </w:tcPr>
          <w:p>
            <w:pPr>
              <w:spacing w:after="0"/>
              <w:rPr>
                <w:sz w:val="20"/>
                <w:szCs w:val="20"/>
                <w:color w:val="auto"/>
              </w:rPr>
            </w:pPr>
            <w:r>
              <w:rPr>
                <w:rFonts w:ascii="Arial" w:cs="Arial" w:eastAsia="Arial" w:hAnsi="Arial"/>
                <w:sz w:val="14"/>
                <w:szCs w:val="14"/>
                <w:color w:val="auto"/>
              </w:rPr>
              <w:t>pension income excluding service cost component,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3440" w:type="dxa"/>
            <w:vAlign w:val="bottom"/>
          </w:tcPr>
          <w:p>
            <w:pPr>
              <w:spacing w:after="0"/>
              <w:rPr>
                <w:sz w:val="20"/>
                <w:szCs w:val="20"/>
                <w:color w:val="auto"/>
              </w:rPr>
            </w:pPr>
            <w:r>
              <w:rPr>
                <w:rFonts w:ascii="Arial" w:cs="Arial" w:eastAsia="Arial" w:hAnsi="Arial"/>
                <w:sz w:val="14"/>
                <w:szCs w:val="14"/>
                <w:color w:val="auto"/>
              </w:rPr>
              <w:t>other charges (income), net and income taxes</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(18)</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r>
      <w:tr>
        <w:trPr>
          <w:trHeight w:val="185"/>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r>
      <w:tr>
        <w:trPr>
          <w:trHeight w:val="176"/>
        </w:trPr>
        <w:tc>
          <w:tcPr>
            <w:tcW w:w="3440" w:type="dxa"/>
            <w:vAlign w:val="bottom"/>
          </w:tcPr>
          <w:p>
            <w:pPr>
              <w:spacing w:after="0"/>
              <w:rPr>
                <w:sz w:val="20"/>
                <w:szCs w:val="20"/>
                <w:color w:val="auto"/>
              </w:rPr>
            </w:pPr>
            <w:r>
              <w:rPr>
                <w:rFonts w:ascii="Arial" w:cs="Arial" w:eastAsia="Arial" w:hAnsi="Arial"/>
                <w:sz w:val="14"/>
                <w:szCs w:val="14"/>
                <w:color w:val="auto"/>
              </w:rPr>
              <w:t>Pension income excluding service cost component</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(41)</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(27)</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(81)</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(57)</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(24)</w:t>
            </w:r>
          </w:p>
        </w:tc>
      </w:tr>
      <w:tr>
        <w:trPr>
          <w:trHeight w:val="175"/>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Other charges (income), net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r>
      <w:tr>
        <w:trPr>
          <w:trHeight w:val="20"/>
        </w:trPr>
        <w:tc>
          <w:tcPr>
            <w:tcW w:w="3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9"/>
        </w:trPr>
        <w:tc>
          <w:tcPr>
            <w:tcW w:w="3440" w:type="dxa"/>
            <w:vAlign w:val="bottom"/>
          </w:tcPr>
          <w:p>
            <w:pPr>
              <w:spacing w:after="0"/>
              <w:rPr>
                <w:sz w:val="20"/>
                <w:szCs w:val="20"/>
                <w:color w:val="auto"/>
              </w:rPr>
            </w:pPr>
            <w:r>
              <w:rPr>
                <w:rFonts w:ascii="Arial" w:cs="Arial" w:eastAsia="Arial" w:hAnsi="Arial"/>
                <w:sz w:val="14"/>
                <w:szCs w:val="14"/>
                <w:color w:val="auto"/>
              </w:rPr>
              <w:t>Income from operatons before income taxes</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19</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78</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60</w:t>
            </w:r>
          </w:p>
        </w:tc>
      </w:tr>
      <w:tr>
        <w:trPr>
          <w:trHeight w:val="176"/>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Provision (beneft) for income taxes</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w:t>
            </w:r>
          </w:p>
        </w:tc>
      </w:tr>
      <w:tr>
        <w:trPr>
          <w:trHeight w:val="20"/>
        </w:trPr>
        <w:tc>
          <w:tcPr>
            <w:tcW w:w="3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9"/>
        </w:trPr>
        <w:tc>
          <w:tcPr>
            <w:tcW w:w="3440" w:type="dxa"/>
            <w:vAlign w:val="bottom"/>
          </w:tcPr>
          <w:p>
            <w:pPr>
              <w:spacing w:after="0"/>
              <w:rPr>
                <w:sz w:val="20"/>
                <w:szCs w:val="20"/>
                <w:color w:val="auto"/>
              </w:rPr>
            </w:pPr>
            <w:r>
              <w:rPr>
                <w:rFonts w:ascii="Arial" w:cs="Arial" w:eastAsia="Arial" w:hAnsi="Arial"/>
                <w:sz w:val="14"/>
                <w:szCs w:val="14"/>
                <w:color w:val="auto"/>
              </w:rPr>
              <w:t>NET EARNINGS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20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51</w:t>
            </w:r>
          </w:p>
        </w:tc>
      </w:tr>
      <w:tr>
        <w:trPr>
          <w:trHeight w:val="20"/>
        </w:trPr>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For the three months ended June 30, 2023 revenues declined $26 million compared with the same period in 2022, driven by lower volume in Print ($44 million) partally ofset by improved pricing and product mix within Print ($6 million) and Advanced Materials and Chemicals ($11 million). See segment discussions for additonal details.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For the six months ended June 30, 2023 revenues declined $38 million compared with the same period in 2022, driven by lower volume in Print and Advanced Materials and Chemicals ($84 million and $2 million, respectvely) and unfavorable foreign exchange impact ($10 million) partally ofset by improved pricing and product mix within Print ($37 million) and Advanced Materials and Chemicals ($21 million). See segment discussions for additonal details.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Gross proft for the three months ended June 30, 2023 improved $12 million compared with the same period in 2022, primarily due to improved pricing and product mix within Advanced Materials and Chemicals ($10 million) and Print ($6 million), improved volumes in Advanced Materials and Chemicals ($2 million) and lower costs for aluminum ($11 million). These favorable impacts were partally ofset by higher manufacturing costs and lower volume in Print ($16 million) and by the net change in employee beneft and workers' compensaton reserves ($2 million). See segment discussions for additonal details.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Gross proft for the six months ended June 30, 2023 improved $29 million compared with the same period in 2022, primarily due to improved pricing and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product mix within Print ($36 million) and Advanced Materials and Chemicals ($20 million) as well as lower costs for aluminum ($13 million).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favorable impacts were partally ofset by higher manufacturing costs and lower volume in Print ($33 million) and an unfavorable foreign exchange impact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 million). The improvements in gross proft were also partally ofset by the net change in employee beneft and workers' compensaton reserves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 million). See segment discussions for additonal details.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Administratve Expenses</w:t>
      </w:r>
    </w:p>
    <w:p>
      <w:pPr>
        <w:spacing w:after="0" w:line="2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Consolidated SG&amp;A decreased $1 million in the three months ended June 30, 2023 compared to the prior year period primarily due to lower consultng and other costs associated with investgatons and litgaton ($2 million) and $1 million of income representng insurance reimbursement of legal costs previously paid by the Company associated with investgatons and litgaton partally ofset by the net change in employee beneft and workers' compensaton reserves ($1 million). Consolidated SG&amp;A decreased $10 million in the six months ended June 30, 2023 compared to the prior year period primarily due to lower consultng and other costs primarily associated with investgatons and litgaton ($4 million) and $11 million of income representng insurance reimbursement of legal costs partally ofset by higher stock-based compensaton costs ($2 million) and the net change in employee beneft and workers' compensaton reserves ($2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Consolidated R&amp;D expenses were fat for the three and six months ended June 30,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Income Excluding Service Cost Component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Pension income excluding service cost component increased $14 million and $24 million in the three and six months ended June 30, 2023, respectvely.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"Retrement Plans and Other Postretrement Benefts".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charges (income), net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For details, refer to Note 10, "Other Charges (Income) ".</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Segments</w:t>
      </w:r>
    </w:p>
    <w:p>
      <w:pPr>
        <w:spacing w:after="0" w:line="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Efectve February 2023 Kodak changed its organizatonal structure. The Traditonal Printng segment and the Digital Printng segment were combined into one segment, named the Print segment. No changes were made to Kodak's other segments.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Kodak has three reportable segments: Print, Advanced Materials and Chemicals and Brand. A descripton of Kodak’s reportable segments follows.</w:t>
      </w:r>
    </w:p>
    <w:p>
      <w:pPr>
        <w:spacing w:after="0" w:line="235"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Print</w:t>
      </w:r>
      <w:r>
        <w:rPr>
          <w:rFonts w:ascii="Arial" w:cs="Arial" w:eastAsia="Arial" w:hAnsi="Arial"/>
          <w:sz w:val="18"/>
          <w:szCs w:val="18"/>
          <w:color w:val="auto"/>
        </w:rPr>
        <w:t>: The Print segment is comprised of fve lines of business: the Prepress Solutons business, the PROSPER business, the Sofware business,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Electrophotographic Printng Solutons business and the VERSAMARK business.</w:t>
      </w:r>
    </w:p>
    <w:p>
      <w:pPr>
        <w:spacing w:after="0" w:line="17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color w:val="auto"/>
        </w:rPr>
        <w:t xml:space="preserve">Advanced Materials and Chemicals: </w:t>
      </w:r>
      <w:r>
        <w:rPr>
          <w:rFonts w:ascii="Arial" w:cs="Arial" w:eastAsia="Arial" w:hAnsi="Arial"/>
          <w:sz w:val="18"/>
          <w:szCs w:val="18"/>
          <w:color w:val="auto"/>
        </w:rPr>
        <w:t>The Advanced Materials and Chemicals segment is comprised of four lines of business: the Industrial Film and</w:t>
      </w:r>
      <w:r>
        <w:rPr>
          <w:rFonts w:ascii="Arial" w:cs="Arial" w:eastAsia="Arial" w:hAnsi="Arial"/>
          <w:sz w:val="18"/>
          <w:szCs w:val="18"/>
          <w:b w:val="1"/>
          <w:bCs w:val="1"/>
          <w:color w:val="auto"/>
        </w:rPr>
        <w:t xml:space="preserve"> </w:t>
      </w:r>
      <w:r>
        <w:rPr>
          <w:rFonts w:ascii="Arial" w:cs="Arial" w:eastAsia="Arial" w:hAnsi="Arial"/>
          <w:sz w:val="18"/>
          <w:szCs w:val="18"/>
          <w:color w:val="auto"/>
        </w:rPr>
        <w:t>Chemicals business, the Moton Picture business, the Advanced Materials and Functonal Printng business and the IP Licensing and Analytcal Services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w:t>
      </w:r>
      <w:r>
        <w:rPr>
          <w:rFonts w:ascii="Arial" w:cs="Arial" w:eastAsia="Arial" w:hAnsi="Arial"/>
          <w:sz w:val="18"/>
          <w:szCs w:val="18"/>
          <w:color w:val="auto"/>
        </w:rPr>
        <w:t>: The Brand segment contains the brand licensing business.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Other</w:t>
      </w:r>
      <w:r>
        <w:rPr>
          <w:rFonts w:ascii="Arial" w:cs="Arial" w:eastAsia="Arial" w:hAnsi="Arial"/>
          <w:sz w:val="17"/>
          <w:szCs w:val="17"/>
          <w:color w:val="auto"/>
        </w:rPr>
        <w:t>: All Other is comprised of the operatons of the Eastman Business Park, a more than 1,200-acre technology center and industrial complex.</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1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120" w:type="dxa"/>
            <w:vAlign w:val="bottom"/>
            <w:gridSpan w:val="3"/>
          </w:tcPr>
          <w:p>
            <w:pPr>
              <w:spacing w:after="0"/>
              <w:rPr>
                <w:sz w:val="20"/>
                <w:szCs w:val="20"/>
                <w:color w:val="auto"/>
              </w:rPr>
            </w:pPr>
            <w:r>
              <w:rPr>
                <w:rFonts w:ascii="Arial" w:cs="Arial" w:eastAsia="Arial" w:hAnsi="Arial"/>
                <w:sz w:val="18"/>
                <w:szCs w:val="18"/>
                <w:b w:val="1"/>
                <w:bCs w:val="1"/>
                <w:color w:val="auto"/>
              </w:rPr>
              <w:t>Segment Revenues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7"/>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7"/>
              </w:rPr>
              <w:t>Three Months Ended</w:t>
            </w:r>
          </w:p>
        </w:tc>
        <w:tc>
          <w:tcPr>
            <w:tcW w:w="260" w:type="dxa"/>
            <w:vAlign w:val="bottom"/>
          </w:tcPr>
          <w:p>
            <w:pPr>
              <w:spacing w:after="0"/>
              <w:rPr>
                <w:sz w:val="24"/>
                <w:szCs w:val="24"/>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5"/>
              </w:rPr>
              <w:t>Six Months Ended</w:t>
            </w:r>
          </w:p>
        </w:tc>
      </w:tr>
      <w:tr>
        <w:trPr>
          <w:trHeight w:val="244"/>
        </w:trPr>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5"/>
              </w:rPr>
              <w:t>June 30,</w:t>
            </w:r>
          </w:p>
        </w:tc>
        <w:tc>
          <w:tcPr>
            <w:tcW w:w="9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3"/>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120" w:type="dxa"/>
            <w:vAlign w:val="bottom"/>
            <w:gridSpan w:val="3"/>
          </w:tcPr>
          <w:p>
            <w:pPr>
              <w:ind w:left="560"/>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Advanced Materials and Chemicals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Brand</w:t>
            </w: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Consolidated total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3"/>
        </w:trPr>
        <w:tc>
          <w:tcPr>
            <w:tcW w:w="7940" w:type="dxa"/>
            <w:vAlign w:val="bottom"/>
            <w:gridSpan w:val="9"/>
          </w:tcPr>
          <w:p>
            <w:pPr>
              <w:spacing w:after="0"/>
              <w:rPr>
                <w:sz w:val="20"/>
                <w:szCs w:val="20"/>
                <w:color w:val="auto"/>
              </w:rPr>
            </w:pPr>
            <w:r>
              <w:rPr>
                <w:rFonts w:ascii="Arial" w:cs="Arial" w:eastAsia="Arial" w:hAnsi="Arial"/>
                <w:sz w:val="18"/>
                <w:szCs w:val="18"/>
                <w:b w:val="1"/>
                <w:bCs w:val="1"/>
                <w:color w:val="auto"/>
                <w:w w:val="97"/>
              </w:rPr>
              <w:t>Segment Operatonal EBITDA and Consolidated Earnings from Operatons Before Income Taxes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7"/>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7"/>
              </w:rPr>
              <w:t>Three Months Ended</w:t>
            </w:r>
          </w:p>
        </w:tc>
        <w:tc>
          <w:tcPr>
            <w:tcW w:w="260" w:type="dxa"/>
            <w:vAlign w:val="bottom"/>
          </w:tcPr>
          <w:p>
            <w:pPr>
              <w:spacing w:after="0"/>
              <w:rPr>
                <w:sz w:val="24"/>
                <w:szCs w:val="24"/>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5"/>
              </w:rPr>
              <w:t>Six Months Ended</w:t>
            </w:r>
          </w:p>
        </w:tc>
      </w:tr>
      <w:tr>
        <w:trPr>
          <w:trHeight w:val="244"/>
        </w:trPr>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5"/>
              </w:rPr>
              <w:t>June 30,</w:t>
            </w:r>
          </w:p>
        </w:tc>
        <w:tc>
          <w:tcPr>
            <w:tcW w:w="9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3"/>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120" w:type="dxa"/>
            <w:vAlign w:val="bottom"/>
            <w:gridSpan w:val="3"/>
          </w:tcPr>
          <w:p>
            <w:pPr>
              <w:ind w:left="560"/>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Advanced Materials and Chemicals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8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Brand</w:t>
            </w: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Depreciaton and amortzaton</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8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Restructuring costs and other</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based compensaton</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80" w:type="dxa"/>
            <w:vAlign w:val="bottom"/>
          </w:tcPr>
          <w:p>
            <w:pPr>
              <w:spacing w:after="0"/>
              <w:rPr>
                <w:sz w:val="18"/>
                <w:szCs w:val="18"/>
                <w:color w:val="auto"/>
              </w:rPr>
            </w:pPr>
          </w:p>
        </w:tc>
        <w:tc>
          <w:tcPr>
            <w:tcW w:w="45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Consultng and other costs </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80" w:type="dxa"/>
            <w:vAlign w:val="bottom"/>
          </w:tcPr>
          <w:p>
            <w:pPr>
              <w:spacing w:after="0"/>
              <w:rPr>
                <w:sz w:val="18"/>
                <w:szCs w:val="18"/>
                <w:color w:val="auto"/>
              </w:rPr>
            </w:pPr>
          </w:p>
        </w:tc>
        <w:tc>
          <w:tcPr>
            <w:tcW w:w="45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Idle costs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tcPr>
          <w:p>
            <w:pPr>
              <w:spacing w:after="0"/>
              <w:rPr>
                <w:sz w:val="18"/>
                <w:szCs w:val="18"/>
                <w:color w:val="auto"/>
              </w:rPr>
            </w:pPr>
          </w:p>
        </w:tc>
        <w:tc>
          <w:tcPr>
            <w:tcW w:w="45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operatng income </w:t>
            </w:r>
            <w:r>
              <w:rPr>
                <w:rFonts w:ascii="Arial" w:cs="Arial" w:eastAsia="Arial" w:hAnsi="Arial"/>
                <w:sz w:val="25"/>
                <w:szCs w:val="25"/>
                <w:color w:val="auto"/>
                <w:vertAlign w:val="superscript"/>
              </w:rPr>
              <w:t>(3)</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5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80" w:type="dxa"/>
            <w:vAlign w:val="bottom"/>
          </w:tcPr>
          <w:p>
            <w:pPr>
              <w:spacing w:after="0"/>
              <w:rPr>
                <w:sz w:val="18"/>
                <w:szCs w:val="18"/>
                <w:color w:val="auto"/>
              </w:rPr>
            </w:pPr>
          </w:p>
        </w:tc>
        <w:tc>
          <w:tcPr>
            <w:tcW w:w="45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Pension income excluding service cost component </w:t>
            </w:r>
            <w:r>
              <w:rPr>
                <w:rFonts w:ascii="Arial" w:cs="Arial" w:eastAsia="Arial" w:hAnsi="Arial"/>
                <w:sz w:val="25"/>
                <w:szCs w:val="25"/>
                <w:color w:val="auto"/>
                <w:vertAlign w:val="superscript"/>
              </w:rPr>
              <w:t>(3)</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(charges) income, net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58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20" w:type="dxa"/>
            <w:vAlign w:val="bottom"/>
            <w:gridSpan w:val="3"/>
          </w:tcPr>
          <w:p>
            <w:pPr>
              <w:ind w:left="560"/>
              <w:spacing w:after="0"/>
              <w:rPr>
                <w:sz w:val="20"/>
                <w:szCs w:val="20"/>
                <w:color w:val="auto"/>
              </w:rPr>
            </w:pPr>
            <w:r>
              <w:rPr>
                <w:rFonts w:ascii="Arial" w:cs="Arial" w:eastAsia="Arial" w:hAnsi="Arial"/>
                <w:sz w:val="18"/>
                <w:szCs w:val="18"/>
                <w:color w:val="auto"/>
                <w:w w:val="96"/>
              </w:rPr>
              <w:t>Consolidated earnings from operatons before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hanging="490"/>
        <w:spacing w:after="0" w:line="234" w:lineRule="auto"/>
        <w:tabs>
          <w:tab w:leader="none" w:pos="660" w:val="left"/>
        </w:tabs>
        <w:numPr>
          <w:ilvl w:val="0"/>
          <w:numId w:val="15"/>
        </w:numPr>
        <w:rPr>
          <w:rFonts w:ascii="Arial" w:cs="Arial" w:eastAsia="Arial" w:hAnsi="Arial"/>
          <w:sz w:val="29"/>
          <w:szCs w:val="29"/>
          <w:color w:val="auto"/>
          <w:vertAlign w:val="superscript"/>
        </w:rPr>
      </w:pPr>
      <w:r>
        <w:rPr>
          <w:rFonts w:ascii="Arial" w:cs="Arial" w:eastAsia="Arial" w:hAnsi="Arial"/>
          <w:sz w:val="17"/>
          <w:szCs w:val="17"/>
          <w:color w:val="auto"/>
        </w:rPr>
        <w:t>Consultng and other costs are primarily professional services and internal costs associated with certain corporate strategic initatves, investgatons and litgaton. Consultng and other costs includes $1 million and $11 million of income in the three and six months ended June 30, 2023, respectvely, representng insurance reimbursement of legal costs previously paid by the Company associated with investgatons and litgaton maters. Kodak received $16 million of insurance reimbursement proceeds in the frst six months of 2023, of which $5 million was recorded in Other current assets in the Consolidated Statement of Financial Positon as of December 31, 2022.</w:t>
      </w:r>
    </w:p>
    <w:p>
      <w:pPr>
        <w:spacing w:after="0" w:line="208" w:lineRule="exact"/>
        <w:rPr>
          <w:rFonts w:ascii="Arial" w:cs="Arial" w:eastAsia="Arial" w:hAnsi="Arial"/>
          <w:sz w:val="29"/>
          <w:szCs w:val="29"/>
          <w:color w:val="auto"/>
          <w:vertAlign w:val="superscript"/>
        </w:rPr>
      </w:pPr>
    </w:p>
    <w:p>
      <w:pPr>
        <w:ind w:left="660" w:right="220" w:hanging="490"/>
        <w:spacing w:after="0" w:line="192" w:lineRule="auto"/>
        <w:tabs>
          <w:tab w:leader="none" w:pos="66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Consists of third-party costs such as security, maintenance and utlites required to maintain land and buildings in certain locatons not used in any Kodak operatons and the costs, net of any rental income received, of underutlized portons of certain propertes.</w:t>
      </w:r>
    </w:p>
    <w:p>
      <w:pPr>
        <w:spacing w:after="0" w:line="88" w:lineRule="exact"/>
        <w:rPr>
          <w:rFonts w:ascii="Arial" w:cs="Arial" w:eastAsia="Arial" w:hAnsi="Arial"/>
          <w:sz w:val="30"/>
          <w:szCs w:val="30"/>
          <w:color w:val="auto"/>
          <w:vertAlign w:val="superscript"/>
        </w:rPr>
      </w:pPr>
    </w:p>
    <w:p>
      <w:pPr>
        <w:ind w:left="660" w:hanging="490"/>
        <w:spacing w:after="0"/>
        <w:tabs>
          <w:tab w:leader="none" w:pos="66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As reported in the Consolidated Statement of Operatons.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Kodak decreased employee beneft reserves by approximately $1 million in the three months ended June 30, 2023, driven by changes in discount rates.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employee beneft reserves in the six months ended June 30, 2023 was less than $1 million.</w:t>
      </w:r>
    </w:p>
    <w:p>
      <w:pPr>
        <w:spacing w:after="0" w:line="21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Kodak decreased workers’ compensaton reserves by approximately $4 million and $8 million in the three and six months ended June 30, 2022, driven by changes in discount rates. The decrease in reserves in the three months ended June 30, 2022 impacted gross proft by approximately $2 million and SG&amp;A by approximately $2 million. The decrease in reserves in the six months ended June 30, 2022 impacted gross proft by approximately $5 million and Selling, general and administratve expenses by approximately $3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Proft and Loss</w:t>
      </w:r>
    </w:p>
    <w:p>
      <w:pPr>
        <w:spacing w:after="0" w:line="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Kodak’s segment measure of proft and loss is an adjusted earnings (loss) before interest, taxes, depreciaton and amortzaton (“Operatonal EBITDA”). Operatonal EBITDA represents the earnings from operatons excluding the provision for income taxes; non-service cost components of pension and OPEB income; depreciaton and amortzaton expense; restructuring costs and other; stock-based compensaton expense; consultng and other costs; idle costs; interest expense, other operatng income, net and other (charges) income, net.</w:t>
      </w:r>
    </w:p>
    <w:p>
      <w:pPr>
        <w:spacing w:after="0" w:line="194" w:lineRule="exact"/>
        <w:rPr>
          <w:sz w:val="20"/>
          <w:szCs w:val="20"/>
          <w:color w:val="auto"/>
        </w:rPr>
      </w:pPr>
    </w:p>
    <w:p>
      <w:pPr>
        <w:jc w:val="both"/>
        <w:ind w:right="520"/>
        <w:spacing w:after="0" w:line="262" w:lineRule="auto"/>
        <w:rPr>
          <w:sz w:val="20"/>
          <w:szCs w:val="20"/>
          <w:color w:val="auto"/>
        </w:rPr>
      </w:pPr>
      <w:r>
        <w:rPr>
          <w:rFonts w:ascii="Arial" w:cs="Arial" w:eastAsia="Arial" w:hAnsi="Arial"/>
          <w:sz w:val="18"/>
          <w:szCs w:val="18"/>
          <w:color w:val="auto"/>
        </w:rPr>
        <w:t>Kodak’s segments are measured using Operatonal EBITDA both before and afer the allocaton of corporate SG&amp;A expenses. The segment earnings measure reported is afer allocaton of corporate SG&amp;A as this most closely aligns with U.S. GAAP. Research and development actvites not directly related to the other segments are reported within the Advanced Materials and Chemicals segment.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20" w:type="dxa"/>
            <w:vAlign w:val="bottom"/>
          </w:tcPr>
          <w:p>
            <w:pPr>
              <w:spacing w:after="0"/>
              <w:rPr>
                <w:sz w:val="20"/>
                <w:szCs w:val="20"/>
                <w:color w:val="auto"/>
              </w:rPr>
            </w:pPr>
            <w:r>
              <w:rPr>
                <w:rFonts w:ascii="Arial" w:cs="Arial" w:eastAsia="Arial" w:hAnsi="Arial"/>
                <w:sz w:val="18"/>
                <w:szCs w:val="18"/>
                <w:b w:val="1"/>
                <w:bCs w:val="1"/>
                <w:color w:val="auto"/>
              </w:rPr>
              <w:t>PRINT SEGMENT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61"/>
              <w:spacing w:after="0"/>
              <w:rPr>
                <w:sz w:val="20"/>
                <w:szCs w:val="20"/>
                <w:color w:val="auto"/>
              </w:rPr>
            </w:pPr>
            <w:r>
              <w:rPr>
                <w:rFonts w:ascii="Arial" w:cs="Arial" w:eastAsia="Arial" w:hAnsi="Arial"/>
                <w:sz w:val="18"/>
                <w:szCs w:val="18"/>
                <w:b w:val="1"/>
                <w:bCs w:val="1"/>
                <w:color w:val="auto"/>
                <w:w w:val="91"/>
              </w:rPr>
              <w:t>Six Months Ended 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1"/>
              </w:rPr>
              <w:t>Change</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Change</w:t>
            </w:r>
          </w:p>
        </w:tc>
        <w:tc>
          <w:tcPr>
            <w:tcW w:w="100" w:type="dxa"/>
            <w:vAlign w:val="bottom"/>
          </w:tcPr>
          <w:p>
            <w:pPr>
              <w:spacing w:after="0"/>
              <w:rPr>
                <w:sz w:val="18"/>
                <w:szCs w:val="18"/>
                <w:color w:val="auto"/>
              </w:rPr>
            </w:pPr>
          </w:p>
        </w:tc>
      </w:tr>
      <w:tr>
        <w:trPr>
          <w:trHeight w:val="249"/>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480</w:t>
            </w: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Operatonal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7"/>
        </w:trPr>
        <w:tc>
          <w:tcPr>
            <w:tcW w:w="3220" w:type="dxa"/>
            <w:vAlign w:val="bottom"/>
          </w:tcPr>
          <w:p>
            <w:pPr>
              <w:spacing w:after="0"/>
              <w:rPr>
                <w:sz w:val="20"/>
                <w:szCs w:val="20"/>
                <w:color w:val="auto"/>
              </w:rPr>
            </w:pPr>
            <w:r>
              <w:rPr>
                <w:rFonts w:ascii="Arial" w:cs="Arial" w:eastAsia="Arial" w:hAnsi="Arial"/>
                <w:sz w:val="18"/>
                <w:szCs w:val="18"/>
                <w:color w:val="auto"/>
              </w:rPr>
              <w:t>Operatonal EBITDA as a % of revenues</w:t>
            </w:r>
          </w:p>
        </w:tc>
        <w:tc>
          <w:tcPr>
            <w:tcW w:w="2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decrease in Print revenues for the three months ended June 30, 2023 of approximately $37 million refected lower volumes in Prepress consumables ($37 million), Electrophotographic Printng Solutons consumables and service, PROSPER annuites and Versamark annuites (each $2 million) partally ofset by improved pricing in Prepress Solutons consumables ($4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Print revenues for the six months ended June 30, 2023 of approximately $56 million refected lower volumes in Prepress consumables</w:t>
      </w:r>
    </w:p>
    <w:p>
      <w:pPr>
        <w:spacing w:after="0" w:line="3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($70 million), Electrophotographic Printng Solutons consumables and service ($5 million), Versamark annuites and PROSPER annuites (each $3 million) as well as an unfavorable foreign exchange impact ($9 million). These unfavorable impacts were partally ofset by improved pricing in Prepress Solutons consumables ($29 million), PROSPER annuites ($2 million) and Electrophotographic Printng Solutons consumables and service ($1 million) as well as improved pricing and product mix in Prepress equipment ($2 million).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Operatonal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Print Operatonal EBITDA for the three months ended June 30, 2023 improved $2 million refectng price improvements in Prepress Solutons consumables ($4 million) and lower costs for aluminum ($11 million), partally ofset by increased manufacturing costs ($16 million) driven by lower volumes and increases in other costs such as utlites, transportaton and supplies.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Print Operatonal EBITDA for the six months ended June 30, 2023 improved $15 million refectng price improvements in Prepress Solutons consumables ($29 million), improved product mix on PROSPER annuites ($2 million), Versamark annuites and Prepress Solutons equipment (each $1 million), higher prices on Prepress Solutons service and Electrophotographic Printng Solutons consumables and service (each $1 million), lower SG&amp;A and R&amp;D costs ($1 million and $2 million, respectvely) and lower costs for aluminum ($13 million). These favorable impacts were partally ofset by increased manufacturing costs ($33 million) driven by lower volumes and increases in other costs such as utlites, transportaton and supplies, and the net impact of changes in employee beneft and workers' compensaton reserves ($4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CHEMICALS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8"/>
                <w:szCs w:val="18"/>
                <w:b w:val="1"/>
                <w:bCs w:val="1"/>
                <w:color w:val="auto"/>
                <w:w w:val="90"/>
              </w:rPr>
              <w:t>Six Months Ended 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14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w w:val="81"/>
              </w:rPr>
              <w:t>Change</w:t>
            </w:r>
          </w:p>
        </w:tc>
        <w:tc>
          <w:tcPr>
            <w:tcW w:w="100" w:type="dxa"/>
            <w:vAlign w:val="bottom"/>
          </w:tcPr>
          <w:p>
            <w:pPr>
              <w:spacing w:after="0"/>
              <w:rPr>
                <w:sz w:val="18"/>
                <w:szCs w:val="18"/>
                <w:color w:val="auto"/>
              </w:rPr>
            </w:pPr>
          </w:p>
        </w:tc>
      </w:tr>
      <w:tr>
        <w:trPr>
          <w:trHeight w:val="250"/>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72</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133</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w:t>
            </w: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30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Operatonal EBITDA</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w:t>
            </w:r>
          </w:p>
        </w:tc>
        <w:tc>
          <w:tcPr>
            <w:tcW w:w="1000" w:type="dxa"/>
            <w:vAlign w:val="bottom"/>
            <w:gridSpan w:val="2"/>
            <w:shd w:val="clear" w:color="auto" w:fill="CCEEFF"/>
          </w:tcPr>
          <w:p>
            <w:pPr>
              <w:jc w:val="right"/>
              <w:ind w:right="618"/>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7"/>
        </w:trPr>
        <w:tc>
          <w:tcPr>
            <w:tcW w:w="3020" w:type="dxa"/>
            <w:vAlign w:val="bottom"/>
          </w:tcPr>
          <w:p>
            <w:pPr>
              <w:spacing w:after="0"/>
              <w:rPr>
                <w:sz w:val="20"/>
                <w:szCs w:val="20"/>
                <w:color w:val="auto"/>
              </w:rPr>
            </w:pPr>
            <w:r>
              <w:rPr>
                <w:rFonts w:ascii="Arial" w:cs="Arial" w:eastAsia="Arial" w:hAnsi="Arial"/>
                <w:sz w:val="18"/>
                <w:szCs w:val="18"/>
                <w:color w:val="auto"/>
                <w:w w:val="94"/>
              </w:rPr>
              <w:t>Operatonal EBITDA as a % of revenues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Advanced Materials and Chemicals revenues for the three months ended June 30, 2023 improved $11 million primarily from pricing improvements in Industrial Film and Chemicals and Moton Picture ($10 million and $1 million, respectvely).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jc w:val="both"/>
        <w:ind w:right="500"/>
        <w:spacing w:after="0" w:line="254" w:lineRule="auto"/>
        <w:rPr>
          <w:sz w:val="20"/>
          <w:szCs w:val="20"/>
          <w:color w:val="auto"/>
        </w:rPr>
      </w:pPr>
      <w:r>
        <w:rPr>
          <w:rFonts w:ascii="Arial" w:cs="Arial" w:eastAsia="Arial" w:hAnsi="Arial"/>
          <w:sz w:val="18"/>
          <w:szCs w:val="18"/>
          <w:color w:val="auto"/>
        </w:rPr>
        <w:t>Advanced Materials and Chemicals revenues for the six months ended June 30, 2023 improved $18 million primarily from pricing improvements in Industrial Film and Chemicals and Moton Picture ($19 million and $2 million, respectvely), partally ofset by reduced volume in Industrial Film and Chemicals ($2 million) and unfavorable foreign exchange impact ($1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Operatonal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Advanced Materials and Chemicals Operatonal EBITDA improved $10 million for the three months ended June 30, 2023 refectng pricing improvements as well as higher margins in Industrial Film and Chemicals ($9 million and $2 million, respectvely) and pricing improvements in Moton Picture ($1 million) partally ofset by higher SG&amp;A costs ($1 million) and the net impact of changes in employee beneft and workers' compensaton reserves ($1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2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Advanced Materials and Chemicals Operatonal EBITDA improved $13 million for the six months ended June 30, 2023 refectng pricing improvements as well as higher margins in Industrial Film and Chemicals ($18 million and $1 million, respectvely) and pricing improvements in Moton Picture ($2 million) partally ofset by increased manufacturing costs ($2 million), higher SG&amp;A costs ($3 million), the net impact of changes in employee beneft and workers' compensaton reserves ($3 million) and an unfavorable foreign exchange impact ($1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BRAND SEGMENT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ind w:left="2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w w:val="81"/>
              </w:rPr>
              <w:t>$ Change</w:t>
            </w:r>
          </w:p>
        </w:tc>
        <w:tc>
          <w:tcPr>
            <w:tcW w:w="100" w:type="dxa"/>
            <w:vAlign w:val="bottom"/>
          </w:tcPr>
          <w:p>
            <w:pPr>
              <w:spacing w:after="0"/>
              <w:rPr>
                <w:sz w:val="18"/>
                <w:szCs w:val="18"/>
                <w:color w:val="auto"/>
              </w:rPr>
            </w:pPr>
          </w:p>
        </w:tc>
      </w:tr>
      <w:tr>
        <w:trPr>
          <w:trHeight w:val="250"/>
        </w:trPr>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7"/>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1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r>
      <w:tr>
        <w:trPr>
          <w:trHeight w:val="23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Operatonal EBITDA</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7"/>
        </w:trPr>
        <w:tc>
          <w:tcPr>
            <w:tcW w:w="3240" w:type="dxa"/>
            <w:vAlign w:val="bottom"/>
            <w:gridSpan w:val="2"/>
          </w:tcPr>
          <w:p>
            <w:pPr>
              <w:spacing w:after="0"/>
              <w:rPr>
                <w:sz w:val="20"/>
                <w:szCs w:val="20"/>
                <w:color w:val="auto"/>
              </w:rPr>
            </w:pPr>
            <w:r>
              <w:rPr>
                <w:rFonts w:ascii="Arial" w:cs="Arial" w:eastAsia="Arial" w:hAnsi="Arial"/>
                <w:sz w:val="18"/>
                <w:szCs w:val="18"/>
                <w:color w:val="auto"/>
              </w:rPr>
              <w:t>Operatonal EBITDA as a % of revenues</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73"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auto"/>
        </w:rPr>
        <w:t>There were no material changes in Brand revenues or Operatonal EBITDA for the three and six months ended June 30, 2023 compared to the prior year periods.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27"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Kodak recorded charges of $5 million and $6 million for the three and six months ended June 30, 2023, respectvely, in Restructuring costs and other in the Consolidated Statement of Operatons. The charges recorded for the six months ended June 30, 2023 consisted of $7 million of severance charges and a net credit of $1 million in exit costs, as Kodak setled certain supplier obligatons related to the cessaton of manufacturing of the Electrophotographic Printng Solutons equipment products for less than the contractual amounts recorded in the fourth quarter of 2022.</w:t>
      </w:r>
    </w:p>
    <w:p>
      <w:pPr>
        <w:spacing w:after="0" w:line="174" w:lineRule="exact"/>
        <w:rPr>
          <w:sz w:val="20"/>
          <w:szCs w:val="20"/>
          <w:color w:val="auto"/>
        </w:rPr>
      </w:pPr>
    </w:p>
    <w:p>
      <w:pPr>
        <w:ind w:right="380"/>
        <w:spacing w:after="0" w:line="273" w:lineRule="auto"/>
        <w:rPr>
          <w:sz w:val="20"/>
          <w:szCs w:val="20"/>
          <w:color w:val="auto"/>
        </w:rPr>
      </w:pPr>
      <w:r>
        <w:rPr>
          <w:rFonts w:ascii="Arial" w:cs="Arial" w:eastAsia="Arial" w:hAnsi="Arial"/>
          <w:sz w:val="18"/>
          <w:szCs w:val="18"/>
          <w:color w:val="auto"/>
        </w:rPr>
        <w:t>Kodak made cash payments related to restructuring of approximately $2 million and $5 million during the three and six months ended June 30, 2023, respectvely.</w:t>
      </w:r>
    </w:p>
    <w:p>
      <w:pPr>
        <w:spacing w:after="0" w:line="177" w:lineRule="exact"/>
        <w:rPr>
          <w:sz w:val="20"/>
          <w:szCs w:val="20"/>
          <w:color w:val="auto"/>
        </w:rPr>
      </w:pPr>
    </w:p>
    <w:p>
      <w:pPr>
        <w:jc w:val="both"/>
        <w:ind w:right="260"/>
        <w:spacing w:after="0" w:line="284" w:lineRule="auto"/>
        <w:rPr>
          <w:sz w:val="20"/>
          <w:szCs w:val="20"/>
          <w:color w:val="auto"/>
        </w:rPr>
      </w:pPr>
      <w:r>
        <w:rPr>
          <w:rFonts w:ascii="Arial" w:cs="Arial" w:eastAsia="Arial" w:hAnsi="Arial"/>
          <w:sz w:val="17"/>
          <w:szCs w:val="17"/>
          <w:color w:val="auto"/>
        </w:rPr>
        <w:t>The restructuring actons implemented in the frst six months of 2023 are expected to generate future annual cash savings of approximately $7 million, which are expected to reduce future annual SG&amp;A and Cost of revenues expenses by $3 million and $4 million, respectvely. The majority of the annual savings are expected to be in efect by the end of the second quarter of 2024 as actons are completed.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Assessment of Liquidity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Kodak ended the quarter with a cash balance of $223 million, an increase of $6 million from December 31, 2022.</w:t>
      </w:r>
    </w:p>
    <w:p>
      <w:pPr>
        <w:spacing w:after="0" w:line="212" w:lineRule="exact"/>
        <w:rPr>
          <w:sz w:val="20"/>
          <w:szCs w:val="20"/>
          <w:color w:val="auto"/>
        </w:rPr>
      </w:pPr>
    </w:p>
    <w:p>
      <w:pPr>
        <w:ind w:right="140"/>
        <w:spacing w:after="0" w:line="222" w:lineRule="exact"/>
        <w:rPr>
          <w:sz w:val="20"/>
          <w:szCs w:val="20"/>
          <w:color w:val="auto"/>
        </w:rPr>
      </w:pPr>
      <w:r>
        <w:rPr>
          <w:rFonts w:ascii="Arial" w:cs="Arial" w:eastAsia="Arial" w:hAnsi="Arial"/>
          <w:sz w:val="18"/>
          <w:szCs w:val="18"/>
          <w:color w:val="auto"/>
        </w:rPr>
        <w:t>The fnancing transactons entered into during the third quarter of 2023 (see “July 21, 2023 Financing Transactons” below for further informaton) and prior fnancing transactons provided additonal liquidity to the Company to fund on</w:t>
      </w:r>
      <w:r>
        <w:rPr>
          <w:rFonts w:ascii="MS PGothic" w:cs="MS PGothic" w:eastAsia="MS PGothic" w:hAnsi="MS PGothic"/>
          <w:sz w:val="18"/>
          <w:szCs w:val="18"/>
          <w:color w:val="auto"/>
        </w:rPr>
        <w:t>‐</w:t>
      </w:r>
      <w:r>
        <w:rPr>
          <w:rFonts w:ascii="Arial" w:cs="Arial" w:eastAsia="Arial" w:hAnsi="Arial"/>
          <w:sz w:val="18"/>
          <w:szCs w:val="18"/>
          <w:color w:val="auto"/>
        </w:rPr>
        <w:t>going operatons and obligatons, invest in growth opportunites in Kodak’s businesses of print and advanced materials and chemicals and for corporate infrastructure investments expected to contribute to improvements in cash fow.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Available liquidity includes existng cash balances, cash proceeds from the July 21, 2023 Financing Transactons and cash fows from operatng</w:t>
      </w:r>
    </w:p>
    <w:p>
      <w:pPr>
        <w:spacing w:after="0" w:line="31" w:lineRule="exact"/>
        <w:rPr>
          <w:sz w:val="20"/>
          <w:szCs w:val="20"/>
          <w:color w:val="auto"/>
        </w:rPr>
      </w:pPr>
    </w:p>
    <w:p>
      <w:pPr>
        <w:ind w:left="20" w:right="120"/>
        <w:spacing w:after="0" w:line="270" w:lineRule="auto"/>
        <w:rPr>
          <w:sz w:val="20"/>
          <w:szCs w:val="20"/>
          <w:color w:val="auto"/>
        </w:rPr>
      </w:pPr>
      <w:r>
        <w:rPr>
          <w:rFonts w:ascii="Arial" w:cs="Arial" w:eastAsia="Arial" w:hAnsi="Arial"/>
          <w:sz w:val="17"/>
          <w:szCs w:val="17"/>
          <w:color w:val="auto"/>
        </w:rPr>
        <w:t>actvites including the expected cash proceeds from brand licensing agreements. The amount of available liquidity is subject to fuctuatons and includes cash balances held by various enttes worldwide. At June 30, 2023 and December 31, 2022 approximately $150 million and $152 million, respectvely, of cash and cash equivalents were held within the U.S. and approximately $73 million and $65 million, respectvely, of cash and cash equivalents were held outside the U.S. Cash balances held outside the U.S. are generally required to support local country operatons and may have high tax costs or other limitatons that delay the ability to repatriate, and therefore may not be readily available for transfer to other jurisdictons. Kodak utlizes cash balances outside the U.S. to fund needs in the U.S. through the use of inter-company loans.</w:t>
      </w:r>
    </w:p>
    <w:p>
      <w:pPr>
        <w:spacing w:after="0" w:line="182" w:lineRule="exact"/>
        <w:rPr>
          <w:sz w:val="20"/>
          <w:szCs w:val="20"/>
          <w:color w:val="auto"/>
        </w:rPr>
      </w:pPr>
    </w:p>
    <w:p>
      <w:pPr>
        <w:ind w:left="20" w:right="20"/>
        <w:spacing w:after="0" w:line="254" w:lineRule="auto"/>
        <w:rPr>
          <w:sz w:val="20"/>
          <w:szCs w:val="20"/>
          <w:color w:val="auto"/>
        </w:rPr>
      </w:pPr>
      <w:r>
        <w:rPr>
          <w:rFonts w:ascii="Arial" w:cs="Arial" w:eastAsia="Arial" w:hAnsi="Arial"/>
          <w:sz w:val="18"/>
          <w:szCs w:val="18"/>
          <w:color w:val="auto"/>
        </w:rPr>
        <w:t>As of June 30, 2023 and December 31, 2022, outstanding inter-company loans to the U.S. were $392 million and $399 million, respectvely, which include short-term inter-company loans from Kodak’s internatonal fnance center of $105 million and $109 million, respectvely</w:t>
      </w:r>
      <w:r>
        <w:rPr>
          <w:rFonts w:ascii="Arial" w:cs="Arial" w:eastAsia="Arial" w:hAnsi="Arial"/>
          <w:sz w:val="18"/>
          <w:szCs w:val="18"/>
          <w:b w:val="1"/>
          <w:bCs w:val="1"/>
          <w:color w:val="auto"/>
        </w:rPr>
        <w:t>.</w:t>
      </w:r>
      <w:r>
        <w:rPr>
          <w:rFonts w:ascii="Arial" w:cs="Arial" w:eastAsia="Arial" w:hAnsi="Arial"/>
          <w:sz w:val="18"/>
          <w:szCs w:val="18"/>
          <w:color w:val="auto"/>
        </w:rPr>
        <w:t xml:space="preserve"> In China, where approximately $27 million and $24 million of cash and cash equivalents was held as of June 30, 2023 and December 31, 2022, respectvely, there are limitatons related to net asset balances that may impact the ability to make cash available to other jurisdictons in the world. Under the terms of the Amended and Restated Term Loan Credit Agreement, the Company is permited to invest up to $60 million (or $75 million afer the Deleveraging Milestone Date) in Restricted Subsidiaries that are not Loan Partes and in joint ventures or Unrestricted Subsidiaries that are not party to the Amended and Restated Term Loan Credit Agreement.</w:t>
      </w:r>
    </w:p>
    <w:p>
      <w:pPr>
        <w:spacing w:after="0" w:line="208" w:lineRule="exact"/>
        <w:rPr>
          <w:sz w:val="20"/>
          <w:szCs w:val="20"/>
          <w:color w:val="auto"/>
        </w:rPr>
      </w:pPr>
    </w:p>
    <w:p>
      <w:pPr>
        <w:ind w:left="20"/>
        <w:spacing w:after="0" w:line="226" w:lineRule="exact"/>
        <w:rPr>
          <w:sz w:val="20"/>
          <w:szCs w:val="20"/>
          <w:color w:val="auto"/>
        </w:rPr>
      </w:pPr>
      <w:r>
        <w:rPr>
          <w:rFonts w:ascii="Arial" w:cs="Arial" w:eastAsia="Arial" w:hAnsi="Arial"/>
          <w:sz w:val="17"/>
          <w:szCs w:val="17"/>
          <w:color w:val="auto"/>
        </w:rPr>
        <w:t>The Company’s Hong Kong subsidiary has an $80 million inter</w:t>
      </w:r>
      <w:r>
        <w:rPr>
          <w:rFonts w:ascii="MS PGothic" w:cs="MS PGothic" w:eastAsia="MS PGothic" w:hAnsi="MS PGothic"/>
          <w:sz w:val="17"/>
          <w:szCs w:val="17"/>
          <w:color w:val="auto"/>
        </w:rPr>
        <w:t>‐</w:t>
      </w:r>
      <w:r>
        <w:rPr>
          <w:rFonts w:ascii="Arial" w:cs="Arial" w:eastAsia="Arial" w:hAnsi="Arial"/>
          <w:sz w:val="17"/>
          <w:szCs w:val="17"/>
          <w:color w:val="auto"/>
        </w:rPr>
        <w:t>company loan from one of the Company’s Chinese subsidiaries with a maturity date of November 16, 2024, the proceeds of which were in turn loaned to the Company. The inter</w:t>
      </w:r>
      <w:r>
        <w:rPr>
          <w:rFonts w:ascii="MS PGothic" w:cs="MS PGothic" w:eastAsia="MS PGothic" w:hAnsi="MS PGothic"/>
          <w:sz w:val="17"/>
          <w:szCs w:val="17"/>
          <w:color w:val="auto"/>
        </w:rPr>
        <w:t>‐</w:t>
      </w:r>
      <w:r>
        <w:rPr>
          <w:rFonts w:ascii="Arial" w:cs="Arial" w:eastAsia="Arial" w:hAnsi="Arial"/>
          <w:sz w:val="17"/>
          <w:szCs w:val="17"/>
          <w:color w:val="auto"/>
        </w:rPr>
        <w:t>company loan is required to be repaid in the next two years in four equal installments, with the frst $20 million installment due by November 16, 2023 and the remaining installments due in 2024. The amounts repaid to the Chinese subsidiary may not be able to be loaned, repatriated or otherwise moved back to the U.S., in which case the Company’s U.S. liquidity would be reduced. If the inter</w:t>
      </w:r>
      <w:r>
        <w:rPr>
          <w:rFonts w:ascii="MS PGothic" w:cs="MS PGothic" w:eastAsia="MS PGothic" w:hAnsi="MS PGothic"/>
          <w:sz w:val="17"/>
          <w:szCs w:val="17"/>
          <w:color w:val="auto"/>
        </w:rPr>
        <w:t>‐</w:t>
      </w:r>
      <w:r>
        <w:rPr>
          <w:rFonts w:ascii="Arial" w:cs="Arial" w:eastAsia="Arial" w:hAnsi="Arial"/>
          <w:sz w:val="17"/>
          <w:szCs w:val="17"/>
          <w:color w:val="auto"/>
        </w:rPr>
        <w:t>company loan is not extended, refnanced or amended and the Hong Kong subsidiary does not pay any of the installments by the end of the 30</w:t>
      </w:r>
      <w:r>
        <w:rPr>
          <w:rFonts w:ascii="MS PGothic" w:cs="MS PGothic" w:eastAsia="MS PGothic" w:hAnsi="MS PGothic"/>
          <w:sz w:val="17"/>
          <w:szCs w:val="17"/>
          <w:color w:val="auto"/>
        </w:rPr>
        <w:t>‐</w:t>
      </w:r>
      <w:r>
        <w:rPr>
          <w:rFonts w:ascii="Arial" w:cs="Arial" w:eastAsia="Arial" w:hAnsi="Arial"/>
          <w:sz w:val="17"/>
          <w:szCs w:val="17"/>
          <w:color w:val="auto"/>
        </w:rPr>
        <w:t>day grace period following notce by the Chinese subsidiary afer a failure to pay on the due date of such installment, the Hong Kong subsidiary would default on the inter</w:t>
      </w:r>
      <w:r>
        <w:rPr>
          <w:rFonts w:ascii="MS PGothic" w:cs="MS PGothic" w:eastAsia="MS PGothic" w:hAnsi="MS PGothic"/>
          <w:sz w:val="17"/>
          <w:szCs w:val="17"/>
          <w:color w:val="auto"/>
        </w:rPr>
        <w:t>‐</w:t>
      </w:r>
      <w:r>
        <w:rPr>
          <w:rFonts w:ascii="Arial" w:cs="Arial" w:eastAsia="Arial" w:hAnsi="Arial"/>
          <w:sz w:val="17"/>
          <w:szCs w:val="17"/>
          <w:color w:val="auto"/>
        </w:rPr>
        <w:t>company loan. The Company intends to pursue alternatves that will allow it and its subsidiaries to perform their obligatons to each other while minimizing the impact on U.S. liquidity.</w:t>
      </w:r>
    </w:p>
    <w:p>
      <w:pPr>
        <w:spacing w:after="0" w:line="207" w:lineRule="exact"/>
        <w:rPr>
          <w:sz w:val="20"/>
          <w:szCs w:val="20"/>
          <w:color w:val="auto"/>
        </w:rPr>
      </w:pPr>
    </w:p>
    <w:p>
      <w:pPr>
        <w:ind w:left="20" w:right="80"/>
        <w:spacing w:after="0" w:line="291" w:lineRule="auto"/>
        <w:rPr>
          <w:sz w:val="20"/>
          <w:szCs w:val="20"/>
          <w:color w:val="auto"/>
        </w:rPr>
      </w:pPr>
      <w:r>
        <w:rPr>
          <w:rFonts w:ascii="Arial" w:cs="Arial" w:eastAsia="Arial" w:hAnsi="Arial"/>
          <w:sz w:val="16"/>
          <w:szCs w:val="16"/>
          <w:color w:val="auto"/>
        </w:rPr>
        <w:t>Kodak's cash fows contnue to be negatvely impacted by supply chain disruptons, shortages in materials and labor, increased labor, commodity and distributon costs and slowdown in customer demand related to global economic conditons. The impacts from price increases, contnued cost reducton actons and supply chain-related cost improvements that have largely been implemented during 2022 have positvely impacted Kodak’s operatons during the frst six months of 2023. The economic uncertainty surrounding the current infatonary environment and other global events represents additonal elements of complexity in Kodak’s plans to return to sustainable positve cash fow. The Company cannot predict the duraton and scope of such events, including the war in Ukraine, and other factors such as the ability to contnue to secure raw materials and components, the impact of rising costs of labor, commodity and distributon costs, or how quickly and to what extent normal economic and operatng conditons can resume.</w:t>
      </w:r>
    </w:p>
    <w:p>
      <w:pPr>
        <w:spacing w:after="0" w:line="166" w:lineRule="exact"/>
        <w:rPr>
          <w:sz w:val="20"/>
          <w:szCs w:val="20"/>
          <w:color w:val="auto"/>
        </w:rPr>
      </w:pPr>
    </w:p>
    <w:p>
      <w:pPr>
        <w:ind w:left="20" w:right="220"/>
        <w:spacing w:after="0" w:line="258" w:lineRule="auto"/>
        <w:rPr>
          <w:sz w:val="20"/>
          <w:szCs w:val="20"/>
          <w:color w:val="auto"/>
        </w:rPr>
      </w:pPr>
      <w:r>
        <w:rPr>
          <w:rFonts w:ascii="Arial" w:cs="Arial" w:eastAsia="Arial" w:hAnsi="Arial"/>
          <w:sz w:val="18"/>
          <w:szCs w:val="18"/>
          <w:color w:val="auto"/>
        </w:rPr>
        <w:t>Kodak's plans to return to sustainable positve cash fow include growing revenues proftably through pricing actons, implementng efectve working capital utlizaton, reducing operatng expenses, contnuing to simplify the organizatonal structure, investng in informaton technology systems to drive operatonal efciencies, generatng cash from selling and leasing underutlized assets or through new licensing opportunites and implementng ways to reduce cash collateral needs.</w:t>
      </w:r>
    </w:p>
    <w:p>
      <w:pPr>
        <w:spacing w:after="0" w:line="190" w:lineRule="exact"/>
        <w:rPr>
          <w:sz w:val="20"/>
          <w:szCs w:val="20"/>
          <w:color w:val="auto"/>
        </w:rPr>
      </w:pPr>
    </w:p>
    <w:p>
      <w:pPr>
        <w:ind w:right="80"/>
        <w:spacing w:after="0" w:line="226" w:lineRule="exact"/>
        <w:rPr>
          <w:sz w:val="20"/>
          <w:szCs w:val="20"/>
          <w:color w:val="auto"/>
        </w:rPr>
      </w:pPr>
      <w:r>
        <w:rPr>
          <w:rFonts w:ascii="Arial" w:cs="Arial" w:eastAsia="Arial" w:hAnsi="Arial"/>
          <w:sz w:val="16"/>
          <w:szCs w:val="16"/>
          <w:color w:val="auto"/>
        </w:rPr>
        <w:t>Kodak believes its liquidity positon is adequate to fund its operatng and investng needs and to provide the fexibility to respond as necessary to ordinary changes in the business and economic environment. Kodak’s ability to adequately fund its long</w:t>
      </w:r>
      <w:r>
        <w:rPr>
          <w:rFonts w:ascii="MS PGothic" w:cs="MS PGothic" w:eastAsia="MS PGothic" w:hAnsi="MS PGothic"/>
          <w:sz w:val="16"/>
          <w:szCs w:val="16"/>
          <w:color w:val="auto"/>
        </w:rPr>
        <w:t>‐</w:t>
      </w:r>
      <w:r>
        <w:rPr>
          <w:rFonts w:ascii="Arial" w:cs="Arial" w:eastAsia="Arial" w:hAnsi="Arial"/>
          <w:sz w:val="16"/>
          <w:szCs w:val="16"/>
          <w:color w:val="auto"/>
        </w:rPr>
        <w:t>term liquidity, debt servicing and capital requirements will be dependent on generatng positve cash fows from operatons, managing world</w:t>
      </w:r>
      <w:r>
        <w:rPr>
          <w:rFonts w:ascii="MS PGothic" w:cs="MS PGothic" w:eastAsia="MS PGothic" w:hAnsi="MS PGothic"/>
          <w:sz w:val="16"/>
          <w:szCs w:val="16"/>
          <w:color w:val="auto"/>
        </w:rPr>
        <w:t>‐</w:t>
      </w:r>
      <w:r>
        <w:rPr>
          <w:rFonts w:ascii="Arial" w:cs="Arial" w:eastAsia="Arial" w:hAnsi="Arial"/>
          <w:sz w:val="16"/>
          <w:szCs w:val="16"/>
          <w:color w:val="auto"/>
        </w:rPr>
        <w:t>wide cash through intercompany loans, distributons or other mechanisms, and the ability to convert, redeem or extend the existng Series B and Series C Preferred Stock past their current maturites of May 26, 2026.</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94615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July 21, 2023 Financing Transactons:</w:t>
      </w:r>
    </w:p>
    <w:p>
      <w:pPr>
        <w:spacing w:after="0" w:line="2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June 30, 2023, the Company entered into an amendment (the “Term Loan Amendment”) to the Existng Term Loan Credit Agreement (the Existng Term Loan Credit Agreement and, as amended and restated by the Term Loan Amendment, the “Amended and Restated Term Loan Credit Agreement”),</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with certain funds afliated with Kennedy Lewis Investment Management LLC (“KLIM”) as lenders (the “Refnancing Term Loan Lenders”) and the Agent. Subject to the terms and conditons of the Term Loan Amendment, the Refnancing Term Loan Lenders provided the Company with a commitment to provide term loans in an aggregate principal amount of $450 million (the “Refnancing Term Loans”).</w:t>
      </w:r>
    </w:p>
    <w:p>
      <w:pPr>
        <w:spacing w:after="0" w:line="19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On July 21, 2023, the Amended and Restated Term Loan Credit Agreement became efectve and the Company completed its borrowing of the Refnancing Term Loans. The Company received net proceeds from the Refnancing Term Loans of approximately $435 million, of which $318 million, representng the aggregate principal amount of the Term Loans plus accrued paid-in-kind or unpaid cash interest, was paid by the Company to refnance the obligatons under the Existng Term Loan Credit Agreement.</w:t>
      </w:r>
    </w:p>
    <w:p>
      <w:pPr>
        <w:spacing w:after="0" w:line="190"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Approximately $28 million of the net proceeds from the Refnancing Term Loans were used to repay in full the Company’s outstanding Convertble Notes, representng the aggregate principal amount of the Convertble Notes plus accrued paid-in-kind interest.</w:t>
      </w:r>
    </w:p>
    <w:p>
      <w:pPr>
        <w:spacing w:after="0" w:line="177" w:lineRule="exact"/>
        <w:rPr>
          <w:sz w:val="20"/>
          <w:szCs w:val="20"/>
          <w:color w:val="auto"/>
        </w:rPr>
      </w:pPr>
    </w:p>
    <w:p>
      <w:pPr>
        <w:jc w:val="both"/>
        <w:ind w:left="40" w:right="180"/>
        <w:spacing w:after="0" w:line="262" w:lineRule="auto"/>
        <w:rPr>
          <w:sz w:val="20"/>
          <w:szCs w:val="20"/>
          <w:color w:val="auto"/>
        </w:rPr>
      </w:pPr>
      <w:r>
        <w:rPr>
          <w:rFonts w:ascii="Arial" w:cs="Arial" w:eastAsia="Arial" w:hAnsi="Arial"/>
          <w:sz w:val="18"/>
          <w:szCs w:val="18"/>
          <w:color w:val="auto"/>
        </w:rPr>
        <w:t>In additon, the Company repaid in full the amounts outstanding under its Existng ABL Credit Agreement, used $59 million of the net proceeds from the Refnancing Term Loans to fund the L/C Cash Collateral account and paid approximately $1 million in fees in connecton with the Amended and Restated L/C Facility Agreement (defned below).</w:t>
      </w:r>
    </w:p>
    <w:p>
      <w:pPr>
        <w:spacing w:after="0" w:line="186" w:lineRule="exact"/>
        <w:rPr>
          <w:sz w:val="20"/>
          <w:szCs w:val="20"/>
          <w:color w:val="auto"/>
        </w:rPr>
      </w:pPr>
    </w:p>
    <w:p>
      <w:pPr>
        <w:jc w:val="both"/>
        <w:ind w:left="40" w:right="200"/>
        <w:spacing w:after="0" w:line="273" w:lineRule="auto"/>
        <w:rPr>
          <w:sz w:val="20"/>
          <w:szCs w:val="20"/>
          <w:color w:val="auto"/>
        </w:rPr>
      </w:pPr>
      <w:r>
        <w:rPr>
          <w:rFonts w:ascii="Arial" w:cs="Arial" w:eastAsia="Arial" w:hAnsi="Arial"/>
          <w:sz w:val="18"/>
          <w:szCs w:val="18"/>
          <w:color w:val="auto"/>
        </w:rPr>
        <w:t>The remaining net proceeds from the Refnancing Term Loans of approximately $29 million will be used by the Company for general corporate purposes and working capital needs.</w:t>
      </w:r>
    </w:p>
    <w:p>
      <w:pPr>
        <w:spacing w:after="0" w:line="177" w:lineRule="exact"/>
        <w:rPr>
          <w:sz w:val="20"/>
          <w:szCs w:val="20"/>
          <w:color w:val="auto"/>
        </w:rPr>
      </w:pPr>
    </w:p>
    <w:p>
      <w:pPr>
        <w:ind w:left="40" w:right="140"/>
        <w:spacing w:after="0" w:line="274" w:lineRule="auto"/>
        <w:rPr>
          <w:sz w:val="20"/>
          <w:szCs w:val="20"/>
          <w:color w:val="auto"/>
        </w:rPr>
      </w:pPr>
      <w:r>
        <w:rPr>
          <w:rFonts w:ascii="Arial" w:cs="Arial" w:eastAsia="Arial" w:hAnsi="Arial"/>
          <w:sz w:val="17"/>
          <w:szCs w:val="17"/>
          <w:color w:val="auto"/>
        </w:rPr>
        <w:t>The Term Loan Amendment also amended and restated the Existng Term Loan Credit Agreement to, among other things, (i) extend the maturity date to the earlier of August 15, 2028 or the date that is 91 days prior to the maturity date or mandatory redempton date of any of the Company’s then-outstanding Series B Preferred Stock or Series C Preferred Stock or any extensions or refnancings of any of the foregoing, (ii) make certain other changes to the terms of the Existng Term Loan Credit Agreement and (iii) make certain other changes to the terms of the Guarantee and Collateral Agreement, dated as of February 26, 2021, among the Company, the Subsidiary Guarantors and the Agent.</w:t>
      </w:r>
    </w:p>
    <w:p>
      <w:pPr>
        <w:spacing w:after="0" w:line="180" w:lineRule="exact"/>
        <w:rPr>
          <w:sz w:val="20"/>
          <w:szCs w:val="20"/>
          <w:color w:val="auto"/>
        </w:rPr>
      </w:pPr>
    </w:p>
    <w:p>
      <w:pPr>
        <w:ind w:left="40" w:right="100"/>
        <w:spacing w:after="0" w:line="273" w:lineRule="auto"/>
        <w:rPr>
          <w:sz w:val="20"/>
          <w:szCs w:val="20"/>
          <w:color w:val="auto"/>
        </w:rPr>
      </w:pPr>
      <w:r>
        <w:rPr>
          <w:rFonts w:ascii="Arial" w:cs="Arial" w:eastAsia="Arial" w:hAnsi="Arial"/>
          <w:sz w:val="18"/>
          <w:szCs w:val="18"/>
          <w:color w:val="auto"/>
        </w:rPr>
        <w:t>The Refnancing Term Loans bear interest at a rate of 7.5% per annum payable in cash and 5.0% per annum payable “in-kind” or in cash at the Company’s opton, for an aggregate interest rate of 12.5% per annum.</w:t>
      </w:r>
    </w:p>
    <w:p>
      <w:pPr>
        <w:spacing w:after="0" w:line="177" w:lineRule="exact"/>
        <w:rPr>
          <w:sz w:val="20"/>
          <w:szCs w:val="20"/>
          <w:color w:val="auto"/>
        </w:rPr>
      </w:pPr>
    </w:p>
    <w:p>
      <w:pPr>
        <w:ind w:left="60"/>
        <w:spacing w:after="0" w:line="291" w:lineRule="auto"/>
        <w:rPr>
          <w:sz w:val="20"/>
          <w:szCs w:val="20"/>
          <w:color w:val="auto"/>
        </w:rPr>
      </w:pPr>
      <w:r>
        <w:rPr>
          <w:rFonts w:ascii="Arial" w:cs="Arial" w:eastAsia="Arial" w:hAnsi="Arial"/>
          <w:sz w:val="16"/>
          <w:szCs w:val="16"/>
          <w:color w:val="auto"/>
        </w:rPr>
        <w:t>The Amended and Restated Term Loan Credit Agreement contnues to limit, among other things, the ability of the Company and its Restricted Subsidiaries (as defned in the Amended and Restated Term Loan Credit Agreement) to (i) incur indebtedness, (ii) incur or create liens, (iii) dispose of assets, (iv) make restricted payments and (v) make investments. The Amended and Restated Term Loan Credit Agreement does contain customary afrmatve covenants, including delivery of certain of the Company’s fnancial statements, and customary event of default provisions, including a cross-default provision that would give rise to an event of default if there is a default under or acceleraton of “Material Indebtedness” other than inter-company indebtedness. Material Indebtedness includes obligatons having a principal amount of at least $20 million (increasing to $25 million afer the Deleveraging Milestone Date). The Amended and Restated Term Loan Credit Agreement does not include a fnancial maintenance covenant or any subjectve acceleraton clauses.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94615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60" w:top="125" w:right="359" w:bottom="1440" w:gutter="0" w:footer="0" w:header="0"/>
        </w:sectPr>
      </w:pPr>
    </w:p>
    <w:bookmarkStart w:id="48" w:name="page49"/>
    <w:bookmarkEnd w:id="48"/>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ABL Credit Agreement</w:t>
      </w:r>
    </w:p>
    <w:p>
      <w:pPr>
        <w:spacing w:after="0" w:line="24"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The Company had approximately $58 million leters of credit outstanding under the 2023 Amended ABL Credit Agreement and Amended ABL Credit Agreement as of both June 30, 2023 and December 31, 2022. As noted above, the Company repaid in full the amounts outstanding under its existng ABL Credit Agreement and the agreement was terminated. The lenders’ security interest in any of the Company’s or its subsidiaries assets or property securing the existng ABL Credit Agreement was released.</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Leter of Credit Facility Agreement</w:t>
      </w:r>
    </w:p>
    <w:p>
      <w:pPr>
        <w:spacing w:after="0" w:line="24" w:lineRule="exact"/>
        <w:rPr>
          <w:sz w:val="20"/>
          <w:szCs w:val="20"/>
          <w:color w:val="auto"/>
        </w:rPr>
      </w:pPr>
    </w:p>
    <w:p>
      <w:pPr>
        <w:ind w:left="20"/>
        <w:spacing w:after="0" w:line="301" w:lineRule="auto"/>
        <w:rPr>
          <w:sz w:val="20"/>
          <w:szCs w:val="20"/>
          <w:color w:val="auto"/>
        </w:rPr>
      </w:pPr>
      <w:r>
        <w:rPr>
          <w:rFonts w:ascii="Arial" w:cs="Arial" w:eastAsia="Arial" w:hAnsi="Arial"/>
          <w:sz w:val="16"/>
          <w:szCs w:val="16"/>
          <w:color w:val="auto"/>
        </w:rPr>
        <w:t>The Company had approximately $41 million and $43 million leters of credit outstanding under the L/C Facility Agreement as of June 30, 2023 and December 31, 2022, respectvely. The leters of credit under the 2023 L/C Facility Agreement are collateralized by cash collateral (L/C Cash Collateral). The L/C Cash Collateral was $43 million and $44 million at June 30, 2023 and December 31, 2022, respectvely, which was classifed as Restricted Cash.</w:t>
      </w:r>
    </w:p>
    <w:p>
      <w:pPr>
        <w:spacing w:after="0" w:line="15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On June 30, 2023, the Company and the Subsidiary Guarantors entered into an amendment (the “June 2023 L/C Facility Amendment”) to the 2023 Amended L/C Facility Agreement, (as amended and restated by the June 2023 L/C Facility Amendment, the “Amended and Restated L/C Facility Agreement”), with Bank of America, N.A., as L/C Lender, L/C Agent and Issuing Bank. The June 2023 L/C Facility Amendment became efectve on July 21, 2023.</w:t>
      </w:r>
    </w:p>
    <w:p>
      <w:pPr>
        <w:spacing w:after="0" w:line="1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terms and conditons of the June 2023 L/C Facility Amendment, the L/C Lender commited to issue additonal leters of credit on the Company’s behalf in an aggregate amount of up to $50 million, to an aggregate principal amount of commitments of up to $100 million (the “L/C Facility Commitments”), untl August 30, 2023, upon which the aggregate L/C Facility Commitments will reduce to $50 million, provided that, at all tmes, the Company posts cash collateral in an amount greater than or equal to 104% of the aggregate amount of leters of credit issued and outstanding at any given tme (the “L/C Cash Collateral”). With the funding from the net proceeds from the Refnancing Term Loans, the balance on deposit in the L/C Cash Collateral account was increased by an additonal $59 million. The L/C Facility Agreement does not include a minimum liquidity or fnancial maintenance covenant.</w:t>
      </w:r>
    </w:p>
    <w:p>
      <w:pPr>
        <w:spacing w:after="0" w:line="195" w:lineRule="exact"/>
        <w:rPr>
          <w:sz w:val="20"/>
          <w:szCs w:val="20"/>
          <w:color w:val="auto"/>
        </w:rPr>
      </w:pPr>
    </w:p>
    <w:p>
      <w:pPr>
        <w:jc w:val="both"/>
        <w:ind w:right="300"/>
        <w:spacing w:after="0" w:line="337" w:lineRule="auto"/>
        <w:rPr>
          <w:sz w:val="20"/>
          <w:szCs w:val="20"/>
          <w:color w:val="auto"/>
        </w:rPr>
      </w:pPr>
      <w:r>
        <w:rPr>
          <w:rFonts w:ascii="Arial" w:cs="Arial" w:eastAsia="Arial" w:hAnsi="Arial"/>
          <w:sz w:val="16"/>
          <w:szCs w:val="16"/>
          <w:color w:val="auto"/>
        </w:rPr>
        <w:t>The Company expects to directly cash collateralize all or a substantal porton of its undiscounted actuarial workers’ compensaton obligatons with The New York State Workers’ Compensaton Board (“NYS WCB”) to reduce the aggregate L/C Facility Commitments to $50 million prior to August 30, 2023.</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June 30,</w:t>
            </w:r>
          </w:p>
        </w:tc>
        <w:tc>
          <w:tcPr>
            <w:tcW w:w="1640" w:type="dxa"/>
            <w:vAlign w:val="bottom"/>
            <w:gridSpan w:val="4"/>
          </w:tcPr>
          <w:p>
            <w:pPr>
              <w:ind w:left="260"/>
              <w:spacing w:after="0"/>
              <w:rPr>
                <w:sz w:val="20"/>
                <w:szCs w:val="20"/>
                <w:color w:val="auto"/>
              </w:rPr>
            </w:pPr>
            <w:r>
              <w:rPr>
                <w:rFonts w:ascii="Arial" w:cs="Arial" w:eastAsia="Arial" w:hAnsi="Arial"/>
                <w:sz w:val="18"/>
                <w:szCs w:val="18"/>
                <w:b w:val="1"/>
                <w:bCs w:val="1"/>
                <w:color w:val="auto"/>
              </w:rPr>
              <w:t>December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0" w:type="dxa"/>
            <w:vAlign w:val="bottom"/>
            <w:gridSpan w:val="4"/>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3"/>
        </w:trPr>
        <w:tc>
          <w:tcPr>
            <w:tcW w:w="532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Cash Flow Actvity</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7"/>
          </w:tcPr>
          <w:p>
            <w:pPr>
              <w:jc w:val="center"/>
              <w:ind w:left="258"/>
              <w:spacing w:after="0"/>
              <w:rPr>
                <w:sz w:val="20"/>
                <w:szCs w:val="20"/>
                <w:color w:val="auto"/>
              </w:rPr>
            </w:pPr>
            <w:r>
              <w:rPr>
                <w:rFonts w:ascii="Arial" w:cs="Arial" w:eastAsia="Arial" w:hAnsi="Arial"/>
                <w:sz w:val="18"/>
                <w:szCs w:val="18"/>
                <w:b w:val="1"/>
                <w:bCs w:val="1"/>
                <w:color w:val="auto"/>
                <w:w w:val="85"/>
              </w:rPr>
              <w:t>Six Months Ended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5"/>
          </w:tcPr>
          <w:p>
            <w:pPr>
              <w:jc w:val="center"/>
              <w:ind w:right="880"/>
              <w:spacing w:after="0"/>
              <w:rPr>
                <w:sz w:val="20"/>
                <w:szCs w:val="20"/>
                <w:color w:val="auto"/>
              </w:rPr>
            </w:pPr>
            <w:r>
              <w:rPr>
                <w:rFonts w:ascii="Arial" w:cs="Arial" w:eastAsia="Arial" w:hAnsi="Arial"/>
                <w:sz w:val="18"/>
                <w:szCs w:val="18"/>
                <w:b w:val="1"/>
                <w:bCs w:val="1"/>
                <w:color w:val="auto"/>
                <w:w w:val="83"/>
              </w:rPr>
              <w:t>June 30,</w:t>
            </w:r>
          </w:p>
        </w:tc>
        <w:tc>
          <w:tcPr>
            <w:tcW w:w="3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3"/>
              </w:rPr>
              <w:t>Year-Over-Year</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4"/>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60" w:type="dxa"/>
            <w:vAlign w:val="bottom"/>
          </w:tcPr>
          <w:p>
            <w:pPr>
              <w:spacing w:after="0"/>
              <w:rPr>
                <w:sz w:val="21"/>
                <w:szCs w:val="21"/>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auto"/>
              </w:rPr>
              <w:t>(in millions)</w:t>
            </w:r>
          </w:p>
        </w:tc>
        <w:tc>
          <w:tcPr>
            <w:tcW w:w="146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4"/>
              </w:rPr>
              <w:t>Change</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shd w:val="clear" w:color="auto" w:fill="CCEEFF"/>
          </w:tcPr>
          <w:p>
            <w:pPr>
              <w:spacing w:after="0" w:line="162" w:lineRule="exact"/>
              <w:rPr>
                <w:sz w:val="20"/>
                <w:szCs w:val="20"/>
                <w:color w:val="auto"/>
              </w:rPr>
            </w:pPr>
            <w:r>
              <w:rPr>
                <w:rFonts w:ascii="Arial" w:cs="Arial" w:eastAsia="Arial" w:hAnsi="Arial"/>
                <w:sz w:val="18"/>
                <w:szCs w:val="18"/>
                <w:color w:val="auto"/>
                <w:w w:val="96"/>
              </w:rPr>
              <w:t>Cash fows from operatng actvites:</w:t>
            </w:r>
          </w:p>
        </w:tc>
        <w:tc>
          <w:tcPr>
            <w:tcW w:w="2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Net cash provided by (used in) operatng actvites</w:t>
            </w:r>
          </w:p>
        </w:tc>
        <w:tc>
          <w:tcPr>
            <w:tcW w:w="1460" w:type="dxa"/>
            <w:vAlign w:val="bottom"/>
            <w:gridSpan w:val="2"/>
          </w:tcPr>
          <w:p>
            <w:pPr>
              <w:jc w:val="right"/>
              <w:ind w:right="97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(103)</w:t>
            </w:r>
          </w:p>
        </w:tc>
        <w:tc>
          <w:tcPr>
            <w:tcW w:w="9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Cash fows from investng actvites:</w:t>
            </w:r>
          </w:p>
        </w:tc>
        <w:tc>
          <w:tcPr>
            <w:tcW w:w="320" w:type="dxa"/>
            <w:vAlign w:val="bottom"/>
            <w:tcBorders>
              <w:right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60" w:type="dxa"/>
            <w:vAlign w:val="bottom"/>
            <w:vMerge w:val="restart"/>
          </w:tcPr>
          <w:p>
            <w:pPr>
              <w:spacing w:after="0"/>
              <w:rPr>
                <w:sz w:val="2"/>
                <w:szCs w:val="2"/>
                <w:color w:val="auto"/>
              </w:rPr>
            </w:pPr>
          </w:p>
        </w:tc>
        <w:tc>
          <w:tcPr>
            <w:tcW w:w="20" w:type="dxa"/>
            <w:vAlign w:val="bottom"/>
            <w:tcBorders>
              <w:top w:val="single" w:sz="8" w:color="auto"/>
            </w:tcBorders>
            <w:vMerge w:val="restart"/>
          </w:tcPr>
          <w:p>
            <w:pPr>
              <w:spacing w:after="0"/>
              <w:rPr>
                <w:sz w:val="2"/>
                <w:szCs w:val="2"/>
                <w:color w:val="auto"/>
              </w:rPr>
            </w:pPr>
          </w:p>
        </w:tc>
        <w:tc>
          <w:tcPr>
            <w:tcW w:w="540" w:type="dxa"/>
            <w:vAlign w:val="bottom"/>
            <w:tcBorders>
              <w:top w:val="single" w:sz="8" w:color="auto"/>
            </w:tcBorders>
            <w:shd w:val="clear" w:color="auto" w:fill="CCEEFF"/>
          </w:tcPr>
          <w:p>
            <w:pPr>
              <w:spacing w:after="0"/>
              <w:rPr>
                <w:sz w:val="2"/>
                <w:szCs w:val="2"/>
                <w:color w:val="auto"/>
              </w:rPr>
            </w:pPr>
          </w:p>
        </w:tc>
        <w:tc>
          <w:tcPr>
            <w:tcW w:w="20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Net cash used in investng actvites: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w w:val="95"/>
              </w:rPr>
              <w:t>Cash fows from fnancing actvites:</w:t>
            </w:r>
          </w:p>
        </w:tc>
        <w:tc>
          <w:tcPr>
            <w:tcW w:w="2140" w:type="dxa"/>
            <w:vAlign w:val="bottom"/>
            <w:tcBorders>
              <w:bottom w:val="single" w:sz="8" w:color="CCEEFF"/>
            </w:tcBorders>
            <w:gridSpan w:val="2"/>
            <w:shd w:val="clear" w:color="auto" w:fill="CCEEFF"/>
          </w:tcPr>
          <w:p>
            <w:pPr>
              <w:spacing w:after="0"/>
              <w:rPr>
                <w:sz w:val="16"/>
                <w:szCs w:val="16"/>
                <w:color w:val="auto"/>
              </w:rPr>
            </w:pPr>
          </w:p>
        </w:tc>
        <w:tc>
          <w:tcPr>
            <w:tcW w:w="320" w:type="dxa"/>
            <w:vAlign w:val="bottom"/>
            <w:tcBorders>
              <w:bottom w:val="single" w:sz="8" w:color="CCEEFF"/>
              <w:right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Net cash (used in) provided by fnancing actvites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740" w:type="dxa"/>
            <w:vAlign w:val="bottom"/>
            <w:gridSpan w:val="5"/>
            <w:shd w:val="clear" w:color="auto" w:fill="CCEEFF"/>
          </w:tcPr>
          <w:p>
            <w:pPr>
              <w:spacing w:after="0" w:line="177" w:lineRule="exact"/>
              <w:rPr>
                <w:sz w:val="20"/>
                <w:szCs w:val="20"/>
                <w:color w:val="auto"/>
              </w:rPr>
            </w:pPr>
            <w:r>
              <w:rPr>
                <w:rFonts w:ascii="Arial" w:cs="Arial" w:eastAsia="Arial" w:hAnsi="Arial"/>
                <w:sz w:val="18"/>
                <w:szCs w:val="18"/>
                <w:color w:val="auto"/>
                <w:w w:val="94"/>
              </w:rPr>
              <w:t>Efect of exchange rate changes on cash, cash equivalents and</w:t>
            </w:r>
          </w:p>
        </w:tc>
        <w:tc>
          <w:tcPr>
            <w:tcW w:w="320" w:type="dxa"/>
            <w:vAlign w:val="bottom"/>
            <w:tcBorders>
              <w:right w:val="single" w:sz="8" w:color="CCEEFF"/>
            </w:tcBorders>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20" w:type="dxa"/>
            <w:vAlign w:val="bottom"/>
            <w:tcBorders>
              <w:right w:val="single" w:sz="8" w:color="CCEEFF"/>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740" w:type="dxa"/>
            <w:vAlign w:val="bottom"/>
            <w:gridSpan w:val="5"/>
          </w:tcPr>
          <w:p>
            <w:pPr>
              <w:spacing w:after="0" w:line="177" w:lineRule="exact"/>
              <w:rPr>
                <w:sz w:val="20"/>
                <w:szCs w:val="20"/>
                <w:color w:val="auto"/>
              </w:rPr>
            </w:pPr>
            <w:r>
              <w:rPr>
                <w:rFonts w:ascii="Arial" w:cs="Arial" w:eastAsia="Arial" w:hAnsi="Arial"/>
                <w:sz w:val="18"/>
                <w:szCs w:val="18"/>
                <w:color w:val="auto"/>
                <w:w w:val="92"/>
              </w:rPr>
              <w:t>Net increase (decrease) in cash, cash equivalents and restricted</w:t>
            </w:r>
          </w:p>
        </w:tc>
        <w:tc>
          <w:tcPr>
            <w:tcW w:w="320" w:type="dxa"/>
            <w:vAlign w:val="bottom"/>
            <w:vMerge w:val="restart"/>
          </w:tcPr>
          <w:p>
            <w:pPr>
              <w:spacing w:after="0"/>
              <w:rPr>
                <w:sz w:val="15"/>
                <w:szCs w:val="15"/>
                <w:color w:val="auto"/>
              </w:rPr>
            </w:pPr>
          </w:p>
        </w:tc>
        <w:tc>
          <w:tcPr>
            <w:tcW w:w="1140" w:type="dxa"/>
            <w:vAlign w:val="bottom"/>
            <w:vMerge w:val="restart"/>
          </w:tcPr>
          <w:p>
            <w:pPr>
              <w:jc w:val="right"/>
              <w:ind w:right="97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vMerge w:val="restart"/>
          </w:tcPr>
          <w:p>
            <w:pPr>
              <w:spacing w:after="0"/>
              <w:rPr>
                <w:sz w:val="15"/>
                <w:szCs w:val="15"/>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(70)</w:t>
            </w:r>
          </w:p>
        </w:tc>
        <w:tc>
          <w:tcPr>
            <w:tcW w:w="96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auto"/>
              </w:rPr>
              <w:t>cash</w:t>
            </w:r>
          </w:p>
        </w:tc>
        <w:tc>
          <w:tcPr>
            <w:tcW w:w="3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60" w:type="dxa"/>
            <w:vAlign w:val="bottom"/>
            <w:gridSpan w:val="2"/>
          </w:tcPr>
          <w:p>
            <w:pPr>
              <w:jc w:val="right"/>
              <w:ind w:right="918"/>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Operatng Actvites</w:t>
      </w:r>
    </w:p>
    <w:p>
      <w:pPr>
        <w:spacing w:after="0" w:line="24"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Net cash from operatng actvites improved $124 million for the six months ended June 30, 2023 as compared with the corresponding period in 2022 primarily due to improved earnings, proceeds from insurance reimbursements and a refund from a governmental authority, decreased investment in inventory and a decrease in trade receivables, partally ofset by a reducton in trade payables. During the six months ended June 30, 2023, Kodak received $16 million of insurance reimbursement proceeds of legal costs previously paid by the Company associated with investgatons and litgaton maters and a $9 million refund from a governmental authority.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Investng Actvites</w:t>
      </w:r>
    </w:p>
    <w:p>
      <w:pPr>
        <w:spacing w:after="0" w:line="2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Net cash used in investng actvites for the six months ended June 30, 2023 increased $2 million compared to the corresponding period in 2022 due to an increase in additons to propertes.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Actvites</w:t>
      </w:r>
    </w:p>
    <w:p>
      <w:pPr>
        <w:spacing w:after="0" w:line="2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Net cash used in fnancing actvites for the six months ended June 30, 2023 increased $49 million compared to the corresponding period in 2022 driven by the net proceeds of $49 million received in the second quarter of 2022 from the Delayed Draw Term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Uses of Cash Related to Financing Transactons</w:t>
      </w:r>
    </w:p>
    <w:p>
      <w:pPr>
        <w:spacing w:after="0" w:line="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holders of the Refnancing Term Loans are enttled to quarterly cash interest payments at a rate of 7.5% per annum and holders of the Series B Preferred Stock are enttled to cumulatve dividends payable quarterly in cash at a rate of 4.0% per annum. The holders of the Series C Preferred Stock are enttled to cumulatve dividends payable quarterly “in-kind” in the form of additonal shares of Series C Preferred Stock at a rate of 5.0% per annum. All interest and dividends have been paid when due.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Collateral Requirements</w:t>
      </w:r>
    </w:p>
    <w:p>
      <w:pPr>
        <w:spacing w:after="0" w:line="25" w:lineRule="exact"/>
        <w:rPr>
          <w:sz w:val="20"/>
          <w:szCs w:val="20"/>
          <w:color w:val="auto"/>
        </w:rPr>
      </w:pPr>
    </w:p>
    <w:p>
      <w:pPr>
        <w:ind w:right="40"/>
        <w:spacing w:after="0" w:line="217" w:lineRule="exact"/>
        <w:rPr>
          <w:sz w:val="20"/>
          <w:szCs w:val="20"/>
          <w:color w:val="auto"/>
        </w:rPr>
      </w:pPr>
      <w:r>
        <w:rPr>
          <w:rFonts w:ascii="Arial" w:cs="Arial" w:eastAsia="Arial" w:hAnsi="Arial"/>
          <w:sz w:val="17"/>
          <w:szCs w:val="17"/>
          <w:color w:val="auto"/>
        </w:rPr>
        <w:t>The NYS WCB requires security deposits related to self</w:t>
      </w:r>
      <w:r>
        <w:rPr>
          <w:rFonts w:ascii="MS PGothic" w:cs="MS PGothic" w:eastAsia="MS PGothic" w:hAnsi="MS PGothic"/>
          <w:sz w:val="17"/>
          <w:szCs w:val="17"/>
          <w:color w:val="auto"/>
        </w:rPr>
        <w:t>‐</w:t>
      </w:r>
      <w:r>
        <w:rPr>
          <w:rFonts w:ascii="Arial" w:cs="Arial" w:eastAsia="Arial" w:hAnsi="Arial"/>
          <w:sz w:val="17"/>
          <w:szCs w:val="17"/>
          <w:color w:val="auto"/>
        </w:rPr>
        <w:t>insured workers’ compensaton obligatons, which security deposits are recalculated annually. Due to changes in 2019 to the manner in which the required security deposits are determined, the Company has been required to post additonal collateral over the last several years. At June 30, 2023, the Company had posted $75 million of collateral, representng 107% of the Company’s undiscounted actuarial workers’ compensaton obligatons. Efectve May 1, 2023, the Company added New York to its existng workers compensaton liability insurance policy and is no longer self-insured for future claims. As a result, the NYS WCB confrmed the Company will no longer be obligated to post any additonal collateral, including the previously disclosed 50% credit ratng based assessment. Further, the NYS WCB confrmed the Company can request a review of the security deposits supportng the historical liability beginning on July 1, 2025 with the submission of a current actuarial report. Based on the results of the actuarial valuaton report, the required security deposits may be eligible for reducton.</w:t>
      </w:r>
    </w:p>
    <w:p>
      <w:pPr>
        <w:spacing w:after="0" w:line="21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on the legacy nature of the Company’s workers’ compensaton obligatons, the undiscounted actuarial obligaton has been declining and the Company expects it to contnue to decline. While it may not be indicatve of the rate of future declines, the undiscounted actuarial liability declined by an average of $5.5 million per year between 2014 and 2022. Accordingly, subject to the possibility of other changes to the calculaton of required security deposits by the NYS WCB, the Company expects the amount of the required security deposits to decline over tme and antcipates the gradual return of the capital used to support the security deposits that have been made.</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result of the Company’s credit ratngs, during the second quarter of 2020 two surety bond holders notfed the Company they required approximately $9 million of incremental collateral. The Company reduced the surety bond value by approximately $9 million in July 2020 with an equivalent increase to an existng leter of credit with the NYS WCB. In July 2023 the Company deposited $19 million directly with the NYS WCB and cancelled the corresponding surety bond supportng the associated liability. The Company could be required to provide up to $4 million of leters of credit to the issuers of certain surety bonds in the future to fully collateralize the bonds.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Defned Beneft Pension and Postretrement Plans</w:t>
      </w:r>
    </w:p>
    <w:p>
      <w:pPr>
        <w:spacing w:after="0" w:line="24" w:lineRule="exact"/>
        <w:rPr>
          <w:sz w:val="20"/>
          <w:szCs w:val="20"/>
          <w:color w:val="auto"/>
        </w:rPr>
      </w:pPr>
    </w:p>
    <w:p>
      <w:pPr>
        <w:ind w:left="20" w:right="280"/>
        <w:spacing w:after="0" w:line="254" w:lineRule="auto"/>
        <w:rPr>
          <w:sz w:val="20"/>
          <w:szCs w:val="20"/>
          <w:color w:val="auto"/>
        </w:rPr>
      </w:pPr>
      <w:r>
        <w:rPr>
          <w:rFonts w:ascii="Arial" w:cs="Arial" w:eastAsia="Arial" w:hAnsi="Arial"/>
          <w:sz w:val="18"/>
          <w:szCs w:val="18"/>
          <w:color w:val="auto"/>
        </w:rPr>
        <w:t>Kodak made net contributons (funded plans) or paid benefts (unfunded plans) totaling approximately $6 million to its defned beneft pension and postretrement beneft plans in the frst six months of 2023. For the balance of 2023, the forecasted contributon (funded plans) and beneft payment (unfunded plans) requirements for its pension and postretrement plans are approximately $7 million.</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Capital Expenditures</w:t>
      </w:r>
    </w:p>
    <w:p>
      <w:pPr>
        <w:spacing w:after="0" w:line="24" w:lineRule="exact"/>
        <w:rPr>
          <w:sz w:val="20"/>
          <w:szCs w:val="20"/>
          <w:color w:val="auto"/>
        </w:rPr>
      </w:pPr>
    </w:p>
    <w:p>
      <w:pPr>
        <w:ind w:left="20" w:right="40"/>
        <w:spacing w:after="0" w:line="258" w:lineRule="auto"/>
        <w:rPr>
          <w:sz w:val="20"/>
          <w:szCs w:val="20"/>
          <w:color w:val="auto"/>
        </w:rPr>
      </w:pPr>
      <w:r>
        <w:rPr>
          <w:rFonts w:ascii="Arial" w:cs="Arial" w:eastAsia="Arial" w:hAnsi="Arial"/>
          <w:sz w:val="18"/>
          <w:szCs w:val="18"/>
          <w:color w:val="auto"/>
        </w:rPr>
        <w:t>Cash fow from investng actvites included $11 million of capital expenditures for the six months ended June 30, 2023. Kodak expects approximately $30 million to $40 million of total capital expenditures for 2023.</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Critcal Accountng Policies and Estmates</w:t>
      </w:r>
    </w:p>
    <w:p>
      <w:pPr>
        <w:spacing w:after="0" w:line="227" w:lineRule="exact"/>
        <w:rPr>
          <w:sz w:val="20"/>
          <w:szCs w:val="20"/>
          <w:color w:val="auto"/>
        </w:rPr>
      </w:pPr>
    </w:p>
    <w:p>
      <w:pPr>
        <w:ind w:left="20" w:right="240"/>
        <w:spacing w:after="0" w:line="255" w:lineRule="auto"/>
        <w:rPr>
          <w:sz w:val="20"/>
          <w:szCs w:val="20"/>
          <w:color w:val="auto"/>
        </w:rPr>
      </w:pPr>
      <w:r>
        <w:rPr>
          <w:rFonts w:ascii="Arial" w:cs="Arial" w:eastAsia="Arial" w:hAnsi="Arial"/>
          <w:sz w:val="18"/>
          <w:szCs w:val="18"/>
          <w:color w:val="auto"/>
        </w:rPr>
        <w:t>Preparaton of the Company’s Consolidated Financial Statements in conformity with accountng principles generally accepted in the United States (U.S. GAAP) requires management to make estmates and assumptons that afect the reported amounts of assets, liabilites, revenues and expenses. The accountng policies most critcal to the preparaton of the consolidated fnancial statements and that require the most difcult, subjectve or complex judgments are described in Management's Discussion and Analysis of Financial Conditon and Results of Operatons included in the Company’s Annual Report on Form 10-K for the year ended December 31, 2022. There have been no material changes in the Company's critcal accountng policies or estmates since December 31, 2022.</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7" w:lineRule="exact"/>
        <w:rPr>
          <w:sz w:val="20"/>
          <w:szCs w:val="20"/>
          <w:color w:val="auto"/>
        </w:rPr>
      </w:pPr>
    </w:p>
    <w:p>
      <w:pPr>
        <w:ind w:left="20" w:right="120"/>
        <w:spacing w:after="0" w:line="300" w:lineRule="auto"/>
        <w:rPr>
          <w:sz w:val="20"/>
          <w:szCs w:val="20"/>
          <w:color w:val="auto"/>
        </w:rPr>
      </w:pPr>
      <w:r>
        <w:rPr>
          <w:rFonts w:ascii="Arial" w:cs="Arial" w:eastAsia="Arial" w:hAnsi="Arial"/>
          <w:sz w:val="16"/>
          <w:szCs w:val="16"/>
          <w:color w:val="auto"/>
        </w:rPr>
        <w:t>As noted in the 2022 Form 10-K, Kodak operates and conducts business in many foreign countries and as a result is exposed to fuctuatons between the U.S. dollar and other currencies. Volatlity in the global fnancial markets could increase the volatlity of foreign currency exchange rates which would, in turn, impact sales and net income. For a discussion of the Company's exposure to market risk and how market risk is mitgated, refer to Part I, Item 1A "Risk Factors" and Part II, Item 7A, "Quanttatve and Qualitatve Disclosures About Market Risk", contained in the 2022 Form 10-K.</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Evaluaton of Disclosure Controls and Procedures</w:t>
      </w:r>
    </w:p>
    <w:p>
      <w:pPr>
        <w:spacing w:after="0" w:line="24" w:lineRule="exact"/>
        <w:rPr>
          <w:sz w:val="20"/>
          <w:szCs w:val="20"/>
          <w:color w:val="auto"/>
        </w:rPr>
      </w:pPr>
    </w:p>
    <w:p>
      <w:pPr>
        <w:ind w:left="20"/>
        <w:spacing w:after="0" w:line="251" w:lineRule="auto"/>
        <w:rPr>
          <w:sz w:val="20"/>
          <w:szCs w:val="20"/>
          <w:color w:val="auto"/>
        </w:rPr>
      </w:pPr>
      <w:r>
        <w:rPr>
          <w:rFonts w:ascii="Arial" w:cs="Arial" w:eastAsia="Arial" w:hAnsi="Arial"/>
          <w:sz w:val="18"/>
          <w:szCs w:val="18"/>
          <w:color w:val="auto"/>
        </w:rPr>
        <w:t>Kodak maintains disclosure controls and procedures that are designed to ensure that informaton required to be disclosed in Kodak’s reports fled or submited under the Securites Exchange Act of 1934 (the “Exchange Act”) is recorded, processed, summarized and reported within the tme periods specifed in the SEC’s rules and forms, and that such informaton is accumulated and communicated to management, including Kodak’s Executve Chairman and Chief Executve Ofcer and Chief Financial Ofcer, as appropriate, to allow tmely decisions regarding required disclosure. Kodak’s management, with the partcipaton of Kodak’s Executve Chairman and Chief Executve Ofcer and Chief Financial Ofcer, has evaluated the efectveness of Kodak’s disclosure controls and procedures as of the end of the period covered by this Quarterly Report on Form 10-Q and have concluded that, as of the end of the period covered by this Quarterly Report on Form 10-Q, Kodak’s disclosure controls and procedures (as defned in Rules 13a-15(e) and 15d-15(e) under the Exchange Act) were efectve.</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Changes in Internal Control Over Financial Reportng</w:t>
      </w:r>
    </w:p>
    <w:p>
      <w:pPr>
        <w:spacing w:after="0" w:line="24" w:lineRule="exact"/>
        <w:rPr>
          <w:sz w:val="20"/>
          <w:szCs w:val="20"/>
          <w:color w:val="auto"/>
        </w:rPr>
      </w:pPr>
    </w:p>
    <w:p>
      <w:pPr>
        <w:ind w:left="20" w:right="60" w:firstLine="41"/>
        <w:spacing w:after="0" w:line="272" w:lineRule="auto"/>
        <w:rPr>
          <w:sz w:val="20"/>
          <w:szCs w:val="20"/>
          <w:color w:val="auto"/>
        </w:rPr>
      </w:pPr>
      <w:r>
        <w:rPr>
          <w:rFonts w:ascii="Arial" w:cs="Arial" w:eastAsia="Arial" w:hAnsi="Arial"/>
          <w:sz w:val="17"/>
          <w:szCs w:val="17"/>
          <w:color w:val="auto"/>
        </w:rPr>
        <w:t>Kodak is in the process of a mult-year project to modernize and enhance the Company’s global informaton technology systems, to improve and standardize business and fnancial processes and to increase the efciency and efectveness of fnancial planning and reportng. As the phased implementaton occurs, it may result in changes to processes and procedures which may result in changes to internal controls over fnancial reportng. As such changes occur, Kodak evaluates whether they materially afect the Company’s internal controls over fnancial reportng.</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May 16, 2023, Kodak acquired 100% of the outstanding shares of Graphic Systems Services, Inc. (“GSS”). GSS represented less than 1% of consolidated revenues for the three months ended June 30, 2023 and less than 1% of consolidated total assets as of June 30, 2023. As permited by the SEC, Kodak elected to exclude GSS from its assessment of changes in internal controls over fnancial reportng.</w:t>
      </w:r>
    </w:p>
    <w:p>
      <w:pPr>
        <w:spacing w:after="0" w:line="186" w:lineRule="exact"/>
        <w:rPr>
          <w:sz w:val="20"/>
          <w:szCs w:val="20"/>
          <w:color w:val="auto"/>
        </w:rPr>
      </w:pPr>
    </w:p>
    <w:p>
      <w:pPr>
        <w:ind w:left="20" w:right="300"/>
        <w:spacing w:after="0" w:line="273" w:lineRule="auto"/>
        <w:rPr>
          <w:sz w:val="20"/>
          <w:szCs w:val="20"/>
          <w:color w:val="auto"/>
        </w:rPr>
      </w:pPr>
      <w:r>
        <w:rPr>
          <w:rFonts w:ascii="Arial" w:cs="Arial" w:eastAsia="Arial" w:hAnsi="Arial"/>
          <w:sz w:val="18"/>
          <w:szCs w:val="18"/>
          <w:color w:val="auto"/>
        </w:rPr>
        <w:t>There have been no changes in Kodak’s internal control over fnancial reportng during the most recently completed fscal quarter that have materially afected, or are reasonably likely to materially afect, Kodak’s internal control over fnancial reportng.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94615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7"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auto"/>
        </w:rPr>
        <w:t>See Note 7, “Commitments and Contngencies” in the Notes to the Financial Statements included in Part I, Item 1, “Financial Statements” for informaton regarding certain legal proceedings in which Kodak is involved.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See the Risk Factors set forth in Part I, Item 1A. of the 2022 Form 10-K for a detailed discussion of risk factors that could materially afect Kodak’s business, fnancial conditon and results of operatons.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Securites and Use of Proceeds</w:t>
      </w:r>
    </w:p>
    <w:p>
      <w:pPr>
        <w:spacing w:after="0" w:line="225" w:lineRule="exact"/>
        <w:rPr>
          <w:sz w:val="20"/>
          <w:szCs w:val="20"/>
          <w:color w:val="auto"/>
        </w:rPr>
      </w:pPr>
    </w:p>
    <w:p>
      <w:pPr>
        <w:ind w:left="660" w:right="5360" w:hanging="652"/>
        <w:spacing w:after="0" w:line="500"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securites during the quarter ended June 30, 2023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securites during the quarter ended June 30, 2023</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Total Number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Maximum Number</w:t>
            </w:r>
          </w:p>
        </w:tc>
      </w:tr>
      <w:tr>
        <w:trPr>
          <w:trHeight w:val="216"/>
        </w:trPr>
        <w:tc>
          <w:tcPr>
            <w:tcW w:w="3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of Shares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of Shares</w:t>
            </w:r>
          </w:p>
        </w:tc>
      </w:tr>
      <w:tr>
        <w:trPr>
          <w:trHeight w:val="216"/>
        </w:trPr>
        <w:tc>
          <w:tcPr>
            <w:tcW w:w="3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Purchased as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That May Yet</w:t>
            </w:r>
          </w:p>
        </w:tc>
      </w:tr>
      <w:tr>
        <w:trPr>
          <w:trHeight w:val="216"/>
        </w:trPr>
        <w:tc>
          <w:tcPr>
            <w:tcW w:w="30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Total Number</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ind w:right="210"/>
              <w:spacing w:after="0"/>
              <w:rPr>
                <w:sz w:val="20"/>
                <w:szCs w:val="20"/>
                <w:color w:val="auto"/>
              </w:rPr>
            </w:pPr>
            <w:r>
              <w:rPr>
                <w:rFonts w:ascii="Arial" w:cs="Arial" w:eastAsia="Arial" w:hAnsi="Arial"/>
                <w:sz w:val="18"/>
                <w:szCs w:val="18"/>
                <w:b w:val="1"/>
                <w:bCs w:val="1"/>
                <w:color w:val="auto"/>
                <w:w w:val="84"/>
              </w:rPr>
              <w:t>Average</w:t>
            </w: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Part of Publicly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Be Purchased</w:t>
            </w:r>
          </w:p>
        </w:tc>
      </w:tr>
      <w:tr>
        <w:trPr>
          <w:trHeight w:val="216"/>
        </w:trPr>
        <w:tc>
          <w:tcPr>
            <w:tcW w:w="30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2"/>
              </w:rPr>
              <w:t>of Shares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4"/>
              </w:rPr>
              <w:t>Price Paid</w:t>
            </w: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Announced Plans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under the Plans or</w:t>
            </w:r>
          </w:p>
        </w:tc>
      </w:tr>
      <w:tr>
        <w:trPr>
          <w:trHeight w:val="244"/>
        </w:trPr>
        <w:tc>
          <w:tcPr>
            <w:tcW w:w="30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per Share</w:t>
            </w:r>
          </w:p>
        </w:tc>
        <w:tc>
          <w:tcPr>
            <w:tcW w:w="220" w:type="dxa"/>
            <w:vAlign w:val="bottom"/>
          </w:tcPr>
          <w:p>
            <w:pPr>
              <w:spacing w:after="0"/>
              <w:rPr>
                <w:sz w:val="21"/>
                <w:szCs w:val="21"/>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or Programs (2)</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Programs (2)</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April 1 through 30</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w w:val="87"/>
              </w:rPr>
              <w:t>n/a</w:t>
            </w:r>
          </w:p>
        </w:tc>
        <w:tc>
          <w:tcPr>
            <w:tcW w:w="22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May 1 through 31</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920" w:type="dxa"/>
            <w:vAlign w:val="bottom"/>
            <w:gridSpan w:val="2"/>
          </w:tcPr>
          <w:p>
            <w:pPr>
              <w:ind w:left="1460"/>
              <w:spacing w:after="0"/>
              <w:rPr>
                <w:sz w:val="20"/>
                <w:szCs w:val="20"/>
                <w:color w:val="auto"/>
              </w:rPr>
            </w:pPr>
            <w:r>
              <w:rPr>
                <w:rFonts w:ascii="Arial" w:cs="Arial" w:eastAsia="Arial" w:hAnsi="Arial"/>
                <w:sz w:val="18"/>
                <w:szCs w:val="18"/>
                <w:color w:val="auto"/>
              </w:rPr>
              <w:t>n/a</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n/a</w:t>
            </w:r>
          </w:p>
        </w:tc>
      </w:tr>
      <w:tr>
        <w:trPr>
          <w:trHeight w:val="216"/>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1 through 30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n/a</w:t>
            </w:r>
          </w:p>
        </w:tc>
        <w:tc>
          <w:tcPr>
            <w:tcW w:w="180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n/a</w:t>
            </w:r>
          </w:p>
        </w:tc>
      </w:tr>
      <w:tr>
        <w:trPr>
          <w:trHeight w:val="220"/>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spacing w:after="0"/>
              <w:rPr>
                <w:sz w:val="20"/>
                <w:szCs w:val="20"/>
                <w:color w:val="auto"/>
              </w:rPr>
            </w:pPr>
            <w:r>
              <w:rPr>
                <w:rFonts w:ascii="Arial" w:cs="Arial" w:eastAsia="Arial" w:hAnsi="Arial"/>
                <w:sz w:val="18"/>
                <w:szCs w:val="18"/>
                <w:color w:val="auto"/>
              </w:rPr>
              <w:t>2,068</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820" w:hanging="488"/>
        <w:spacing w:after="0"/>
        <w:tabs>
          <w:tab w:leader="none" w:pos="820" w:val="left"/>
        </w:tabs>
        <w:numPr>
          <w:ilvl w:val="0"/>
          <w:numId w:val="17"/>
        </w:numPr>
        <w:rPr>
          <w:rFonts w:ascii="Arial" w:cs="Arial" w:eastAsia="Arial" w:hAnsi="Arial"/>
          <w:sz w:val="29"/>
          <w:szCs w:val="29"/>
          <w:color w:val="auto"/>
          <w:vertAlign w:val="superscript"/>
        </w:rPr>
      </w:pPr>
      <w:r>
        <w:rPr>
          <w:rFonts w:ascii="Arial" w:cs="Arial" w:eastAsia="Arial" w:hAnsi="Arial"/>
          <w:sz w:val="17"/>
          <w:szCs w:val="17"/>
          <w:color w:val="auto"/>
        </w:rPr>
        <w:t>These purchases were made to satsfy tax withholding obligatons in connecton with the vestng of restricted stock units issued to employees.</w:t>
      </w:r>
    </w:p>
    <w:p>
      <w:pPr>
        <w:spacing w:after="0" w:line="141" w:lineRule="exact"/>
        <w:rPr>
          <w:rFonts w:ascii="Arial" w:cs="Arial" w:eastAsia="Arial" w:hAnsi="Arial"/>
          <w:sz w:val="29"/>
          <w:szCs w:val="29"/>
          <w:color w:val="auto"/>
          <w:vertAlign w:val="superscript"/>
        </w:rPr>
      </w:pPr>
    </w:p>
    <w:p>
      <w:pPr>
        <w:ind w:left="820" w:hanging="488"/>
        <w:spacing w:after="0"/>
        <w:tabs>
          <w:tab w:leader="none" w:pos="82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Kodak does not have a publicly announced repurchase plan or program.</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Items 3 through 5 of Part II have been omited because they are not applicable with respect to the current reportng period.</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Eastman Kodak Company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12" w:lineRule="exact"/>
        <w:rPr>
          <w:sz w:val="20"/>
          <w:szCs w:val="20"/>
          <w:color w:val="auto"/>
        </w:rPr>
      </w:pPr>
    </w:p>
    <w:p>
      <w:pPr>
        <w:ind w:left="620" w:right="620" w:hanging="612"/>
        <w:spacing w:after="0" w:line="273"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66">
        <w:r>
          <w:rPr>
            <w:rFonts w:ascii="Arial" w:cs="Arial" w:eastAsia="Arial" w:hAnsi="Arial"/>
            <w:sz w:val="18"/>
            <w:szCs w:val="18"/>
            <w:u w:val="single" w:color="auto"/>
            <w:color w:val="0000EE"/>
          </w:rPr>
          <w:t>Second Amended and Restated Certfcate of Incorporaton of Eastman Kodak Company (Incorporated by reference to Exhibit 4.1 of the</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Company’s Registraton Statement on Form S-8 as fled on September 3, 2013).</w:t>
        </w:r>
      </w:hyperlink>
    </w:p>
    <w:p>
      <w:pPr>
        <w:spacing w:after="0" w:line="177" w:lineRule="exact"/>
        <w:rPr>
          <w:sz w:val="20"/>
          <w:szCs w:val="20"/>
          <w:color w:val="auto"/>
        </w:rPr>
      </w:pPr>
    </w:p>
    <w:p>
      <w:pPr>
        <w:ind w:left="620" w:right="380" w:hanging="612"/>
        <w:spacing w:after="0" w:line="273"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67">
        <w:r>
          <w:rPr>
            <w:rFonts w:ascii="Arial" w:cs="Arial" w:eastAsia="Arial" w:hAnsi="Arial"/>
            <w:sz w:val="18"/>
            <w:szCs w:val="18"/>
            <w:u w:val="single" w:color="auto"/>
            <w:color w:val="0000EE"/>
          </w:rPr>
          <w:t>Certfcate of Amendment to the Second Amended and Restated Certfcate of Incorporaton of Eastman Kodak Company. (Incorporated by</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reference to Exhibit 3.1 of the Company’s Current Report on Form 8-K as fled on November 16, 2016).</w:t>
        </w:r>
      </w:hyperlink>
    </w:p>
    <w:p>
      <w:pPr>
        <w:spacing w:after="0" w:line="177" w:lineRule="exact"/>
        <w:rPr>
          <w:sz w:val="20"/>
          <w:szCs w:val="20"/>
          <w:color w:val="auto"/>
        </w:rPr>
      </w:pPr>
    </w:p>
    <w:p>
      <w:pPr>
        <w:ind w:left="620" w:right="420" w:hanging="612"/>
        <w:spacing w:after="0" w:line="273"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68">
        <w:r>
          <w:rPr>
            <w:rFonts w:ascii="Arial" w:cs="Arial" w:eastAsia="Arial" w:hAnsi="Arial"/>
            <w:sz w:val="18"/>
            <w:szCs w:val="18"/>
            <w:u w:val="single" w:color="auto"/>
            <w:color w:val="0000EE"/>
          </w:rPr>
          <w:t>Certfcate of Amendment to the Second Amended and Restated Certfcate of Incorporaton of Eastman Kodak Company (Incorporated by</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reference to Exhibit (3.1) of the Company’s Current Report on Form 8-K as fled on September 12, 2019).</w:t>
        </w:r>
      </w:hyperlink>
    </w:p>
    <w:p>
      <w:pPr>
        <w:spacing w:after="0" w:line="177" w:lineRule="exact"/>
        <w:rPr>
          <w:sz w:val="20"/>
          <w:szCs w:val="20"/>
          <w:color w:val="auto"/>
        </w:rPr>
      </w:pPr>
    </w:p>
    <w:p>
      <w:pPr>
        <w:ind w:left="620" w:right="420" w:hanging="612"/>
        <w:spacing w:after="0" w:line="273"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69">
        <w:r>
          <w:rPr>
            <w:rFonts w:ascii="Arial" w:cs="Arial" w:eastAsia="Arial" w:hAnsi="Arial"/>
            <w:sz w:val="18"/>
            <w:szCs w:val="18"/>
            <w:u w:val="single" w:color="auto"/>
            <w:color w:val="0000EE"/>
          </w:rPr>
          <w:t>Certfcate of Amendment to the Second Amended and Restated Certfcate of Incorporaton of Eastman Kodak Company (Incorporated by</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reference to Exhibit (3.2) of the Company’s Current Report on Form 8-K as fled on September 12, 2019).</w:t>
        </w:r>
      </w:hyperlink>
    </w:p>
    <w:p>
      <w:pPr>
        <w:spacing w:after="0" w:line="177" w:lineRule="exact"/>
        <w:rPr>
          <w:sz w:val="20"/>
          <w:szCs w:val="20"/>
          <w:color w:val="auto"/>
        </w:rPr>
      </w:pPr>
    </w:p>
    <w:p>
      <w:pPr>
        <w:ind w:left="620" w:right="420" w:hanging="612"/>
        <w:spacing w:after="0" w:line="273"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70">
        <w:r>
          <w:rPr>
            <w:rFonts w:ascii="Arial" w:cs="Arial" w:eastAsia="Arial" w:hAnsi="Arial"/>
            <w:sz w:val="18"/>
            <w:szCs w:val="18"/>
            <w:u w:val="single" w:color="auto"/>
            <w:color w:val="0000EE"/>
          </w:rPr>
          <w:t>Certfcate of Amendment to the Second Amended and Restated Certfcate of Incorporaton of Eastman Kodak Company (Incorporated by</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reference to Exhibit 3.1 of the Company’s Current Report on Form 8-K as fled on December 29, 2020).</w:t>
        </w:r>
      </w:hyperlink>
    </w:p>
    <w:p>
      <w:pPr>
        <w:spacing w:after="0" w:line="177" w:lineRule="exact"/>
        <w:rPr>
          <w:sz w:val="20"/>
          <w:szCs w:val="20"/>
          <w:color w:val="auto"/>
        </w:rPr>
      </w:pPr>
    </w:p>
    <w:p>
      <w:pPr>
        <w:ind w:left="620" w:right="420" w:hanging="612"/>
        <w:spacing w:after="0" w:line="273"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(3.6)</w:t>
      </w:r>
      <w:r>
        <w:rPr>
          <w:sz w:val="20"/>
          <w:szCs w:val="20"/>
          <w:color w:val="auto"/>
        </w:rPr>
        <w:tab/>
      </w:r>
      <w:hyperlink r:id="rId71">
        <w:r>
          <w:rPr>
            <w:rFonts w:ascii="Arial" w:cs="Arial" w:eastAsia="Arial" w:hAnsi="Arial"/>
            <w:sz w:val="18"/>
            <w:szCs w:val="18"/>
            <w:u w:val="single" w:color="auto"/>
            <w:color w:val="0000EE"/>
          </w:rPr>
          <w:t>Certfcate of Amendment to the Second Amended and Restated Certfcate of Incorporaton of Eastman Kodak Company (Incorporated by</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reference to Exhibit 3.1 of the Company’s Current Report on Form 8-K as fled on March 1, 2021).</w:t>
        </w:r>
      </w:hyperlink>
    </w:p>
    <w:p>
      <w:pPr>
        <w:spacing w:after="0" w:line="177" w:lineRule="exact"/>
        <w:rPr>
          <w:sz w:val="20"/>
          <w:szCs w:val="20"/>
          <w:color w:val="auto"/>
        </w:rPr>
      </w:pPr>
    </w:p>
    <w:p>
      <w:pPr>
        <w:ind w:left="620" w:right="420" w:hanging="612"/>
        <w:spacing w:after="0" w:line="273"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(3.7)</w:t>
      </w:r>
      <w:r>
        <w:rPr>
          <w:sz w:val="20"/>
          <w:szCs w:val="20"/>
          <w:color w:val="auto"/>
        </w:rPr>
        <w:tab/>
      </w:r>
      <w:hyperlink r:id="rId72">
        <w:r>
          <w:rPr>
            <w:rFonts w:ascii="Arial" w:cs="Arial" w:eastAsia="Arial" w:hAnsi="Arial"/>
            <w:sz w:val="18"/>
            <w:szCs w:val="18"/>
            <w:u w:val="single" w:color="auto"/>
            <w:color w:val="0000EE"/>
          </w:rPr>
          <w:t>Certfcate of Amendment to the Second Amended and Restated Certfcate of Incorporaton of Eastman Kodak Company (Incorporated by</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reference to Exhibit 3.2 of the Company’s Current Report on Form 8-K as fled on March 1, 2021).</w:t>
        </w:r>
      </w:hyperlink>
    </w:p>
    <w:p>
      <w:pPr>
        <w:spacing w:after="0" w:line="177" w:lineRule="exact"/>
        <w:rPr>
          <w:sz w:val="20"/>
          <w:szCs w:val="20"/>
          <w:color w:val="auto"/>
        </w:rPr>
      </w:pPr>
    </w:p>
    <w:p>
      <w:pPr>
        <w:ind w:left="620" w:right="360" w:hanging="612"/>
        <w:spacing w:after="0" w:line="273"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(3.8)</w:t>
      </w:r>
      <w:r>
        <w:rPr>
          <w:sz w:val="20"/>
          <w:szCs w:val="20"/>
          <w:color w:val="auto"/>
        </w:rPr>
        <w:tab/>
      </w:r>
      <w:hyperlink r:id="rId73">
        <w:r>
          <w:rPr>
            <w:rFonts w:ascii="Arial" w:cs="Arial" w:eastAsia="Arial" w:hAnsi="Arial"/>
            <w:sz w:val="18"/>
            <w:szCs w:val="18"/>
            <w:u w:val="single" w:color="auto"/>
            <w:color w:val="0000EE"/>
          </w:rPr>
          <w:t>Fourth Amended and Restated By-Laws of Eastman Kodak Company (Incorporated by reference to Exhibit (3.5) of the Company’s Quarterly</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Report on Form 10-Q for the quarterly period ended March 31, 2020 as fled on May 12, 2020).</w:t>
        </w:r>
      </w:hyperlink>
    </w:p>
    <w:p>
      <w:pPr>
        <w:spacing w:after="0" w:line="177" w:lineRule="exact"/>
        <w:rPr>
          <w:sz w:val="20"/>
          <w:szCs w:val="20"/>
          <w:color w:val="auto"/>
        </w:rPr>
      </w:pPr>
    </w:p>
    <w:p>
      <w:pPr>
        <w:ind w:left="620" w:hanging="612"/>
        <w:spacing w:after="0" w:line="258"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74">
        <w:r>
          <w:rPr>
            <w:rFonts w:ascii="Arial" w:cs="Arial" w:eastAsia="Arial" w:hAnsi="Arial"/>
            <w:sz w:val="18"/>
            <w:szCs w:val="18"/>
            <w:u w:val="single" w:color="auto"/>
            <w:color w:val="0000EE"/>
          </w:rPr>
          <w:t>First Amendment to Credit Agreement, dated as of June 30, 2023, by and among the Company, the Subsidiary Guarantors named therein, the</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Lenders named therein and Alter Domus (US), LLC, as Administratve Agent, including as exhibits the Amended and Restated Term Loan Credit</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Agreement and Guarantee and Collateral Agreement, as amended (Incorporated by reference to Exhibit (10.1) of the Company’s Current Report</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on Form 8-K as fled on July 7, 2023).</w:t>
        </w:r>
      </w:hyperlink>
    </w:p>
    <w:p>
      <w:pPr>
        <w:spacing w:after="0" w:line="190" w:lineRule="exact"/>
        <w:rPr>
          <w:rFonts w:ascii="Arial" w:cs="Arial" w:eastAsia="Arial" w:hAnsi="Arial"/>
          <w:sz w:val="18"/>
          <w:szCs w:val="18"/>
          <w:u w:val="single" w:color="auto"/>
          <w:color w:val="0000EE"/>
        </w:rPr>
      </w:pPr>
    </w:p>
    <w:p>
      <w:pPr>
        <w:ind w:left="620" w:hanging="612"/>
        <w:spacing w:after="0" w:line="309" w:lineRule="auto"/>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75">
        <w:r>
          <w:rPr>
            <w:rFonts w:ascii="Arial" w:cs="Arial" w:eastAsia="Arial" w:hAnsi="Arial"/>
            <w:sz w:val="16"/>
            <w:szCs w:val="16"/>
            <w:u w:val="single" w:color="auto"/>
            <w:color w:val="0000EE"/>
          </w:rPr>
          <w:t>Amendment No. 2 to Leter of Credit Facility Agreement, dated as of June 30, 2023, by and among the Company, the Subsidiary Guarantors</w:t>
        </w:r>
      </w:hyperlink>
      <w:r>
        <w:rPr>
          <w:rFonts w:ascii="Arial" w:cs="Arial" w:eastAsia="Arial" w:hAnsi="Arial"/>
          <w:sz w:val="16"/>
          <w:szCs w:val="16"/>
          <w:u w:val="single" w:color="auto"/>
          <w:color w:val="0000EE"/>
        </w:rPr>
        <w:t xml:space="preserve"> </w:t>
      </w:r>
      <w:hyperlink r:id="rId75">
        <w:r>
          <w:rPr>
            <w:rFonts w:ascii="Arial" w:cs="Arial" w:eastAsia="Arial" w:hAnsi="Arial"/>
            <w:sz w:val="16"/>
            <w:szCs w:val="16"/>
            <w:u w:val="single" w:color="auto"/>
            <w:color w:val="0000EE"/>
          </w:rPr>
          <w:t>named therein and Bank of America, N.A., as Agent, Lender and Issuing Bank, including as an exhibit the Amended and Restated Leter of Credit</w:t>
        </w:r>
      </w:hyperlink>
      <w:r>
        <w:rPr>
          <w:rFonts w:ascii="Arial" w:cs="Arial" w:eastAsia="Arial" w:hAnsi="Arial"/>
          <w:sz w:val="16"/>
          <w:szCs w:val="16"/>
          <w:u w:val="single" w:color="auto"/>
          <w:color w:val="0000EE"/>
        </w:rPr>
        <w:t xml:space="preserve"> </w:t>
      </w:r>
      <w:hyperlink r:id="rId75">
        <w:r>
          <w:rPr>
            <w:rFonts w:ascii="Arial" w:cs="Arial" w:eastAsia="Arial" w:hAnsi="Arial"/>
            <w:sz w:val="16"/>
            <w:szCs w:val="16"/>
            <w:u w:val="single" w:color="auto"/>
            <w:color w:val="0000EE"/>
          </w:rPr>
          <w:t>Facility Agreement (Incorporated by reference to Exhibit (10.2) of the Company’s Current Report on Form 8-K as fled on July 7, 2023).</w:t>
        </w:r>
      </w:hyperlink>
    </w:p>
    <w:p>
      <w:pPr>
        <w:spacing w:after="0" w:line="369" w:lineRule="exact"/>
        <w:rPr>
          <w:rFonts w:ascii="Arial" w:cs="Arial" w:eastAsia="Arial" w:hAnsi="Arial"/>
          <w:sz w:val="16"/>
          <w:szCs w:val="16"/>
          <w:u w:val="single" w:color="auto"/>
          <w:color w:val="0000EE"/>
        </w:rPr>
      </w:pPr>
    </w:p>
    <w:p>
      <w:pPr>
        <w:jc w:val="center"/>
        <w:ind w:right="-159"/>
        <w:spacing w:after="0"/>
        <w:rPr>
          <w:sz w:val="20"/>
          <w:szCs w:val="20"/>
          <w:color w:val="auto"/>
        </w:rPr>
      </w:pPr>
      <w:r>
        <w:rPr>
          <w:rFonts w:ascii="Arial" w:cs="Arial" w:eastAsia="Arial" w:hAnsi="Arial"/>
          <w:sz w:val="18"/>
          <w:szCs w:val="18"/>
          <w:color w:val="auto"/>
        </w:rPr>
        <w:t>[53]</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23" w:lineRule="exact"/>
        <w:rPr>
          <w:sz w:val="20"/>
          <w:szCs w:val="20"/>
          <w:color w:val="auto"/>
        </w:rPr>
      </w:pPr>
    </w:p>
    <w:p>
      <w:pPr>
        <w:ind w:left="660" w:right="20" w:hanging="656"/>
        <w:spacing w:after="0" w:line="303"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(10.3)</w:t>
      </w:r>
      <w:r>
        <w:rPr>
          <w:sz w:val="20"/>
          <w:szCs w:val="20"/>
          <w:color w:val="auto"/>
        </w:rPr>
        <w:tab/>
      </w:r>
      <w:hyperlink r:id="rId77">
        <w:r>
          <w:rPr>
            <w:rFonts w:ascii="Arial" w:cs="Arial" w:eastAsia="Arial" w:hAnsi="Arial"/>
            <w:sz w:val="17"/>
            <w:szCs w:val="17"/>
            <w:u w:val="single" w:color="auto"/>
            <w:color w:val="0000EE"/>
          </w:rPr>
          <w:t>Amendment to Leter Agreement, dated as of June 30, 2023, by and among the Company and Kennedy Lewis Investment Management LLC</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(Incorporated by reference to Exhibit (10.3) of the Company’s Current Report on Form 8-K as fled on July 7, 2023).</w:t>
        </w:r>
      </w:hyperlink>
    </w:p>
    <w:p>
      <w:pPr>
        <w:spacing w:after="0" w:line="15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EE"/>
        </w:rPr>
        <w:t>Certfcaton signed by James V. Contnenza, fled herewith.</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EE"/>
        </w:rPr>
        <w:t>Certfcaton signed by David E. Bullwinkle, fled herewith.</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0000EE"/>
        </w:rPr>
        <w:t>Certfcaton Pursuant to 18 U.S.C. Secton 1350, as Adopted Pursuant to Secton 906 of the Sarbanes-Oxley Act of 2002, signed by James V.</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Contnenza, fled herewith.</w:t>
      </w:r>
    </w:p>
    <w:p>
      <w:pPr>
        <w:spacing w:after="0" w:line="21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u w:val="single" w:color="auto"/>
          <w:color w:val="0000EE"/>
        </w:rPr>
        <w:t>Certfcaton Pursuant to 18 U.S.C. Secton 1350, as Adopted Pursuant to Secton 906 of the Sarbanes-Oxley Act of 2002 signed by David E.</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Bullwinkle, fled herewith.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(101.CAL) Inline XBRL Taxonomy Extension Calculaton Linkbase.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Inline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 Inline XBRL Taxonomy Extension Label Linkbase.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Presentaton Linkbase.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 Inline XBRL Taxonomy Extension Schema Linkbase.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 Inline XBRL Taxonomy Extension Defniton Linkbase</w:t>
      </w:r>
    </w:p>
    <w:p>
      <w:pPr>
        <w:spacing w:after="0" w:line="225"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Interactve Data File (formated in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25" w:right="7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780"/>
        <w:spacing w:after="0" w:line="273" w:lineRule="auto"/>
        <w:rPr>
          <w:sz w:val="20"/>
          <w:szCs w:val="20"/>
          <w:color w:val="auto"/>
        </w:rPr>
      </w:pPr>
      <w:r>
        <w:rPr>
          <w:rFonts w:ascii="Arial" w:cs="Arial" w:eastAsia="Arial" w:hAnsi="Arial"/>
          <w:sz w:val="18"/>
          <w:szCs w:val="18"/>
          <w:color w:val="auto"/>
        </w:rPr>
        <w:t>Pursuant to the requirements of the Securites Exchange Act of 1934, the registrant has duly caused this report to be signed on its behalf by the undersigned thereunto duly authorized.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EASTMAN KODAK COMPANY</w:t>
            </w:r>
          </w:p>
        </w:tc>
      </w:tr>
      <w:tr>
        <w:trPr>
          <w:trHeight w:val="227"/>
        </w:trPr>
        <w:tc>
          <w:tcPr>
            <w:tcW w:w="35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663"/>
        </w:trPr>
        <w:tc>
          <w:tcPr>
            <w:tcW w:w="3520" w:type="dxa"/>
            <w:vAlign w:val="bottom"/>
          </w:tcPr>
          <w:p>
            <w:pPr>
              <w:spacing w:after="0"/>
              <w:rPr>
                <w:sz w:val="20"/>
                <w:szCs w:val="20"/>
                <w:color w:val="auto"/>
              </w:rPr>
            </w:pPr>
            <w:r>
              <w:rPr>
                <w:rFonts w:ascii="Arial" w:cs="Arial" w:eastAsia="Arial" w:hAnsi="Arial"/>
                <w:sz w:val="18"/>
                <w:szCs w:val="18"/>
                <w:b w:val="1"/>
                <w:bCs w:val="1"/>
                <w:color w:val="auto"/>
              </w:rPr>
              <w:t>Date: August 8, 2023</w:t>
            </w:r>
          </w:p>
        </w:tc>
        <w:tc>
          <w:tcPr>
            <w:tcW w:w="2540" w:type="dxa"/>
            <w:vAlign w:val="bottom"/>
          </w:tcPr>
          <w:p>
            <w:pPr>
              <w:spacing w:after="0"/>
              <w:rPr>
                <w:sz w:val="24"/>
                <w:szCs w:val="24"/>
                <w:color w:val="auto"/>
              </w:rPr>
            </w:pP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Richard T. Michaels</w:t>
            </w:r>
          </w:p>
        </w:tc>
      </w:tr>
      <w:tr>
        <w:trPr>
          <w:trHeight w:val="182"/>
        </w:trPr>
        <w:tc>
          <w:tcPr>
            <w:tcW w:w="35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18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Richard T. Michaels</w:t>
            </w:r>
          </w:p>
        </w:tc>
      </w:tr>
      <w:tr>
        <w:trPr>
          <w:trHeight w:val="216"/>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Chief Accountng Ofcer and Corporate Controller</w:t>
            </w:r>
          </w:p>
        </w:tc>
      </w:tr>
      <w:tr>
        <w:trPr>
          <w:trHeight w:val="231"/>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(Chief Accountng Ofcer and Authorized Signatory)</w:t>
            </w:r>
          </w:p>
        </w:tc>
      </w:tr>
      <w:tr>
        <w:trPr>
          <w:trHeight w:val="430"/>
        </w:trPr>
        <w:tc>
          <w:tcPr>
            <w:tcW w:w="3520" w:type="dxa"/>
            <w:vAlign w:val="bottom"/>
          </w:tcPr>
          <w:p>
            <w:pPr>
              <w:spacing w:after="0"/>
              <w:rPr>
                <w:sz w:val="24"/>
                <w:szCs w:val="24"/>
                <w:color w:val="auto"/>
              </w:rPr>
            </w:pPr>
          </w:p>
        </w:tc>
        <w:tc>
          <w:tcPr>
            <w:tcW w:w="2540" w:type="dxa"/>
            <w:vAlign w:val="bottom"/>
          </w:tcPr>
          <w:p>
            <w:pPr>
              <w:jc w:val="right"/>
              <w:ind w:right="190"/>
              <w:spacing w:after="0"/>
              <w:rPr>
                <w:sz w:val="20"/>
                <w:szCs w:val="20"/>
                <w:color w:val="auto"/>
              </w:rPr>
            </w:pPr>
            <w:r>
              <w:rPr>
                <w:rFonts w:ascii="Arial" w:cs="Arial" w:eastAsia="Arial" w:hAnsi="Arial"/>
                <w:sz w:val="18"/>
                <w:szCs w:val="18"/>
                <w:color w:val="auto"/>
              </w:rPr>
              <w:t>[55]</w:t>
            </w:r>
          </w:p>
        </w:tc>
        <w:tc>
          <w:tcPr>
            <w:tcW w:w="51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James V. Contnenza, certfy that:</w:t>
      </w:r>
    </w:p>
    <w:p>
      <w:pPr>
        <w:spacing w:after="0" w:line="22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of Eastman Kodak Company;</w:t>
      </w:r>
    </w:p>
    <w:p>
      <w:pPr>
        <w:spacing w:after="0" w:line="225" w:lineRule="exact"/>
        <w:rPr>
          <w:rFonts w:ascii="Arial" w:cs="Arial" w:eastAsia="Arial" w:hAnsi="Arial"/>
          <w:sz w:val="18"/>
          <w:szCs w:val="18"/>
          <w:color w:val="auto"/>
        </w:rPr>
      </w:pPr>
    </w:p>
    <w:p>
      <w:pPr>
        <w:jc w:val="both"/>
        <w:ind w:left="500" w:right="20" w:hanging="492"/>
        <w:spacing w:after="0" w:line="262"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500" w:right="100" w:hanging="492"/>
        <w:spacing w:after="0" w:line="27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77" w:lineRule="exact"/>
        <w:rPr>
          <w:rFonts w:ascii="Arial" w:cs="Arial" w:eastAsia="Arial" w:hAnsi="Arial"/>
          <w:sz w:val="18"/>
          <w:szCs w:val="18"/>
          <w:color w:val="auto"/>
        </w:rPr>
      </w:pPr>
    </w:p>
    <w:p>
      <w:pPr>
        <w:jc w:val="both"/>
        <w:ind w:left="500" w:right="380" w:hanging="492"/>
        <w:spacing w:after="0" w:line="262"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86" w:lineRule="exact"/>
        <w:rPr>
          <w:rFonts w:ascii="Arial" w:cs="Arial" w:eastAsia="Arial" w:hAnsi="Arial"/>
          <w:sz w:val="18"/>
          <w:szCs w:val="18"/>
          <w:color w:val="auto"/>
        </w:rPr>
      </w:pPr>
    </w:p>
    <w:p>
      <w:pPr>
        <w:ind w:left="500" w:right="120" w:hanging="6"/>
        <w:spacing w:after="0" w:line="262" w:lineRule="auto"/>
        <w:tabs>
          <w:tab w:leader="none" w:pos="72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86" w:lineRule="exact"/>
        <w:rPr>
          <w:rFonts w:ascii="Arial" w:cs="Arial" w:eastAsia="Arial" w:hAnsi="Arial"/>
          <w:sz w:val="18"/>
          <w:szCs w:val="18"/>
          <w:color w:val="auto"/>
        </w:rPr>
      </w:pPr>
    </w:p>
    <w:p>
      <w:pPr>
        <w:ind w:left="500" w:right="60" w:hanging="6"/>
        <w:spacing w:after="0" w:line="262" w:lineRule="auto"/>
        <w:tabs>
          <w:tab w:leader="none" w:pos="7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86" w:lineRule="exact"/>
        <w:rPr>
          <w:rFonts w:ascii="Arial" w:cs="Arial" w:eastAsia="Arial" w:hAnsi="Arial"/>
          <w:sz w:val="18"/>
          <w:szCs w:val="18"/>
          <w:color w:val="auto"/>
        </w:rPr>
      </w:pPr>
    </w:p>
    <w:p>
      <w:pPr>
        <w:ind w:left="500" w:right="620" w:hanging="6"/>
        <w:spacing w:after="0" w:line="337" w:lineRule="auto"/>
        <w:tabs>
          <w:tab w:leader="none" w:pos="712"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31" w:lineRule="exact"/>
        <w:rPr>
          <w:rFonts w:ascii="Arial" w:cs="Arial" w:eastAsia="Arial" w:hAnsi="Arial"/>
          <w:sz w:val="16"/>
          <w:szCs w:val="16"/>
          <w:color w:val="auto"/>
        </w:rPr>
      </w:pPr>
    </w:p>
    <w:p>
      <w:pPr>
        <w:jc w:val="both"/>
        <w:ind w:left="500" w:right="120" w:hanging="6"/>
        <w:spacing w:after="0" w:line="262" w:lineRule="auto"/>
        <w:tabs>
          <w:tab w:leader="none" w:pos="7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86" w:lineRule="exact"/>
        <w:rPr>
          <w:rFonts w:ascii="Arial" w:cs="Arial" w:eastAsia="Arial" w:hAnsi="Arial"/>
          <w:sz w:val="18"/>
          <w:szCs w:val="18"/>
          <w:color w:val="auto"/>
        </w:rPr>
      </w:pPr>
    </w:p>
    <w:p>
      <w:pPr>
        <w:ind w:left="500" w:right="40" w:hanging="492"/>
        <w:spacing w:after="0" w:line="303"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54" w:lineRule="exact"/>
        <w:rPr>
          <w:rFonts w:ascii="Arial" w:cs="Arial" w:eastAsia="Arial" w:hAnsi="Arial"/>
          <w:sz w:val="17"/>
          <w:szCs w:val="17"/>
          <w:color w:val="auto"/>
        </w:rPr>
      </w:pPr>
    </w:p>
    <w:p>
      <w:pPr>
        <w:ind w:left="500" w:right="160" w:hanging="6"/>
        <w:spacing w:after="0" w:line="273" w:lineRule="auto"/>
        <w:tabs>
          <w:tab w:leader="none" w:pos="72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77" w:lineRule="exact"/>
        <w:rPr>
          <w:rFonts w:ascii="Arial" w:cs="Arial" w:eastAsia="Arial" w:hAnsi="Arial"/>
          <w:sz w:val="18"/>
          <w:szCs w:val="18"/>
          <w:color w:val="auto"/>
        </w:rPr>
      </w:pPr>
    </w:p>
    <w:p>
      <w:pPr>
        <w:ind w:left="500" w:hanging="6"/>
        <w:spacing w:after="0" w:line="273" w:lineRule="auto"/>
        <w:tabs>
          <w:tab w:leader="none" w:pos="7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signifcant role in the registrant's internal control over fnancial reportng.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James V. Contnenza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854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Executve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Executve Ofcer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10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certfy that:</w:t>
      </w:r>
    </w:p>
    <w:p>
      <w:pPr>
        <w:spacing w:after="0" w:line="225"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Eastman Kodak Company;</w:t>
      </w:r>
    </w:p>
    <w:p>
      <w:pPr>
        <w:spacing w:after="0" w:line="225" w:lineRule="exact"/>
        <w:rPr>
          <w:rFonts w:ascii="Arial" w:cs="Arial" w:eastAsia="Arial" w:hAnsi="Arial"/>
          <w:sz w:val="18"/>
          <w:szCs w:val="18"/>
          <w:color w:val="auto"/>
        </w:rPr>
      </w:pPr>
    </w:p>
    <w:p>
      <w:pPr>
        <w:jc w:val="both"/>
        <w:ind w:left="500" w:right="20" w:hanging="492"/>
        <w:spacing w:after="0" w:line="262"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500" w:right="100" w:hanging="492"/>
        <w:spacing w:after="0" w:line="27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77" w:lineRule="exact"/>
        <w:rPr>
          <w:rFonts w:ascii="Arial" w:cs="Arial" w:eastAsia="Arial" w:hAnsi="Arial"/>
          <w:sz w:val="18"/>
          <w:szCs w:val="18"/>
          <w:color w:val="auto"/>
        </w:rPr>
      </w:pPr>
    </w:p>
    <w:p>
      <w:pPr>
        <w:jc w:val="both"/>
        <w:ind w:left="500" w:right="380" w:hanging="492"/>
        <w:spacing w:after="0" w:line="262"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86" w:lineRule="exact"/>
        <w:rPr>
          <w:rFonts w:ascii="Arial" w:cs="Arial" w:eastAsia="Arial" w:hAnsi="Arial"/>
          <w:sz w:val="18"/>
          <w:szCs w:val="18"/>
          <w:color w:val="auto"/>
        </w:rPr>
      </w:pPr>
    </w:p>
    <w:p>
      <w:pPr>
        <w:ind w:left="500" w:right="120" w:hanging="6"/>
        <w:spacing w:after="0" w:line="262" w:lineRule="auto"/>
        <w:tabs>
          <w:tab w:leader="none" w:pos="722"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86" w:lineRule="exact"/>
        <w:rPr>
          <w:rFonts w:ascii="Arial" w:cs="Arial" w:eastAsia="Arial" w:hAnsi="Arial"/>
          <w:sz w:val="18"/>
          <w:szCs w:val="18"/>
          <w:color w:val="auto"/>
        </w:rPr>
      </w:pPr>
    </w:p>
    <w:p>
      <w:pPr>
        <w:ind w:left="500" w:right="60" w:hanging="6"/>
        <w:spacing w:after="0" w:line="262" w:lineRule="auto"/>
        <w:tabs>
          <w:tab w:leader="none" w:pos="7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86" w:lineRule="exact"/>
        <w:rPr>
          <w:rFonts w:ascii="Arial" w:cs="Arial" w:eastAsia="Arial" w:hAnsi="Arial"/>
          <w:sz w:val="18"/>
          <w:szCs w:val="18"/>
          <w:color w:val="auto"/>
        </w:rPr>
      </w:pPr>
    </w:p>
    <w:p>
      <w:pPr>
        <w:ind w:left="500" w:right="620" w:hanging="6"/>
        <w:spacing w:after="0" w:line="337" w:lineRule="auto"/>
        <w:tabs>
          <w:tab w:leader="none" w:pos="712"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31" w:lineRule="exact"/>
        <w:rPr>
          <w:rFonts w:ascii="Arial" w:cs="Arial" w:eastAsia="Arial" w:hAnsi="Arial"/>
          <w:sz w:val="16"/>
          <w:szCs w:val="16"/>
          <w:color w:val="auto"/>
        </w:rPr>
      </w:pPr>
    </w:p>
    <w:p>
      <w:pPr>
        <w:jc w:val="both"/>
        <w:ind w:left="500" w:right="120" w:hanging="6"/>
        <w:spacing w:after="0" w:line="262" w:lineRule="auto"/>
        <w:tabs>
          <w:tab w:leader="none" w:pos="7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86" w:lineRule="exact"/>
        <w:rPr>
          <w:rFonts w:ascii="Arial" w:cs="Arial" w:eastAsia="Arial" w:hAnsi="Arial"/>
          <w:sz w:val="18"/>
          <w:szCs w:val="18"/>
          <w:color w:val="auto"/>
        </w:rPr>
      </w:pPr>
    </w:p>
    <w:p>
      <w:pPr>
        <w:ind w:left="500" w:right="40" w:hanging="492"/>
        <w:spacing w:after="0" w:line="303"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54" w:lineRule="exact"/>
        <w:rPr>
          <w:rFonts w:ascii="Arial" w:cs="Arial" w:eastAsia="Arial" w:hAnsi="Arial"/>
          <w:sz w:val="17"/>
          <w:szCs w:val="17"/>
          <w:color w:val="auto"/>
        </w:rPr>
      </w:pPr>
    </w:p>
    <w:p>
      <w:pPr>
        <w:ind w:left="500" w:right="160" w:hanging="6"/>
        <w:spacing w:after="0" w:line="273" w:lineRule="auto"/>
        <w:tabs>
          <w:tab w:leader="none" w:pos="72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77" w:lineRule="exact"/>
        <w:rPr>
          <w:rFonts w:ascii="Arial" w:cs="Arial" w:eastAsia="Arial" w:hAnsi="Arial"/>
          <w:sz w:val="18"/>
          <w:szCs w:val="18"/>
          <w:color w:val="auto"/>
        </w:rPr>
      </w:pPr>
    </w:p>
    <w:p>
      <w:pPr>
        <w:ind w:left="500" w:hanging="6"/>
        <w:spacing w:after="0" w:line="273" w:lineRule="auto"/>
        <w:tabs>
          <w:tab w:leader="none" w:pos="7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signifcant role in the registrant's internal control over fnancial reportng.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8543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Chief Financial Ofcer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10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connecton with the Quarterly Report of Eastman Kodak Company (the "Company") on Form 10-Q for the period ended June 30, 2023, as fled with the Securites and Exchange Commission on the date hereof (the "Report"), I, James V. Contnenza, Executve Chairman and Chief Executve Ofcer of the Company, certfy, pursuant to 18 U.S.C. Secton 1350, as adopted pursuant to Secton 906 of the Sarbanes-Oxley Act of 2002, that to the best of my knowledge:</w:t>
      </w:r>
    </w:p>
    <w:p>
      <w:pPr>
        <w:spacing w:after="0" w:line="190" w:lineRule="exact"/>
        <w:rPr>
          <w:sz w:val="20"/>
          <w:szCs w:val="20"/>
          <w:color w:val="auto"/>
        </w:rPr>
      </w:pPr>
    </w:p>
    <w:p>
      <w:pPr>
        <w:ind w:left="720" w:hanging="22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secton 13(a) or 15(d) of the Securites Exchange Act of 1934; and</w:t>
      </w:r>
    </w:p>
    <w:p>
      <w:pPr>
        <w:spacing w:after="0" w:line="225" w:lineRule="exact"/>
        <w:rPr>
          <w:rFonts w:ascii="Arial" w:cs="Arial" w:eastAsia="Arial" w:hAnsi="Arial"/>
          <w:sz w:val="18"/>
          <w:szCs w:val="18"/>
          <w:color w:val="auto"/>
        </w:rPr>
      </w:pPr>
    </w:p>
    <w:p>
      <w:pPr>
        <w:ind w:left="500" w:right="720" w:hanging="6"/>
        <w:spacing w:after="0" w:line="273" w:lineRule="auto"/>
        <w:tabs>
          <w:tab w:leader="none" w:pos="7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James V. Contnenza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James V. Contnenza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-118745</wp:posOffset>
            </wp:positionV>
            <wp:extent cx="2494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Executve Chairman and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Executve Ofcer</w:t>
      </w:r>
    </w:p>
    <w:p>
      <w:pPr>
        <w:spacing w:after="0" w:line="200" w:lineRule="exact"/>
        <w:rPr>
          <w:sz w:val="20"/>
          <w:szCs w:val="20"/>
          <w:color w:val="auto"/>
        </w:rPr>
      </w:pPr>
    </w:p>
    <w:p>
      <w:pPr>
        <w:spacing w:after="0" w:line="2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10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8"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In connecton with the Quarterly Report of Eastman Kodak Company (the "Company") on Form 10-Q for the period ended June 30, 2023, as fled with the Securites and Exchange Commission on the date hereof (the "Report"), I, David E. Bullwinkle, Chief Financial Ofcer of the Company, certfy, pursuant to 18 U.S.C. Secton 1350, as adopted pursuant to Secton 906 of the Sarbanes-Oxley Act of 2002, that to the best of my knowledge:</w:t>
      </w:r>
    </w:p>
    <w:p>
      <w:pPr>
        <w:spacing w:after="0" w:line="170" w:lineRule="exact"/>
        <w:rPr>
          <w:sz w:val="20"/>
          <w:szCs w:val="20"/>
          <w:color w:val="auto"/>
        </w:rPr>
      </w:pPr>
    </w:p>
    <w:p>
      <w:pPr>
        <w:ind w:left="720" w:hanging="22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secton 13(a) or 15(d) of the Securites Exchange Act of 1934; and</w:t>
      </w:r>
    </w:p>
    <w:p>
      <w:pPr>
        <w:spacing w:after="0" w:line="225" w:lineRule="exact"/>
        <w:rPr>
          <w:rFonts w:ascii="Arial" w:cs="Arial" w:eastAsia="Arial" w:hAnsi="Arial"/>
          <w:sz w:val="18"/>
          <w:szCs w:val="18"/>
          <w:color w:val="auto"/>
        </w:rPr>
      </w:pPr>
    </w:p>
    <w:p>
      <w:pPr>
        <w:ind w:left="500" w:right="720" w:hanging="6"/>
        <w:spacing w:after="0" w:line="273" w:lineRule="auto"/>
        <w:tabs>
          <w:tab w:leader="none" w:pos="7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informaton contained in the Report fairly presents, in all material respects, the fnancial conditon and results of operatons of the Company.</w:t>
      </w:r>
    </w:p>
    <w:p>
      <w:pPr>
        <w:spacing w:after="0" w:line="3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David E. Bullwinkle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-118745</wp:posOffset>
            </wp:positionV>
            <wp:extent cx="24942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Chief Financial Ofcer</w:t>
      </w:r>
    </w:p>
    <w:p>
      <w:pPr>
        <w:spacing w:after="0" w:line="200" w:lineRule="exact"/>
        <w:rPr>
          <w:sz w:val="20"/>
          <w:szCs w:val="20"/>
          <w:color w:val="auto"/>
        </w:rPr>
      </w:pPr>
    </w:p>
    <w:p>
      <w:pPr>
        <w:spacing w:after="0" w:line="2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8, 2023</w:t>
      </w:r>
    </w:p>
    <w:sectPr>
      <w:pgSz w:w="11900" w:h="16838" w:orient="portrait"/>
      <w:cols w:equalWidth="0" w:num="1">
        <w:col w:w="11240"/>
      </w:cols>
      <w:pgMar w:left="320" w:top="1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Roman"/>
      <w:start w:val="2"/>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6"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66" Type="http://schemas.openxmlformats.org/officeDocument/2006/relationships/hyperlink" Target="http://www.sec.gov/Archives/edgar/data/31235/000119312513354928/d591063dex41.htm" TargetMode="External"/><Relationship Id="rId67" Type="http://schemas.openxmlformats.org/officeDocument/2006/relationships/hyperlink" Target="http://www.sec.gov/Archives/edgar/data/31235/000156459016029358/kodk-ex31_26.htm" TargetMode="External"/><Relationship Id="rId68" Type="http://schemas.openxmlformats.org/officeDocument/2006/relationships/hyperlink" Target="http://www.sec.gov/Archives/edgar/data/31235/000119312519243935/d803063dex31.htm" TargetMode="External"/><Relationship Id="rId69" Type="http://schemas.openxmlformats.org/officeDocument/2006/relationships/hyperlink" Target="http://www.sec.gov/Archives/edgar/data/31235/000119312519243935/d803063dex32.htm" TargetMode="External"/><Relationship Id="rId70" Type="http://schemas.openxmlformats.org/officeDocument/2006/relationships/hyperlink" Target="http://www.sec.gov/Archives/edgar/data/31235/000156459020058718/kodk-ex31_14.htm" TargetMode="External"/><Relationship Id="rId71" Type="http://schemas.openxmlformats.org/officeDocument/2006/relationships/hyperlink" Target="http://www.sec.gov/Archives/edgar/data/31235/000119312521062328/d468860dex31.htm" TargetMode="External"/><Relationship Id="rId72" Type="http://schemas.openxmlformats.org/officeDocument/2006/relationships/hyperlink" Target="http://www.sec.gov/Archives/edgar/data/31235/000119312521062328/d468860dex32.htm" TargetMode="External"/><Relationship Id="rId73" Type="http://schemas.openxmlformats.org/officeDocument/2006/relationships/hyperlink" Target="http://www.sec.gov/Archives/edgar/data/31235/000156459020024666/kodk-ex35_31.htm" TargetMode="External"/><Relationship Id="rId74" Type="http://schemas.openxmlformats.org/officeDocument/2006/relationships/hyperlink" Target="http://www.sec.gov/Archives/edgar/data/31235/000143774923019548/ex_541239.htm" TargetMode="External"/><Relationship Id="rId75" Type="http://schemas.openxmlformats.org/officeDocument/2006/relationships/hyperlink" Target="http://www.sec.gov/Archives/edgar/data/31235/000143774923019548/ex_541240.htm" TargetMode="External"/><Relationship Id="rId77" Type="http://schemas.openxmlformats.org/officeDocument/2006/relationships/hyperlink" Target="http://www.sec.gov/Archives/edgar/data/31235/000143774923019548/ex_5412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2023-08-08T15:29:34Z</dcterms:created>
  <dcterms:modified xsi:type="dcterms:W3CDTF">2023-08-08T15:29:34Z</dcterms:modified>
</cp:coreProperties>
</file>