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kc20240930_10q.htm"/>
      <w:bookmarkStart w:id="1" w:name="ksekc20240930_10q"/>
      <w:bookmarkEnd w:id="0"/>
      <w:bookmarkEnd w:id="1"/>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Calibri;Arial;sans-serif" w:hAnsi="Calibri;Arial;sans-serif"/>
            <w:caps w:val="false"/>
            <w:smallCaps w:val="false"/>
            <w:sz w:val="20"/>
          </w:rPr>
          <w:t>Table of Contents</w:t>
        </w:r>
      </w:hyperlink>
    </w:p>
    <w:p>
      <w:pPr>
        <w:pStyle w:val="TextBody"/>
        <w:bidi w:val="0"/>
        <w:spacing w:before="0" w:after="0"/>
        <w:ind w:left="0" w:right="0" w:hanging="0"/>
        <w:jc w:val="center"/>
        <w:rPr>
          <w:rFonts w:ascii="Calibri;Arial;sans-serif" w:hAnsi="Calibri;Arial;sans-serif"/>
          <w:b/>
          <w:caps w:val="false"/>
          <w:smallCaps w:val="false"/>
          <w:sz w:val="18"/>
        </w:rPr>
      </w:pPr>
      <w:r>
        <w:rPr>
          <w:rFonts w:ascii="Calibri;Arial;sans-serif" w:hAnsi="Calibri;Arial;sans-serif"/>
          <w:b/>
          <w:caps w:val="false"/>
          <w:smallCaps w:val="false"/>
          <w:sz w:val="18"/>
        </w:rPr>
        <w:t>UNITED STATES</w:t>
      </w:r>
    </w:p>
    <w:p>
      <w:pPr>
        <w:pStyle w:val="TextBody"/>
        <w:bidi w:val="0"/>
        <w:spacing w:before="0" w:after="0"/>
        <w:ind w:left="0" w:right="0" w:hanging="0"/>
        <w:jc w:val="center"/>
        <w:rPr>
          <w:rFonts w:ascii="Calibri;Arial;sans-serif" w:hAnsi="Calibri;Arial;sans-serif"/>
          <w:b/>
          <w:caps w:val="false"/>
          <w:smallCaps w:val="false"/>
          <w:sz w:val="18"/>
        </w:rPr>
      </w:pPr>
      <w:r>
        <w:rPr>
          <w:rFonts w:ascii="Calibri;Arial;sans-serif" w:hAnsi="Calibri;Arial;sans-serif"/>
          <w:b/>
          <w:caps w:val="false"/>
          <w:smallCaps w:val="false"/>
          <w:sz w:val="18"/>
        </w:rPr>
        <w:t>SECURITIES AND EXCHANGE COMMISSION</w:t>
      </w:r>
    </w:p>
    <w:p>
      <w:pPr>
        <w:pStyle w:val="TextBody"/>
        <w:bidi w:val="0"/>
        <w:spacing w:before="0" w:after="0"/>
        <w:ind w:left="0" w:right="0" w:hanging="0"/>
        <w:jc w:val="center"/>
        <w:rPr>
          <w:rFonts w:ascii="Calibri;Arial;sans-serif" w:hAnsi="Calibri;Arial;sans-serif"/>
          <w:b/>
          <w:caps w:val="false"/>
          <w:smallCaps w:val="false"/>
          <w:sz w:val="18"/>
        </w:rPr>
      </w:pPr>
      <w:r>
        <w:rPr>
          <w:rFonts w:ascii="Calibri;Arial;sans-serif" w:hAnsi="Calibri;Arial;sans-serif"/>
          <w:b/>
          <w:caps w:val="false"/>
          <w:smallCaps w:val="false"/>
          <w:sz w:val="18"/>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b/>
          <w:caps w:val="false"/>
          <w:smallCaps w:val="false"/>
          <w:sz w:val="18"/>
        </w:rPr>
      </w:pPr>
      <w:r>
        <w:rPr>
          <w:rFonts w:ascii="Calibri;Arial;sans-serif" w:hAnsi="Calibri;Arial;sans-serif"/>
          <w:b/>
          <w:caps w:val="false"/>
          <w:smallCaps w:val="false"/>
          <w:sz w:val="18"/>
        </w:rPr>
        <w:t>FORM 10-Q</w:t>
      </w:r>
    </w:p>
    <w:p>
      <w:pPr>
        <w:pStyle w:val="TextBody"/>
        <w:bidi w:val="0"/>
        <w:spacing w:before="0" w:after="0"/>
        <w:ind w:left="0" w:right="0" w:hanging="0"/>
        <w:jc w:val="left"/>
        <w:rPr>
          <w:caps w:val="false"/>
          <w:smallCaps w:val="false"/>
        </w:rPr>
      </w:pPr>
      <w:r>
        <w:rPr>
          <w:caps w:val="false"/>
          <w:smallCaps w:val="false"/>
        </w:rPr>
        <w:t>☒         </w:t>
      </w:r>
      <w:r>
        <w:rPr>
          <w:rFonts w:ascii="Calibri;Arial;sans-serif" w:hAnsi="Calibri;Arial;sans-serif"/>
          <w:b/>
          <w:caps w:val="false"/>
          <w:smallCaps w:val="false"/>
          <w:sz w:val="18"/>
        </w:rPr>
        <w:t>Quarterly report pursuant to Section</w:t>
      </w:r>
      <w:r>
        <w:rPr>
          <w:rFonts w:ascii="Calibri;Arial;sans-serif" w:hAnsi="Calibri;Arial;sans-serif"/>
          <w:caps w:val="false"/>
          <w:smallCaps w:val="false"/>
          <w:sz w:val="18"/>
        </w:rPr>
        <w:t> </w:t>
      </w:r>
      <w:r>
        <w:rPr>
          <w:rFonts w:ascii="Calibri;Arial;sans-serif" w:hAnsi="Calibri;Arial;sans-serif"/>
          <w:b/>
          <w:caps w:val="false"/>
          <w:smallCaps w:val="false"/>
          <w:sz w:val="18"/>
        </w:rPr>
        <w:t>13 or 15(d) of the Securities Exchange Act of 1934</w:t>
      </w:r>
    </w:p>
    <w:tbl>
      <w:tblPr>
        <w:tblW w:w="4000" w:type="dxa"/>
        <w:jc w:val="left"/>
        <w:tblInd w:w="0" w:type="dxa"/>
        <w:tblLayout w:type="fixed"/>
        <w:tblCellMar>
          <w:top w:w="0" w:type="dxa"/>
          <w:left w:w="0" w:type="dxa"/>
          <w:bottom w:w="0" w:type="dxa"/>
          <w:right w:w="0" w:type="dxa"/>
        </w:tblCellMar>
      </w:tblPr>
      <w:tblGrid>
        <w:gridCol w:w="2495"/>
        <w:gridCol w:w="1505"/>
      </w:tblGrid>
      <w:tr>
        <w:trPr/>
        <w:tc>
          <w:tcPr>
            <w:tcW w:w="2495" w:type="dxa"/>
            <w:tcBorders/>
            <w:vAlign w:val="center"/>
          </w:tcPr>
          <w:p>
            <w:pPr>
              <w:pStyle w:val="TableContents"/>
              <w:bidi w:val="0"/>
              <w:spacing w:before="0" w:after="0"/>
              <w:ind w:left="0" w:right="0" w:hanging="0"/>
              <w:jc w:val="right"/>
              <w:rPr>
                <w:rFonts w:ascii="Calibri;Arial;sans-serif" w:hAnsi="Calibri;Arial;sans-serif"/>
                <w:caps w:val="false"/>
                <w:smallCaps w:val="false"/>
                <w:sz w:val="18"/>
              </w:rPr>
            </w:pPr>
            <w:r>
              <w:rPr>
                <w:rFonts w:ascii="Calibri;Arial;sans-serif" w:hAnsi="Calibri;Arial;sans-serif"/>
                <w:b/>
                <w:caps w:val="false"/>
                <w:smallCaps w:val="false"/>
                <w:sz w:val="18"/>
              </w:rPr>
              <w:t>For the quarterly period ended:</w:t>
            </w:r>
            <w:r>
              <w:rPr>
                <w:rFonts w:ascii="Calibri;Arial;sans-serif" w:hAnsi="Calibri;Arial;sans-serif"/>
                <w:caps w:val="false"/>
                <w:smallCaps w:val="false"/>
                <w:sz w:val="18"/>
              </w:rPr>
              <w:t xml:space="preserve">    </w:t>
            </w:r>
          </w:p>
        </w:tc>
        <w:tc>
          <w:tcPr>
            <w:tcW w:w="1505" w:type="dxa"/>
            <w:tcBorders/>
            <w:vAlign w:val="center"/>
          </w:tcPr>
          <w:p>
            <w:pPr>
              <w:pStyle w:val="TableContents"/>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September 30, 2024</w:t>
            </w:r>
          </w:p>
        </w:tc>
      </w:tr>
    </w:tbl>
    <w:tbl>
      <w:tblPr>
        <w:tblW w:w="200" w:type="dxa"/>
        <w:jc w:val="left"/>
        <w:tblInd w:w="0" w:type="dxa"/>
        <w:tblLayout w:type="fixed"/>
        <w:tblCellMar>
          <w:top w:w="0" w:type="dxa"/>
          <w:left w:w="0" w:type="dxa"/>
          <w:bottom w:w="0" w:type="dxa"/>
          <w:right w:w="0" w:type="dxa"/>
        </w:tblCellMar>
      </w:tblPr>
      <w:tblGrid>
        <w:gridCol w:w="200"/>
      </w:tblGrid>
      <w:tr>
        <w:trPr/>
        <w:tc>
          <w:tcPr>
            <w:tcW w:w="200" w:type="dxa"/>
            <w:tcBorders/>
            <w:vAlign w:val="center"/>
          </w:tcPr>
          <w:p>
            <w:pPr>
              <w:pStyle w:val="TableContents"/>
              <w:bidi w:val="0"/>
              <w:spacing w:before="0" w:after="283"/>
              <w:jc w:val="center"/>
              <w:rPr>
                <w:rFonts w:ascii="Calibri;Arial;sans-serif" w:hAnsi="Calibri;Arial;sans-serif"/>
                <w:b/>
                <w:sz w:val="18"/>
              </w:rPr>
            </w:pPr>
            <w:r>
              <w:rPr>
                <w:rFonts w:ascii="Calibri;Arial;sans-serif" w:hAnsi="Calibri;Arial;sans-serif"/>
                <w:b/>
                <w:sz w:val="18"/>
              </w:rPr>
              <w:t>or</w:t>
            </w:r>
          </w:p>
        </w:tc>
      </w:tr>
    </w:tbl>
    <w:p>
      <w:pPr>
        <w:pStyle w:val="TextBody"/>
        <w:bidi w:val="0"/>
        <w:spacing w:before="0" w:after="0"/>
        <w:ind w:left="0" w:right="0" w:hanging="0"/>
        <w:jc w:val="left"/>
        <w:rPr>
          <w:caps w:val="false"/>
          <w:smallCaps w:val="false"/>
        </w:rPr>
      </w:pPr>
      <w:r>
        <w:rPr>
          <w:caps w:val="false"/>
          <w:smallCaps w:val="false"/>
        </w:rPr>
        <w:t>☐         </w:t>
      </w:r>
      <w:r>
        <w:rPr>
          <w:rFonts w:ascii="Calibri;Arial;sans-serif" w:hAnsi="Calibri;Arial;sans-serif"/>
          <w:b/>
          <w:caps w:val="false"/>
          <w:smallCaps w:val="false"/>
          <w:sz w:val="18"/>
        </w:rPr>
        <w:t>Transition report pursuant to Section</w:t>
      </w:r>
      <w:r>
        <w:rPr>
          <w:rFonts w:ascii="Calibri;Arial;sans-serif" w:hAnsi="Calibri;Arial;sans-serif"/>
          <w:caps w:val="false"/>
          <w:smallCaps w:val="false"/>
          <w:sz w:val="18"/>
        </w:rPr>
        <w:t> </w:t>
      </w:r>
      <w:r>
        <w:rPr>
          <w:rFonts w:ascii="Calibri;Arial;sans-serif" w:hAnsi="Calibri;Arial;sans-serif"/>
          <w:b/>
          <w:caps w:val="false"/>
          <w:smallCaps w:val="false"/>
          <w:sz w:val="18"/>
        </w:rPr>
        <w:t>13 or 15(d) of the Securities Exchange Act of 1934</w:t>
      </w:r>
    </w:p>
    <w:p>
      <w:pPr>
        <w:pStyle w:val="TextBody"/>
        <w:bidi w:val="0"/>
        <w:spacing w:before="0" w:after="0"/>
        <w:ind w:left="0" w:right="0" w:hanging="0"/>
        <w:jc w:val="center"/>
        <w:rPr>
          <w:rFonts w:ascii="Calibri;Arial;sans-serif" w:hAnsi="Calibri;Arial;sans-serif"/>
          <w:caps w:val="false"/>
          <w:smallCaps w:val="false"/>
          <w:sz w:val="18"/>
        </w:rPr>
      </w:pPr>
      <w:r>
        <w:rPr>
          <w:rFonts w:ascii="Calibri;Arial;sans-serif" w:hAnsi="Calibri;Arial;sans-serif"/>
          <w:b/>
          <w:caps w:val="false"/>
          <w:smallCaps w:val="false"/>
          <w:sz w:val="18"/>
        </w:rPr>
        <w:t>For the transition period from</w:t>
      </w:r>
      <w:r>
        <w:rPr>
          <w:rFonts w:ascii="Calibri;Arial;sans-serif" w:hAnsi="Calibri;Arial;sans-serif"/>
          <w:caps w:val="false"/>
          <w:smallCaps w:val="false"/>
          <w:sz w:val="18"/>
          <w:u w:val="single"/>
        </w:rPr>
        <w:t>            </w:t>
      </w:r>
      <w:r>
        <w:rPr>
          <w:rFonts w:ascii="Calibri;Arial;sans-serif" w:hAnsi="Calibri;Arial;sans-serif"/>
          <w:b/>
          <w:caps w:val="false"/>
          <w:smallCaps w:val="false"/>
          <w:sz w:val="18"/>
        </w:rPr>
        <w:t>to</w:t>
      </w:r>
      <w:r>
        <w:rPr>
          <w:rFonts w:ascii="Calibri;Arial;sans-serif" w:hAnsi="Calibri;Arial;sans-serif"/>
          <w:caps w:val="false"/>
          <w:smallCaps w:val="false"/>
          <w:sz w:val="18"/>
          <w:u w:val="single"/>
        </w:rPr>
        <w:t>            </w:t>
      </w:r>
    </w:p>
    <w:tbl>
      <w:tblPr>
        <w:tblW w:w="1880" w:type="dxa"/>
        <w:jc w:val="left"/>
        <w:tblInd w:w="0" w:type="dxa"/>
        <w:tblLayout w:type="fixed"/>
        <w:tblCellMar>
          <w:top w:w="0" w:type="dxa"/>
          <w:left w:w="0" w:type="dxa"/>
          <w:bottom w:w="0" w:type="dxa"/>
          <w:right w:w="0" w:type="dxa"/>
        </w:tblCellMar>
      </w:tblPr>
      <w:tblGrid>
        <w:gridCol w:w="1880"/>
      </w:tblGrid>
      <w:tr>
        <w:trPr/>
        <w:tc>
          <w:tcPr>
            <w:tcW w:w="1880" w:type="dxa"/>
            <w:tcBorders/>
            <w:vAlign w:val="center"/>
          </w:tcPr>
          <w:p>
            <w:pPr>
              <w:pStyle w:val="TableContents"/>
              <w:bidi w:val="0"/>
              <w:spacing w:before="0" w:after="0"/>
              <w:ind w:left="0" w:right="0" w:hanging="0"/>
              <w:jc w:val="center"/>
              <w:rPr>
                <w:rFonts w:ascii="Calibri;Arial;sans-serif" w:hAnsi="Calibri;Arial;sans-serif"/>
                <w:b/>
                <w:caps w:val="false"/>
                <w:smallCaps w:val="false"/>
                <w:sz w:val="18"/>
              </w:rPr>
            </w:pPr>
            <w:r>
              <w:rPr>
                <w:rFonts w:ascii="Calibri;Arial;sans-serif" w:hAnsi="Calibri;Arial;sans-serif"/>
                <w:b/>
                <w:caps w:val="false"/>
                <w:smallCaps w:val="false"/>
                <w:sz w:val="18"/>
              </w:rPr>
              <w:t>Commission File Number</w:t>
            </w:r>
          </w:p>
        </w:tc>
      </w:tr>
      <w:tr>
        <w:trPr/>
        <w:tc>
          <w:tcPr>
            <w:tcW w:w="1880" w:type="dxa"/>
            <w:tcBorders/>
            <w:vAlign w:val="center"/>
          </w:tcPr>
          <w:p>
            <w:pPr>
              <w:pStyle w:val="TableContents"/>
              <w:bidi w:val="0"/>
              <w:spacing w:before="0" w:after="0"/>
              <w:ind w:left="0" w:right="0" w:hanging="0"/>
              <w:jc w:val="center"/>
              <w:rPr>
                <w:rFonts w:ascii="Calibri;Arial;sans-serif" w:hAnsi="Calibri;Arial;sans-serif"/>
                <w:b/>
                <w:caps w:val="false"/>
                <w:smallCaps w:val="false"/>
                <w:sz w:val="18"/>
              </w:rPr>
            </w:pPr>
            <w:r>
              <w:rPr>
                <w:rFonts w:ascii="Calibri;Arial;sans-serif" w:hAnsi="Calibri;Arial;sans-serif"/>
                <w:b/>
                <w:caps w:val="false"/>
                <w:smallCaps w:val="false"/>
                <w:sz w:val="18"/>
              </w:rPr>
              <w:t>1-00087</w:t>
            </w:r>
          </w:p>
        </w:tc>
      </w:tr>
    </w:tbl>
    <w:tbl>
      <w:tblPr>
        <w:tblW w:w="8178" w:type="dxa"/>
        <w:jc w:val="left"/>
        <w:tblInd w:w="0" w:type="dxa"/>
        <w:tblLayout w:type="fixed"/>
        <w:tblCellMar>
          <w:top w:w="0" w:type="dxa"/>
          <w:left w:w="0" w:type="dxa"/>
          <w:bottom w:w="0" w:type="dxa"/>
          <w:right w:w="0" w:type="dxa"/>
        </w:tblCellMar>
      </w:tblPr>
      <w:tblGrid>
        <w:gridCol w:w="4385"/>
        <w:gridCol w:w="3793"/>
      </w:tblGrid>
      <w:tr>
        <w:trPr/>
        <w:tc>
          <w:tcPr>
            <w:tcW w:w="8178" w:type="dxa"/>
            <w:gridSpan w:val="2"/>
            <w:tcBorders/>
            <w:vAlign w:val="center"/>
          </w:tcPr>
          <w:p>
            <w:pPr>
              <w:pStyle w:val="TableContents"/>
              <w:bidi w:val="0"/>
              <w:spacing w:before="0" w:after="283"/>
              <w:jc w:val="center"/>
              <w:rPr>
                <w:rFonts w:ascii="Calibri;Arial;sans-serif" w:hAnsi="Calibri;Arial;sans-serif"/>
                <w:b/>
                <w:sz w:val="18"/>
              </w:rPr>
            </w:pPr>
            <w:r>
              <w:rPr>
                <w:rFonts w:ascii="Calibri;Arial;sans-serif" w:hAnsi="Calibri;Arial;sans-serif"/>
                <w:b/>
                <w:sz w:val="18"/>
              </w:rPr>
              <w:t>EASTMAN KODAK COMPANY</w:t>
            </w:r>
          </w:p>
        </w:tc>
      </w:tr>
      <w:tr>
        <w:trPr/>
        <w:tc>
          <w:tcPr>
            <w:tcW w:w="8178" w:type="dxa"/>
            <w:gridSpan w:val="2"/>
            <w:tcBorders/>
            <w:vAlign w:val="center"/>
          </w:tcPr>
          <w:p>
            <w:pPr>
              <w:pStyle w:val="TableContents"/>
              <w:bidi w:val="0"/>
              <w:spacing w:before="0" w:after="283"/>
              <w:jc w:val="center"/>
              <w:rPr>
                <w:rFonts w:ascii="Calibri;Arial;sans-serif" w:hAnsi="Calibri;Arial;sans-serif"/>
                <w:sz w:val="18"/>
              </w:rPr>
            </w:pPr>
            <w:r>
              <w:rPr>
                <w:rFonts w:ascii="Calibri;Arial;sans-serif" w:hAnsi="Calibri;Arial;sans-serif"/>
                <w:sz w:val="18"/>
              </w:rPr>
              <w:t>(Exact name of registrant as specified in its charter)</w:t>
            </w:r>
          </w:p>
        </w:tc>
      </w:tr>
      <w:tr>
        <w:trPr/>
        <w:tc>
          <w:tcPr>
            <w:tcW w:w="4385" w:type="dxa"/>
            <w:tcBorders/>
            <w:vAlign w:val="center"/>
          </w:tcPr>
          <w:p>
            <w:pPr>
              <w:pStyle w:val="TableContents"/>
              <w:bidi w:val="0"/>
              <w:spacing w:before="0" w:after="283"/>
              <w:jc w:val="center"/>
              <w:rPr/>
            </w:pPr>
            <w:r>
              <w:rPr/>
              <w:t> </w:t>
            </w:r>
          </w:p>
        </w:tc>
        <w:tc>
          <w:tcPr>
            <w:tcW w:w="3793" w:type="dxa"/>
            <w:tcBorders/>
            <w:vAlign w:val="center"/>
          </w:tcPr>
          <w:p>
            <w:pPr>
              <w:pStyle w:val="TableContents"/>
              <w:bidi w:val="0"/>
              <w:spacing w:before="0" w:after="283"/>
              <w:jc w:val="center"/>
              <w:rPr/>
            </w:pPr>
            <w:r>
              <w:rPr/>
              <w:t> </w:t>
            </w:r>
          </w:p>
        </w:tc>
      </w:tr>
      <w:tr>
        <w:trPr/>
        <w:tc>
          <w:tcPr>
            <w:tcW w:w="4385" w:type="dxa"/>
            <w:tcBorders/>
            <w:vAlign w:val="center"/>
          </w:tcPr>
          <w:p>
            <w:pPr>
              <w:pStyle w:val="TableContents"/>
              <w:bidi w:val="0"/>
              <w:spacing w:before="0" w:after="283"/>
              <w:jc w:val="center"/>
              <w:rPr>
                <w:rFonts w:ascii="Calibri;Arial;sans-serif" w:hAnsi="Calibri;Arial;sans-serif"/>
                <w:b/>
                <w:caps/>
                <w:sz w:val="18"/>
              </w:rPr>
            </w:pPr>
            <w:r>
              <w:rPr>
                <w:rFonts w:ascii="Calibri;Arial;sans-serif" w:hAnsi="Calibri;Arial;sans-serif"/>
                <w:b/>
                <w:caps/>
                <w:sz w:val="18"/>
              </w:rPr>
              <w:t>New Jersey</w:t>
            </w:r>
          </w:p>
        </w:tc>
        <w:tc>
          <w:tcPr>
            <w:tcW w:w="3793" w:type="dxa"/>
            <w:tcBorders/>
            <w:vAlign w:val="center"/>
          </w:tcPr>
          <w:p>
            <w:pPr>
              <w:pStyle w:val="TableContents"/>
              <w:bidi w:val="0"/>
              <w:spacing w:before="0" w:after="283"/>
              <w:jc w:val="center"/>
              <w:rPr>
                <w:rFonts w:ascii="Calibri;Arial;sans-serif" w:hAnsi="Calibri;Arial;sans-serif"/>
                <w:b/>
                <w:sz w:val="18"/>
              </w:rPr>
            </w:pPr>
            <w:r>
              <w:rPr>
                <w:rFonts w:ascii="Calibri;Arial;sans-serif" w:hAnsi="Calibri;Arial;sans-serif"/>
                <w:b/>
                <w:sz w:val="18"/>
              </w:rPr>
              <w:t>16-0417150</w:t>
            </w:r>
          </w:p>
        </w:tc>
      </w:tr>
      <w:tr>
        <w:trPr/>
        <w:tc>
          <w:tcPr>
            <w:tcW w:w="4385" w:type="dxa"/>
            <w:tcBorders/>
            <w:vAlign w:val="center"/>
          </w:tcPr>
          <w:p>
            <w:pPr>
              <w:pStyle w:val="TableContents"/>
              <w:bidi w:val="0"/>
              <w:spacing w:before="0" w:after="283"/>
              <w:jc w:val="center"/>
              <w:rPr>
                <w:rFonts w:ascii="Calibri;Arial;sans-serif" w:hAnsi="Calibri;Arial;sans-serif"/>
                <w:sz w:val="18"/>
              </w:rPr>
            </w:pPr>
            <w:r>
              <w:rPr>
                <w:rFonts w:ascii="Calibri;Arial;sans-serif" w:hAnsi="Calibri;Arial;sans-serif"/>
                <w:sz w:val="18"/>
              </w:rPr>
              <w:t>(State or other jurisdiction of incorporation or organization)</w:t>
            </w:r>
          </w:p>
        </w:tc>
        <w:tc>
          <w:tcPr>
            <w:tcW w:w="3793" w:type="dxa"/>
            <w:tcBorders/>
            <w:vAlign w:val="center"/>
          </w:tcPr>
          <w:p>
            <w:pPr>
              <w:pStyle w:val="TableContents"/>
              <w:bidi w:val="0"/>
              <w:spacing w:before="0" w:after="283"/>
              <w:jc w:val="center"/>
              <w:rPr>
                <w:rFonts w:ascii="Calibri;Arial;sans-serif" w:hAnsi="Calibri;Arial;sans-serif"/>
                <w:sz w:val="18"/>
              </w:rPr>
            </w:pPr>
            <w:r>
              <w:rPr>
                <w:rFonts w:ascii="Calibri;Arial;sans-serif" w:hAnsi="Calibri;Arial;sans-serif"/>
                <w:sz w:val="18"/>
              </w:rPr>
              <w:t>(IRS Employer Identification No.)</w:t>
            </w:r>
          </w:p>
        </w:tc>
      </w:tr>
      <w:tr>
        <w:trPr/>
        <w:tc>
          <w:tcPr>
            <w:tcW w:w="4385" w:type="dxa"/>
            <w:tcBorders/>
            <w:vAlign w:val="center"/>
          </w:tcPr>
          <w:p>
            <w:pPr>
              <w:pStyle w:val="TableContents"/>
              <w:bidi w:val="0"/>
              <w:spacing w:before="0" w:after="283"/>
              <w:jc w:val="left"/>
              <w:rPr/>
            </w:pPr>
            <w:r>
              <w:rPr/>
              <w:t> </w:t>
            </w:r>
          </w:p>
        </w:tc>
        <w:tc>
          <w:tcPr>
            <w:tcW w:w="3793"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center"/>
              <w:rPr>
                <w:rFonts w:ascii="Calibri;Arial;sans-serif" w:hAnsi="Calibri;Arial;sans-serif"/>
                <w:sz w:val="18"/>
              </w:rPr>
            </w:pPr>
            <w:r>
              <w:rPr>
                <w:rFonts w:ascii="Calibri;Arial;sans-serif" w:hAnsi="Calibri;Arial;sans-serif"/>
                <w:b/>
                <w:sz w:val="18"/>
              </w:rPr>
              <w:t xml:space="preserve">343 STATE STREET, ROCHESTER, </w:t>
            </w:r>
            <w:r>
              <w:rPr>
                <w:rFonts w:ascii="Calibri;Arial;sans-serif" w:hAnsi="Calibri;Arial;sans-serif"/>
                <w:b/>
                <w:caps/>
                <w:sz w:val="18"/>
              </w:rPr>
              <w:t>New York</w:t>
            </w:r>
          </w:p>
        </w:tc>
        <w:tc>
          <w:tcPr>
            <w:tcW w:w="3793" w:type="dxa"/>
            <w:tcBorders/>
            <w:vAlign w:val="center"/>
          </w:tcPr>
          <w:p>
            <w:pPr>
              <w:pStyle w:val="TableContents"/>
              <w:bidi w:val="0"/>
              <w:spacing w:before="0" w:after="283"/>
              <w:jc w:val="center"/>
              <w:rPr>
                <w:rFonts w:ascii="Calibri;Arial;sans-serif" w:hAnsi="Calibri;Arial;sans-serif"/>
                <w:b/>
                <w:sz w:val="18"/>
              </w:rPr>
            </w:pPr>
            <w:r>
              <w:rPr>
                <w:rFonts w:ascii="Calibri;Arial;sans-serif" w:hAnsi="Calibri;Arial;sans-serif"/>
                <w:b/>
                <w:sz w:val="18"/>
              </w:rPr>
              <w:t>14650</w:t>
            </w:r>
          </w:p>
        </w:tc>
      </w:tr>
      <w:tr>
        <w:trPr/>
        <w:tc>
          <w:tcPr>
            <w:tcW w:w="4385" w:type="dxa"/>
            <w:tcBorders/>
            <w:vAlign w:val="center"/>
          </w:tcPr>
          <w:p>
            <w:pPr>
              <w:pStyle w:val="TableContents"/>
              <w:bidi w:val="0"/>
              <w:spacing w:before="0" w:after="283"/>
              <w:jc w:val="center"/>
              <w:rPr>
                <w:rFonts w:ascii="Calibri;Arial;sans-serif" w:hAnsi="Calibri;Arial;sans-serif"/>
                <w:sz w:val="18"/>
              </w:rPr>
            </w:pPr>
            <w:r>
              <w:rPr>
                <w:rFonts w:ascii="Calibri;Arial;sans-serif" w:hAnsi="Calibri;Arial;sans-serif"/>
                <w:sz w:val="18"/>
              </w:rPr>
              <w:t>(Address of principal executive offices)</w:t>
            </w:r>
          </w:p>
        </w:tc>
        <w:tc>
          <w:tcPr>
            <w:tcW w:w="3793" w:type="dxa"/>
            <w:tcBorders/>
            <w:vAlign w:val="center"/>
          </w:tcPr>
          <w:p>
            <w:pPr>
              <w:pStyle w:val="TableContents"/>
              <w:bidi w:val="0"/>
              <w:spacing w:before="0" w:after="283"/>
              <w:jc w:val="center"/>
              <w:rPr>
                <w:rFonts w:ascii="Calibri;Arial;sans-serif" w:hAnsi="Calibri;Arial;sans-serif"/>
                <w:sz w:val="18"/>
              </w:rPr>
            </w:pPr>
            <w:r>
              <w:rPr>
                <w:rFonts w:ascii="Calibri;Arial;sans-serif" w:hAnsi="Calibri;Arial;sans-serif"/>
                <w:sz w:val="18"/>
              </w:rPr>
              <w:t>(Zip Code)</w:t>
            </w:r>
          </w:p>
        </w:tc>
      </w:tr>
      <w:tr>
        <w:trPr/>
        <w:tc>
          <w:tcPr>
            <w:tcW w:w="8178" w:type="dxa"/>
            <w:gridSpan w:val="2"/>
            <w:tcBorders/>
            <w:vAlign w:val="center"/>
          </w:tcPr>
          <w:p>
            <w:pPr>
              <w:pStyle w:val="TableContents"/>
              <w:bidi w:val="0"/>
              <w:spacing w:before="0" w:after="283"/>
              <w:jc w:val="center"/>
              <w:rPr>
                <w:rFonts w:ascii="Calibri;Arial;sans-serif" w:hAnsi="Calibri;Arial;sans-serif"/>
                <w:b/>
                <w:sz w:val="18"/>
              </w:rPr>
            </w:pPr>
            <w:r>
              <w:rPr>
                <w:rFonts w:ascii="Calibri;Arial;sans-serif" w:hAnsi="Calibri;Arial;sans-serif"/>
                <w:b/>
                <w:sz w:val="18"/>
              </w:rPr>
              <w:t>(800) 356-3259</w:t>
            </w:r>
          </w:p>
        </w:tc>
      </w:tr>
      <w:tr>
        <w:trPr/>
        <w:tc>
          <w:tcPr>
            <w:tcW w:w="8178" w:type="dxa"/>
            <w:gridSpan w:val="2"/>
            <w:tcBorders/>
            <w:vAlign w:val="center"/>
          </w:tcPr>
          <w:p>
            <w:pPr>
              <w:pStyle w:val="TableContents"/>
              <w:bidi w:val="0"/>
              <w:spacing w:before="0" w:after="283"/>
              <w:jc w:val="center"/>
              <w:rPr>
                <w:rFonts w:ascii="Calibri;Arial;sans-serif" w:hAnsi="Calibri;Arial;sans-serif"/>
                <w:sz w:val="18"/>
              </w:rPr>
            </w:pPr>
            <w:r>
              <w:rPr>
                <w:rFonts w:ascii="Calibri;Arial;sans-serif" w:hAnsi="Calibri;Arial;sans-serif"/>
                <w:sz w:val="18"/>
              </w:rPr>
              <w:t>(Registrant’s telephone number, including area code)</w:t>
            </w:r>
          </w:p>
        </w:tc>
      </w:tr>
    </w:tbl>
    <w:p>
      <w:pPr>
        <w:pStyle w:val="TextBody"/>
        <w:bidi w:val="0"/>
        <w:spacing w:before="0" w:after="0"/>
        <w:ind w:left="0" w:right="0" w:hanging="0"/>
        <w:jc w:val="center"/>
        <w:rPr>
          <w:rFonts w:ascii="Calibri;Arial;sans-serif" w:hAnsi="Calibri;Arial;sans-serif"/>
          <w:caps w:val="false"/>
          <w:smallCaps w:val="false"/>
          <w:sz w:val="18"/>
        </w:rPr>
      </w:pPr>
      <w:r>
        <w:rPr>
          <w:rFonts w:ascii="Calibri;Arial;sans-serif" w:hAnsi="Calibri;Arial;sans-serif"/>
          <w:caps w:val="false"/>
          <w:smallCaps w:val="false"/>
          <w:sz w:val="18"/>
        </w:rPr>
        <w:t>Securities registered pursuant to Section 12(b) of the Act:</w:t>
      </w:r>
    </w:p>
    <w:tbl>
      <w:tblPr>
        <w:tblW w:w="7725" w:type="dxa"/>
        <w:jc w:val="left"/>
        <w:tblInd w:w="0" w:type="dxa"/>
        <w:tblLayout w:type="fixed"/>
        <w:tblCellMar>
          <w:top w:w="0" w:type="dxa"/>
          <w:left w:w="0" w:type="dxa"/>
          <w:bottom w:w="0" w:type="dxa"/>
          <w:right w:w="0" w:type="dxa"/>
        </w:tblCellMar>
      </w:tblPr>
      <w:tblGrid>
        <w:gridCol w:w="3050"/>
        <w:gridCol w:w="1370"/>
        <w:gridCol w:w="3305"/>
      </w:tblGrid>
      <w:tr>
        <w:trPr/>
        <w:tc>
          <w:tcPr>
            <w:tcW w:w="3050" w:type="dxa"/>
            <w:tcBorders/>
            <w:vAlign w:val="center"/>
          </w:tcPr>
          <w:p>
            <w:pPr>
              <w:pStyle w:val="TableContents"/>
              <w:bidi w:val="0"/>
              <w:spacing w:before="0" w:after="0"/>
              <w:ind w:left="0" w:right="0" w:hanging="0"/>
              <w:jc w:val="center"/>
              <w:rPr>
                <w:rFonts w:ascii="Calibri;Arial;sans-serif" w:hAnsi="Calibri;Arial;sans-serif"/>
                <w:b/>
                <w:caps w:val="false"/>
                <w:smallCaps w:val="false"/>
                <w:sz w:val="18"/>
                <w:u w:val="single"/>
              </w:rPr>
            </w:pPr>
            <w:r>
              <w:rPr>
                <w:rFonts w:ascii="Calibri;Arial;sans-serif" w:hAnsi="Calibri;Arial;sans-serif"/>
                <w:b/>
                <w:caps w:val="false"/>
                <w:smallCaps w:val="false"/>
                <w:sz w:val="18"/>
                <w:u w:val="single"/>
              </w:rPr>
              <w:t>Title of each class Common</w:t>
            </w:r>
          </w:p>
        </w:tc>
        <w:tc>
          <w:tcPr>
            <w:tcW w:w="1370" w:type="dxa"/>
            <w:tcBorders/>
            <w:vAlign w:val="center"/>
          </w:tcPr>
          <w:p>
            <w:pPr>
              <w:pStyle w:val="TableContents"/>
              <w:bidi w:val="0"/>
              <w:spacing w:before="0" w:after="0"/>
              <w:ind w:left="0" w:right="0" w:hanging="0"/>
              <w:jc w:val="center"/>
              <w:rPr>
                <w:rFonts w:ascii="Calibri;Arial;sans-serif" w:hAnsi="Calibri;Arial;sans-serif"/>
                <w:b/>
                <w:caps w:val="false"/>
                <w:smallCaps w:val="false"/>
                <w:sz w:val="18"/>
                <w:u w:val="single"/>
              </w:rPr>
            </w:pPr>
            <w:r>
              <w:rPr>
                <w:rFonts w:ascii="Calibri;Arial;sans-serif" w:hAnsi="Calibri;Arial;sans-serif"/>
                <w:b/>
                <w:caps w:val="false"/>
                <w:smallCaps w:val="false"/>
                <w:sz w:val="18"/>
                <w:u w:val="single"/>
              </w:rPr>
              <w:t>Trading Symbol(s)</w:t>
            </w:r>
          </w:p>
        </w:tc>
        <w:tc>
          <w:tcPr>
            <w:tcW w:w="3305" w:type="dxa"/>
            <w:tcBorders/>
            <w:vAlign w:val="center"/>
          </w:tcPr>
          <w:p>
            <w:pPr>
              <w:pStyle w:val="TableContents"/>
              <w:bidi w:val="0"/>
              <w:spacing w:before="0" w:after="0"/>
              <w:ind w:left="0" w:right="0" w:hanging="0"/>
              <w:jc w:val="center"/>
              <w:rPr>
                <w:rFonts w:ascii="Calibri;Arial;sans-serif" w:hAnsi="Calibri;Arial;sans-serif"/>
                <w:b/>
                <w:caps w:val="false"/>
                <w:smallCaps w:val="false"/>
                <w:sz w:val="18"/>
                <w:u w:val="single"/>
              </w:rPr>
            </w:pPr>
            <w:r>
              <w:rPr>
                <w:rFonts w:ascii="Calibri;Arial;sans-serif" w:hAnsi="Calibri;Arial;sans-serif"/>
                <w:b/>
                <w:caps w:val="false"/>
                <w:smallCaps w:val="false"/>
                <w:sz w:val="18"/>
                <w:u w:val="single"/>
              </w:rPr>
              <w:t>Name of each exchange on which registered</w:t>
            </w:r>
          </w:p>
        </w:tc>
      </w:tr>
      <w:tr>
        <w:trPr/>
        <w:tc>
          <w:tcPr>
            <w:tcW w:w="3050" w:type="dxa"/>
            <w:tcBorders/>
            <w:vAlign w:val="center"/>
          </w:tcPr>
          <w:p>
            <w:pPr>
              <w:pStyle w:val="TableContents"/>
              <w:bidi w:val="0"/>
              <w:spacing w:before="0" w:after="0"/>
              <w:ind w:left="180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Common stock, par value $0.01 per share</w:t>
            </w:r>
          </w:p>
        </w:tc>
        <w:tc>
          <w:tcPr>
            <w:tcW w:w="1370" w:type="dxa"/>
            <w:tcBorders/>
            <w:vAlign w:val="center"/>
          </w:tcPr>
          <w:p>
            <w:pPr>
              <w:pStyle w:val="TableContents"/>
              <w:bidi w:val="0"/>
              <w:spacing w:before="0" w:after="0"/>
              <w:ind w:left="0" w:right="0" w:hanging="0"/>
              <w:jc w:val="center"/>
              <w:rPr>
                <w:rFonts w:ascii="Calibri;Arial;sans-serif" w:hAnsi="Calibri;Arial;sans-serif"/>
                <w:caps w:val="false"/>
                <w:smallCaps w:val="false"/>
                <w:sz w:val="18"/>
              </w:rPr>
            </w:pPr>
            <w:r>
              <w:rPr>
                <w:rFonts w:ascii="Calibri;Arial;sans-serif" w:hAnsi="Calibri;Arial;sans-serif"/>
                <w:caps w:val="false"/>
                <w:smallCaps w:val="false"/>
                <w:sz w:val="18"/>
              </w:rPr>
              <w:t>KODK</w:t>
            </w:r>
          </w:p>
        </w:tc>
        <w:tc>
          <w:tcPr>
            <w:tcW w:w="3305" w:type="dxa"/>
            <w:tcBorders/>
            <w:vAlign w:val="center"/>
          </w:tcPr>
          <w:p>
            <w:pPr>
              <w:pStyle w:val="TableContents"/>
              <w:bidi w:val="0"/>
              <w:spacing w:before="0" w:after="0"/>
              <w:ind w:left="0" w:right="0" w:hanging="0"/>
              <w:jc w:val="center"/>
              <w:rPr>
                <w:rFonts w:ascii="Calibri;Arial;sans-serif" w:hAnsi="Calibri;Arial;sans-serif"/>
                <w:caps w:val="false"/>
                <w:smallCaps w:val="false"/>
                <w:sz w:val="18"/>
              </w:rPr>
            </w:pPr>
            <w:r>
              <w:rPr>
                <w:rFonts w:ascii="Calibri;Arial;sans-serif" w:hAnsi="Calibri;Arial;sans-serif"/>
                <w:caps w:val="false"/>
                <w:smallCaps w:val="false"/>
                <w:sz w:val="18"/>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55" w:type="dxa"/>
        <w:jc w:val="left"/>
        <w:tblInd w:w="0" w:type="dxa"/>
        <w:tblLayout w:type="fixed"/>
        <w:tblCellMar>
          <w:top w:w="0" w:type="dxa"/>
          <w:left w:w="0" w:type="dxa"/>
          <w:bottom w:w="0" w:type="dxa"/>
          <w:right w:w="0" w:type="dxa"/>
        </w:tblCellMar>
      </w:tblPr>
      <w:tblGrid>
        <w:gridCol w:w="2000"/>
        <w:gridCol w:w="60"/>
        <w:gridCol w:w="230"/>
        <w:gridCol w:w="60"/>
        <w:gridCol w:w="2015"/>
        <w:gridCol w:w="230"/>
        <w:gridCol w:w="60"/>
      </w:tblGrid>
      <w:tr>
        <w:trPr/>
        <w:tc>
          <w:tcPr>
            <w:tcW w:w="2000" w:type="dxa"/>
            <w:tcBorders/>
            <w:vAlign w:val="center"/>
          </w:tcPr>
          <w:p>
            <w:pPr>
              <w:pStyle w:val="TableContents"/>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Emerging growth company</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As of November 1, 2024, the registrant had 80.4 million shares of common stock, par value $0.01 per share, outstanding.</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Calibri;Arial;sans-serif" w:hAnsi="Calibri;Arial;sans-serif"/>
          <w:b/>
          <w:caps w:val="false"/>
          <w:smallCaps w:val="false"/>
          <w:sz w:val="20"/>
        </w:rPr>
      </w:pPr>
      <w:bookmarkStart w:id="2" w:name="toc"/>
      <w:bookmarkEnd w:id="2"/>
      <w:r>
        <w:rPr>
          <w:rFonts w:ascii="Calibri;Arial;sans-serif" w:hAnsi="Calibri;Arial;sans-serif"/>
          <w:b/>
          <w:caps w:val="false"/>
          <w:smallCaps w:val="false"/>
          <w:sz w:val="20"/>
        </w:rPr>
        <w:t>EASTMAN KODAK COMPANY</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160" w:type="dxa"/>
        <w:jc w:val="left"/>
        <w:tblInd w:w="0" w:type="dxa"/>
        <w:tblLayout w:type="fixed"/>
        <w:tblCellMar>
          <w:top w:w="0" w:type="dxa"/>
          <w:left w:w="0" w:type="dxa"/>
          <w:bottom w:w="0" w:type="dxa"/>
          <w:right w:w="0" w:type="dxa"/>
        </w:tblCellMar>
      </w:tblPr>
      <w:tblGrid>
        <w:gridCol w:w="710"/>
        <w:gridCol w:w="6935"/>
        <w:gridCol w:w="515"/>
      </w:tblGrid>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center"/>
              <w:rPr/>
            </w:pPr>
            <w:r>
              <w:rPr/>
              <w:t> </w:t>
            </w:r>
          </w:p>
        </w:tc>
        <w:tc>
          <w:tcPr>
            <w:tcW w:w="515" w:type="dxa"/>
            <w:tcBorders/>
            <w:vAlign w:val="center"/>
          </w:tcPr>
          <w:p>
            <w:pPr>
              <w:pStyle w:val="TableContents"/>
              <w:bidi w:val="0"/>
              <w:spacing w:before="0" w:after="283"/>
              <w:jc w:val="center"/>
              <w:rPr>
                <w:rFonts w:ascii="Calibri;Arial;sans-serif" w:hAnsi="Calibri;Arial;sans-serif"/>
                <w:b/>
              </w:rPr>
            </w:pPr>
            <w:r>
              <w:rPr>
                <w:rFonts w:ascii="Calibri;Arial;sans-serif" w:hAnsi="Calibri;Arial;sans-serif"/>
                <w:b/>
              </w:rPr>
              <w:t>Page</w:t>
            </w:r>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center"/>
              <w:rPr/>
            </w:pPr>
            <w:hyperlink w:anchor="part1">
              <w:r>
                <w:rPr>
                  <w:rStyle w:val="InternetLink"/>
                  <w:rFonts w:ascii="Calibri;Arial;sans-serif" w:hAnsi="Calibri;Arial;sans-serif"/>
                  <w:b/>
                </w:rPr>
                <w:t>Part I.</w:t>
              </w:r>
            </w:hyperlink>
            <w:hyperlink w:anchor="part1">
              <w:r>
                <w:rPr>
                  <w:rStyle w:val="InternetLink"/>
                  <w:rFonts w:ascii="Calibri;Arial;sans-serif" w:hAnsi="Calibri;Arial;sans-serif"/>
                </w:rPr>
                <w:t>—</w:t>
              </w:r>
            </w:hyperlink>
            <w:hyperlink w:anchor="part1">
              <w:r>
                <w:rPr>
                  <w:rStyle w:val="InternetLink"/>
                  <w:rFonts w:ascii="Calibri;Arial;sans-serif" w:hAnsi="Calibri;Arial;sans-serif"/>
                  <w:b/>
                </w:rPr>
                <w:t>Financial Information</w:t>
              </w:r>
            </w:hyperlink>
          </w:p>
        </w:tc>
        <w:tc>
          <w:tcPr>
            <w:tcW w:w="51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1.</w:t>
            </w:r>
          </w:p>
        </w:tc>
        <w:tc>
          <w:tcPr>
            <w:tcW w:w="6935" w:type="dxa"/>
            <w:tcBorders/>
            <w:vAlign w:val="center"/>
          </w:tcPr>
          <w:p>
            <w:pPr>
              <w:pStyle w:val="TableContents"/>
              <w:bidi w:val="0"/>
              <w:spacing w:before="0" w:after="0"/>
              <w:ind w:left="0" w:right="0" w:hanging="0"/>
              <w:jc w:val="left"/>
              <w:rPr/>
            </w:pPr>
            <w:hyperlink w:anchor="fs">
              <w:r>
                <w:rPr>
                  <w:rStyle w:val="InternetLink"/>
                  <w:rFonts w:ascii="Calibri;Arial;sans-serif" w:hAnsi="Calibri;Arial;sans-serif"/>
                  <w:caps w:val="false"/>
                  <w:smallCaps w:val="false"/>
                  <w:sz w:val="20"/>
                </w:rPr>
                <w:t>Financial Statements</w:t>
              </w:r>
            </w:hyperlink>
          </w:p>
        </w:tc>
        <w:tc>
          <w:tcPr>
            <w:tcW w:w="515" w:type="dxa"/>
            <w:tcBorders/>
            <w:vAlign w:val="center"/>
          </w:tcPr>
          <w:p>
            <w:pPr>
              <w:pStyle w:val="TableContents"/>
              <w:bidi w:val="0"/>
              <w:spacing w:before="0" w:after="283"/>
              <w:jc w:val="center"/>
              <w:rPr/>
            </w:pPr>
            <w:hyperlink w:anchor="fs">
              <w:r>
                <w:rPr>
                  <w:rStyle w:val="InternetLink"/>
                  <w:rFonts w:ascii="Calibri;Arial;sans-serif" w:hAnsi="Calibri;Arial;sans-serif"/>
                </w:rPr>
                <w:t>3</w:t>
              </w:r>
            </w:hyperlink>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ind w:left="0" w:right="0" w:hanging="0"/>
              <w:jc w:val="left"/>
              <w:rPr/>
            </w:pPr>
            <w:hyperlink w:anchor="ops">
              <w:r>
                <w:rPr>
                  <w:rStyle w:val="InternetLink"/>
                  <w:rFonts w:ascii="Calibri;Arial;sans-serif" w:hAnsi="Calibri;Arial;sans-serif"/>
                  <w:caps w:val="false"/>
                  <w:smallCaps w:val="false"/>
                  <w:sz w:val="20"/>
                </w:rPr>
                <w:t>Consolidated Statement of Operations (Unaudited)</w:t>
              </w:r>
            </w:hyperlink>
          </w:p>
        </w:tc>
        <w:tc>
          <w:tcPr>
            <w:tcW w:w="515" w:type="dxa"/>
            <w:tcBorders/>
            <w:vAlign w:val="center"/>
          </w:tcPr>
          <w:p>
            <w:pPr>
              <w:pStyle w:val="TableContents"/>
              <w:bidi w:val="0"/>
              <w:spacing w:before="0" w:after="0"/>
              <w:ind w:left="0" w:right="0" w:hanging="0"/>
              <w:jc w:val="center"/>
              <w:rPr/>
            </w:pPr>
            <w:hyperlink w:anchor="ops">
              <w:r>
                <w:rPr>
                  <w:rStyle w:val="InternetLink"/>
                  <w:rFonts w:ascii="Calibri;Arial;sans-serif" w:hAnsi="Calibri;Arial;sans-serif"/>
                  <w:caps w:val="false"/>
                  <w:smallCaps w:val="false"/>
                  <w:sz w:val="20"/>
                </w:rPr>
                <w:t>3</w:t>
              </w:r>
            </w:hyperlink>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ind w:left="0" w:right="0" w:hanging="0"/>
              <w:jc w:val="left"/>
              <w:rPr/>
            </w:pPr>
            <w:hyperlink w:anchor="income">
              <w:r>
                <w:rPr>
                  <w:rStyle w:val="InternetLink"/>
                  <w:rFonts w:ascii="Calibri;Arial;sans-serif" w:hAnsi="Calibri;Arial;sans-serif"/>
                  <w:caps w:val="false"/>
                  <w:smallCaps w:val="false"/>
                  <w:sz w:val="20"/>
                </w:rPr>
                <w:t>Consolidated Statement of Comprehensive Income (Loss) (Unaudited)</w:t>
              </w:r>
            </w:hyperlink>
          </w:p>
        </w:tc>
        <w:tc>
          <w:tcPr>
            <w:tcW w:w="515" w:type="dxa"/>
            <w:tcBorders/>
            <w:vAlign w:val="center"/>
          </w:tcPr>
          <w:p>
            <w:pPr>
              <w:pStyle w:val="TableContents"/>
              <w:bidi w:val="0"/>
              <w:spacing w:before="0" w:after="0"/>
              <w:ind w:left="0" w:right="0" w:hanging="0"/>
              <w:jc w:val="center"/>
              <w:rPr/>
            </w:pPr>
            <w:hyperlink w:anchor="income">
              <w:r>
                <w:rPr>
                  <w:rStyle w:val="InternetLink"/>
                  <w:rFonts w:ascii="Calibri;Arial;sans-serif" w:hAnsi="Calibri;Arial;sans-serif"/>
                  <w:caps w:val="false"/>
                  <w:smallCaps w:val="false"/>
                  <w:sz w:val="20"/>
                </w:rPr>
                <w:t>4</w:t>
              </w:r>
            </w:hyperlink>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ind w:left="0" w:right="0" w:hanging="0"/>
              <w:jc w:val="left"/>
              <w:rPr/>
            </w:pPr>
            <w:hyperlink w:anchor="finpos">
              <w:r>
                <w:rPr>
                  <w:rStyle w:val="InternetLink"/>
                  <w:rFonts w:ascii="Calibri;Arial;sans-serif" w:hAnsi="Calibri;Arial;sans-serif"/>
                  <w:caps w:val="false"/>
                  <w:smallCaps w:val="false"/>
                  <w:sz w:val="20"/>
                </w:rPr>
                <w:t>Consolidated Statement of Financial Position (Unaudited)</w:t>
              </w:r>
            </w:hyperlink>
          </w:p>
        </w:tc>
        <w:tc>
          <w:tcPr>
            <w:tcW w:w="515" w:type="dxa"/>
            <w:tcBorders/>
            <w:vAlign w:val="center"/>
          </w:tcPr>
          <w:p>
            <w:pPr>
              <w:pStyle w:val="TableContents"/>
              <w:bidi w:val="0"/>
              <w:spacing w:before="0" w:after="0"/>
              <w:ind w:left="0" w:right="0" w:hanging="0"/>
              <w:jc w:val="center"/>
              <w:rPr/>
            </w:pPr>
            <w:hyperlink w:anchor="finpos">
              <w:r>
                <w:rPr>
                  <w:rStyle w:val="InternetLink"/>
                  <w:rFonts w:ascii="Calibri;Arial;sans-serif" w:hAnsi="Calibri;Arial;sans-serif"/>
                  <w:caps w:val="false"/>
                  <w:smallCaps w:val="false"/>
                  <w:sz w:val="20"/>
                </w:rPr>
                <w:t>5</w:t>
              </w:r>
            </w:hyperlink>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ind w:left="0" w:right="0" w:hanging="0"/>
              <w:jc w:val="left"/>
              <w:rPr/>
            </w:pPr>
            <w:hyperlink w:anchor="cashflows">
              <w:r>
                <w:rPr>
                  <w:rStyle w:val="InternetLink"/>
                  <w:rFonts w:ascii="Calibri;Arial;sans-serif" w:hAnsi="Calibri;Arial;sans-serif"/>
                  <w:caps w:val="false"/>
                  <w:smallCaps w:val="false"/>
                  <w:sz w:val="20"/>
                </w:rPr>
                <w:t xml:space="preserve">Consolidated Statement of Cash Flows (Unaudited) </w:t>
              </w:r>
            </w:hyperlink>
          </w:p>
        </w:tc>
        <w:tc>
          <w:tcPr>
            <w:tcW w:w="515" w:type="dxa"/>
            <w:tcBorders/>
            <w:vAlign w:val="center"/>
          </w:tcPr>
          <w:p>
            <w:pPr>
              <w:pStyle w:val="TableContents"/>
              <w:bidi w:val="0"/>
              <w:spacing w:before="0" w:after="0"/>
              <w:ind w:left="0" w:right="0" w:hanging="0"/>
              <w:jc w:val="center"/>
              <w:rPr/>
            </w:pPr>
            <w:hyperlink w:anchor="cashflows">
              <w:r>
                <w:rPr>
                  <w:rStyle w:val="InternetLink"/>
                  <w:rFonts w:ascii="Calibri;Arial;sans-serif" w:hAnsi="Calibri;Arial;sans-serif"/>
                  <w:caps w:val="false"/>
                  <w:smallCaps w:val="false"/>
                  <w:sz w:val="20"/>
                </w:rPr>
                <w:t>6</w:t>
              </w:r>
            </w:hyperlink>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ind w:left="0" w:right="0" w:hanging="0"/>
              <w:jc w:val="left"/>
              <w:rPr/>
            </w:pPr>
            <w:hyperlink w:anchor="equity">
              <w:r>
                <w:rPr>
                  <w:rStyle w:val="InternetLink"/>
                  <w:rFonts w:ascii="Calibri;Arial;sans-serif" w:hAnsi="Calibri;Arial;sans-serif"/>
                  <w:caps w:val="false"/>
                  <w:smallCaps w:val="false"/>
                  <w:sz w:val="20"/>
                </w:rPr>
                <w:t>Consolidated Statement of Equity (Deficit) (Unaudited)</w:t>
              </w:r>
            </w:hyperlink>
          </w:p>
        </w:tc>
        <w:tc>
          <w:tcPr>
            <w:tcW w:w="515" w:type="dxa"/>
            <w:tcBorders/>
            <w:vAlign w:val="center"/>
          </w:tcPr>
          <w:p>
            <w:pPr>
              <w:pStyle w:val="TableContents"/>
              <w:bidi w:val="0"/>
              <w:spacing w:before="0" w:after="0"/>
              <w:ind w:left="0" w:right="0" w:hanging="0"/>
              <w:jc w:val="center"/>
              <w:rPr/>
            </w:pPr>
            <w:hyperlink w:anchor="equity">
              <w:r>
                <w:rPr>
                  <w:rStyle w:val="InternetLink"/>
                  <w:rFonts w:ascii="Calibri;Arial;sans-serif" w:hAnsi="Calibri;Arial;sans-serif"/>
                  <w:caps w:val="false"/>
                  <w:smallCaps w:val="false"/>
                  <w:sz w:val="20"/>
                </w:rPr>
                <w:t>7</w:t>
              </w:r>
            </w:hyperlink>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ind w:left="0" w:right="0" w:hanging="0"/>
              <w:jc w:val="left"/>
              <w:rPr/>
            </w:pPr>
            <w:hyperlink w:anchor="notes">
              <w:r>
                <w:rPr>
                  <w:rStyle w:val="InternetLink"/>
                  <w:rFonts w:ascii="Calibri;Arial;sans-serif" w:hAnsi="Calibri;Arial;sans-serif"/>
                  <w:caps w:val="false"/>
                  <w:smallCaps w:val="false"/>
                  <w:sz w:val="20"/>
                </w:rPr>
                <w:t>Notes to Financial Statements (Unaudited)</w:t>
              </w:r>
            </w:hyperlink>
          </w:p>
        </w:tc>
        <w:tc>
          <w:tcPr>
            <w:tcW w:w="515" w:type="dxa"/>
            <w:tcBorders/>
            <w:vAlign w:val="center"/>
          </w:tcPr>
          <w:p>
            <w:pPr>
              <w:pStyle w:val="TableContents"/>
              <w:bidi w:val="0"/>
              <w:spacing w:before="0" w:after="0"/>
              <w:ind w:left="0" w:right="0" w:hanging="0"/>
              <w:jc w:val="center"/>
              <w:rPr/>
            </w:pPr>
            <w:hyperlink w:anchor="notes">
              <w:r>
                <w:rPr>
                  <w:rStyle w:val="InternetLink"/>
                  <w:rFonts w:ascii="Calibri;Arial;sans-serif" w:hAnsi="Calibri;Arial;sans-serif"/>
                  <w:caps w:val="false"/>
                  <w:smallCaps w:val="false"/>
                  <w:sz w:val="20"/>
                </w:rPr>
                <w:t>9</w:t>
              </w:r>
            </w:hyperlink>
          </w:p>
        </w:tc>
      </w:tr>
      <w:tr>
        <w:trPr/>
        <w:tc>
          <w:tcPr>
            <w:tcW w:w="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2.</w:t>
            </w:r>
          </w:p>
        </w:tc>
        <w:tc>
          <w:tcPr>
            <w:tcW w:w="6935" w:type="dxa"/>
            <w:tcBorders/>
            <w:vAlign w:val="center"/>
          </w:tcPr>
          <w:p>
            <w:pPr>
              <w:pStyle w:val="TableContents"/>
              <w:bidi w:val="0"/>
              <w:spacing w:before="0" w:after="0"/>
              <w:ind w:left="0" w:right="0" w:hanging="0"/>
              <w:jc w:val="left"/>
              <w:rPr/>
            </w:pPr>
            <w:hyperlink w:anchor="MDA">
              <w:r>
                <w:rPr>
                  <w:rStyle w:val="InternetLink"/>
                  <w:rFonts w:ascii="Calibri;Arial;sans-serif" w:hAnsi="Calibri;Arial;sans-serif"/>
                  <w:caps w:val="false"/>
                  <w:smallCaps w:val="false"/>
                  <w:sz w:val="20"/>
                </w:rPr>
                <w:t>Management’s Discussion and Analysis of Financial Condition and Results of Operations</w:t>
              </w:r>
            </w:hyperlink>
          </w:p>
        </w:tc>
        <w:tc>
          <w:tcPr>
            <w:tcW w:w="515" w:type="dxa"/>
            <w:tcBorders/>
            <w:vAlign w:val="center"/>
          </w:tcPr>
          <w:p>
            <w:pPr>
              <w:pStyle w:val="TableContents"/>
              <w:bidi w:val="0"/>
              <w:spacing w:before="0" w:after="0"/>
              <w:ind w:left="0" w:right="0" w:hanging="0"/>
              <w:jc w:val="center"/>
              <w:rPr/>
            </w:pPr>
            <w:hyperlink w:anchor="MDA">
              <w:r>
                <w:rPr>
                  <w:rStyle w:val="InternetLink"/>
                  <w:rFonts w:ascii="Calibri;Arial;sans-serif" w:hAnsi="Calibri;Arial;sans-serif"/>
                  <w:caps w:val="false"/>
                  <w:smallCaps w:val="false"/>
                  <w:sz w:val="20"/>
                </w:rPr>
                <w:t>29</w:t>
              </w:r>
            </w:hyperlink>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ind w:left="0" w:right="0" w:hanging="0"/>
              <w:jc w:val="left"/>
              <w:rPr/>
            </w:pPr>
            <w:hyperlink w:anchor="liquid">
              <w:r>
                <w:rPr>
                  <w:rStyle w:val="InternetLink"/>
                  <w:rFonts w:ascii="Calibri;Arial;sans-serif" w:hAnsi="Calibri;Arial;sans-serif"/>
                  <w:caps w:val="false"/>
                  <w:smallCaps w:val="false"/>
                  <w:sz w:val="20"/>
                </w:rPr>
                <w:t>Liquidity and Capital Resources</w:t>
              </w:r>
            </w:hyperlink>
          </w:p>
        </w:tc>
        <w:tc>
          <w:tcPr>
            <w:tcW w:w="515" w:type="dxa"/>
            <w:tcBorders/>
            <w:vAlign w:val="center"/>
          </w:tcPr>
          <w:p>
            <w:pPr>
              <w:pStyle w:val="TableContents"/>
              <w:bidi w:val="0"/>
              <w:spacing w:before="0" w:after="0"/>
              <w:ind w:left="0" w:right="0" w:hanging="0"/>
              <w:jc w:val="center"/>
              <w:rPr/>
            </w:pPr>
            <w:hyperlink w:anchor="liquid">
              <w:r>
                <w:rPr>
                  <w:rStyle w:val="InternetLink"/>
                  <w:rFonts w:ascii="Calibri;Arial;sans-serif" w:hAnsi="Calibri;Arial;sans-serif"/>
                  <w:caps w:val="false"/>
                  <w:smallCaps w:val="false"/>
                  <w:sz w:val="20"/>
                </w:rPr>
                <w:t>39</w:t>
              </w:r>
            </w:hyperlink>
          </w:p>
        </w:tc>
      </w:tr>
      <w:tr>
        <w:trPr/>
        <w:tc>
          <w:tcPr>
            <w:tcW w:w="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3.</w:t>
            </w:r>
          </w:p>
        </w:tc>
        <w:tc>
          <w:tcPr>
            <w:tcW w:w="6935" w:type="dxa"/>
            <w:tcBorders/>
            <w:vAlign w:val="center"/>
          </w:tcPr>
          <w:p>
            <w:pPr>
              <w:pStyle w:val="TableContents"/>
              <w:bidi w:val="0"/>
              <w:spacing w:before="0" w:after="0"/>
              <w:ind w:left="0" w:right="0" w:hanging="0"/>
              <w:jc w:val="left"/>
              <w:rPr/>
            </w:pPr>
            <w:hyperlink w:anchor="qqd">
              <w:r>
                <w:rPr>
                  <w:rStyle w:val="InternetLink"/>
                  <w:rFonts w:ascii="Calibri;Arial;sans-serif" w:hAnsi="Calibri;Arial;sans-serif"/>
                  <w:caps w:val="false"/>
                  <w:smallCaps w:val="false"/>
                  <w:sz w:val="20"/>
                </w:rPr>
                <w:t>Quantitative and Qualitative Disclosures About Market Risk</w:t>
              </w:r>
            </w:hyperlink>
          </w:p>
        </w:tc>
        <w:tc>
          <w:tcPr>
            <w:tcW w:w="515" w:type="dxa"/>
            <w:tcBorders/>
            <w:vAlign w:val="center"/>
          </w:tcPr>
          <w:p>
            <w:pPr>
              <w:pStyle w:val="TableContents"/>
              <w:bidi w:val="0"/>
              <w:spacing w:before="0" w:after="0"/>
              <w:ind w:left="0" w:right="0" w:hanging="0"/>
              <w:jc w:val="center"/>
              <w:rPr/>
            </w:pPr>
            <w:hyperlink w:anchor="qqd">
              <w:r>
                <w:rPr>
                  <w:rStyle w:val="InternetLink"/>
                  <w:rFonts w:ascii="Calibri;Arial;sans-serif" w:hAnsi="Calibri;Arial;sans-serif"/>
                  <w:caps w:val="false"/>
                  <w:smallCaps w:val="false"/>
                  <w:sz w:val="20"/>
                </w:rPr>
                <w:t>43</w:t>
              </w:r>
            </w:hyperlink>
          </w:p>
        </w:tc>
      </w:tr>
      <w:tr>
        <w:trPr/>
        <w:tc>
          <w:tcPr>
            <w:tcW w:w="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4.</w:t>
            </w:r>
          </w:p>
        </w:tc>
        <w:tc>
          <w:tcPr>
            <w:tcW w:w="6935" w:type="dxa"/>
            <w:tcBorders/>
            <w:vAlign w:val="center"/>
          </w:tcPr>
          <w:p>
            <w:pPr>
              <w:pStyle w:val="TableContents"/>
              <w:bidi w:val="0"/>
              <w:spacing w:before="0" w:after="0"/>
              <w:ind w:left="0" w:right="0" w:hanging="0"/>
              <w:jc w:val="left"/>
              <w:rPr/>
            </w:pPr>
            <w:hyperlink w:anchor="controls">
              <w:r>
                <w:rPr>
                  <w:rStyle w:val="InternetLink"/>
                  <w:rFonts w:ascii="Calibri;Arial;sans-serif" w:hAnsi="Calibri;Arial;sans-serif"/>
                  <w:caps w:val="false"/>
                  <w:smallCaps w:val="false"/>
                  <w:sz w:val="20"/>
                </w:rPr>
                <w:t>Controls and Procedures</w:t>
              </w:r>
            </w:hyperlink>
          </w:p>
        </w:tc>
        <w:tc>
          <w:tcPr>
            <w:tcW w:w="515" w:type="dxa"/>
            <w:tcBorders/>
            <w:vAlign w:val="center"/>
          </w:tcPr>
          <w:p>
            <w:pPr>
              <w:pStyle w:val="TableContents"/>
              <w:bidi w:val="0"/>
              <w:spacing w:before="0" w:after="0"/>
              <w:ind w:left="0" w:right="0" w:hanging="0"/>
              <w:jc w:val="center"/>
              <w:rPr/>
            </w:pPr>
            <w:hyperlink w:anchor="controls">
              <w:r>
                <w:rPr>
                  <w:rStyle w:val="InternetLink"/>
                  <w:rFonts w:ascii="Calibri;Arial;sans-serif" w:hAnsi="Calibri;Arial;sans-serif"/>
                  <w:caps w:val="false"/>
                  <w:smallCaps w:val="false"/>
                  <w:sz w:val="20"/>
                </w:rPr>
                <w:t>43</w:t>
              </w:r>
            </w:hyperlink>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center"/>
              <w:rPr/>
            </w:pPr>
            <w:r>
              <w:rPr/>
              <w:t> </w:t>
            </w:r>
          </w:p>
        </w:tc>
        <w:tc>
          <w:tcPr>
            <w:tcW w:w="51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center"/>
              <w:rPr/>
            </w:pPr>
            <w:hyperlink w:anchor="part2other">
              <w:r>
                <w:rPr>
                  <w:rStyle w:val="InternetLink"/>
                  <w:rFonts w:ascii="Calibri;Arial;sans-serif" w:hAnsi="Calibri;Arial;sans-serif"/>
                  <w:b/>
                </w:rPr>
                <w:t xml:space="preserve">Part II. </w:t>
              </w:r>
            </w:hyperlink>
            <w:hyperlink w:anchor="part2other">
              <w:r>
                <w:rPr>
                  <w:rStyle w:val="InternetLink"/>
                  <w:rFonts w:ascii="Calibri;Arial;sans-serif" w:hAnsi="Calibri;Arial;sans-serif"/>
                </w:rPr>
                <w:t>—</w:t>
              </w:r>
            </w:hyperlink>
            <w:hyperlink w:anchor="part2other">
              <w:r>
                <w:rPr>
                  <w:rStyle w:val="InternetLink"/>
                  <w:rFonts w:ascii="Calibri;Arial;sans-serif" w:hAnsi="Calibri;Arial;sans-serif"/>
                  <w:b/>
                </w:rPr>
                <w:t>Other Information</w:t>
              </w:r>
            </w:hyperlink>
          </w:p>
        </w:tc>
        <w:tc>
          <w:tcPr>
            <w:tcW w:w="51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1.</w:t>
            </w:r>
          </w:p>
        </w:tc>
        <w:tc>
          <w:tcPr>
            <w:tcW w:w="6935" w:type="dxa"/>
            <w:tcBorders/>
            <w:vAlign w:val="center"/>
          </w:tcPr>
          <w:p>
            <w:pPr>
              <w:pStyle w:val="TableContents"/>
              <w:bidi w:val="0"/>
              <w:spacing w:before="0" w:after="0"/>
              <w:ind w:left="0" w:right="0" w:hanging="0"/>
              <w:jc w:val="left"/>
              <w:rPr/>
            </w:pPr>
            <w:hyperlink w:anchor="item1legal">
              <w:r>
                <w:rPr>
                  <w:rStyle w:val="InternetLink"/>
                  <w:rFonts w:ascii="Calibri;Arial;sans-serif" w:hAnsi="Calibri;Arial;sans-serif"/>
                  <w:caps w:val="false"/>
                  <w:smallCaps w:val="false"/>
                  <w:sz w:val="20"/>
                </w:rPr>
                <w:t>Legal Proceedings</w:t>
              </w:r>
            </w:hyperlink>
          </w:p>
        </w:tc>
        <w:tc>
          <w:tcPr>
            <w:tcW w:w="515" w:type="dxa"/>
            <w:tcBorders/>
            <w:vAlign w:val="center"/>
          </w:tcPr>
          <w:p>
            <w:pPr>
              <w:pStyle w:val="TableContents"/>
              <w:bidi w:val="0"/>
              <w:spacing w:before="0" w:after="0"/>
              <w:ind w:left="0" w:right="0" w:hanging="0"/>
              <w:jc w:val="center"/>
              <w:rPr/>
            </w:pPr>
            <w:hyperlink w:anchor="item1legal">
              <w:r>
                <w:rPr>
                  <w:rStyle w:val="InternetLink"/>
                  <w:rFonts w:ascii="Calibri;Arial;sans-serif" w:hAnsi="Calibri;Arial;sans-serif"/>
                  <w:caps w:val="false"/>
                  <w:smallCaps w:val="false"/>
                  <w:sz w:val="20"/>
                </w:rPr>
                <w:t>44</w:t>
              </w:r>
            </w:hyperlink>
          </w:p>
        </w:tc>
      </w:tr>
      <w:tr>
        <w:trPr/>
        <w:tc>
          <w:tcPr>
            <w:tcW w:w="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1A.</w:t>
            </w:r>
          </w:p>
        </w:tc>
        <w:tc>
          <w:tcPr>
            <w:tcW w:w="6935" w:type="dxa"/>
            <w:tcBorders/>
            <w:vAlign w:val="center"/>
          </w:tcPr>
          <w:p>
            <w:pPr>
              <w:pStyle w:val="TableContents"/>
              <w:bidi w:val="0"/>
              <w:spacing w:before="0" w:after="0"/>
              <w:ind w:left="0" w:right="0" w:hanging="0"/>
              <w:jc w:val="left"/>
              <w:rPr/>
            </w:pPr>
            <w:hyperlink w:anchor="item1arisk">
              <w:r>
                <w:rPr>
                  <w:rStyle w:val="InternetLink"/>
                  <w:rFonts w:ascii="Calibri;Arial;sans-serif" w:hAnsi="Calibri;Arial;sans-serif"/>
                  <w:caps w:val="false"/>
                  <w:smallCaps w:val="false"/>
                  <w:sz w:val="20"/>
                </w:rPr>
                <w:t>Risk Factors</w:t>
              </w:r>
            </w:hyperlink>
          </w:p>
        </w:tc>
        <w:tc>
          <w:tcPr>
            <w:tcW w:w="515" w:type="dxa"/>
            <w:tcBorders/>
            <w:vAlign w:val="center"/>
          </w:tcPr>
          <w:p>
            <w:pPr>
              <w:pStyle w:val="TableContents"/>
              <w:bidi w:val="0"/>
              <w:spacing w:before="0" w:after="0"/>
              <w:ind w:left="0" w:right="0" w:hanging="0"/>
              <w:jc w:val="center"/>
              <w:rPr/>
            </w:pPr>
            <w:hyperlink w:anchor="item1arisk">
              <w:r>
                <w:rPr>
                  <w:rStyle w:val="InternetLink"/>
                  <w:rFonts w:ascii="Calibri;Arial;sans-serif" w:hAnsi="Calibri;Arial;sans-serif"/>
                  <w:caps w:val="false"/>
                  <w:smallCaps w:val="false"/>
                  <w:sz w:val="20"/>
                </w:rPr>
                <w:t>44</w:t>
              </w:r>
            </w:hyperlink>
          </w:p>
        </w:tc>
      </w:tr>
      <w:tr>
        <w:trPr/>
        <w:tc>
          <w:tcPr>
            <w:tcW w:w="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2.</w:t>
            </w:r>
          </w:p>
        </w:tc>
        <w:tc>
          <w:tcPr>
            <w:tcW w:w="6935" w:type="dxa"/>
            <w:tcBorders/>
            <w:vAlign w:val="center"/>
          </w:tcPr>
          <w:p>
            <w:pPr>
              <w:pStyle w:val="TableContents"/>
              <w:bidi w:val="0"/>
              <w:spacing w:before="0" w:after="0"/>
              <w:ind w:left="0" w:right="0" w:hanging="0"/>
              <w:jc w:val="left"/>
              <w:rPr/>
            </w:pPr>
            <w:hyperlink w:anchor="item2unregistered">
              <w:r>
                <w:rPr>
                  <w:rStyle w:val="InternetLink"/>
                  <w:rFonts w:ascii="Calibri;Arial;sans-serif" w:hAnsi="Calibri;Arial;sans-serif"/>
                  <w:caps w:val="false"/>
                  <w:smallCaps w:val="false"/>
                  <w:sz w:val="20"/>
                </w:rPr>
                <w:t>Unregistered Sales of Equity Securities and Use of Proceeds</w:t>
              </w:r>
            </w:hyperlink>
          </w:p>
        </w:tc>
        <w:tc>
          <w:tcPr>
            <w:tcW w:w="515" w:type="dxa"/>
            <w:tcBorders/>
            <w:vAlign w:val="center"/>
          </w:tcPr>
          <w:p>
            <w:pPr>
              <w:pStyle w:val="TableContents"/>
              <w:bidi w:val="0"/>
              <w:spacing w:before="0" w:after="0"/>
              <w:ind w:left="0" w:right="0" w:hanging="0"/>
              <w:jc w:val="center"/>
              <w:rPr/>
            </w:pPr>
            <w:hyperlink w:anchor="item2unregistered">
              <w:r>
                <w:rPr>
                  <w:rStyle w:val="InternetLink"/>
                  <w:rFonts w:ascii="Calibri;Arial;sans-serif" w:hAnsi="Calibri;Arial;sans-serif"/>
                  <w:caps w:val="false"/>
                  <w:smallCaps w:val="false"/>
                  <w:sz w:val="20"/>
                </w:rPr>
                <w:t>44</w:t>
              </w:r>
            </w:hyperlink>
          </w:p>
        </w:tc>
      </w:tr>
      <w:tr>
        <w:trPr/>
        <w:tc>
          <w:tcPr>
            <w:tcW w:w="710" w:type="dxa"/>
            <w:tcBorders/>
            <w:vAlign w:val="center"/>
          </w:tcPr>
          <w:p>
            <w:pPr>
              <w:pStyle w:val="TableContents"/>
              <w:bidi w:val="0"/>
              <w:spacing w:before="0" w:after="283"/>
              <w:jc w:val="left"/>
              <w:rPr>
                <w:rFonts w:ascii="Calibri;Arial;sans-serif" w:hAnsi="Calibri;Arial;sans-serif"/>
              </w:rPr>
            </w:pPr>
            <w:r>
              <w:rPr>
                <w:rFonts w:ascii="Calibri;Arial;sans-serif" w:hAnsi="Calibri;Arial;sans-serif"/>
              </w:rPr>
              <w:t>Item 5.</w:t>
            </w:r>
          </w:p>
        </w:tc>
        <w:tc>
          <w:tcPr>
            <w:tcW w:w="6935" w:type="dxa"/>
            <w:tcBorders/>
            <w:vAlign w:val="center"/>
          </w:tcPr>
          <w:p>
            <w:pPr>
              <w:pStyle w:val="TableContents"/>
              <w:bidi w:val="0"/>
              <w:spacing w:before="0" w:after="283"/>
              <w:jc w:val="left"/>
              <w:rPr/>
            </w:pPr>
            <w:hyperlink w:anchor="item5">
              <w:r>
                <w:rPr>
                  <w:rStyle w:val="InternetLink"/>
                  <w:rFonts w:ascii="Calibri;Arial;sans-serif" w:hAnsi="Calibri;Arial;sans-serif"/>
                </w:rPr>
                <w:t>Other Information</w:t>
              </w:r>
            </w:hyperlink>
          </w:p>
        </w:tc>
        <w:tc>
          <w:tcPr>
            <w:tcW w:w="515" w:type="dxa"/>
            <w:tcBorders/>
            <w:vAlign w:val="center"/>
          </w:tcPr>
          <w:p>
            <w:pPr>
              <w:pStyle w:val="TableContents"/>
              <w:bidi w:val="0"/>
              <w:spacing w:before="0" w:after="283"/>
              <w:jc w:val="center"/>
              <w:rPr/>
            </w:pPr>
            <w:hyperlink w:anchor="part2other">
              <w:r>
                <w:rPr>
                  <w:rStyle w:val="InternetLink"/>
                  <w:rFonts w:ascii="Calibri;Arial;sans-serif" w:hAnsi="Calibri;Arial;sans-serif"/>
                </w:rPr>
                <w:t>44</w:t>
              </w:r>
            </w:hyperlink>
          </w:p>
        </w:tc>
      </w:tr>
      <w:tr>
        <w:trPr/>
        <w:tc>
          <w:tcPr>
            <w:tcW w:w="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6.</w:t>
            </w:r>
          </w:p>
        </w:tc>
        <w:tc>
          <w:tcPr>
            <w:tcW w:w="6935" w:type="dxa"/>
            <w:tcBorders/>
            <w:vAlign w:val="center"/>
          </w:tcPr>
          <w:p>
            <w:pPr>
              <w:pStyle w:val="TableContents"/>
              <w:bidi w:val="0"/>
              <w:spacing w:before="0" w:after="0"/>
              <w:ind w:left="0" w:right="0" w:hanging="0"/>
              <w:jc w:val="left"/>
              <w:rPr/>
            </w:pPr>
            <w:hyperlink w:anchor="exhibits">
              <w:r>
                <w:rPr>
                  <w:rStyle w:val="InternetLink"/>
                  <w:rFonts w:ascii="Calibri;Arial;sans-serif" w:hAnsi="Calibri;Arial;sans-serif"/>
                  <w:caps w:val="false"/>
                  <w:smallCaps w:val="false"/>
                  <w:sz w:val="20"/>
                </w:rPr>
                <w:t>Exhibits</w:t>
              </w:r>
            </w:hyperlink>
          </w:p>
        </w:tc>
        <w:tc>
          <w:tcPr>
            <w:tcW w:w="515" w:type="dxa"/>
            <w:tcBorders/>
            <w:vAlign w:val="center"/>
          </w:tcPr>
          <w:p>
            <w:pPr>
              <w:pStyle w:val="TableContents"/>
              <w:bidi w:val="0"/>
              <w:spacing w:before="0" w:after="0"/>
              <w:ind w:left="0" w:right="0" w:hanging="0"/>
              <w:jc w:val="center"/>
              <w:rPr/>
            </w:pPr>
            <w:hyperlink w:anchor="exhibits">
              <w:r>
                <w:rPr>
                  <w:rStyle w:val="InternetLink"/>
                  <w:rFonts w:ascii="Calibri;Arial;sans-serif" w:hAnsi="Calibri;Arial;sans-serif"/>
                  <w:caps w:val="false"/>
                  <w:smallCaps w:val="false"/>
                  <w:sz w:val="20"/>
                </w:rPr>
                <w:t>45</w:t>
              </w:r>
            </w:hyperlink>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ind w:left="0" w:right="0" w:hanging="0"/>
              <w:jc w:val="left"/>
              <w:rPr/>
            </w:pPr>
            <w:hyperlink w:anchor="exhibits">
              <w:r>
                <w:rPr>
                  <w:rStyle w:val="InternetLink"/>
                  <w:rFonts w:ascii="Calibri;Arial;sans-serif" w:hAnsi="Calibri;Arial;sans-serif"/>
                  <w:caps w:val="false"/>
                  <w:smallCaps w:val="false"/>
                  <w:sz w:val="20"/>
                </w:rPr>
                <w:t>Index to Exhibits</w:t>
              </w:r>
            </w:hyperlink>
          </w:p>
        </w:tc>
        <w:tc>
          <w:tcPr>
            <w:tcW w:w="515" w:type="dxa"/>
            <w:tcBorders/>
            <w:vAlign w:val="center"/>
          </w:tcPr>
          <w:p>
            <w:pPr>
              <w:pStyle w:val="TableContents"/>
              <w:bidi w:val="0"/>
              <w:spacing w:before="0" w:after="0"/>
              <w:ind w:left="0" w:right="0" w:hanging="0"/>
              <w:jc w:val="center"/>
              <w:rPr/>
            </w:pPr>
            <w:hyperlink w:anchor="exhibits">
              <w:r>
                <w:rPr>
                  <w:rStyle w:val="InternetLink"/>
                  <w:rFonts w:ascii="Calibri;Arial;sans-serif" w:hAnsi="Calibri;Arial;sans-serif"/>
                  <w:caps w:val="false"/>
                  <w:smallCaps w:val="false"/>
                  <w:sz w:val="20"/>
                </w:rPr>
                <w:t>45</w:t>
              </w:r>
            </w:hyperlink>
          </w:p>
        </w:tc>
      </w:tr>
      <w:tr>
        <w:trPr/>
        <w:tc>
          <w:tcPr>
            <w:tcW w:w="7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ind w:left="0" w:right="0" w:hanging="0"/>
              <w:jc w:val="left"/>
              <w:rPr/>
            </w:pPr>
            <w:hyperlink w:anchor="sigs">
              <w:r>
                <w:rPr>
                  <w:rStyle w:val="InternetLink"/>
                  <w:rFonts w:ascii="Calibri;Arial;sans-serif" w:hAnsi="Calibri;Arial;sans-serif"/>
                  <w:caps w:val="false"/>
                  <w:smallCaps w:val="false"/>
                  <w:sz w:val="20"/>
                </w:rPr>
                <w:t>Signatures</w:t>
              </w:r>
            </w:hyperlink>
          </w:p>
        </w:tc>
        <w:tc>
          <w:tcPr>
            <w:tcW w:w="515" w:type="dxa"/>
            <w:tcBorders/>
            <w:vAlign w:val="center"/>
          </w:tcPr>
          <w:p>
            <w:pPr>
              <w:pStyle w:val="TableContents"/>
              <w:bidi w:val="0"/>
              <w:spacing w:before="0" w:after="0"/>
              <w:ind w:left="0" w:right="0" w:hanging="0"/>
              <w:jc w:val="center"/>
              <w:rPr/>
            </w:pPr>
            <w:hyperlink w:anchor="sigs">
              <w:r>
                <w:rPr>
                  <w:rStyle w:val="InternetLink"/>
                  <w:rFonts w:ascii="Calibri;Arial;sans-serif" w:hAnsi="Calibri;Arial;sans-serif"/>
                  <w:caps w:val="false"/>
                  <w:smallCaps w:val="false"/>
                  <w:sz w:val="20"/>
                </w:rPr>
                <w:t>47</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Calibri;Arial;sans-serif" w:hAnsi="Calibri;Arial;sans-serif"/>
          <w:b/>
          <w:caps w:val="false"/>
          <w:smallCaps w:val="false"/>
          <w:sz w:val="20"/>
        </w:rPr>
      </w:pPr>
      <w:bookmarkStart w:id="3" w:name="part1"/>
      <w:bookmarkEnd w:id="3"/>
      <w:r>
        <w:rPr>
          <w:rFonts w:ascii="Calibri;Arial;sans-serif" w:hAnsi="Calibri;Arial;sans-serif"/>
          <w:b/>
          <w:caps w:val="false"/>
          <w:smallCaps w:val="false"/>
          <w:sz w:val="20"/>
        </w:rPr>
        <w:t>Part I. FINANCIAL INFORMATION</w:t>
      </w:r>
    </w:p>
    <w:p>
      <w:pPr>
        <w:pStyle w:val="TextBody"/>
        <w:bidi w:val="0"/>
        <w:spacing w:before="0" w:after="0"/>
        <w:ind w:left="0" w:right="0" w:hanging="0"/>
        <w:jc w:val="left"/>
        <w:rPr>
          <w:rFonts w:ascii="Calibri;Arial;sans-serif" w:hAnsi="Calibri;Arial;sans-serif"/>
          <w:caps w:val="false"/>
          <w:smallCaps w:val="false"/>
          <w:sz w:val="20"/>
        </w:rPr>
      </w:pPr>
      <w:bookmarkStart w:id="4" w:name="fs"/>
      <w:bookmarkEnd w:id="4"/>
      <w:r>
        <w:rPr>
          <w:rFonts w:ascii="Calibri;Arial;sans-serif" w:hAnsi="Calibri;Arial;sans-serif"/>
          <w:b/>
          <w:caps w:val="false"/>
          <w:smallCaps w:val="false"/>
          <w:sz w:val="20"/>
        </w:rPr>
        <w:t>Item</w:t>
      </w:r>
      <w:r>
        <w:rPr>
          <w:rFonts w:ascii="Calibri;Arial;sans-serif" w:hAnsi="Calibri;Arial;sans-serif"/>
          <w:caps w:val="false"/>
          <w:smallCaps w:val="false"/>
          <w:sz w:val="20"/>
        </w:rPr>
        <w:t> </w:t>
      </w:r>
      <w:r>
        <w:rPr>
          <w:rFonts w:ascii="Calibri;Arial;sans-serif" w:hAnsi="Calibri;Arial;sans-serif"/>
          <w:b/>
          <w:caps w:val="false"/>
          <w:smallCaps w:val="false"/>
          <w:sz w:val="20"/>
        </w:rPr>
        <w:t>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bookmarkStart w:id="5" w:name="ops"/>
      <w:bookmarkEnd w:id="5"/>
      <w:r>
        <w:rPr>
          <w:rFonts w:ascii="Calibri;Arial;sans-serif" w:hAnsi="Calibri;Arial;sans-serif"/>
          <w:b/>
          <w:caps w:val="false"/>
          <w:smallCaps w:val="false"/>
          <w:sz w:val="20"/>
        </w:rPr>
        <w:t>EASTMAN KODAK COMPANY</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CONSOLIDATED STATEMENT OF OPERATIONS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 except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70"/>
        <w:gridCol w:w="60"/>
        <w:gridCol w:w="150"/>
        <w:gridCol w:w="457"/>
        <w:gridCol w:w="96"/>
        <w:gridCol w:w="71"/>
        <w:gridCol w:w="150"/>
        <w:gridCol w:w="457"/>
        <w:gridCol w:w="80"/>
        <w:gridCol w:w="60"/>
        <w:gridCol w:w="144"/>
        <w:gridCol w:w="458"/>
        <w:gridCol w:w="92"/>
        <w:gridCol w:w="69"/>
        <w:gridCol w:w="144"/>
        <w:gridCol w:w="458"/>
        <w:gridCol w:w="89"/>
      </w:tblGrid>
      <w:tr>
        <w:trPr/>
        <w:tc>
          <w:tcPr>
            <w:tcW w:w="7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1"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5"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89" w:type="dxa"/>
            <w:tcBorders/>
            <w:shd w:fill="FFFFFF" w:val="clear"/>
            <w:vAlign w:val="center"/>
          </w:tcPr>
          <w:p>
            <w:pPr>
              <w:pStyle w:val="TableContents"/>
              <w:bidi w:val="0"/>
              <w:spacing w:before="0" w:after="283"/>
              <w:jc w:val="left"/>
              <w:rPr/>
            </w:pPr>
            <w:r>
              <w:rPr/>
              <w:t> </w:t>
            </w:r>
          </w:p>
        </w:tc>
      </w:tr>
      <w:tr>
        <w:trPr/>
        <w:tc>
          <w:tcPr>
            <w:tcW w:w="7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89" w:type="dxa"/>
            <w:tcBorders/>
            <w:shd w:fill="FFFFFF" w:val="clear"/>
            <w:vAlign w:val="center"/>
          </w:tcPr>
          <w:p>
            <w:pPr>
              <w:pStyle w:val="TableContents"/>
              <w:bidi w:val="0"/>
              <w:spacing w:before="0" w:after="283"/>
              <w:jc w:val="left"/>
              <w:rPr/>
            </w:pPr>
            <w:r>
              <w:rPr/>
              <w:t> </w:t>
            </w:r>
          </w:p>
        </w:tc>
      </w:tr>
      <w:tr>
        <w:trPr/>
        <w:tc>
          <w:tcPr>
            <w:tcW w:w="7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9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6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9" w:type="dxa"/>
            <w:tcBorders/>
            <w:shd w:fill="FFFFFF" w:val="clear"/>
            <w:vAlign w:val="center"/>
          </w:tcPr>
          <w:p>
            <w:pPr>
              <w:pStyle w:val="TableContents"/>
              <w:bidi w:val="0"/>
              <w:spacing w:before="0" w:after="283"/>
              <w:jc w:val="left"/>
              <w:rPr/>
            </w:pPr>
            <w:r>
              <w:rPr/>
              <w:t> </w:t>
            </w:r>
          </w:p>
        </w:tc>
      </w:tr>
      <w:tr>
        <w:trPr/>
        <w:tc>
          <w:tcPr>
            <w:tcW w:w="717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r>
      <w:tr>
        <w:trPr/>
        <w:tc>
          <w:tcPr>
            <w:tcW w:w="7170"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Sales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5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221</w:t>
            </w:r>
          </w:p>
        </w:tc>
        <w:tc>
          <w:tcPr>
            <w:tcW w:w="9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5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5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654</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5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688</w:t>
            </w:r>
          </w:p>
        </w:tc>
        <w:tc>
          <w:tcPr>
            <w:tcW w:w="89" w:type="dxa"/>
            <w:tcBorders/>
            <w:shd w:fill="FFFFFF" w:val="clear"/>
            <w:vAlign w:val="center"/>
          </w:tcPr>
          <w:p>
            <w:pPr>
              <w:pStyle w:val="TableContents"/>
              <w:bidi w:val="0"/>
              <w:spacing w:before="0" w:after="283"/>
              <w:jc w:val="left"/>
              <w:rPr/>
            </w:pPr>
            <w:r>
              <w:rPr/>
              <w:t> </w:t>
            </w:r>
          </w:p>
        </w:tc>
      </w:tr>
      <w:tr>
        <w:trPr/>
        <w:tc>
          <w:tcPr>
            <w:tcW w:w="7170" w:type="dxa"/>
            <w:tcBorders/>
            <w:shd w:fill="CCEE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Services</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57"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40</w:t>
            </w:r>
          </w:p>
        </w:tc>
        <w:tc>
          <w:tcPr>
            <w:tcW w:w="9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57"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58"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123</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58"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154</w:t>
            </w:r>
          </w:p>
        </w:tc>
        <w:tc>
          <w:tcPr>
            <w:tcW w:w="89" w:type="dxa"/>
            <w:tcBorders/>
            <w:shd w:fill="CCEEFF" w:val="clear"/>
            <w:vAlign w:val="center"/>
          </w:tcPr>
          <w:p>
            <w:pPr>
              <w:pStyle w:val="TableContents"/>
              <w:bidi w:val="0"/>
              <w:spacing w:before="0" w:after="283"/>
              <w:jc w:val="left"/>
              <w:rPr/>
            </w:pPr>
            <w:r>
              <w:rPr/>
              <w:t> </w:t>
            </w:r>
          </w:p>
        </w:tc>
      </w:tr>
      <w:tr>
        <w:trPr/>
        <w:tc>
          <w:tcPr>
            <w:tcW w:w="717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revenues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261</w:t>
            </w:r>
          </w:p>
        </w:tc>
        <w:tc>
          <w:tcPr>
            <w:tcW w:w="9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777</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842</w:t>
            </w:r>
          </w:p>
        </w:tc>
        <w:tc>
          <w:tcPr>
            <w:tcW w:w="89" w:type="dxa"/>
            <w:tcBorders/>
            <w:shd w:fill="FFFFFF" w:val="clear"/>
            <w:vAlign w:val="center"/>
          </w:tcPr>
          <w:p>
            <w:pPr>
              <w:pStyle w:val="TableContents"/>
              <w:bidi w:val="0"/>
              <w:spacing w:before="0" w:after="283"/>
              <w:jc w:val="left"/>
              <w:rPr/>
            </w:pPr>
            <w:r>
              <w:rPr/>
              <w:t> </w:t>
            </w:r>
          </w:p>
        </w:tc>
      </w:tr>
      <w:tr>
        <w:trPr/>
        <w:tc>
          <w:tcPr>
            <w:tcW w:w="717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Cost of revenues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r>
      <w:tr>
        <w:trPr/>
        <w:tc>
          <w:tcPr>
            <w:tcW w:w="7170"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Sales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185</w:t>
            </w:r>
          </w:p>
        </w:tc>
        <w:tc>
          <w:tcPr>
            <w:tcW w:w="9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534</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571</w:t>
            </w:r>
          </w:p>
        </w:tc>
        <w:tc>
          <w:tcPr>
            <w:tcW w:w="89" w:type="dxa"/>
            <w:tcBorders/>
            <w:shd w:fill="FFFFFF" w:val="clear"/>
            <w:vAlign w:val="center"/>
          </w:tcPr>
          <w:p>
            <w:pPr>
              <w:pStyle w:val="TableContents"/>
              <w:bidi w:val="0"/>
              <w:spacing w:before="0" w:after="283"/>
              <w:jc w:val="left"/>
              <w:rPr/>
            </w:pPr>
            <w:r>
              <w:rPr/>
              <w:t> </w:t>
            </w:r>
          </w:p>
        </w:tc>
      </w:tr>
      <w:tr>
        <w:trPr/>
        <w:tc>
          <w:tcPr>
            <w:tcW w:w="7170" w:type="dxa"/>
            <w:tcBorders/>
            <w:shd w:fill="CCEE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Services</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57"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31</w:t>
            </w:r>
          </w:p>
        </w:tc>
        <w:tc>
          <w:tcPr>
            <w:tcW w:w="9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57"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58"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91</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58"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108</w:t>
            </w:r>
          </w:p>
        </w:tc>
        <w:tc>
          <w:tcPr>
            <w:tcW w:w="89" w:type="dxa"/>
            <w:tcBorders/>
            <w:shd w:fill="CCEEFF" w:val="clear"/>
            <w:vAlign w:val="center"/>
          </w:tcPr>
          <w:p>
            <w:pPr>
              <w:pStyle w:val="TableContents"/>
              <w:bidi w:val="0"/>
              <w:spacing w:before="0" w:after="283"/>
              <w:jc w:val="left"/>
              <w:rPr/>
            </w:pPr>
            <w:r>
              <w:rPr/>
              <w:t> </w:t>
            </w:r>
          </w:p>
        </w:tc>
      </w:tr>
      <w:tr>
        <w:trPr/>
        <w:tc>
          <w:tcPr>
            <w:tcW w:w="717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cost of revenues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216</w:t>
            </w:r>
          </w:p>
        </w:tc>
        <w:tc>
          <w:tcPr>
            <w:tcW w:w="9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625</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679</w:t>
            </w:r>
          </w:p>
        </w:tc>
        <w:tc>
          <w:tcPr>
            <w:tcW w:w="89" w:type="dxa"/>
            <w:tcBorders/>
            <w:shd w:fill="FFFFFF" w:val="clear"/>
            <w:vAlign w:val="center"/>
          </w:tcPr>
          <w:p>
            <w:pPr>
              <w:pStyle w:val="TableContents"/>
              <w:bidi w:val="0"/>
              <w:spacing w:before="0" w:after="283"/>
              <w:jc w:val="left"/>
              <w:rPr/>
            </w:pPr>
            <w:r>
              <w:rPr/>
              <w:t> </w:t>
            </w:r>
          </w:p>
        </w:tc>
      </w:tr>
      <w:tr>
        <w:trPr/>
        <w:tc>
          <w:tcPr>
            <w:tcW w:w="717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45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45</w:t>
            </w:r>
          </w:p>
        </w:tc>
        <w:tc>
          <w:tcPr>
            <w:tcW w:w="9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45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4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152</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4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163</w:t>
            </w:r>
          </w:p>
        </w:tc>
        <w:tc>
          <w:tcPr>
            <w:tcW w:w="89" w:type="dxa"/>
            <w:tcBorders/>
            <w:shd w:fill="CCEEFF" w:val="clear"/>
            <w:vAlign w:val="center"/>
          </w:tcPr>
          <w:p>
            <w:pPr>
              <w:pStyle w:val="TableContents"/>
              <w:bidi w:val="0"/>
              <w:spacing w:before="0" w:after="283"/>
              <w:jc w:val="left"/>
              <w:rPr/>
            </w:pPr>
            <w:r>
              <w:rPr/>
              <w:t> </w:t>
            </w:r>
          </w:p>
        </w:tc>
      </w:tr>
      <w:tr>
        <w:trPr/>
        <w:tc>
          <w:tcPr>
            <w:tcW w:w="717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44</w:t>
            </w:r>
          </w:p>
        </w:tc>
        <w:tc>
          <w:tcPr>
            <w:tcW w:w="9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136</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114</w:t>
            </w:r>
          </w:p>
        </w:tc>
        <w:tc>
          <w:tcPr>
            <w:tcW w:w="89" w:type="dxa"/>
            <w:tcBorders/>
            <w:shd w:fill="FFFFFF" w:val="clear"/>
            <w:vAlign w:val="center"/>
          </w:tcPr>
          <w:p>
            <w:pPr>
              <w:pStyle w:val="TableContents"/>
              <w:bidi w:val="0"/>
              <w:spacing w:before="0" w:after="283"/>
              <w:jc w:val="left"/>
              <w:rPr/>
            </w:pPr>
            <w:r>
              <w:rPr/>
              <w:t> </w:t>
            </w:r>
          </w:p>
        </w:tc>
      </w:tr>
      <w:tr>
        <w:trPr/>
        <w:tc>
          <w:tcPr>
            <w:tcW w:w="717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Research and development costs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8</w:t>
            </w:r>
          </w:p>
        </w:tc>
        <w:tc>
          <w:tcPr>
            <w:tcW w:w="9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25</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25</w:t>
            </w:r>
          </w:p>
        </w:tc>
        <w:tc>
          <w:tcPr>
            <w:tcW w:w="89" w:type="dxa"/>
            <w:tcBorders/>
            <w:shd w:fill="CCEEFF" w:val="clear"/>
            <w:vAlign w:val="center"/>
          </w:tcPr>
          <w:p>
            <w:pPr>
              <w:pStyle w:val="TableContents"/>
              <w:bidi w:val="0"/>
              <w:spacing w:before="0" w:after="283"/>
              <w:jc w:val="left"/>
              <w:rPr/>
            </w:pPr>
            <w:r>
              <w:rPr/>
              <w:t> </w:t>
            </w:r>
          </w:p>
        </w:tc>
      </w:tr>
      <w:tr>
        <w:trPr/>
        <w:tc>
          <w:tcPr>
            <w:tcW w:w="717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Restructuring costs and other</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9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w:t>
            </w:r>
          </w:p>
        </w:tc>
        <w:tc>
          <w:tcPr>
            <w:tcW w:w="89" w:type="dxa"/>
            <w:tcBorders/>
            <w:shd w:fill="FFFFFF" w:val="clear"/>
            <w:vAlign w:val="center"/>
          </w:tcPr>
          <w:p>
            <w:pPr>
              <w:pStyle w:val="TableContents"/>
              <w:bidi w:val="0"/>
              <w:spacing w:before="0" w:after="283"/>
              <w:jc w:val="left"/>
              <w:rPr/>
            </w:pPr>
            <w:r>
              <w:rPr/>
              <w:t> </w:t>
            </w:r>
          </w:p>
        </w:tc>
      </w:tr>
      <w:tr>
        <w:trPr/>
        <w:tc>
          <w:tcPr>
            <w:tcW w:w="717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Other operating income, net</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57"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9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57"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58"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(16</w:t>
            </w:r>
          </w:p>
        </w:tc>
        <w:tc>
          <w:tcPr>
            <w:tcW w:w="9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58"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9" w:type="dxa"/>
            <w:tcBorders/>
            <w:shd w:fill="CCEEFF" w:val="clear"/>
            <w:vAlign w:val="center"/>
          </w:tcPr>
          <w:p>
            <w:pPr>
              <w:pStyle w:val="TableContents"/>
              <w:bidi w:val="0"/>
              <w:spacing w:before="0" w:after="283"/>
              <w:jc w:val="left"/>
              <w:rPr/>
            </w:pPr>
            <w:r>
              <w:rPr/>
              <w:t> </w:t>
            </w:r>
          </w:p>
        </w:tc>
      </w:tr>
      <w:tr>
        <w:trPr/>
        <w:tc>
          <w:tcPr>
            <w:tcW w:w="717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(Loss) earnings from operations before interest expense, pension income excluding service cost component, loss on extinguishment of debt, other (income) charges, net and income taxes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45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96"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45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4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4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89" w:type="dxa"/>
            <w:tcBorders/>
            <w:shd w:fill="FFFFFF" w:val="clear"/>
            <w:vAlign w:val="center"/>
          </w:tcPr>
          <w:p>
            <w:pPr>
              <w:pStyle w:val="TableContents"/>
              <w:bidi w:val="0"/>
              <w:spacing w:before="0" w:after="283"/>
              <w:jc w:val="left"/>
              <w:rPr/>
            </w:pPr>
            <w:r>
              <w:rPr/>
              <w:t> </w:t>
            </w:r>
          </w:p>
        </w:tc>
      </w:tr>
      <w:tr>
        <w:trPr/>
        <w:tc>
          <w:tcPr>
            <w:tcW w:w="717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Interest expense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14</w:t>
            </w:r>
          </w:p>
        </w:tc>
        <w:tc>
          <w:tcPr>
            <w:tcW w:w="9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44</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36</w:t>
            </w:r>
          </w:p>
        </w:tc>
        <w:tc>
          <w:tcPr>
            <w:tcW w:w="89" w:type="dxa"/>
            <w:tcBorders/>
            <w:shd w:fill="CCEEFF" w:val="clear"/>
            <w:vAlign w:val="center"/>
          </w:tcPr>
          <w:p>
            <w:pPr>
              <w:pStyle w:val="TableContents"/>
              <w:bidi w:val="0"/>
              <w:spacing w:before="0" w:after="283"/>
              <w:jc w:val="left"/>
              <w:rPr/>
            </w:pPr>
            <w:r>
              <w:rPr/>
              <w:t> </w:t>
            </w:r>
          </w:p>
        </w:tc>
      </w:tr>
      <w:tr>
        <w:trPr/>
        <w:tc>
          <w:tcPr>
            <w:tcW w:w="717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Pension income excluding service cost component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(42</w:t>
            </w:r>
          </w:p>
        </w:tc>
        <w:tc>
          <w:tcPr>
            <w:tcW w:w="96"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(124</w:t>
            </w:r>
          </w:p>
        </w:tc>
        <w:tc>
          <w:tcPr>
            <w:tcW w:w="9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(122</w:t>
            </w:r>
          </w:p>
        </w:tc>
        <w:tc>
          <w:tcPr>
            <w:tcW w:w="8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717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27</w:t>
            </w:r>
          </w:p>
        </w:tc>
        <w:tc>
          <w:tcPr>
            <w:tcW w:w="89" w:type="dxa"/>
            <w:tcBorders/>
            <w:shd w:fill="CCEEFF" w:val="clear"/>
            <w:vAlign w:val="center"/>
          </w:tcPr>
          <w:p>
            <w:pPr>
              <w:pStyle w:val="TableContents"/>
              <w:bidi w:val="0"/>
              <w:spacing w:before="0" w:after="283"/>
              <w:jc w:val="left"/>
              <w:rPr/>
            </w:pPr>
            <w:r>
              <w:rPr/>
              <w:t> </w:t>
            </w:r>
          </w:p>
        </w:tc>
      </w:tr>
      <w:tr>
        <w:trPr/>
        <w:tc>
          <w:tcPr>
            <w:tcW w:w="717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Other (income) charges, net</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57"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96"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1" w:type="dxa"/>
            <w:tcBorders/>
            <w:shd w:fill="FFFFFF" w:val="clear"/>
            <w:vAlign w:val="center"/>
          </w:tcPr>
          <w:p>
            <w:pPr>
              <w:pStyle w:val="TableContents"/>
              <w:bidi w:val="0"/>
              <w:spacing w:before="0" w:after="283"/>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57"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58"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w:t>
            </w:r>
          </w:p>
        </w:tc>
        <w:tc>
          <w:tcPr>
            <w:tcW w:w="9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58"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w:t>
            </w:r>
          </w:p>
        </w:tc>
        <w:tc>
          <w:tcPr>
            <w:tcW w:w="8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717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Earnings from operations before income taxes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45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w:t>
            </w:r>
          </w:p>
        </w:tc>
        <w:tc>
          <w:tcPr>
            <w:tcW w:w="9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4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4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83</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4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78</w:t>
            </w:r>
          </w:p>
        </w:tc>
        <w:tc>
          <w:tcPr>
            <w:tcW w:w="89" w:type="dxa"/>
            <w:tcBorders/>
            <w:shd w:fill="CCEEFF" w:val="clear"/>
            <w:vAlign w:val="center"/>
          </w:tcPr>
          <w:p>
            <w:pPr>
              <w:pStyle w:val="TableContents"/>
              <w:bidi w:val="0"/>
              <w:spacing w:before="0" w:after="283"/>
              <w:jc w:val="left"/>
              <w:rPr/>
            </w:pPr>
            <w:r>
              <w:rPr/>
              <w:t> </w:t>
            </w:r>
          </w:p>
        </w:tc>
      </w:tr>
      <w:tr>
        <w:trPr/>
        <w:tc>
          <w:tcPr>
            <w:tcW w:w="717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Provision (benefit) for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57"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3</w:t>
            </w:r>
          </w:p>
        </w:tc>
        <w:tc>
          <w:tcPr>
            <w:tcW w:w="9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57"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58"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7</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58"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8</w:t>
            </w:r>
          </w:p>
        </w:tc>
        <w:tc>
          <w:tcPr>
            <w:tcW w:w="89" w:type="dxa"/>
            <w:tcBorders/>
            <w:shd w:fill="FFFFFF" w:val="clear"/>
            <w:vAlign w:val="center"/>
          </w:tcPr>
          <w:p>
            <w:pPr>
              <w:pStyle w:val="TableContents"/>
              <w:bidi w:val="0"/>
              <w:spacing w:before="0" w:after="283"/>
              <w:jc w:val="left"/>
              <w:rPr/>
            </w:pPr>
            <w:r>
              <w:rPr/>
              <w:t> </w:t>
            </w:r>
          </w:p>
        </w:tc>
      </w:tr>
      <w:tr>
        <w:trPr/>
        <w:tc>
          <w:tcPr>
            <w:tcW w:w="717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EARNINGS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w:t>
            </w:r>
          </w:p>
        </w:tc>
        <w:tc>
          <w:tcPr>
            <w:tcW w:w="9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76</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70</w:t>
            </w:r>
          </w:p>
        </w:tc>
        <w:tc>
          <w:tcPr>
            <w:tcW w:w="89" w:type="dxa"/>
            <w:tcBorders/>
            <w:shd w:fill="CCEEFF" w:val="clear"/>
            <w:vAlign w:val="center"/>
          </w:tcPr>
          <w:p>
            <w:pPr>
              <w:pStyle w:val="TableContents"/>
              <w:bidi w:val="0"/>
              <w:spacing w:before="0" w:after="283"/>
              <w:jc w:val="left"/>
              <w:rPr/>
            </w:pPr>
            <w:r>
              <w:rPr/>
              <w:t> </w:t>
            </w:r>
          </w:p>
        </w:tc>
      </w:tr>
      <w:tr>
        <w:trPr/>
        <w:tc>
          <w:tcPr>
            <w:tcW w:w="7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717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Basic net earnings per share attributable to Eastman Kodak Company common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0.16</w:t>
            </w:r>
          </w:p>
        </w:tc>
        <w:tc>
          <w:tcPr>
            <w:tcW w:w="9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0.73</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0.68</w:t>
            </w:r>
          </w:p>
        </w:tc>
        <w:tc>
          <w:tcPr>
            <w:tcW w:w="89" w:type="dxa"/>
            <w:tcBorders/>
            <w:shd w:fill="CCEEFF" w:val="clear"/>
            <w:vAlign w:val="center"/>
          </w:tcPr>
          <w:p>
            <w:pPr>
              <w:pStyle w:val="TableContents"/>
              <w:bidi w:val="0"/>
              <w:spacing w:before="0" w:after="283"/>
              <w:jc w:val="left"/>
              <w:rPr/>
            </w:pPr>
            <w:r>
              <w:rPr/>
              <w:t> </w:t>
            </w:r>
          </w:p>
        </w:tc>
      </w:tr>
      <w:tr>
        <w:trPr/>
        <w:tc>
          <w:tcPr>
            <w:tcW w:w="717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Diluted net earnings per share attributable to Eastman Kodak Company common shareholders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0.15</w:t>
            </w:r>
          </w:p>
        </w:tc>
        <w:tc>
          <w:tcPr>
            <w:tcW w:w="9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0.67</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0.64</w:t>
            </w:r>
          </w:p>
        </w:tc>
        <w:tc>
          <w:tcPr>
            <w:tcW w:w="89" w:type="dxa"/>
            <w:tcBorders/>
            <w:shd w:fill="FFFFFF" w:val="clear"/>
            <w:vAlign w:val="center"/>
          </w:tcPr>
          <w:p>
            <w:pPr>
              <w:pStyle w:val="TableContents"/>
              <w:bidi w:val="0"/>
              <w:spacing w:before="0" w:after="283"/>
              <w:jc w:val="left"/>
              <w:rPr/>
            </w:pPr>
            <w:r>
              <w:rPr/>
              <w:t> </w:t>
            </w:r>
          </w:p>
        </w:tc>
      </w:tr>
      <w:tr>
        <w:trPr/>
        <w:tc>
          <w:tcPr>
            <w:tcW w:w="7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r>
      <w:tr>
        <w:trPr/>
        <w:tc>
          <w:tcPr>
            <w:tcW w:w="717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Number of common shares used in basic and diluted net earnings per share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717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45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80.3</w:t>
            </w:r>
          </w:p>
        </w:tc>
        <w:tc>
          <w:tcPr>
            <w:tcW w:w="9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45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4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80.0</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4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79.3</w:t>
            </w:r>
          </w:p>
        </w:tc>
        <w:tc>
          <w:tcPr>
            <w:tcW w:w="89" w:type="dxa"/>
            <w:tcBorders/>
            <w:shd w:fill="CCEEFF" w:val="clear"/>
            <w:vAlign w:val="center"/>
          </w:tcPr>
          <w:p>
            <w:pPr>
              <w:pStyle w:val="TableContents"/>
              <w:bidi w:val="0"/>
              <w:spacing w:before="0" w:after="283"/>
              <w:jc w:val="left"/>
              <w:rPr/>
            </w:pPr>
            <w:r>
              <w:rPr/>
              <w:t> </w:t>
            </w:r>
          </w:p>
        </w:tc>
      </w:tr>
      <w:tr>
        <w:trPr/>
        <w:tc>
          <w:tcPr>
            <w:tcW w:w="717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45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92.7</w:t>
            </w:r>
          </w:p>
        </w:tc>
        <w:tc>
          <w:tcPr>
            <w:tcW w:w="9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45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4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92.1</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4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90.5</w:t>
            </w:r>
          </w:p>
        </w:tc>
        <w:tc>
          <w:tcPr>
            <w:tcW w:w="8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bookmarkStart w:id="6" w:name="income"/>
      <w:bookmarkEnd w:id="6"/>
      <w:r>
        <w:rPr>
          <w:rFonts w:ascii="Calibri;Arial;sans-serif" w:hAnsi="Calibri;Arial;sans-serif"/>
          <w:b/>
          <w:caps w:val="false"/>
          <w:smallCaps w:val="false"/>
          <w:sz w:val="20"/>
        </w:rPr>
        <w:t>EASTMAN KODAK COMPANY</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CONSOLIDATED STATEMENT OF COMPREHENSIVE INCOME (LOSS)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p>
      <w:pPr>
        <w:pStyle w:val="TextBody"/>
        <w:bidi w:val="0"/>
        <w:spacing w:before="0" w:after="0"/>
        <w:ind w:left="0" w:right="0" w:hanging="0"/>
        <w:jc w:val="left"/>
        <w:rPr>
          <w:caps w:val="false"/>
          <w:smallCaps w:val="false"/>
        </w:rPr>
      </w:pPr>
      <w:r>
        <w:rPr>
          <w:caps w:val="false"/>
          <w:smallCaps w:val="false"/>
        </w:rPr>
        <w:t> </w:t>
      </w:r>
    </w:p>
    <w:tbl>
      <w:tblPr>
        <w:tblW w:w="9544" w:type="dxa"/>
        <w:jc w:val="left"/>
        <w:tblInd w:w="0" w:type="dxa"/>
        <w:tblLayout w:type="fixed"/>
        <w:tblCellMar>
          <w:top w:w="0" w:type="dxa"/>
          <w:left w:w="0" w:type="dxa"/>
          <w:bottom w:w="0" w:type="dxa"/>
          <w:right w:w="0" w:type="dxa"/>
        </w:tblCellMar>
      </w:tblPr>
      <w:tblGrid>
        <w:gridCol w:w="5975"/>
        <w:gridCol w:w="60"/>
        <w:gridCol w:w="261"/>
        <w:gridCol w:w="481"/>
        <w:gridCol w:w="167"/>
        <w:gridCol w:w="125"/>
        <w:gridCol w:w="261"/>
        <w:gridCol w:w="387"/>
        <w:gridCol w:w="80"/>
        <w:gridCol w:w="60"/>
        <w:gridCol w:w="187"/>
        <w:gridCol w:w="434"/>
        <w:gridCol w:w="119"/>
        <w:gridCol w:w="89"/>
        <w:gridCol w:w="187"/>
        <w:gridCol w:w="591"/>
        <w:gridCol w:w="80"/>
      </w:tblGrid>
      <w:tr>
        <w:trPr/>
        <w:tc>
          <w:tcPr>
            <w:tcW w:w="5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7"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167"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7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EARNINGS</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w:t>
            </w:r>
          </w:p>
        </w:tc>
        <w:tc>
          <w:tcPr>
            <w:tcW w:w="167"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8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3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76</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9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70</w:t>
            </w:r>
          </w:p>
        </w:tc>
        <w:tc>
          <w:tcPr>
            <w:tcW w:w="8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Currency translation adjustments</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w:t>
            </w:r>
          </w:p>
        </w:tc>
        <w:tc>
          <w:tcPr>
            <w:tcW w:w="167"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(15</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975"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Pension and other postretirement benefit plan obligation activity, net of tax</w:t>
            </w:r>
          </w:p>
        </w:tc>
        <w:tc>
          <w:tcPr>
            <w:tcW w:w="60" w:type="dxa"/>
            <w:tcBorders/>
            <w:shd w:fill="FFFFFF" w:val="clear"/>
            <w:vAlign w:val="center"/>
          </w:tcPr>
          <w:p>
            <w:pPr>
              <w:pStyle w:val="TableContents"/>
              <w:bidi w:val="0"/>
              <w:spacing w:before="0" w:after="283"/>
              <w:ind w:left="0" w:right="0" w:hanging="0"/>
              <w:jc w:val="left"/>
              <w:rPr/>
            </w:pPr>
            <w:r>
              <w:rPr/>
              <w:t> </w:t>
            </w:r>
          </w:p>
        </w:tc>
        <w:tc>
          <w:tcPr>
            <w:tcW w:w="2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(7</w:t>
            </w:r>
          </w:p>
        </w:tc>
        <w:tc>
          <w:tcPr>
            <w:tcW w:w="167"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25" w:type="dxa"/>
            <w:tcBorders/>
            <w:shd w:fill="FFFFFF" w:val="clear"/>
            <w:vAlign w:val="center"/>
          </w:tcPr>
          <w:p>
            <w:pPr>
              <w:pStyle w:val="TableContents"/>
              <w:bidi w:val="0"/>
              <w:spacing w:before="0" w:after="283"/>
              <w:ind w:left="0" w:right="0" w:hanging="0"/>
              <w:jc w:val="left"/>
              <w:rPr/>
            </w:pPr>
            <w:r>
              <w:rPr/>
              <w:t> </w:t>
            </w:r>
          </w:p>
        </w:tc>
        <w:tc>
          <w:tcPr>
            <w:tcW w:w="2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87"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(6</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34"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(20</w:t>
            </w:r>
          </w:p>
        </w:tc>
        <w:tc>
          <w:tcPr>
            <w:tcW w:w="11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9" w:type="dxa"/>
            <w:tcBorders/>
            <w:shd w:fill="FFFFFF" w:val="clear"/>
            <w:vAlign w:val="center"/>
          </w:tcPr>
          <w:p>
            <w:pPr>
              <w:pStyle w:val="TableContents"/>
              <w:bidi w:val="0"/>
              <w:spacing w:before="0" w:after="283"/>
              <w:ind w:left="0" w:right="0" w:hanging="0"/>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1"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(135</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97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comprehensive income (loss), net of tax</w:t>
            </w:r>
          </w:p>
        </w:tc>
        <w:tc>
          <w:tcPr>
            <w:tcW w:w="60" w:type="dxa"/>
            <w:tcBorders/>
            <w:shd w:fill="CCEEFF" w:val="clear"/>
            <w:vAlign w:val="center"/>
          </w:tcPr>
          <w:p>
            <w:pPr>
              <w:pStyle w:val="TableContents"/>
              <w:bidi w:val="0"/>
              <w:spacing w:before="0" w:after="283"/>
              <w:jc w:val="left"/>
              <w:rPr/>
            </w:pPr>
            <w:r>
              <w:rPr/>
              <w:t> </w:t>
            </w:r>
          </w:p>
        </w:tc>
        <w:tc>
          <w:tcPr>
            <w:tcW w:w="2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167"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w:t>
            </w:r>
          </w:p>
        </w:tc>
        <w:tc>
          <w:tcPr>
            <w:tcW w:w="11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9"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(150</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97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COMPREHENSIVE INCOME (LOSS), NET OF TAX</w:t>
            </w:r>
          </w:p>
        </w:tc>
        <w:tc>
          <w:tcPr>
            <w:tcW w:w="60"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w:t>
            </w:r>
          </w:p>
        </w:tc>
        <w:tc>
          <w:tcPr>
            <w:tcW w:w="167"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56</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(80</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sz w:val="20"/>
        </w:rPr>
      </w:pPr>
      <w:bookmarkStart w:id="7" w:name="finpos"/>
      <w:bookmarkEnd w:id="7"/>
      <w:r>
        <w:rPr>
          <w:rFonts w:ascii="Calibri;Arial;sans-serif" w:hAnsi="Calibri;Arial;sans-serif"/>
          <w:b/>
          <w:sz w:val="20"/>
        </w:rPr>
        <w:t>EASTMAN KODAK COMPANY</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CONSOLIDATED STATEMENT OF FINANCIAL POSITION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07"/>
        <w:gridCol w:w="60"/>
        <w:gridCol w:w="242"/>
        <w:gridCol w:w="945"/>
        <w:gridCol w:w="80"/>
        <w:gridCol w:w="60"/>
        <w:gridCol w:w="227"/>
        <w:gridCol w:w="885"/>
        <w:gridCol w:w="99"/>
      </w:tblGrid>
      <w:tr>
        <w:trPr/>
        <w:tc>
          <w:tcPr>
            <w:tcW w:w="76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7"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2"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December 31,</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11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Cash and cash equivalents</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4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8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255</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Trade receivables, net of allowances of $7 and $8, respectively</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195</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Inventories, net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217</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Other 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45</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712</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Property, plant and equipment, net of accumulated depreciation of $481 and $470, respectively</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169</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Goodwill</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24</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30</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Restricted cash</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110</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Pension and other postretirement assets</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1,313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1,216</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Other long-term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82</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54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9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b/>
                <w:sz w:val="20"/>
              </w:rPr>
            </w:pPr>
            <w:r>
              <w:rPr>
                <w:rFonts w:ascii="Calibri;Arial;sans-serif" w:hAnsi="Calibri;Arial;sans-serif"/>
                <w:b/>
                <w:sz w:val="20"/>
              </w:rPr>
              <w:t>2,388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b/>
                <w:sz w:val="20"/>
              </w:rPr>
            </w:pPr>
            <w:r>
              <w:rPr>
                <w:rFonts w:ascii="Calibri;Arial;sans-serif" w:hAnsi="Calibri;Arial;sans-serif"/>
                <w:b/>
                <w:sz w:val="20"/>
              </w:rPr>
              <w:t>2,355</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180" w:right="0" w:hanging="180"/>
              <w:jc w:val="left"/>
              <w:rPr>
                <w:rFonts w:ascii="Calibri;Arial;sans-serif" w:hAnsi="Calibri;Arial;sans-serif"/>
                <w:b/>
                <w:caps w:val="false"/>
                <w:smallCaps w:val="false"/>
                <w:sz w:val="20"/>
              </w:rPr>
            </w:pPr>
            <w:r>
              <w:rPr>
                <w:rFonts w:ascii="Calibri;Arial;sans-serif" w:hAnsi="Calibri;Arial;sans-serif"/>
                <w:b/>
                <w:caps w:val="false"/>
                <w:smallCaps w:val="false"/>
                <w:sz w:val="20"/>
              </w:rPr>
              <w:t>LIABILITIES, REDEEMABLE CONVERTIBLE PREFERRED STOCK AND EQUITY</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Accounts payable, trade</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4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8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125</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Short-term borrowings and current portion of long-term debt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Current portion of operating leases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13</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Other current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144</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283</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Long-term debt, net of current portion</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457</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Pension and other postretirement liabilities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237</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Operating leases, net of current portion</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24</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Other long-term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213</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1,214</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Commitments and Contingencies (Note 6)</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Redeemable, convertible preferred stock, no par value, $100 per share liquidation preference</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210</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Common stock, $0.01 par value</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Additional paid in capital</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1,152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1,156</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Treasury stock, at cost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(11</w:t>
            </w:r>
          </w:p>
        </w:tc>
        <w:tc>
          <w:tcPr>
            <w:tcW w:w="9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(419</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(495</w:t>
            </w:r>
          </w:p>
        </w:tc>
        <w:tc>
          <w:tcPr>
            <w:tcW w:w="9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7607"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Accumulated other comprehensive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281</w:t>
            </w:r>
          </w:p>
        </w:tc>
        <w:tc>
          <w:tcPr>
            <w:tcW w:w="99"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931</w:t>
            </w:r>
          </w:p>
        </w:tc>
        <w:tc>
          <w:tcPr>
            <w:tcW w:w="99"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0"/>
              <w:ind w:left="720" w:right="0" w:hanging="180"/>
              <w:jc w:val="left"/>
              <w:rPr>
                <w:rFonts w:ascii="Calibri;Arial;sans-serif" w:hAnsi="Calibri;Arial;sans-serif"/>
                <w:b/>
                <w:caps w:val="false"/>
                <w:smallCaps w:val="false"/>
                <w:sz w:val="20"/>
              </w:rPr>
            </w:pPr>
            <w:r>
              <w:rPr>
                <w:rFonts w:ascii="Calibri;Arial;sans-serif" w:hAnsi="Calibri;Arial;sans-serif"/>
                <w:b/>
                <w:caps w:val="false"/>
                <w:smallCaps w:val="false"/>
                <w:sz w:val="20"/>
              </w:rPr>
              <w:t>TOTAL LIABILITIES, REDEEMABLE CONVERTIBLE PREFERRED STOCK AND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b/>
                <w:sz w:val="20"/>
              </w:rPr>
            </w:pPr>
            <w:r>
              <w:rPr>
                <w:rFonts w:ascii="Calibri;Arial;sans-serif" w:hAnsi="Calibri;Arial;sans-serif"/>
                <w:b/>
                <w:sz w:val="20"/>
              </w:rPr>
              <w:t>2,388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b/>
                <w:sz w:val="20"/>
              </w:rPr>
            </w:pPr>
            <w:r>
              <w:rPr>
                <w:rFonts w:ascii="Calibri;Arial;sans-serif" w:hAnsi="Calibri;Arial;sans-serif"/>
                <w:b/>
                <w:sz w:val="20"/>
              </w:rPr>
              <w:t>2,355</w:t>
            </w:r>
          </w:p>
        </w:tc>
        <w:tc>
          <w:tcPr>
            <w:tcW w:w="9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bookmarkStart w:id="8" w:name="cashflows"/>
      <w:bookmarkEnd w:id="8"/>
      <w:r>
        <w:rPr>
          <w:rFonts w:ascii="Calibri;Arial;sans-serif" w:hAnsi="Calibri;Arial;sans-serif"/>
          <w:b/>
          <w:caps w:val="false"/>
          <w:smallCaps w:val="false"/>
          <w:sz w:val="20"/>
        </w:rPr>
        <w:t>EASTMAN KODAK COMPANY</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CONSOLIDATED STATEMENT OF CASH FLOWS (Unaudited)</w:t>
      </w:r>
    </w:p>
    <w:p>
      <w:pPr>
        <w:pStyle w:val="TextBody"/>
        <w:bidi w:val="0"/>
        <w:spacing w:before="0" w:after="0"/>
        <w:ind w:left="0" w:right="0" w:hanging="0"/>
        <w:jc w:val="left"/>
        <w:rPr>
          <w:caps w:val="false"/>
          <w:smallCaps w:val="false"/>
        </w:rPr>
      </w:pPr>
      <w:r>
        <w:rPr>
          <w:caps w:val="false"/>
          <w:smallCaps w:val="false"/>
        </w:rPr>
        <w:t> </w:t>
      </w:r>
    </w:p>
    <w:tbl>
      <w:tblPr>
        <w:tblW w:w="8726" w:type="dxa"/>
        <w:jc w:val="left"/>
        <w:tblInd w:w="0" w:type="dxa"/>
        <w:tblLayout w:type="fixed"/>
        <w:tblCellMar>
          <w:top w:w="0" w:type="dxa"/>
          <w:left w:w="0" w:type="dxa"/>
          <w:bottom w:w="0" w:type="dxa"/>
          <w:right w:w="0" w:type="dxa"/>
        </w:tblCellMar>
      </w:tblPr>
      <w:tblGrid>
        <w:gridCol w:w="6965"/>
        <w:gridCol w:w="60"/>
        <w:gridCol w:w="170"/>
        <w:gridCol w:w="538"/>
        <w:gridCol w:w="109"/>
        <w:gridCol w:w="81"/>
        <w:gridCol w:w="170"/>
        <w:gridCol w:w="538"/>
        <w:gridCol w:w="95"/>
      </w:tblGrid>
      <w:tr>
        <w:trPr/>
        <w:tc>
          <w:tcPr>
            <w:tcW w:w="6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6" w:type="dxa"/>
            <w:gridSpan w:val="6"/>
            <w:tcBorders/>
            <w:shd w:fill="FFFFFF" w:val="clear"/>
            <w:vAlign w:val="center"/>
          </w:tcPr>
          <w:p>
            <w:pPr>
              <w:pStyle w:val="TableContents"/>
              <w:bidi w:val="0"/>
              <w:spacing w:before="0" w:after="283"/>
              <w:jc w:val="center"/>
              <w:rPr/>
            </w:pPr>
            <w:r>
              <w:rPr>
                <w:rStyle w:val="Emphasis"/>
                <w:rFonts w:ascii="Calibri;Arial;sans-serif" w:hAnsi="Calibri;Arial;sans-serif"/>
                <w:b/>
                <w:sz w:val="20"/>
              </w:rPr>
              <w:t>Nine Months Ended</w:t>
            </w:r>
          </w:p>
        </w:tc>
        <w:tc>
          <w:tcPr>
            <w:tcW w:w="95" w:type="dxa"/>
            <w:tcBorders/>
            <w:shd w:fill="FFFF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6" w:type="dxa"/>
            <w:gridSpan w:val="6"/>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Calibri;Arial;sans-serif" w:hAnsi="Calibri;Arial;sans-serif"/>
                <w:b/>
                <w:sz w:val="20"/>
              </w:rPr>
              <w:t>September 30,</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696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08"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Calibri;Arial;sans-serif" w:hAnsi="Calibri;Arial;sans-serif"/>
                <w:b/>
                <w:sz w:val="20"/>
              </w:rPr>
              <w:t>2024</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708"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Calibri;Arial;sans-serif" w:hAnsi="Calibri;Arial;sans-serif"/>
                <w:b/>
                <w:sz w:val="20"/>
              </w:rPr>
              <w:t>2023</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696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69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3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76</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3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70</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696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Adjustments to reconcile to 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21</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23</w:t>
            </w:r>
          </w:p>
        </w:tc>
        <w:tc>
          <w:tcPr>
            <w:tcW w:w="95" w:type="dxa"/>
            <w:tcBorders/>
            <w:shd w:fill="FFFFFF" w:val="clear"/>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Pension and postretirement income</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(111</w:t>
            </w:r>
          </w:p>
        </w:tc>
        <w:tc>
          <w:tcPr>
            <w:tcW w:w="10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(109</w:t>
            </w:r>
          </w:p>
        </w:tc>
        <w:tc>
          <w:tcPr>
            <w:tcW w:w="9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6965"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Change in fair value of the Preferred Stock and Convertible Notes embedded derivatives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95" w:type="dxa"/>
            <w:tcBorders/>
            <w:shd w:fill="FFFFFF" w:val="clear"/>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Non-cash changes in workers' compensation and employee benefit reserves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1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w:t>
            </w:r>
          </w:p>
        </w:tc>
        <w:tc>
          <w:tcPr>
            <w:tcW w:w="9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6965"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Stock based compensation</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95" w:type="dxa"/>
            <w:tcBorders/>
            <w:shd w:fill="FFFFFF" w:val="clear"/>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Net gain from sale of assets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(17</w:t>
            </w:r>
          </w:p>
        </w:tc>
        <w:tc>
          <w:tcPr>
            <w:tcW w:w="10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9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6965"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27</w:t>
            </w:r>
          </w:p>
        </w:tc>
        <w:tc>
          <w:tcPr>
            <w:tcW w:w="95" w:type="dxa"/>
            <w:tcBorders/>
            <w:shd w:fill="FFFFFF" w:val="clear"/>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Decrease (increase) in trade receivables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52</w:t>
            </w:r>
          </w:p>
        </w:tc>
        <w:tc>
          <w:tcPr>
            <w:tcW w:w="1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(16</w:t>
            </w:r>
          </w:p>
        </w:tc>
        <w:tc>
          <w:tcPr>
            <w:tcW w:w="9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6965"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(Increase) decrease in miscellaneous receivables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10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10</w:t>
            </w:r>
          </w:p>
        </w:tc>
        <w:tc>
          <w:tcPr>
            <w:tcW w:w="95" w:type="dxa"/>
            <w:tcBorders/>
            <w:shd w:fill="FFFFFF" w:val="clear"/>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Increase in inventories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(25</w:t>
            </w:r>
          </w:p>
        </w:tc>
        <w:tc>
          <w:tcPr>
            <w:tcW w:w="10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w:t>
            </w:r>
          </w:p>
        </w:tc>
        <w:tc>
          <w:tcPr>
            <w:tcW w:w="9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6965"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Decrease in trade payables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10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(15</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6965" w:type="dxa"/>
            <w:tcBorders/>
            <w:shd w:fill="CCEE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(Decrease) increase in liabilities excluding borrowings and trade payables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(39</w:t>
            </w:r>
          </w:p>
        </w:tc>
        <w:tc>
          <w:tcPr>
            <w:tcW w:w="10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23</w:t>
            </w:r>
          </w:p>
        </w:tc>
        <w:tc>
          <w:tcPr>
            <w:tcW w:w="95"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Other items, net</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38"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33</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38"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8</w:t>
            </w:r>
          </w:p>
        </w:tc>
        <w:tc>
          <w:tcPr>
            <w:tcW w:w="95" w:type="dxa"/>
            <w:tcBorders/>
            <w:shd w:fill="FFFFFF" w:val="clear"/>
            <w:vAlign w:val="center"/>
          </w:tcPr>
          <w:p>
            <w:pPr>
              <w:pStyle w:val="TableContents"/>
              <w:bidi w:val="0"/>
              <w:spacing w:before="0" w:after="283"/>
              <w:ind w:left="720" w:right="0" w:hanging="0"/>
              <w:jc w:val="left"/>
              <w:rPr/>
            </w:pPr>
            <w:r>
              <w:rPr/>
              <w:t> </w:t>
            </w:r>
          </w:p>
        </w:tc>
      </w:tr>
      <w:tr>
        <w:trPr/>
        <w:tc>
          <w:tcPr>
            <w:tcW w:w="6965" w:type="dxa"/>
            <w:tcBorders/>
            <w:shd w:fill="CCEEFF" w:val="clear"/>
            <w:vAlign w:val="center"/>
          </w:tcPr>
          <w:p>
            <w:pPr>
              <w:pStyle w:val="TableContents"/>
              <w:bidi w:val="0"/>
              <w:spacing w:before="0" w:after="0"/>
              <w:ind w:left="14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adjustments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(87</w:t>
            </w:r>
          </w:p>
        </w:tc>
        <w:tc>
          <w:tcPr>
            <w:tcW w:w="10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(49</w:t>
            </w:r>
          </w:p>
        </w:tc>
        <w:tc>
          <w:tcPr>
            <w:tcW w:w="95" w:type="dxa"/>
            <w:tcBorders/>
            <w:shd w:fill="CCEEFF" w:val="clear"/>
            <w:vAlign w:val="center"/>
          </w:tcPr>
          <w:p>
            <w:pPr>
              <w:pStyle w:val="TableContents"/>
              <w:bidi w:val="0"/>
              <w:spacing w:before="0" w:after="283"/>
              <w:ind w:left="720" w:right="0" w:hanging="0"/>
              <w:jc w:val="left"/>
              <w:rPr>
                <w:rFonts w:ascii="Calibri;Arial;sans-serif" w:hAnsi="Calibri;Arial;sans-serif"/>
                <w:sz w:val="20"/>
              </w:rPr>
            </w:pPr>
            <w:r>
              <w:rPr>
                <w:rFonts w:ascii="Calibri;Arial;sans-serif" w:hAnsi="Calibri;Arial;sans-serif"/>
                <w:sz w:val="20"/>
              </w:rPr>
              <w:t>)</w:t>
            </w:r>
          </w:p>
        </w:tc>
      </w:tr>
      <w:tr>
        <w:trPr/>
        <w:tc>
          <w:tcPr>
            <w:tcW w:w="6965" w:type="dxa"/>
            <w:tcBorders/>
            <w:shd w:fill="FFFFFF" w:val="clear"/>
            <w:vAlign w:val="center"/>
          </w:tcPr>
          <w:p>
            <w:pPr>
              <w:pStyle w:val="TableContents"/>
              <w:bidi w:val="0"/>
              <w:spacing w:before="0" w:after="0"/>
              <w:ind w:left="14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(used in) provided by operating activities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10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696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Additions to properties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(39</w:t>
            </w:r>
          </w:p>
        </w:tc>
        <w:tc>
          <w:tcPr>
            <w:tcW w:w="10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(15</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6965" w:type="dxa"/>
            <w:tcBorders/>
            <w:shd w:fill="CCEE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Proceeds from sale of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8"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17</w:t>
            </w:r>
          </w:p>
        </w:tc>
        <w:tc>
          <w:tcPr>
            <w:tcW w:w="1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8"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ind w:left="720" w:right="0" w:hanging="0"/>
              <w:jc w:val="left"/>
              <w:rPr/>
            </w:pPr>
            <w:r>
              <w:rPr/>
              <w:t> </w:t>
            </w:r>
          </w:p>
        </w:tc>
      </w:tr>
      <w:tr>
        <w:trPr/>
        <w:tc>
          <w:tcPr>
            <w:tcW w:w="6965" w:type="dxa"/>
            <w:tcBorders/>
            <w:shd w:fill="FFFFFF" w:val="clear"/>
            <w:vAlign w:val="center"/>
          </w:tcPr>
          <w:p>
            <w:pPr>
              <w:pStyle w:val="TableContents"/>
              <w:bidi w:val="0"/>
              <w:spacing w:before="0" w:after="0"/>
              <w:ind w:left="14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w:t>
            </w:r>
          </w:p>
        </w:tc>
        <w:tc>
          <w:tcPr>
            <w:tcW w:w="10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9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r>
      <w:tr>
        <w:trPr/>
        <w:tc>
          <w:tcPr>
            <w:tcW w:w="696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Net proceeds from Amended and Restated Term Loan Agreement</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538" w:type="dxa"/>
            <w:tcBorders/>
            <w:shd w:fill="FFFFFF" w:val="clear"/>
            <w:vAlign w:val="center"/>
          </w:tcPr>
          <w:p>
            <w:pPr>
              <w:pStyle w:val="TableContents"/>
              <w:bidi w:val="0"/>
              <w:spacing w:before="0" w:after="0"/>
              <w:jc w:val="right"/>
              <w:rPr/>
            </w:pPr>
            <w:r>
              <w:rPr/>
              <w:t>—</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538" w:type="dxa"/>
            <w:tcBorders/>
            <w:shd w:fill="FFFFFF" w:val="cle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435</w:t>
            </w:r>
          </w:p>
        </w:tc>
        <w:tc>
          <w:tcPr>
            <w:tcW w:w="95" w:type="dxa"/>
            <w:tcBorders/>
            <w:shd w:fill="FFFFFF" w:val="clear"/>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Repayment of Original Term Loan Credit Agreement</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538" w:type="dxa"/>
            <w:tcBorders/>
            <w:shd w:fill="CCEEFF" w:val="clear"/>
            <w:vAlign w:val="center"/>
          </w:tcPr>
          <w:p>
            <w:pPr>
              <w:pStyle w:val="TableContents"/>
              <w:bidi w:val="0"/>
              <w:spacing w:before="0" w:after="0"/>
              <w:jc w:val="right"/>
              <w:rPr/>
            </w:pPr>
            <w:r>
              <w:rPr/>
              <w:t>—</w:t>
            </w:r>
          </w:p>
        </w:tc>
        <w:tc>
          <w:tcPr>
            <w:tcW w:w="1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538" w:type="dxa"/>
            <w:tcBorders/>
            <w:shd w:fill="CCEEFF" w:val="cle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(316</w:t>
            </w:r>
          </w:p>
        </w:tc>
        <w:tc>
          <w:tcPr>
            <w:tcW w:w="9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6965"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Repayment of Convertible Notes</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538" w:type="dxa"/>
            <w:tcBorders/>
            <w:shd w:fill="FFFFFF" w:val="clear"/>
            <w:vAlign w:val="center"/>
          </w:tcPr>
          <w:p>
            <w:pPr>
              <w:pStyle w:val="TableContents"/>
              <w:bidi w:val="0"/>
              <w:spacing w:before="0" w:after="0"/>
              <w:jc w:val="right"/>
              <w:rPr/>
            </w:pPr>
            <w:r>
              <w:rPr/>
              <w:t>—</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538" w:type="dxa"/>
            <w:tcBorders/>
            <w:shd w:fill="FFFFFF" w:val="cle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(28</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6965" w:type="dxa"/>
            <w:tcBorders/>
            <w:shd w:fill="CCEE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Other debt acquisition costs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9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r>
      <w:tr>
        <w:trPr/>
        <w:tc>
          <w:tcPr>
            <w:tcW w:w="696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Repayment of Amended and Restated Term Loan Agreement</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538" w:type="dxa"/>
            <w:tcBorders/>
            <w:shd w:fill="FFFF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(17</w:t>
            </w:r>
          </w:p>
        </w:tc>
        <w:tc>
          <w:tcPr>
            <w:tcW w:w="109"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538" w:type="dxa"/>
            <w:tcBorders/>
            <w:shd w:fill="FFFFFF" w:val="clear"/>
            <w:vAlign w:val="center"/>
          </w:tcPr>
          <w:p>
            <w:pPr>
              <w:pStyle w:val="TableContents"/>
              <w:bidi w:val="0"/>
              <w:spacing w:before="0" w:after="0"/>
              <w:ind w:left="0" w:right="0" w:hanging="0"/>
              <w:jc w:val="right"/>
              <w:rPr/>
            </w:pPr>
            <w:r>
              <w:rPr/>
              <w:t>—</w:t>
            </w:r>
          </w:p>
        </w:tc>
        <w:tc>
          <w:tcPr>
            <w:tcW w:w="95" w:type="dxa"/>
            <w:tcBorders/>
            <w:shd w:fill="FFFFFF" w:val="clear"/>
            <w:vAlign w:val="center"/>
          </w:tcPr>
          <w:p>
            <w:pPr>
              <w:pStyle w:val="TableContents"/>
              <w:bidi w:val="0"/>
              <w:spacing w:before="0" w:after="0"/>
              <w:ind w:left="360" w:right="0" w:hanging="0"/>
              <w:jc w:val="left"/>
              <w:rPr/>
            </w:pPr>
            <w:r>
              <w:rPr/>
              <w:t> </w:t>
            </w:r>
          </w:p>
        </w:tc>
      </w:tr>
      <w:tr>
        <w:trPr/>
        <w:tc>
          <w:tcPr>
            <w:tcW w:w="6965" w:type="dxa"/>
            <w:tcBorders/>
            <w:shd w:fill="CCEEFF" w:val="clear"/>
            <w:vAlign w:val="center"/>
          </w:tcPr>
          <w:p>
            <w:pPr>
              <w:pStyle w:val="TableContents"/>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Preferred stock cash dividend payments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53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0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53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9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6965"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Treasury stock purchases</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38"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10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1" w:type="dxa"/>
            <w:tcBorders/>
            <w:shd w:fill="FFFF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38"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ind w:left="720" w:right="0" w:hanging="0"/>
              <w:jc w:val="left"/>
              <w:rPr/>
            </w:pPr>
            <w:r>
              <w:rPr/>
              <w:t> </w:t>
            </w:r>
          </w:p>
        </w:tc>
      </w:tr>
      <w:tr>
        <w:trPr/>
        <w:tc>
          <w:tcPr>
            <w:tcW w:w="6965" w:type="dxa"/>
            <w:tcBorders/>
            <w:shd w:fill="CCEEFF" w:val="clear"/>
            <w:vAlign w:val="center"/>
          </w:tcPr>
          <w:p>
            <w:pPr>
              <w:pStyle w:val="TableContents"/>
              <w:bidi w:val="0"/>
              <w:spacing w:before="0" w:after="0"/>
              <w:ind w:left="14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w:t>
            </w:r>
          </w:p>
        </w:tc>
        <w:tc>
          <w:tcPr>
            <w:tcW w:w="10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87</w:t>
            </w:r>
          </w:p>
        </w:tc>
        <w:tc>
          <w:tcPr>
            <w:tcW w:w="95"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Effect of exchange rate changes on cash, cash equivalents and restricted cash</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38"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10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1" w:type="dxa"/>
            <w:tcBorders/>
            <w:shd w:fill="FFFF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38"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(5</w:t>
            </w:r>
          </w:p>
        </w:tc>
        <w:tc>
          <w:tcPr>
            <w:tcW w:w="9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r>
      <w:tr>
        <w:trPr/>
        <w:tc>
          <w:tcPr>
            <w:tcW w:w="696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(decrease) increase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53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(55</w:t>
            </w:r>
          </w:p>
        </w:tc>
        <w:tc>
          <w:tcPr>
            <w:tcW w:w="10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53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88</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696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Cash, cash equivalents and restricted cash, beginning of period</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377</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286</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696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Cash, cash equivalents and restricted cash,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322</w:t>
            </w:r>
          </w:p>
        </w:tc>
        <w:tc>
          <w:tcPr>
            <w:tcW w:w="1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374</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accompanying notes are an integral part of these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bookmarkStart w:id="9" w:name="equity"/>
      <w:bookmarkEnd w:id="9"/>
      <w:r>
        <w:rPr>
          <w:rFonts w:ascii="Calibri;Arial;sans-serif" w:hAnsi="Calibri;Arial;sans-serif"/>
          <w:b/>
          <w:caps w:val="false"/>
          <w:smallCaps w:val="false"/>
          <w:sz w:val="20"/>
        </w:rPr>
        <w:t>EASTMAN KODAK COMPANY</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CONSOLIDATED STATEMENT OF EQUITY (DEFICIT)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8"/>
        <w:gridCol w:w="60"/>
        <w:gridCol w:w="268"/>
        <w:gridCol w:w="558"/>
        <w:gridCol w:w="61"/>
        <w:gridCol w:w="61"/>
        <w:gridCol w:w="224"/>
        <w:gridCol w:w="873"/>
        <w:gridCol w:w="81"/>
        <w:gridCol w:w="61"/>
        <w:gridCol w:w="281"/>
        <w:gridCol w:w="889"/>
        <w:gridCol w:w="81"/>
        <w:gridCol w:w="61"/>
        <w:gridCol w:w="448"/>
        <w:gridCol w:w="1206"/>
        <w:gridCol w:w="81"/>
        <w:gridCol w:w="61"/>
        <w:gridCol w:w="244"/>
        <w:gridCol w:w="567"/>
        <w:gridCol w:w="81"/>
        <w:gridCol w:w="61"/>
        <w:gridCol w:w="127"/>
        <w:gridCol w:w="342"/>
        <w:gridCol w:w="80"/>
        <w:gridCol w:w="60"/>
        <w:gridCol w:w="381"/>
        <w:gridCol w:w="1024"/>
        <w:gridCol w:w="85"/>
      </w:tblGrid>
      <w:tr>
        <w:trPr/>
        <w:tc>
          <w:tcPr>
            <w:tcW w:w="17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62" w:type="dxa"/>
            <w:gridSpan w:val="2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Nine-Month Period Ending September 30, 2024</w:t>
            </w:r>
          </w:p>
        </w:tc>
        <w:tc>
          <w:tcPr>
            <w:tcW w:w="85" w:type="dxa"/>
            <w:tcBorders/>
            <w:shd w:fill="FFFFFF" w:val="clear"/>
            <w:vAlign w:val="center"/>
          </w:tcPr>
          <w:p>
            <w:pPr>
              <w:pStyle w:val="TableContents"/>
              <w:bidi w:val="0"/>
              <w:spacing w:before="0" w:after="283"/>
              <w:jc w:val="left"/>
              <w:rPr/>
            </w:pPr>
            <w:r>
              <w:rPr/>
              <w:t> </w:t>
            </w:r>
          </w:p>
        </w:tc>
      </w:tr>
      <w:tr>
        <w:trPr/>
        <w:tc>
          <w:tcPr>
            <w:tcW w:w="17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17"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Eastman Kodak Company Common Shareholders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center"/>
              <w:rPr/>
            </w:pPr>
            <w:r>
              <w:rPr>
                <w:rStyle w:val="Emphasis"/>
              </w:rPr>
              <w:t> </w:t>
            </w:r>
          </w:p>
        </w:tc>
        <w:tc>
          <w:tcPr>
            <w:tcW w:w="85" w:type="dxa"/>
            <w:tcBorders/>
            <w:shd w:fill="FFFFFF" w:val="clear"/>
            <w:vAlign w:val="center"/>
          </w:tcPr>
          <w:p>
            <w:pPr>
              <w:pStyle w:val="TableContents"/>
              <w:bidi w:val="0"/>
              <w:spacing w:before="0" w:after="283"/>
              <w:jc w:val="left"/>
              <w:rPr/>
            </w:pPr>
            <w:r>
              <w:rPr/>
              <w:t> </w:t>
            </w:r>
          </w:p>
        </w:tc>
      </w:tr>
      <w:tr>
        <w:trPr/>
        <w:tc>
          <w:tcPr>
            <w:tcW w:w="17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Common Stock</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0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Additional Paid in Capital</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Accumulated Deficit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Accumulated Other Comprehensive Income</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Treasury Stock</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4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Redeemable Convertible Preferred Stock</w:t>
            </w:r>
          </w:p>
        </w:tc>
        <w:tc>
          <w:tcPr>
            <w:tcW w:w="85" w:type="dxa"/>
            <w:tcBorders/>
            <w:shd w:fill="FFFFFF" w:val="clear"/>
            <w:vAlign w:val="center"/>
          </w:tcPr>
          <w:p>
            <w:pPr>
              <w:pStyle w:val="TableContents"/>
              <w:bidi w:val="0"/>
              <w:spacing w:before="0" w:after="283"/>
              <w:jc w:val="left"/>
              <w:rPr/>
            </w:pPr>
            <w:r>
              <w:rPr/>
              <w:t> </w:t>
            </w:r>
          </w:p>
        </w:tc>
      </w:tr>
      <w:tr>
        <w:trPr/>
        <w:tc>
          <w:tcPr>
            <w:tcW w:w="1798"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Equity (deficit) as of December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26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8"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2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7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1,156</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8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89"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(495</w:t>
            </w:r>
          </w:p>
        </w:tc>
        <w:tc>
          <w:tcPr>
            <w:tcW w:w="8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44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20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281</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6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8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2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210</w:t>
            </w:r>
          </w:p>
        </w:tc>
        <w:tc>
          <w:tcPr>
            <w:tcW w:w="85" w:type="dxa"/>
            <w:tcBorders/>
            <w:shd w:fill="CCEEFF" w:val="clear"/>
            <w:vAlign w:val="center"/>
          </w:tcPr>
          <w:p>
            <w:pPr>
              <w:pStyle w:val="TableContents"/>
              <w:bidi w:val="0"/>
              <w:spacing w:before="0" w:after="283"/>
              <w:jc w:val="left"/>
              <w:rPr/>
            </w:pPr>
            <w:r>
              <w:rPr/>
              <w:t> </w:t>
            </w:r>
          </w:p>
        </w:tc>
      </w:tr>
      <w:tr>
        <w:trPr/>
        <w:tc>
          <w:tcPr>
            <w:tcW w:w="1798"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earnings</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ind w:left="0" w:right="0" w:hanging="0"/>
              <w:jc w:val="left"/>
              <w:rPr/>
            </w:pPr>
            <w:r>
              <w:rPr/>
              <w:t> </w:t>
            </w:r>
          </w:p>
        </w:tc>
        <w:tc>
          <w:tcPr>
            <w:tcW w:w="873"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889"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32</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ind w:left="0" w:right="0" w:hanging="0"/>
              <w:jc w:val="left"/>
              <w:rPr/>
            </w:pPr>
            <w:r>
              <w:rPr/>
              <w:t> </w:t>
            </w:r>
          </w:p>
        </w:tc>
        <w:tc>
          <w:tcPr>
            <w:tcW w:w="1206"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567"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34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1798"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comprehensive loss (net of tax):</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1798"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Currency translation adjustments</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ind w:left="0" w:right="0" w:hanging="0"/>
              <w:jc w:val="left"/>
              <w:rPr/>
            </w:pPr>
            <w:r>
              <w:rPr/>
              <w:t> </w:t>
            </w:r>
          </w:p>
        </w:tc>
        <w:tc>
          <w:tcPr>
            <w:tcW w:w="873"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889"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ind w:left="0" w:right="0" w:hanging="0"/>
              <w:jc w:val="left"/>
              <w:rPr/>
            </w:pPr>
            <w:r>
              <w:rPr/>
              <w:t> </w:t>
            </w:r>
          </w:p>
        </w:tc>
        <w:tc>
          <w:tcPr>
            <w:tcW w:w="120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8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567"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34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1798" w:type="dxa"/>
            <w:tcBorders/>
            <w:shd w:fill="CCEEFF" w:val="clear"/>
            <w:vAlign w:val="center"/>
          </w:tcPr>
          <w:p>
            <w:pPr>
              <w:pStyle w:val="TableContents"/>
              <w:bidi w:val="0"/>
              <w:spacing w:before="0" w:after="0"/>
              <w:ind w:left="360" w:right="0" w:hanging="0"/>
              <w:jc w:val="left"/>
              <w:rPr>
                <w:rFonts w:ascii="Calibri;Arial;sans-serif" w:hAnsi="Calibri;Arial;sans-serif"/>
                <w:sz w:val="20"/>
              </w:rPr>
            </w:pPr>
            <w:r>
              <w:rPr>
                <w:rFonts w:ascii="Calibri;Arial;sans-serif" w:hAnsi="Calibri;Arial;sans-serif"/>
                <w:sz w:val="20"/>
              </w:rPr>
              <w:t>Pension and other postretirement liability adjustments</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8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left"/>
              <w:rPr/>
            </w:pPr>
            <w:r>
              <w:rPr/>
              <w:t> </w:t>
            </w:r>
          </w:p>
        </w:tc>
      </w:tr>
      <w:tr>
        <w:trPr/>
        <w:tc>
          <w:tcPr>
            <w:tcW w:w="1798"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Preferred stock cash dividends</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ind w:left="0" w:right="0" w:hanging="0"/>
              <w:jc w:val="left"/>
              <w:rPr/>
            </w:pPr>
            <w:r>
              <w:rPr/>
              <w:t> </w:t>
            </w:r>
          </w:p>
        </w:tc>
        <w:tc>
          <w:tcPr>
            <w:tcW w:w="87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889"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ind w:left="0" w:right="0" w:hanging="0"/>
              <w:jc w:val="left"/>
              <w:rPr/>
            </w:pPr>
            <w:r>
              <w:rPr/>
              <w:t> </w:t>
            </w:r>
          </w:p>
        </w:tc>
        <w:tc>
          <w:tcPr>
            <w:tcW w:w="1206"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567"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34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1798"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Preferred stock in-kind dividends</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ind w:left="0" w:right="0" w:hanging="0"/>
              <w:jc w:val="left"/>
              <w:rPr/>
            </w:pPr>
            <w:r>
              <w:rPr/>
              <w:t> </w:t>
            </w:r>
          </w:p>
        </w:tc>
        <w:tc>
          <w:tcPr>
            <w:tcW w:w="87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ind w:left="0" w:right="0" w:hanging="0"/>
              <w:jc w:val="left"/>
              <w:rPr/>
            </w:pPr>
            <w:r>
              <w:rPr/>
              <w:t> </w:t>
            </w:r>
          </w:p>
        </w:tc>
        <w:tc>
          <w:tcPr>
            <w:tcW w:w="889"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ind w:left="0" w:right="0" w:hanging="0"/>
              <w:jc w:val="left"/>
              <w:rPr/>
            </w:pPr>
            <w:r>
              <w:rPr/>
              <w:t> </w:t>
            </w:r>
          </w:p>
        </w:tc>
        <w:tc>
          <w:tcPr>
            <w:tcW w:w="1206"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567"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34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ind w:left="0" w:right="0" w:hanging="0"/>
              <w:jc w:val="left"/>
              <w:rPr/>
            </w:pPr>
            <w:r>
              <w:rPr/>
              <w:t> </w:t>
            </w:r>
          </w:p>
        </w:tc>
        <w:tc>
          <w:tcPr>
            <w:tcW w:w="102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5" w:type="dxa"/>
            <w:tcBorders/>
            <w:shd w:fill="CCEEFF" w:val="clear"/>
            <w:vAlign w:val="center"/>
          </w:tcPr>
          <w:p>
            <w:pPr>
              <w:pStyle w:val="TableContents"/>
              <w:bidi w:val="0"/>
              <w:spacing w:before="0" w:after="283"/>
              <w:jc w:val="left"/>
              <w:rPr/>
            </w:pPr>
            <w:r>
              <w:rPr/>
              <w:t> </w:t>
            </w:r>
          </w:p>
        </w:tc>
      </w:tr>
      <w:tr>
        <w:trPr/>
        <w:tc>
          <w:tcPr>
            <w:tcW w:w="1798"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Preferred stock deemed dividends</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ind w:left="0" w:right="0" w:hanging="0"/>
              <w:jc w:val="left"/>
              <w:rPr/>
            </w:pPr>
            <w:r>
              <w:rPr/>
              <w:t> </w:t>
            </w:r>
          </w:p>
        </w:tc>
        <w:tc>
          <w:tcPr>
            <w:tcW w:w="87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889"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ind w:left="0" w:right="0" w:hanging="0"/>
              <w:jc w:val="left"/>
              <w:rPr/>
            </w:pPr>
            <w:r>
              <w:rPr/>
              <w:t> </w:t>
            </w:r>
          </w:p>
        </w:tc>
        <w:tc>
          <w:tcPr>
            <w:tcW w:w="1206"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567"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34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5" w:type="dxa"/>
            <w:tcBorders/>
            <w:shd w:fill="FFFFFF" w:val="clear"/>
            <w:vAlign w:val="center"/>
          </w:tcPr>
          <w:p>
            <w:pPr>
              <w:pStyle w:val="TableContents"/>
              <w:bidi w:val="0"/>
              <w:spacing w:before="0" w:after="283"/>
              <w:jc w:val="left"/>
              <w:rPr/>
            </w:pPr>
            <w:r>
              <w:rPr/>
              <w:t> </w:t>
            </w:r>
          </w:p>
        </w:tc>
      </w:tr>
      <w:tr>
        <w:trPr/>
        <w:tc>
          <w:tcPr>
            <w:tcW w:w="1798"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5" w:type="dxa"/>
            <w:tcBorders/>
            <w:shd w:fill="CCEEFF" w:val="clear"/>
            <w:vAlign w:val="center"/>
          </w:tcPr>
          <w:p>
            <w:pPr>
              <w:pStyle w:val="TableContents"/>
              <w:bidi w:val="0"/>
              <w:spacing w:before="0" w:after="283"/>
              <w:jc w:val="left"/>
              <w:rPr/>
            </w:pPr>
            <w:r>
              <w:rPr/>
              <w:t> </w:t>
            </w:r>
          </w:p>
        </w:tc>
      </w:tr>
      <w:tr>
        <w:trPr/>
        <w:tc>
          <w:tcPr>
            <w:tcW w:w="1798"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Equity (deficit) as of March 31, 2024</w:t>
            </w:r>
          </w:p>
        </w:tc>
        <w:tc>
          <w:tcPr>
            <w:tcW w:w="60" w:type="dxa"/>
            <w:tcBorders/>
            <w:shd w:fill="FFFFFF" w:val="clear"/>
            <w:vAlign w:val="center"/>
          </w:tcPr>
          <w:p>
            <w:pPr>
              <w:pStyle w:val="TableContents"/>
              <w:bidi w:val="0"/>
              <w:spacing w:before="0" w:after="283"/>
              <w:ind w:left="0" w:right="0" w:hanging="0"/>
              <w:jc w:val="left"/>
              <w:rPr/>
            </w:pPr>
            <w:r>
              <w:rPr/>
              <w:t> </w:t>
            </w:r>
          </w:p>
        </w:tc>
        <w:tc>
          <w:tcPr>
            <w:tcW w:w="2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1,156</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(463</w:t>
            </w:r>
          </w:p>
        </w:tc>
        <w:tc>
          <w:tcPr>
            <w:tcW w:w="8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FFFFFF" w:val="clear"/>
            <w:vAlign w:val="center"/>
          </w:tcPr>
          <w:p>
            <w:pPr>
              <w:pStyle w:val="TableContents"/>
              <w:bidi w:val="0"/>
              <w:spacing w:before="0" w:after="283"/>
              <w:ind w:left="0" w:right="0" w:hanging="0"/>
              <w:jc w:val="left"/>
              <w:rPr/>
            </w:pPr>
            <w:r>
              <w:rPr/>
              <w:t> </w:t>
            </w:r>
          </w:p>
        </w:tc>
        <w:tc>
          <w:tcPr>
            <w:tcW w:w="4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269</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8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212</w:t>
            </w:r>
          </w:p>
        </w:tc>
        <w:tc>
          <w:tcPr>
            <w:tcW w:w="85" w:type="dxa"/>
            <w:tcBorders/>
            <w:shd w:fill="FFFFFF" w:val="clear"/>
            <w:vAlign w:val="center"/>
          </w:tcPr>
          <w:p>
            <w:pPr>
              <w:pStyle w:val="TableContents"/>
              <w:bidi w:val="0"/>
              <w:spacing w:before="0" w:after="283"/>
              <w:jc w:val="left"/>
              <w:rPr/>
            </w:pPr>
            <w:r>
              <w:rPr/>
              <w:t> </w:t>
            </w:r>
          </w:p>
        </w:tc>
      </w:tr>
      <w:tr>
        <w:trPr/>
        <w:tc>
          <w:tcPr>
            <w:tcW w:w="1798"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Net earnings</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26</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left"/>
              <w:rPr/>
            </w:pPr>
            <w:r>
              <w:rPr/>
              <w:t> </w:t>
            </w:r>
          </w:p>
        </w:tc>
      </w:tr>
      <w:tr>
        <w:trPr/>
        <w:tc>
          <w:tcPr>
            <w:tcW w:w="1798"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Other comprehensive loss (net of tax):</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1798" w:type="dxa"/>
            <w:tcBorders/>
            <w:shd w:fill="CCEEFF" w:val="clear"/>
            <w:vAlign w:val="center"/>
          </w:tcPr>
          <w:p>
            <w:pPr>
              <w:pStyle w:val="TableContents"/>
              <w:bidi w:val="0"/>
              <w:spacing w:before="0" w:after="0"/>
              <w:ind w:left="360" w:right="0" w:hanging="0"/>
              <w:jc w:val="left"/>
              <w:rPr>
                <w:rFonts w:ascii="Calibri;Arial;sans-serif" w:hAnsi="Calibri;Arial;sans-serif"/>
                <w:sz w:val="20"/>
              </w:rPr>
            </w:pPr>
            <w:r>
              <w:rPr>
                <w:rFonts w:ascii="Calibri;Arial;sans-serif" w:hAnsi="Calibri;Arial;sans-serif"/>
                <w:sz w:val="20"/>
              </w:rPr>
              <w:t>Currency translation adjustments</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8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left"/>
              <w:rPr/>
            </w:pPr>
            <w:r>
              <w:rPr/>
              <w:t> </w:t>
            </w:r>
          </w:p>
        </w:tc>
      </w:tr>
      <w:tr>
        <w:trPr/>
        <w:tc>
          <w:tcPr>
            <w:tcW w:w="1798" w:type="dxa"/>
            <w:tcBorders/>
            <w:shd w:fill="FFFFFF" w:val="clear"/>
            <w:vAlign w:val="center"/>
          </w:tcPr>
          <w:p>
            <w:pPr>
              <w:pStyle w:val="TableContents"/>
              <w:bidi w:val="0"/>
              <w:spacing w:before="0" w:after="0"/>
              <w:ind w:left="360" w:right="0" w:hanging="0"/>
              <w:jc w:val="left"/>
              <w:rPr>
                <w:rFonts w:ascii="Calibri;Arial;sans-serif" w:hAnsi="Calibri;Arial;sans-serif"/>
                <w:sz w:val="20"/>
              </w:rPr>
            </w:pPr>
            <w:r>
              <w:rPr>
                <w:rFonts w:ascii="Calibri;Arial;sans-serif" w:hAnsi="Calibri;Arial;sans-serif"/>
                <w:sz w:val="20"/>
              </w:rPr>
              <w:t>Pension and other postretirement liability adjustments</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w:t>
            </w:r>
          </w:p>
        </w:tc>
        <w:tc>
          <w:tcPr>
            <w:tcW w:w="8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1798"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Preferred stock cash dividends</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left"/>
              <w:rPr/>
            </w:pPr>
            <w:r>
              <w:rPr/>
              <w:t> </w:t>
            </w:r>
          </w:p>
        </w:tc>
      </w:tr>
      <w:tr>
        <w:trPr/>
        <w:tc>
          <w:tcPr>
            <w:tcW w:w="1798"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Preferred stock in-kind dividends</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8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85" w:type="dxa"/>
            <w:tcBorders/>
            <w:shd w:fill="FFFFFF" w:val="clear"/>
            <w:vAlign w:val="center"/>
          </w:tcPr>
          <w:p>
            <w:pPr>
              <w:pStyle w:val="TableContents"/>
              <w:bidi w:val="0"/>
              <w:spacing w:before="0" w:after="283"/>
              <w:ind w:left="0" w:right="0" w:hanging="0"/>
              <w:jc w:val="left"/>
              <w:rPr/>
            </w:pPr>
            <w:r>
              <w:rPr/>
              <w:t> </w:t>
            </w:r>
          </w:p>
        </w:tc>
      </w:tr>
      <w:tr>
        <w:trPr/>
        <w:tc>
          <w:tcPr>
            <w:tcW w:w="1798"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Stock-based compensation</w:t>
            </w:r>
          </w:p>
        </w:tc>
        <w:tc>
          <w:tcPr>
            <w:tcW w:w="60" w:type="dxa"/>
            <w:tcBorders/>
            <w:shd w:fill="CCEEFF" w:val="clear"/>
            <w:vAlign w:val="center"/>
          </w:tcPr>
          <w:p>
            <w:pPr>
              <w:pStyle w:val="TableContents"/>
              <w:bidi w:val="0"/>
              <w:spacing w:before="0" w:after="0"/>
              <w:ind w:left="0" w:right="0" w:hanging="0"/>
              <w:jc w:val="left"/>
              <w:rPr/>
            </w:pPr>
            <w:r>
              <w:rPr/>
              <w:t> </w:t>
            </w:r>
          </w:p>
        </w:tc>
        <w:tc>
          <w:tcPr>
            <w:tcW w:w="268" w:type="dxa"/>
            <w:tcBorders/>
            <w:shd w:fill="CCEEFF" w:val="clear"/>
            <w:vAlign w:val="center"/>
          </w:tcPr>
          <w:p>
            <w:pPr>
              <w:pStyle w:val="TableContents"/>
              <w:bidi w:val="0"/>
              <w:spacing w:before="0" w:after="0"/>
              <w:ind w:left="0" w:right="0" w:hanging="0"/>
              <w:jc w:val="left"/>
              <w:rPr/>
            </w:pPr>
            <w:r>
              <w:rPr/>
              <w:t> </w:t>
            </w:r>
          </w:p>
        </w:tc>
        <w:tc>
          <w:tcPr>
            <w:tcW w:w="558" w:type="dxa"/>
            <w:tcBorders/>
            <w:shd w:fill="CCEEFF" w:val="clear"/>
            <w:vAlign w:val="center"/>
          </w:tcPr>
          <w:p>
            <w:pPr>
              <w:pStyle w:val="TableContents"/>
              <w:bidi w:val="0"/>
              <w:spacing w:before="0" w:after="0"/>
              <w:ind w:left="0" w:right="0" w:hanging="0"/>
              <w:jc w:val="right"/>
              <w:rPr/>
            </w:pPr>
            <w:r>
              <w:rPr/>
              <w:t>—</w:t>
            </w:r>
          </w:p>
        </w:tc>
        <w:tc>
          <w:tcPr>
            <w:tcW w:w="6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81" w:type="dxa"/>
            <w:tcBorders/>
            <w:shd w:fill="CCEEFF" w:val="clear"/>
            <w:vAlign w:val="center"/>
          </w:tcPr>
          <w:p>
            <w:pPr>
              <w:pStyle w:val="TableContents"/>
              <w:bidi w:val="0"/>
              <w:spacing w:before="0" w:after="0"/>
              <w:ind w:left="0" w:right="0" w:hanging="0"/>
              <w:jc w:val="left"/>
              <w:rPr/>
            </w:pPr>
            <w:r>
              <w:rPr/>
              <w:t> </w:t>
            </w:r>
          </w:p>
        </w:tc>
        <w:tc>
          <w:tcPr>
            <w:tcW w:w="889" w:type="dxa"/>
            <w:tcBorders/>
            <w:shd w:fill="CCEEFF" w:val="clear"/>
            <w:vAlign w:val="center"/>
          </w:tcPr>
          <w:p>
            <w:pPr>
              <w:pStyle w:val="TableContents"/>
              <w:bidi w:val="0"/>
              <w:spacing w:before="0" w:after="0"/>
              <w:ind w:left="0" w:right="0" w:hanging="0"/>
              <w:jc w:val="righ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left"/>
              <w:rPr/>
            </w:pPr>
            <w:r>
              <w:rPr/>
              <w:t> </w:t>
            </w:r>
          </w:p>
        </w:tc>
        <w:tc>
          <w:tcPr>
            <w:tcW w:w="1206" w:type="dxa"/>
            <w:tcBorders/>
            <w:shd w:fill="CCEEFF" w:val="clear"/>
            <w:vAlign w:val="center"/>
          </w:tcPr>
          <w:p>
            <w:pPr>
              <w:pStyle w:val="TableContents"/>
              <w:bidi w:val="0"/>
              <w:spacing w:before="0" w:after="0"/>
              <w:ind w:left="0" w:right="0" w:hanging="0"/>
              <w:jc w:val="righ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 </w:t>
            </w:r>
          </w:p>
        </w:tc>
        <w:tc>
          <w:tcPr>
            <w:tcW w:w="567" w:type="dxa"/>
            <w:tcBorders/>
            <w:shd w:fill="CCEEFF" w:val="clear"/>
            <w:vAlign w:val="center"/>
          </w:tcPr>
          <w:p>
            <w:pPr>
              <w:pStyle w:val="TableContents"/>
              <w:bidi w:val="0"/>
              <w:spacing w:before="0" w:after="0"/>
              <w:ind w:left="0" w:right="0" w:hanging="0"/>
              <w:jc w:val="righ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127" w:type="dxa"/>
            <w:tcBorders/>
            <w:shd w:fill="CCEEFF" w:val="clear"/>
            <w:vAlign w:val="center"/>
          </w:tcPr>
          <w:p>
            <w:pPr>
              <w:pStyle w:val="TableContents"/>
              <w:bidi w:val="0"/>
              <w:spacing w:before="0" w:after="0"/>
              <w:ind w:left="0" w:right="0" w:hanging="0"/>
              <w:jc w:val="left"/>
              <w:rPr/>
            </w:pPr>
            <w:r>
              <w:rPr/>
              <w:t> </w:t>
            </w:r>
          </w:p>
        </w:tc>
        <w:tc>
          <w:tcPr>
            <w:tcW w:w="342" w:type="dxa"/>
            <w:tcBorders/>
            <w:shd w:fill="CCEEFF" w:val="cle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81" w:type="dxa"/>
            <w:tcBorders/>
            <w:shd w:fill="CCEEFF" w:val="clear"/>
            <w:vAlign w:val="center"/>
          </w:tcPr>
          <w:p>
            <w:pPr>
              <w:pStyle w:val="TableContents"/>
              <w:bidi w:val="0"/>
              <w:spacing w:before="0" w:after="0"/>
              <w:ind w:left="0" w:right="0" w:hanging="0"/>
              <w:jc w:val="left"/>
              <w:rPr/>
            </w:pPr>
            <w:r>
              <w:rPr/>
              <w:t> </w:t>
            </w:r>
          </w:p>
        </w:tc>
        <w:tc>
          <w:tcPr>
            <w:tcW w:w="1024" w:type="dxa"/>
            <w:tcBorders/>
            <w:shd w:fill="CCEEFF" w:val="clear"/>
            <w:vAlign w:val="center"/>
          </w:tcPr>
          <w:p>
            <w:pPr>
              <w:pStyle w:val="TableContents"/>
              <w:bidi w:val="0"/>
              <w:spacing w:before="0" w:after="0"/>
              <w:ind w:left="0" w:right="0" w:hanging="0"/>
              <w:jc w:val="right"/>
              <w:rPr/>
            </w:pPr>
            <w:r>
              <w:rPr/>
              <w:t>—</w:t>
            </w:r>
          </w:p>
        </w:tc>
        <w:tc>
          <w:tcPr>
            <w:tcW w:w="85" w:type="dxa"/>
            <w:tcBorders/>
            <w:shd w:fill="CCEEFF" w:val="clear"/>
            <w:vAlign w:val="center"/>
          </w:tcPr>
          <w:p>
            <w:pPr>
              <w:pStyle w:val="TableContents"/>
              <w:bidi w:val="0"/>
              <w:spacing w:before="0" w:after="0"/>
              <w:jc w:val="left"/>
              <w:rPr/>
            </w:pPr>
            <w:r>
              <w:rPr/>
              <w:t> </w:t>
            </w:r>
          </w:p>
        </w:tc>
      </w:tr>
      <w:tr>
        <w:trPr/>
        <w:tc>
          <w:tcPr>
            <w:tcW w:w="1798"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Purchases of treasury stock (1)</w:t>
            </w:r>
          </w:p>
        </w:tc>
        <w:tc>
          <w:tcPr>
            <w:tcW w:w="60" w:type="dxa"/>
            <w:tcBorders/>
            <w:shd w:fill="FFFFFF" w:val="clear"/>
            <w:vAlign w:val="center"/>
          </w:tcPr>
          <w:p>
            <w:pPr>
              <w:pStyle w:val="TableContents"/>
              <w:bidi w:val="0"/>
              <w:spacing w:before="0" w:after="283"/>
              <w:ind w:left="0" w:right="0" w:hanging="0"/>
              <w:jc w:val="left"/>
              <w:rPr/>
            </w:pPr>
            <w:r>
              <w:rPr/>
              <w:t> </w:t>
            </w:r>
          </w:p>
        </w:tc>
        <w:tc>
          <w:tcPr>
            <w:tcW w:w="2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58"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2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73"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9"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06"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67"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8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FFFFFF" w:val="clear"/>
            <w:vAlign w:val="center"/>
          </w:tcPr>
          <w:p>
            <w:pPr>
              <w:pStyle w:val="TableContents"/>
              <w:bidi w:val="0"/>
              <w:spacing w:before="0" w:after="283"/>
              <w:ind w:left="0" w:right="0" w:hanging="0"/>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42"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24"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5" w:type="dxa"/>
            <w:tcBorders/>
            <w:shd w:fill="FFFFFF" w:val="clear"/>
            <w:vAlign w:val="center"/>
          </w:tcPr>
          <w:p>
            <w:pPr>
              <w:pStyle w:val="TableContents"/>
              <w:bidi w:val="0"/>
              <w:spacing w:before="0" w:after="283"/>
              <w:ind w:left="0" w:right="0" w:hanging="0"/>
              <w:jc w:val="left"/>
              <w:rPr/>
            </w:pPr>
            <w:r>
              <w:rPr/>
              <w:t> </w:t>
            </w:r>
          </w:p>
        </w:tc>
      </w:tr>
      <w:tr>
        <w:trPr/>
        <w:tc>
          <w:tcPr>
            <w:tcW w:w="1798"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Equity (deficit) as of June 30, 2024</w:t>
            </w:r>
          </w:p>
        </w:tc>
        <w:tc>
          <w:tcPr>
            <w:tcW w:w="60" w:type="dxa"/>
            <w:tcBorders/>
            <w:shd w:fill="CCEEFF" w:val="clear"/>
            <w:vAlign w:val="center"/>
          </w:tcPr>
          <w:p>
            <w:pPr>
              <w:pStyle w:val="TableContents"/>
              <w:bidi w:val="0"/>
              <w:spacing w:before="0" w:after="0"/>
              <w:ind w:left="0" w:right="0" w:hanging="0"/>
              <w:jc w:val="left"/>
              <w:rPr/>
            </w:pPr>
            <w:r>
              <w:rPr/>
              <w:t> </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5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8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1,154</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(437</w:t>
            </w:r>
          </w:p>
        </w:tc>
        <w:tc>
          <w:tcPr>
            <w:tcW w:w="81"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1" w:type="dxa"/>
            <w:tcBorders/>
            <w:shd w:fill="CCEEFF" w:val="clear"/>
            <w:vAlign w:val="center"/>
          </w:tcPr>
          <w:p>
            <w:pPr>
              <w:pStyle w:val="TableContents"/>
              <w:bidi w:val="0"/>
              <w:spacing w:before="0" w:after="0"/>
              <w:ind w:left="0" w:right="0" w:hanging="0"/>
              <w:jc w:val="left"/>
              <w:rPr/>
            </w:pPr>
            <w:r>
              <w:rPr/>
              <w:t> </w:t>
            </w:r>
          </w:p>
        </w:tc>
        <w:tc>
          <w:tcPr>
            <w:tcW w:w="4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12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256</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5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(12</w:t>
            </w:r>
          </w:p>
        </w:tc>
        <w:tc>
          <w:tcPr>
            <w:tcW w:w="81"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1" w:type="dxa"/>
            <w:tcBorders/>
            <w:shd w:fill="CCEEFF" w:val="clear"/>
            <w:vAlign w:val="center"/>
          </w:tcPr>
          <w:p>
            <w:pPr>
              <w:pStyle w:val="TableContents"/>
              <w:bidi w:val="0"/>
              <w:spacing w:before="0" w:after="0"/>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3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961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10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214</w:t>
            </w:r>
          </w:p>
        </w:tc>
        <w:tc>
          <w:tcPr>
            <w:tcW w:w="85" w:type="dxa"/>
            <w:tcBorders/>
            <w:shd w:fill="CCEEFF" w:val="clear"/>
            <w:vAlign w:val="center"/>
          </w:tcPr>
          <w:p>
            <w:pPr>
              <w:pStyle w:val="TableContents"/>
              <w:bidi w:val="0"/>
              <w:spacing w:before="0" w:after="0"/>
              <w:jc w:val="left"/>
              <w:rPr/>
            </w:pPr>
            <w:r>
              <w:rPr/>
              <w:t> </w:t>
            </w:r>
          </w:p>
        </w:tc>
      </w:tr>
      <w:tr>
        <w:trPr/>
        <w:tc>
          <w:tcPr>
            <w:tcW w:w="1798"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Net earnings</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18</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1798"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Other comprehensive income (loss) (net of tax):</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1798" w:type="dxa"/>
            <w:tcBorders/>
            <w:shd w:fill="FFFFFF" w:val="clear"/>
            <w:vAlign w:val="center"/>
          </w:tcPr>
          <w:p>
            <w:pPr>
              <w:pStyle w:val="TableContents"/>
              <w:bidi w:val="0"/>
              <w:spacing w:before="0" w:after="0"/>
              <w:ind w:left="360" w:right="0" w:hanging="0"/>
              <w:jc w:val="left"/>
              <w:rPr>
                <w:rFonts w:ascii="Calibri;Arial;sans-serif" w:hAnsi="Calibri;Arial;sans-serif"/>
                <w:sz w:val="20"/>
              </w:rPr>
            </w:pPr>
            <w:r>
              <w:rPr>
                <w:rFonts w:ascii="Calibri;Arial;sans-serif" w:hAnsi="Calibri;Arial;sans-serif"/>
                <w:sz w:val="20"/>
              </w:rPr>
              <w:t>Currency translation adjustments</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1798" w:type="dxa"/>
            <w:tcBorders/>
            <w:shd w:fill="CCEEFF" w:val="clear"/>
            <w:vAlign w:val="center"/>
          </w:tcPr>
          <w:p>
            <w:pPr>
              <w:pStyle w:val="TableContents"/>
              <w:bidi w:val="0"/>
              <w:spacing w:before="0" w:after="0"/>
              <w:ind w:left="360" w:right="0" w:hanging="0"/>
              <w:jc w:val="left"/>
              <w:rPr>
                <w:rFonts w:ascii="Calibri;Arial;sans-serif" w:hAnsi="Calibri;Arial;sans-serif"/>
                <w:sz w:val="20"/>
              </w:rPr>
            </w:pPr>
            <w:r>
              <w:rPr>
                <w:rFonts w:ascii="Calibri;Arial;sans-serif" w:hAnsi="Calibri;Arial;sans-serif"/>
                <w:sz w:val="20"/>
              </w:rPr>
              <w:t>Pension and other postretirement liability adjustments</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w:t>
            </w:r>
          </w:p>
        </w:tc>
        <w:tc>
          <w:tcPr>
            <w:tcW w:w="8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left"/>
              <w:rPr/>
            </w:pPr>
            <w:r>
              <w:rPr/>
              <w:t> </w:t>
            </w:r>
          </w:p>
        </w:tc>
      </w:tr>
      <w:tr>
        <w:trPr/>
        <w:tc>
          <w:tcPr>
            <w:tcW w:w="1798"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Preferred stock cash dividends</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1798"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Preferred stock in-kind dividends</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8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85" w:type="dxa"/>
            <w:tcBorders/>
            <w:shd w:fill="CCEEFF" w:val="clear"/>
            <w:vAlign w:val="center"/>
          </w:tcPr>
          <w:p>
            <w:pPr>
              <w:pStyle w:val="TableContents"/>
              <w:bidi w:val="0"/>
              <w:spacing w:before="0" w:after="283"/>
              <w:jc w:val="left"/>
              <w:rPr/>
            </w:pPr>
            <w:r>
              <w:rPr/>
              <w:t> </w:t>
            </w:r>
          </w:p>
        </w:tc>
      </w:tr>
      <w:tr>
        <w:trPr/>
        <w:tc>
          <w:tcPr>
            <w:tcW w:w="1798"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Stock-based compensation</w:t>
            </w:r>
          </w:p>
        </w:tc>
        <w:tc>
          <w:tcPr>
            <w:tcW w:w="60" w:type="dxa"/>
            <w:tcBorders/>
            <w:shd w:fill="FFFFFF" w:val="clear"/>
            <w:vAlign w:val="center"/>
          </w:tcPr>
          <w:p>
            <w:pPr>
              <w:pStyle w:val="TableContents"/>
              <w:bidi w:val="0"/>
              <w:spacing w:before="0" w:after="283"/>
              <w:ind w:left="0" w:right="0" w:hanging="0"/>
              <w:jc w:val="left"/>
              <w:rPr/>
            </w:pPr>
            <w:r>
              <w:rPr/>
              <w:t> </w:t>
            </w:r>
          </w:p>
        </w:tc>
        <w:tc>
          <w:tcPr>
            <w:tcW w:w="2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58"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2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73"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9"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06"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67"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42"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24"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5" w:type="dxa"/>
            <w:tcBorders/>
            <w:shd w:fill="FFFFFF" w:val="clear"/>
            <w:vAlign w:val="center"/>
          </w:tcPr>
          <w:p>
            <w:pPr>
              <w:pStyle w:val="TableContents"/>
              <w:bidi w:val="0"/>
              <w:spacing w:before="0" w:after="283"/>
              <w:ind w:left="0" w:right="0" w:hanging="0"/>
              <w:jc w:val="left"/>
              <w:rPr/>
            </w:pPr>
            <w:r>
              <w:rPr/>
              <w:t> </w:t>
            </w:r>
          </w:p>
        </w:tc>
      </w:tr>
      <w:tr>
        <w:trPr/>
        <w:tc>
          <w:tcPr>
            <w:tcW w:w="1798"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Equity (deficit) as of September 30, 2024</w:t>
            </w:r>
          </w:p>
        </w:tc>
        <w:tc>
          <w:tcPr>
            <w:tcW w:w="60" w:type="dxa"/>
            <w:tcBorders/>
            <w:shd w:fill="CCEEFF" w:val="clear"/>
            <w:vAlign w:val="center"/>
          </w:tcPr>
          <w:p>
            <w:pPr>
              <w:pStyle w:val="TableContents"/>
              <w:bidi w:val="0"/>
              <w:spacing w:before="0" w:after="0"/>
              <w:ind w:left="0" w:right="0" w:hanging="0"/>
              <w:jc w:val="left"/>
              <w:rPr/>
            </w:pPr>
            <w:r>
              <w:rPr/>
              <w:t> </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5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8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1,152</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(419</w:t>
            </w:r>
          </w:p>
        </w:tc>
        <w:tc>
          <w:tcPr>
            <w:tcW w:w="81"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1" w:type="dxa"/>
            <w:tcBorders/>
            <w:shd w:fill="CCEEFF" w:val="clear"/>
            <w:vAlign w:val="center"/>
          </w:tcPr>
          <w:p>
            <w:pPr>
              <w:pStyle w:val="TableContents"/>
              <w:bidi w:val="0"/>
              <w:spacing w:before="0" w:after="0"/>
              <w:ind w:left="0" w:right="0" w:hanging="0"/>
              <w:jc w:val="left"/>
              <w:rPr/>
            </w:pPr>
            <w:r>
              <w:rPr/>
              <w:t> </w:t>
            </w:r>
          </w:p>
        </w:tc>
        <w:tc>
          <w:tcPr>
            <w:tcW w:w="4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12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261</w:t>
            </w:r>
          </w:p>
        </w:tc>
        <w:tc>
          <w:tcPr>
            <w:tcW w:w="8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5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(12</w:t>
            </w:r>
          </w:p>
        </w:tc>
        <w:tc>
          <w:tcPr>
            <w:tcW w:w="81"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1" w:type="dxa"/>
            <w:tcBorders/>
            <w:shd w:fill="CCEEFF" w:val="clear"/>
            <w:vAlign w:val="center"/>
          </w:tcPr>
          <w:p>
            <w:pPr>
              <w:pStyle w:val="TableContents"/>
              <w:bidi w:val="0"/>
              <w:spacing w:before="0" w:after="0"/>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3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982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10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216</w:t>
            </w:r>
          </w:p>
        </w:tc>
        <w:tc>
          <w:tcPr>
            <w:tcW w:w="85"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290"/>
        <w:gridCol w:w="7535"/>
      </w:tblGrid>
      <w:tr>
        <w:trPr/>
        <w:tc>
          <w:tcPr>
            <w:tcW w:w="290" w:type="dxa"/>
            <w:tcBorders/>
            <w:vAlign w:val="center"/>
          </w:tcPr>
          <w:p>
            <w:pPr>
              <w:pStyle w:val="TableContents"/>
              <w:bidi w:val="0"/>
              <w:spacing w:lineRule="auto" w:line="288" w:before="0" w:after="283"/>
              <w:jc w:val="left"/>
              <w:rPr>
                <w:rFonts w:ascii="Calibri;Arial;sans-serif" w:hAnsi="Calibri;Arial;sans-serif"/>
              </w:rPr>
            </w:pPr>
            <w:r>
              <w:rPr>
                <w:rFonts w:ascii="Calibri;Arial;sans-serif" w:hAnsi="Calibri;Arial;sans-serif"/>
              </w:rPr>
              <w:t>(1)</w:t>
            </w:r>
          </w:p>
        </w:tc>
        <w:tc>
          <w:tcPr>
            <w:tcW w:w="7535" w:type="dxa"/>
            <w:tcBorders/>
            <w:vAlign w:val="center"/>
          </w:tcPr>
          <w:p>
            <w:pPr>
              <w:pStyle w:val="TableContents"/>
              <w:bidi w:val="0"/>
              <w:spacing w:before="0" w:after="283"/>
              <w:jc w:val="left"/>
              <w:rPr>
                <w:rFonts w:ascii="Calibri;Arial;sans-serif" w:hAnsi="Calibri;Arial;sans-serif"/>
              </w:rPr>
            </w:pPr>
            <w:r>
              <w:rPr>
                <w:rFonts w:ascii="Calibri;Arial;sans-serif" w:hAnsi="Calibri;Arial;sans-serif"/>
              </w:rPr>
              <w:t>Represents purchases of common stock to satisfy tax withholding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EASTMAN KODAK COMPANY</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CONSOLIDATED STATEMENT OF EQUITY (DEFICIT) (Unaudited) (cont</w:t>
      </w:r>
      <w:r>
        <w:rPr>
          <w:rFonts w:ascii="Calibri;Arial;sans-serif" w:hAnsi="Calibri;Arial;sans-serif"/>
          <w:caps w:val="false"/>
          <w:smallCaps w:val="false"/>
          <w:sz w:val="20"/>
        </w:rPr>
        <w:t>’</w:t>
      </w:r>
      <w:r>
        <w:rPr>
          <w:rFonts w:ascii="Calibri;Arial;sans-serif" w:hAnsi="Calibri;Arial;sans-serif"/>
          <w:b/>
          <w:caps w:val="false"/>
          <w:smallCaps w:val="false"/>
          <w:sz w:val="20"/>
        </w:rPr>
        <w: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6"/>
        <w:gridCol w:w="60"/>
        <w:gridCol w:w="266"/>
        <w:gridCol w:w="554"/>
        <w:gridCol w:w="60"/>
        <w:gridCol w:w="60"/>
        <w:gridCol w:w="221"/>
        <w:gridCol w:w="860"/>
        <w:gridCol w:w="80"/>
        <w:gridCol w:w="60"/>
        <w:gridCol w:w="279"/>
        <w:gridCol w:w="883"/>
        <w:gridCol w:w="80"/>
        <w:gridCol w:w="60"/>
        <w:gridCol w:w="390"/>
        <w:gridCol w:w="1235"/>
        <w:gridCol w:w="80"/>
        <w:gridCol w:w="60"/>
        <w:gridCol w:w="242"/>
        <w:gridCol w:w="563"/>
        <w:gridCol w:w="80"/>
        <w:gridCol w:w="60"/>
        <w:gridCol w:w="126"/>
        <w:gridCol w:w="489"/>
        <w:gridCol w:w="80"/>
        <w:gridCol w:w="60"/>
        <w:gridCol w:w="373"/>
        <w:gridCol w:w="1002"/>
        <w:gridCol w:w="86"/>
      </w:tblGrid>
      <w:tr>
        <w:trPr/>
        <w:tc>
          <w:tcPr>
            <w:tcW w:w="17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3" w:type="dxa"/>
            <w:gridSpan w:val="2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Nine-Month Period Ending September 30, 2023</w:t>
            </w:r>
          </w:p>
        </w:tc>
        <w:tc>
          <w:tcPr>
            <w:tcW w:w="86" w:type="dxa"/>
            <w:tcBorders/>
            <w:shd w:fill="FFFFFF" w:val="cle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88"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Eastman Kodak Company Common Shareholders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center"/>
              <w:rPr/>
            </w:pPr>
            <w:r>
              <w:rPr>
                <w:rStyle w:val="Emphasis"/>
              </w:rPr>
              <w:t> </w:t>
            </w:r>
          </w:p>
        </w:tc>
        <w:tc>
          <w:tcPr>
            <w:tcW w:w="86" w:type="dxa"/>
            <w:tcBorders/>
            <w:shd w:fill="FFFFFF" w:val="cle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Additional Paid in 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Accumulated 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Accumulated Other Comprehensive 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Redeemable Convertible Preferred Stock</w:t>
            </w:r>
          </w:p>
        </w:tc>
        <w:tc>
          <w:tcPr>
            <w:tcW w:w="86" w:type="dxa"/>
            <w:tcBorders/>
            <w:shd w:fill="FFFFFF" w:val="clear"/>
            <w:vAlign w:val="center"/>
          </w:tcPr>
          <w:p>
            <w:pPr>
              <w:pStyle w:val="TableContents"/>
              <w:bidi w:val="0"/>
              <w:spacing w:before="0" w:after="283"/>
              <w:jc w:val="left"/>
              <w:rPr/>
            </w:pPr>
            <w:r>
              <w:rPr/>
              <w:t> </w:t>
            </w:r>
          </w:p>
        </w:tc>
      </w:tr>
      <w:tr>
        <w:trPr/>
        <w:tc>
          <w:tcPr>
            <w:tcW w:w="1756"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Equity (deficit) as of December 31, 2022</w:t>
            </w:r>
          </w:p>
        </w:tc>
        <w:tc>
          <w:tcPr>
            <w:tcW w:w="60" w:type="dxa"/>
            <w:tcBorders/>
            <w:shd w:fill="CCEEFF" w:val="clear"/>
            <w:vAlign w:val="center"/>
          </w:tcPr>
          <w:p>
            <w:pPr>
              <w:pStyle w:val="TableContents"/>
              <w:bidi w:val="0"/>
              <w:spacing w:before="0" w:after="283"/>
              <w:ind w:left="0" w:right="0" w:hanging="0"/>
              <w:jc w:val="left"/>
              <w:rPr/>
            </w:pPr>
            <w:r>
              <w:rPr/>
              <w:t> </w:t>
            </w:r>
          </w:p>
        </w:tc>
        <w:tc>
          <w:tcPr>
            <w:tcW w:w="266"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9"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8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(570</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90"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2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6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9"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3"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0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203</w:t>
            </w:r>
          </w:p>
        </w:tc>
        <w:tc>
          <w:tcPr>
            <w:tcW w:w="86" w:type="dxa"/>
            <w:tcBorders/>
            <w:shd w:fill="CCEEFF" w:val="cle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earnings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55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ind w:left="0" w:right="0" w:hanging="0"/>
              <w:jc w:val="left"/>
              <w:rPr/>
            </w:pPr>
            <w:r>
              <w:rPr/>
              <w:t> </w:t>
            </w:r>
          </w:p>
        </w:tc>
        <w:tc>
          <w:tcPr>
            <w:tcW w:w="123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56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489"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pPr>
            <w:r>
              <w:rPr/>
              <w:t>—</w:t>
            </w:r>
          </w:p>
        </w:tc>
        <w:tc>
          <w:tcPr>
            <w:tcW w:w="86" w:type="dxa"/>
            <w:tcBorders/>
            <w:shd w:fill="FFFFFF" w:val="clear"/>
            <w:vAlign w:val="center"/>
          </w:tcPr>
          <w:p>
            <w:pPr>
              <w:pStyle w:val="TableContents"/>
              <w:bidi w:val="0"/>
              <w:spacing w:before="0" w:after="283"/>
              <w:jc w:val="left"/>
              <w:rPr/>
            </w:pPr>
            <w:r>
              <w:rPr/>
              <w:t> </w:t>
            </w:r>
          </w:p>
        </w:tc>
      </w:tr>
      <w:tr>
        <w:trPr/>
        <w:tc>
          <w:tcPr>
            <w:tcW w:w="1756"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comprehensive loss (net of tax):</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5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Currency translation adjustments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55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ind w:left="0" w:right="0" w:hanging="0"/>
              <w:jc w:val="left"/>
              <w:rPr/>
            </w:pPr>
            <w:r>
              <w:rPr/>
              <w:t> </w:t>
            </w:r>
          </w:p>
        </w:tc>
        <w:tc>
          <w:tcPr>
            <w:tcW w:w="12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56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489"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pPr>
            <w:r>
              <w:rPr/>
              <w:t>—</w:t>
            </w:r>
          </w:p>
        </w:tc>
        <w:tc>
          <w:tcPr>
            <w:tcW w:w="86" w:type="dxa"/>
            <w:tcBorders/>
            <w:shd w:fill="FFFFFF" w:val="clear"/>
            <w:vAlign w:val="center"/>
          </w:tcPr>
          <w:p>
            <w:pPr>
              <w:pStyle w:val="TableContents"/>
              <w:bidi w:val="0"/>
              <w:spacing w:before="0" w:after="283"/>
              <w:jc w:val="left"/>
              <w:rPr/>
            </w:pPr>
            <w:r>
              <w:rPr/>
              <w:t> </w:t>
            </w:r>
          </w:p>
        </w:tc>
      </w:tr>
      <w:tr>
        <w:trPr/>
        <w:tc>
          <w:tcPr>
            <w:tcW w:w="1756" w:type="dxa"/>
            <w:tcBorders/>
            <w:shd w:fill="CCEEFF" w:val="clear"/>
            <w:vAlign w:val="center"/>
          </w:tcPr>
          <w:p>
            <w:pPr>
              <w:pStyle w:val="TableContents"/>
              <w:bidi w:val="0"/>
              <w:spacing w:before="0" w:after="0"/>
              <w:ind w:left="360" w:right="0" w:hanging="0"/>
              <w:jc w:val="left"/>
              <w:rPr>
                <w:rFonts w:ascii="Calibri;Arial;sans-serif" w:hAnsi="Calibri;Arial;sans-serif"/>
                <w:sz w:val="20"/>
              </w:rPr>
            </w:pPr>
            <w:r>
              <w:rPr>
                <w:rFonts w:ascii="Calibri;Arial;sans-serif" w:hAnsi="Calibri;Arial;sans-serif"/>
                <w:sz w:val="20"/>
              </w:rPr>
              <w:t>Pension and other postretirement liability adjustments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55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Preferred stock cash dividends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55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ind w:left="0" w:right="0" w:hanging="0"/>
              <w:jc w:val="left"/>
              <w:rPr/>
            </w:pPr>
            <w:r>
              <w:rPr/>
              <w:t> </w:t>
            </w:r>
          </w:p>
        </w:tc>
        <w:tc>
          <w:tcPr>
            <w:tcW w:w="123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56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489"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pPr>
            <w:r>
              <w:rPr/>
              <w:t>—</w:t>
            </w:r>
          </w:p>
        </w:tc>
        <w:tc>
          <w:tcPr>
            <w:tcW w:w="86" w:type="dxa"/>
            <w:tcBorders/>
            <w:shd w:fill="FFFFFF" w:val="clear"/>
            <w:vAlign w:val="center"/>
          </w:tcPr>
          <w:p>
            <w:pPr>
              <w:pStyle w:val="TableContents"/>
              <w:bidi w:val="0"/>
              <w:spacing w:before="0" w:after="283"/>
              <w:jc w:val="left"/>
              <w:rPr/>
            </w:pPr>
            <w:r>
              <w:rPr/>
              <w:t> </w:t>
            </w:r>
          </w:p>
        </w:tc>
      </w:tr>
      <w:tr>
        <w:trPr/>
        <w:tc>
          <w:tcPr>
            <w:tcW w:w="1756" w:type="dxa"/>
            <w:tcBorders/>
            <w:shd w:fill="CCEEFF" w:val="clear"/>
            <w:vAlign w:val="center"/>
          </w:tcPr>
          <w:p>
            <w:pPr>
              <w:pStyle w:val="TableContents"/>
              <w:bidi w:val="0"/>
              <w:spacing w:before="0" w:after="0"/>
              <w:ind w:left="180" w:right="0" w:hanging="180"/>
              <w:jc w:val="left"/>
              <w:rPr>
                <w:rFonts w:ascii="Calibri;Arial;sans-serif" w:hAnsi="Calibri;Arial;sans-serif"/>
                <w:caps w:val="false"/>
                <w:smallCaps w:val="false"/>
                <w:sz w:val="20"/>
              </w:rPr>
            </w:pPr>
            <w:r>
              <w:rPr>
                <w:rFonts w:ascii="Calibri;Arial;sans-serif" w:hAnsi="Calibri;Arial;sans-serif"/>
                <w:caps w:val="false"/>
                <w:smallCaps w:val="false"/>
                <w:sz w:val="20"/>
              </w:rPr>
              <w:t>Preferred stock in-kind dividends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55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ind w:left="0" w:right="0" w:hanging="0"/>
              <w:jc w:val="left"/>
              <w:rPr/>
            </w:pPr>
            <w:r>
              <w:rPr/>
              <w:t> </w:t>
            </w:r>
          </w:p>
        </w:tc>
        <w:tc>
          <w:tcPr>
            <w:tcW w:w="123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56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489"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ind w:left="0" w:right="0" w:hanging="0"/>
              <w:jc w:val="left"/>
              <w:rPr/>
            </w:pPr>
            <w:r>
              <w:rPr/>
              <w:t> </w:t>
            </w:r>
          </w:p>
        </w:tc>
        <w:tc>
          <w:tcPr>
            <w:tcW w:w="100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6" w:type="dxa"/>
            <w:tcBorders/>
            <w:shd w:fill="CCEEFF" w:val="cle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Preferred stock deemed dividends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55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ind w:left="0" w:right="0" w:hanging="0"/>
              <w:jc w:val="left"/>
              <w:rPr/>
            </w:pPr>
            <w:r>
              <w:rPr/>
              <w:t> </w:t>
            </w:r>
          </w:p>
        </w:tc>
        <w:tc>
          <w:tcPr>
            <w:tcW w:w="123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56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489"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6" w:type="dxa"/>
            <w:tcBorders/>
            <w:shd w:fill="FFFFFF" w:val="clear"/>
            <w:vAlign w:val="center"/>
          </w:tcPr>
          <w:p>
            <w:pPr>
              <w:pStyle w:val="TableContents"/>
              <w:bidi w:val="0"/>
              <w:spacing w:before="0" w:after="283"/>
              <w:jc w:val="left"/>
              <w:rPr/>
            </w:pPr>
            <w:r>
              <w:rPr/>
              <w:t> </w:t>
            </w:r>
          </w:p>
        </w:tc>
      </w:tr>
      <w:tr>
        <w:trPr/>
        <w:tc>
          <w:tcPr>
            <w:tcW w:w="1756"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2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6" w:type="dxa"/>
            <w:tcBorders/>
            <w:shd w:fill="CCEEFF" w:val="cle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Equity (deficit) as of March 31, 2023</w:t>
            </w:r>
          </w:p>
        </w:tc>
        <w:tc>
          <w:tcPr>
            <w:tcW w:w="60" w:type="dxa"/>
            <w:tcBorders/>
            <w:shd w:fill="FFFFFF" w:val="cle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(537</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2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205</w:t>
            </w:r>
          </w:p>
        </w:tc>
        <w:tc>
          <w:tcPr>
            <w:tcW w:w="86" w:type="dxa"/>
            <w:tcBorders/>
            <w:shd w:fill="FFFFFF" w:val="clear"/>
            <w:vAlign w:val="center"/>
          </w:tcPr>
          <w:p>
            <w:pPr>
              <w:pStyle w:val="TableContents"/>
              <w:bidi w:val="0"/>
              <w:spacing w:before="0" w:after="283"/>
              <w:jc w:val="left"/>
              <w:rPr/>
            </w:pPr>
            <w:r>
              <w:rPr/>
              <w:t> </w:t>
            </w:r>
          </w:p>
        </w:tc>
      </w:tr>
      <w:tr>
        <w:trPr/>
        <w:tc>
          <w:tcPr>
            <w:tcW w:w="1756"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Net earnings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5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Other comprehensive loss (net of tax):</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1756" w:type="dxa"/>
            <w:tcBorders/>
            <w:shd w:fill="CCEEFF" w:val="clear"/>
            <w:vAlign w:val="center"/>
          </w:tcPr>
          <w:p>
            <w:pPr>
              <w:pStyle w:val="TableContents"/>
              <w:bidi w:val="0"/>
              <w:spacing w:before="0" w:after="0"/>
              <w:ind w:left="360" w:right="0" w:hanging="0"/>
              <w:jc w:val="left"/>
              <w:rPr>
                <w:rFonts w:ascii="Calibri;Arial;sans-serif" w:hAnsi="Calibri;Arial;sans-serif"/>
                <w:sz w:val="20"/>
              </w:rPr>
            </w:pPr>
            <w:r>
              <w:rPr>
                <w:rFonts w:ascii="Calibri;Arial;sans-serif" w:hAnsi="Calibri;Arial;sans-serif"/>
                <w:sz w:val="20"/>
              </w:rPr>
              <w:t>Currency translation adjustments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5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0"/>
              <w:ind w:left="360" w:right="0" w:hanging="0"/>
              <w:jc w:val="left"/>
              <w:rPr>
                <w:rFonts w:ascii="Calibri;Arial;sans-serif" w:hAnsi="Calibri;Arial;sans-serif"/>
                <w:sz w:val="20"/>
              </w:rPr>
            </w:pPr>
            <w:r>
              <w:rPr>
                <w:rFonts w:ascii="Calibri;Arial;sans-serif" w:hAnsi="Calibri;Arial;sans-serif"/>
                <w:sz w:val="20"/>
              </w:rPr>
              <w:t>Pension and other postretirement liability adjustments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(123</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(123</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jc w:val="left"/>
              <w:rPr/>
            </w:pPr>
            <w:r>
              <w:rPr/>
              <w:t> </w:t>
            </w:r>
          </w:p>
        </w:tc>
      </w:tr>
      <w:tr>
        <w:trPr/>
        <w:tc>
          <w:tcPr>
            <w:tcW w:w="1756"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Preferred stock cash dividends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5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Preferred stock in-kind dividends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86" w:type="dxa"/>
            <w:tcBorders/>
            <w:shd w:fill="FFFFFF" w:val="clear"/>
            <w:vAlign w:val="center"/>
          </w:tcPr>
          <w:p>
            <w:pPr>
              <w:pStyle w:val="TableContents"/>
              <w:bidi w:val="0"/>
              <w:spacing w:before="0" w:after="283"/>
              <w:ind w:left="0" w:right="0" w:hanging="0"/>
              <w:jc w:val="left"/>
              <w:rPr/>
            </w:pPr>
            <w:r>
              <w:rPr/>
              <w:t> </w:t>
            </w:r>
          </w:p>
        </w:tc>
      </w:tr>
      <w:tr>
        <w:trPr/>
        <w:tc>
          <w:tcPr>
            <w:tcW w:w="1756"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Stock-based compensation</w:t>
            </w:r>
          </w:p>
        </w:tc>
        <w:tc>
          <w:tcPr>
            <w:tcW w:w="60" w:type="dxa"/>
            <w:tcBorders/>
            <w:shd w:fill="CCEEFF" w:val="clear"/>
            <w:vAlign w:val="center"/>
          </w:tcPr>
          <w:p>
            <w:pPr>
              <w:pStyle w:val="TableContents"/>
              <w:bidi w:val="0"/>
              <w:spacing w:before="0" w:after="0"/>
              <w:ind w:left="0" w:right="0" w:hanging="0"/>
              <w:jc w:val="left"/>
              <w:rPr/>
            </w:pPr>
            <w:r>
              <w:rPr/>
              <w:t> </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1756"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Equity (deficit) as of June 30, 2023</w:t>
            </w:r>
          </w:p>
        </w:tc>
        <w:tc>
          <w:tcPr>
            <w:tcW w:w="60" w:type="dxa"/>
            <w:tcBorders/>
            <w:shd w:fill="FFFFFF" w:val="clear"/>
            <w:vAlign w:val="center"/>
          </w:tcPr>
          <w:p>
            <w:pPr>
              <w:pStyle w:val="TableContents"/>
              <w:bidi w:val="0"/>
              <w:spacing w:before="0" w:after="0"/>
              <w:ind w:left="0" w:right="0" w:hanging="0"/>
              <w:jc w:val="left"/>
              <w:rPr/>
            </w:pPr>
            <w:r>
              <w:rPr/>
              <w:t> </w:t>
            </w:r>
          </w:p>
        </w:tc>
        <w:tc>
          <w:tcPr>
            <w:tcW w:w="26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55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86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1,159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7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88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(502</w:t>
            </w:r>
          </w:p>
        </w:tc>
        <w:tc>
          <w:tcPr>
            <w:tcW w:w="8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39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123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321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56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(11</w:t>
            </w:r>
          </w:p>
        </w:tc>
        <w:tc>
          <w:tcPr>
            <w:tcW w:w="8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48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967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7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100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207</w:t>
            </w:r>
          </w:p>
        </w:tc>
        <w:tc>
          <w:tcPr>
            <w:tcW w:w="86" w:type="dxa"/>
            <w:tcBorders/>
            <w:shd w:fill="FFFFFF" w:val="clear"/>
            <w:vAlign w:val="center"/>
          </w:tcPr>
          <w:p>
            <w:pPr>
              <w:pStyle w:val="TableContents"/>
              <w:bidi w:val="0"/>
              <w:spacing w:before="0" w:after="0"/>
              <w:jc w:val="left"/>
              <w:rPr/>
            </w:pPr>
            <w:r>
              <w:rPr/>
              <w:t> </w:t>
            </w:r>
          </w:p>
        </w:tc>
      </w:tr>
      <w:tr>
        <w:trPr/>
        <w:tc>
          <w:tcPr>
            <w:tcW w:w="1756"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Net earnings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5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Other comprehensive (loss) (net of tax):</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1756" w:type="dxa"/>
            <w:tcBorders/>
            <w:shd w:fill="CCEEFF" w:val="clear"/>
            <w:vAlign w:val="center"/>
          </w:tcPr>
          <w:p>
            <w:pPr>
              <w:pStyle w:val="TableContents"/>
              <w:bidi w:val="0"/>
              <w:spacing w:before="0" w:after="0"/>
              <w:ind w:left="360" w:right="0" w:hanging="0"/>
              <w:jc w:val="left"/>
              <w:rPr>
                <w:rFonts w:ascii="Calibri;Arial;sans-serif" w:hAnsi="Calibri;Arial;sans-serif"/>
                <w:sz w:val="20"/>
              </w:rPr>
            </w:pPr>
            <w:r>
              <w:rPr>
                <w:rFonts w:ascii="Calibri;Arial;sans-serif" w:hAnsi="Calibri;Arial;sans-serif"/>
                <w:sz w:val="20"/>
              </w:rPr>
              <w:t>Currency translation adjustments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5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0"/>
              <w:ind w:left="360" w:right="0" w:hanging="0"/>
              <w:jc w:val="left"/>
              <w:rPr>
                <w:rFonts w:ascii="Calibri;Arial;sans-serif" w:hAnsi="Calibri;Arial;sans-serif"/>
                <w:sz w:val="20"/>
              </w:rPr>
            </w:pPr>
            <w:r>
              <w:rPr>
                <w:rFonts w:ascii="Calibri;Arial;sans-serif" w:hAnsi="Calibri;Arial;sans-serif"/>
                <w:sz w:val="20"/>
              </w:rPr>
              <w:t>Pension and other postretirement liability adjustments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jc w:val="left"/>
              <w:rPr/>
            </w:pPr>
            <w:r>
              <w:rPr/>
              <w:t> </w:t>
            </w:r>
          </w:p>
        </w:tc>
      </w:tr>
      <w:tr>
        <w:trPr/>
        <w:tc>
          <w:tcPr>
            <w:tcW w:w="1756"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Preferred stock cash dividends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5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Preferred stock in-kind dividends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6" w:type="dxa"/>
            <w:tcBorders/>
            <w:shd w:fill="FFFFFF" w:val="clear"/>
            <w:vAlign w:val="center"/>
          </w:tcPr>
          <w:p>
            <w:pPr>
              <w:pStyle w:val="TableContents"/>
              <w:bidi w:val="0"/>
              <w:spacing w:before="0" w:after="283"/>
              <w:jc w:val="left"/>
              <w:rPr/>
            </w:pPr>
            <w:r>
              <w:rPr/>
              <w:t> </w:t>
            </w:r>
          </w:p>
        </w:tc>
      </w:tr>
      <w:tr>
        <w:trPr/>
        <w:tc>
          <w:tcPr>
            <w:tcW w:w="1756"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Stock-based 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4"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35"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9"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2"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6" w:type="dxa"/>
            <w:tcBorders/>
            <w:shd w:fill="CCEEFF" w:val="clear"/>
            <w:vAlign w:val="center"/>
          </w:tcPr>
          <w:p>
            <w:pPr>
              <w:pStyle w:val="TableContents"/>
              <w:bidi w:val="0"/>
              <w:spacing w:before="0" w:after="283"/>
              <w:ind w:left="0" w:right="0" w:hanging="0"/>
              <w:jc w:val="left"/>
              <w:rPr/>
            </w:pPr>
            <w:r>
              <w:rPr/>
              <w:t> </w:t>
            </w:r>
          </w:p>
        </w:tc>
      </w:tr>
      <w:tr>
        <w:trPr/>
        <w:tc>
          <w:tcPr>
            <w:tcW w:w="1756"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Equity (deficit) as of September 30, 2023</w:t>
            </w:r>
          </w:p>
        </w:tc>
        <w:tc>
          <w:tcPr>
            <w:tcW w:w="60" w:type="dxa"/>
            <w:tcBorders/>
            <w:shd w:fill="FFFFFF" w:val="clear"/>
            <w:vAlign w:val="center"/>
          </w:tcPr>
          <w:p>
            <w:pPr>
              <w:pStyle w:val="TableContents"/>
              <w:bidi w:val="0"/>
              <w:spacing w:before="0" w:after="0"/>
              <w:ind w:left="0" w:right="0" w:hanging="0"/>
              <w:jc w:val="left"/>
              <w:rPr/>
            </w:pPr>
            <w:r>
              <w:rPr/>
              <w:t> </w:t>
            </w:r>
          </w:p>
        </w:tc>
        <w:tc>
          <w:tcPr>
            <w:tcW w:w="26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55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86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1,158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7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88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(500</w:t>
            </w:r>
          </w:p>
        </w:tc>
        <w:tc>
          <w:tcPr>
            <w:tcW w:w="8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39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123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312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56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(11</w:t>
            </w:r>
          </w:p>
        </w:tc>
        <w:tc>
          <w:tcPr>
            <w:tcW w:w="8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48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959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7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100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208</w:t>
            </w:r>
          </w:p>
        </w:tc>
        <w:tc>
          <w:tcPr>
            <w:tcW w:w="86"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bookmarkStart w:id="10" w:name="notes"/>
      <w:bookmarkEnd w:id="10"/>
      <w:r>
        <w:rPr>
          <w:rFonts w:ascii="Calibri;Arial;sans-serif" w:hAnsi="Calibri;Arial;sans-serif"/>
          <w:b/>
          <w:caps w:val="false"/>
          <w:smallCaps w:val="false"/>
          <w:sz w:val="20"/>
        </w:rPr>
        <w:t>EASTMAN KODAK COMPANY</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NOTES TO FINANCIAL STATEMENTS (Unaudited)</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w:t>
      </w:r>
      <w:r>
        <w:rPr>
          <w:rFonts w:ascii="Calibri;Arial;sans-serif" w:hAnsi="Calibri;Arial;sans-serif"/>
          <w:b/>
          <w:caps w:val="false"/>
          <w:smallCaps w:val="false"/>
          <w:sz w:val="20"/>
        </w:rPr>
        <w:t xml:space="preserve"> BASIS OF PRESENTATION AND 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-Q and Rule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01</w:t>
      </w:r>
      <w:r>
        <w:rPr>
          <w:rFonts w:ascii="Calibri;Arial;sans-serif" w:hAnsi="Calibri;Arial;sans-serif"/>
          <w:caps w:val="false"/>
          <w:smallCaps w:val="false"/>
          <w:sz w:val="20"/>
        </w:rPr>
        <w:t xml:space="preserve"> of Regulation S-</w:t>
      </w:r>
      <w:r>
        <w:rPr>
          <w:rStyle w:val="Emphasis"/>
          <w:rFonts w:ascii="Calibri;Arial;sans-serif" w:hAnsi="Calibri;Arial;sans-serif"/>
          <w:caps w:val="false"/>
          <w:smallCaps w:val="false"/>
          <w:sz w:val="20"/>
        </w:rPr>
        <w:t>X.</w:t>
      </w:r>
      <w:r>
        <w:rPr>
          <w:rFonts w:ascii="Calibri;Arial;sans-serif" w:hAnsi="Calibri;Arial;sans-serif"/>
          <w:caps w:val="false"/>
          <w:smallCaps w:val="false"/>
          <w:sz w:val="20"/>
        </w:rPr>
        <w:t xml:space="preserve"> In the opinion of management, the accompanying unaudited consolidated interim financial statements reflect all adjustments (consisting of normal recurring adjustments) necessary for a fair statement of the results of operations, financial position and cash flows of Eastman Kodak Company and all companies directly or indirectly controlled, either through majority ownership or otherwise (“Kodak” or the “Company”). The results of operations for the interim periods are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necessarily indicative of the results for the entire fiscal year. These consolidated interim statements should be read in conjunction with the Company’s Annual Report on Form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-K for the year ended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Form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RECENTLY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accounting pronouncements were recently adopted by Kodak.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In </w:t>
      </w:r>
      <w:r>
        <w:rPr>
          <w:rStyle w:val="Emphasis"/>
          <w:rFonts w:ascii="Calibri;Arial;sans-serif" w:hAnsi="Calibri;Arial;sans-serif"/>
          <w:caps w:val="false"/>
          <w:smallCaps w:val="false"/>
          <w:sz w:val="20"/>
        </w:rPr>
        <w:t xml:space="preserve">December 2023, </w:t>
      </w:r>
      <w:r>
        <w:rPr>
          <w:rFonts w:ascii="Calibri;Arial;sans-serif" w:hAnsi="Calibri;Arial;sans-serif"/>
          <w:caps w:val="false"/>
          <w:smallCaps w:val="false"/>
          <w:sz w:val="20"/>
        </w:rPr>
        <w:t xml:space="preserve">the Financial Accounting Standards Board ("FASB") issued Accounting Standards Update ("ASU")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09,</w:t>
      </w:r>
      <w:r>
        <w:rPr>
          <w:rFonts w:ascii="Calibri;Arial;sans-serif" w:hAnsi="Calibri;Arial;sans-serif"/>
          <w:caps w:val="false"/>
          <w:smallCaps w:val="false"/>
          <w:sz w:val="20"/>
        </w:rPr>
        <w:t xml:space="preserve"> Income Taxes (Topic </w:t>
      </w:r>
      <w:r>
        <w:rPr>
          <w:rStyle w:val="Emphasis"/>
          <w:rFonts w:ascii="Calibri;Arial;sans-serif" w:hAnsi="Calibri;Arial;sans-serif"/>
          <w:caps w:val="false"/>
          <w:smallCaps w:val="false"/>
          <w:sz w:val="20"/>
        </w:rPr>
        <w:t>740</w:t>
      </w:r>
      <w:r>
        <w:rPr>
          <w:rFonts w:ascii="Calibri;Arial;sans-serif" w:hAnsi="Calibri;Arial;sans-serif"/>
          <w:caps w:val="false"/>
          <w:smallCaps w:val="false"/>
          <w:sz w:val="20"/>
        </w:rPr>
        <w:t xml:space="preserve">): Improvements to Income Tax Disclosures. ASU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09</w:t>
      </w:r>
      <w:r>
        <w:rPr>
          <w:rFonts w:ascii="Calibri;Arial;sans-serif" w:hAnsi="Calibri;Arial;sans-serif"/>
          <w:caps w:val="false"/>
          <w:smallCaps w:val="false"/>
          <w:sz w:val="20"/>
        </w:rPr>
        <w:t xml:space="preserve"> requires disclosure of additional categories of information about federal, state and foreign income taxes in the rate reconciliation table and more details about the reconciling items in some categories if items meet a quantitative threshold. The ASU requires entities to disclose income taxes paid, net of refunds, disaggregated by federal (national), state and foreign taxes for annual periods and to disaggregate the information by jurisdiction based on a quantitative threshold. The guidance makes several other changes to the disclosure requirements. The ASU is required to be applied prospectively, with the option to apply it retrospectively. The ASU is effective for Kodak for fiscal years beginning after </w:t>
      </w:r>
      <w:r>
        <w:rPr>
          <w:rStyle w:val="Emphasis"/>
          <w:rFonts w:ascii="Calibri;Arial;sans-serif" w:hAnsi="Calibri;Arial;sans-serif"/>
          <w:caps w:val="false"/>
          <w:smallCaps w:val="false"/>
          <w:sz w:val="20"/>
        </w:rPr>
        <w:t xml:space="preserve">December 15, 2024 ( January 1, 2025 </w:t>
      </w:r>
      <w:r>
        <w:rPr>
          <w:rFonts w:ascii="Calibri;Arial;sans-serif" w:hAnsi="Calibri;Arial;sans-serif"/>
          <w:caps w:val="false"/>
          <w:smallCaps w:val="false"/>
          <w:sz w:val="20"/>
        </w:rPr>
        <w:t>for Kodak).</w:t>
      </w:r>
    </w:p>
    <w:p>
      <w:pPr>
        <w:pStyle w:val="TextBody"/>
        <w:bidi w:val="0"/>
        <w:spacing w:before="0" w:after="0"/>
        <w:ind w:left="0" w:right="0" w:hanging="0"/>
        <w:jc w:val="left"/>
        <w:rPr/>
      </w:pPr>
      <w:r>
        <w:rPr>
          <w:rFonts w:ascii="Calibri;Arial;sans-serif" w:hAnsi="Calibri;Arial;sans-serif"/>
          <w:caps w:val="false"/>
          <w:smallCaps w:val="false"/>
          <w:sz w:val="20"/>
        </w:rPr>
        <w:br/>
        <w:t xml:space="preserve">In </w:t>
      </w:r>
      <w:r>
        <w:rPr>
          <w:rStyle w:val="Emphasis"/>
          <w:rFonts w:ascii="Calibri;Arial;sans-serif" w:hAnsi="Calibri;Arial;sans-serif"/>
          <w:caps w:val="false"/>
          <w:smallCaps w:val="false"/>
          <w:sz w:val="20"/>
        </w:rPr>
        <w:t xml:space="preserve">November 2023, </w:t>
      </w:r>
      <w:r>
        <w:rPr>
          <w:rFonts w:ascii="Calibri;Arial;sans-serif" w:hAnsi="Calibri;Arial;sans-serif"/>
          <w:caps w:val="false"/>
          <w:smallCaps w:val="false"/>
          <w:sz w:val="20"/>
        </w:rPr>
        <w:t xml:space="preserve">the FASB issued ASU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07,</w:t>
      </w:r>
      <w:r>
        <w:rPr>
          <w:rFonts w:ascii="Calibri;Arial;sans-serif" w:hAnsi="Calibri;Arial;sans-serif"/>
          <w:caps w:val="false"/>
          <w:smallCaps w:val="false"/>
          <w:sz w:val="20"/>
        </w:rPr>
        <w:t xml:space="preserve"> Segment Reporting (Topic </w:t>
      </w:r>
      <w:r>
        <w:rPr>
          <w:rStyle w:val="Emphasis"/>
          <w:rFonts w:ascii="Calibri;Arial;sans-serif" w:hAnsi="Calibri;Arial;sans-serif"/>
          <w:caps w:val="false"/>
          <w:smallCaps w:val="false"/>
          <w:sz w:val="20"/>
        </w:rPr>
        <w:t>280</w:t>
      </w:r>
      <w:r>
        <w:rPr>
          <w:rFonts w:ascii="Calibri;Arial;sans-serif" w:hAnsi="Calibri;Arial;sans-serif"/>
          <w:caps w:val="false"/>
          <w:smallCaps w:val="false"/>
          <w:sz w:val="20"/>
        </w:rPr>
        <w:t xml:space="preserve">): Improvements to Reportable Segment Disclosures. ASU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07</w:t>
      </w:r>
      <w:r>
        <w:rPr>
          <w:rFonts w:ascii="Calibri;Arial;sans-serif" w:hAnsi="Calibri;Arial;sans-serif"/>
          <w:caps w:val="false"/>
          <w:smallCaps w:val="false"/>
          <w:sz w:val="20"/>
        </w:rPr>
        <w:t xml:space="preserve"> improves reportable segment disclosure requirements, primarily through enhanced disclosures about significant segment expenses. In addition, the ASU enhances interim disclosure requirements, clarifies circumstances in which an entity can disclose multiple segment measures of profit or loss, and contains other disclosure requirements. The ASU does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change how an entity identifies its operating segments, aggregates those operating segments, or applies the quantitative thresholds to determine its reportable segments. The ASU is required to be applied retrospectively to all periods presented in the financial statements. The ASU is effective for Kodak for fiscal years beginning after </w:t>
      </w:r>
      <w:r>
        <w:rPr>
          <w:rStyle w:val="Emphasis"/>
          <w:rFonts w:ascii="Calibri;Arial;sans-serif" w:hAnsi="Calibri;Arial;sans-serif"/>
          <w:caps w:val="false"/>
          <w:smallCaps w:val="false"/>
          <w:sz w:val="20"/>
        </w:rPr>
        <w:t xml:space="preserve">December 15, 2023 ( January 1, 2024 </w:t>
      </w:r>
      <w:r>
        <w:rPr>
          <w:rFonts w:ascii="Calibri;Arial;sans-serif" w:hAnsi="Calibri;Arial;sans-serif"/>
          <w:caps w:val="false"/>
          <w:smallCaps w:val="false"/>
          <w:sz w:val="20"/>
        </w:rPr>
        <w:t xml:space="preserve">for Kodak) and interim periods within fiscal years beginning after </w:t>
      </w:r>
      <w:r>
        <w:rPr>
          <w:rStyle w:val="Emphasis"/>
          <w:rFonts w:ascii="Calibri;Arial;sans-serif" w:hAnsi="Calibri;Arial;sans-serif"/>
          <w:caps w:val="false"/>
          <w:smallCaps w:val="false"/>
          <w:sz w:val="20"/>
        </w:rPr>
        <w:t xml:space="preserve">December 15, 2024 ( January 1, 2025 </w:t>
      </w:r>
      <w:r>
        <w:rPr>
          <w:rFonts w:ascii="Calibri;Arial;sans-serif" w:hAnsi="Calibri;Arial;sans-serif"/>
          <w:caps w:val="false"/>
          <w:smallCaps w:val="false"/>
          <w:sz w:val="20"/>
        </w:rPr>
        <w:t>for Kodak).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[9]</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2:</w:t>
      </w:r>
      <w:r>
        <w:rPr>
          <w:rFonts w:ascii="Calibri;Arial;sans-serif" w:hAnsi="Calibri;Arial;sans-serif"/>
          <w:b/>
          <w:caps w:val="false"/>
          <w:smallCaps w:val="false"/>
          <w:sz w:val="20"/>
        </w:rPr>
        <w:t xml:space="preserve"> CASH, CASH EQUIVALENTS AND 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following table provides a reconciliation of cash, cash equivalents and restricted cash reported within the Consolidated Statement of Financial Position that sums to the total of such amounts shown in the Consolidated Statement of Cash Flows:</w:t>
      </w:r>
    </w:p>
    <w:p>
      <w:pPr>
        <w:pStyle w:val="TextBody"/>
        <w:bidi w:val="0"/>
        <w:spacing w:before="0" w:after="0"/>
        <w:ind w:left="0" w:right="0" w:hanging="0"/>
        <w:jc w:val="left"/>
        <w:rPr>
          <w:caps w:val="false"/>
          <w:smallCaps w:val="false"/>
        </w:rPr>
      </w:pPr>
      <w:r>
        <w:rPr>
          <w:caps w:val="false"/>
          <w:smallCaps w:val="false"/>
        </w:rPr>
        <w:t> </w:t>
      </w:r>
    </w:p>
    <w:tbl>
      <w:tblPr>
        <w:tblW w:w="9313" w:type="dxa"/>
        <w:jc w:val="left"/>
        <w:tblInd w:w="0" w:type="dxa"/>
        <w:tblLayout w:type="fixed"/>
        <w:tblCellMar>
          <w:top w:w="0" w:type="dxa"/>
          <w:left w:w="0" w:type="dxa"/>
          <w:bottom w:w="0" w:type="dxa"/>
          <w:right w:w="0" w:type="dxa"/>
        </w:tblCellMar>
      </w:tblPr>
      <w:tblGrid>
        <w:gridCol w:w="6755"/>
        <w:gridCol w:w="60"/>
        <w:gridCol w:w="322"/>
        <w:gridCol w:w="867"/>
        <w:gridCol w:w="60"/>
        <w:gridCol w:w="60"/>
        <w:gridCol w:w="302"/>
        <w:gridCol w:w="812"/>
        <w:gridCol w:w="75"/>
      </w:tblGrid>
      <w:tr>
        <w:trPr/>
        <w:tc>
          <w:tcPr>
            <w:tcW w:w="6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December 31,</w:t>
            </w:r>
          </w:p>
        </w:tc>
        <w:tc>
          <w:tcPr>
            <w:tcW w:w="75" w:type="dxa"/>
            <w:tcBorders/>
            <w:shd w:fill="FFFF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75"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32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6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1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255</w:t>
            </w:r>
          </w:p>
        </w:tc>
        <w:tc>
          <w:tcPr>
            <w:tcW w:w="75"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Restricted cash reported in Other current assets</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w:t>
            </w:r>
          </w:p>
        </w:tc>
        <w:tc>
          <w:tcPr>
            <w:tcW w:w="75"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Restricted cash</w:t>
            </w:r>
          </w:p>
        </w:tc>
        <w:tc>
          <w:tcPr>
            <w:tcW w:w="60" w:type="dxa"/>
            <w:tcBorders/>
            <w:shd w:fill="CCEEFF" w:val="clear"/>
            <w:vAlign w:val="center"/>
          </w:tcPr>
          <w:p>
            <w:pPr>
              <w:pStyle w:val="TableContents"/>
              <w:bidi w:val="0"/>
              <w:spacing w:before="0" w:after="283"/>
              <w:jc w:val="left"/>
              <w:rPr/>
            </w:pPr>
            <w:r>
              <w:rPr/>
              <w:t> </w:t>
            </w:r>
          </w:p>
        </w:tc>
        <w:tc>
          <w:tcPr>
            <w:tcW w:w="3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110</w:t>
            </w:r>
          </w:p>
        </w:tc>
        <w:tc>
          <w:tcPr>
            <w:tcW w:w="75"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0"/>
              <w:ind w:left="360" w:right="0" w:hanging="180"/>
              <w:jc w:val="left"/>
              <w:rPr>
                <w:rFonts w:ascii="Calibri;Arial;sans-serif" w:hAnsi="Calibri;Arial;sans-serif"/>
                <w:caps w:val="false"/>
                <w:smallCaps w:val="false"/>
                <w:sz w:val="20"/>
              </w:rPr>
            </w:pPr>
            <w:r>
              <w:rPr>
                <w:rFonts w:ascii="Calibri;Arial;sans-serif" w:hAnsi="Calibri;Arial;sans-serif"/>
                <w:caps w:val="false"/>
                <w:smallCaps w:val="false"/>
                <w:sz w:val="20"/>
              </w:rPr>
              <w:t>Total cash, cash equivalents and restricted cash shown in the Statement of Cash Flows</w:t>
            </w:r>
          </w:p>
        </w:tc>
        <w:tc>
          <w:tcPr>
            <w:tcW w:w="60" w:type="dxa"/>
            <w:tcBorders/>
            <w:shd w:fill="FFFFFF" w:val="clear"/>
            <w:vAlign w:val="center"/>
          </w:tcPr>
          <w:p>
            <w:pPr>
              <w:pStyle w:val="TableContents"/>
              <w:bidi w:val="0"/>
              <w:spacing w:before="0" w:after="283"/>
              <w:ind w:left="0" w:right="0" w:hanging="0"/>
              <w:jc w:val="left"/>
              <w:rPr/>
            </w:pPr>
            <w:r>
              <w:rPr/>
              <w:t> </w:t>
            </w:r>
          </w:p>
        </w:tc>
        <w:tc>
          <w:tcPr>
            <w:tcW w:w="3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377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Restricted cash reported in Other current assets on the Consolidated Statement of Financial Position primarily represented amounts that support hedging activities as of </w:t>
      </w:r>
      <w:r>
        <w:rPr>
          <w:rStyle w:val="Emphasis"/>
          <w:rFonts w:ascii="Calibri;Arial;sans-serif" w:hAnsi="Calibri;Arial;sans-serif"/>
          <w:caps w:val="false"/>
          <w:smallCaps w:val="false"/>
          <w:sz w:val="20"/>
        </w:rPr>
        <w:t>September 30,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In addition, as of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restricted cash reported in Other current assets included an escrow of $3 million in China to secure ongoing obligations under a supply agreement associated with the strategic relationship with Lucky HuaGuang Graphics Co. Ltd. The escrow requirement under the supply agreement expired in the </w:t>
      </w:r>
      <w:r>
        <w:rPr>
          <w:rStyle w:val="Emphasis"/>
          <w:rFonts w:ascii="Calibri;Arial;sans-serif" w:hAnsi="Calibri;Arial;sans-serif"/>
          <w:caps w:val="false"/>
          <w:smallCaps w:val="false"/>
          <w:sz w:val="20"/>
        </w:rPr>
        <w:t>third</w:t>
      </w:r>
      <w:r>
        <w:rPr>
          <w:rFonts w:ascii="Calibri;Arial;sans-serif" w:hAnsi="Calibri;Arial;sans-serif"/>
          <w:caps w:val="false"/>
          <w:smallCaps w:val="false"/>
          <w:sz w:val="20"/>
        </w:rPr>
        <w:t xml:space="preserve"> quarter of </w:t>
      </w:r>
      <w:r>
        <w:rPr>
          <w:rStyle w:val="Emphasis"/>
          <w:rFonts w:ascii="Calibri;Arial;sans-serif" w:hAnsi="Calibri;Arial;sans-serif"/>
          <w:caps w:val="false"/>
          <w:smallCaps w:val="false"/>
          <w:sz w:val="20"/>
        </w:rPr>
        <w:t>2024.</w:t>
      </w:r>
      <w:r>
        <w:rPr>
          <w:rFonts w:ascii="Calibri;Arial;sans-serif" w:hAnsi="Calibri;Arial;sans-serif"/>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Restricted cash included $29 million and $32 million as of </w:t>
      </w:r>
      <w:r>
        <w:rPr>
          <w:rStyle w:val="Emphasis"/>
          <w:rFonts w:ascii="Calibri;Arial;sans-serif" w:hAnsi="Calibri;Arial;sans-serif"/>
          <w:caps w:val="false"/>
          <w:smallCaps w:val="false"/>
          <w:sz w:val="20"/>
        </w:rPr>
        <w:t>September 30,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respectively, representing the cash collateral required to be posted by the Company under the Letter of Credit Facility Agreement. In addition, restricted cash as of both </w:t>
      </w:r>
      <w:r>
        <w:rPr>
          <w:rStyle w:val="Emphasis"/>
          <w:rFonts w:ascii="Calibri;Arial;sans-serif" w:hAnsi="Calibri;Arial;sans-serif"/>
          <w:caps w:val="false"/>
          <w:smallCaps w:val="false"/>
          <w:sz w:val="20"/>
        </w:rPr>
        <w:t xml:space="preserve"> September 30,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included $63 million representing cash collateral supporting the Company’s undiscounted actuarial workers’ compensation obligations with the New York State Workers’ Compensation Board ("NYS WCB"). Restricted cash as of </w:t>
      </w:r>
      <w:r>
        <w:rPr>
          <w:rStyle w:val="Emphasis"/>
          <w:rFonts w:ascii="Calibri;Arial;sans-serif" w:hAnsi="Calibri;Arial;sans-serif"/>
          <w:caps w:val="false"/>
          <w:smallCaps w:val="false"/>
          <w:sz w:val="20"/>
        </w:rPr>
        <w:t xml:space="preserve"> September 30,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also included $6 million and $8 million, respectively, of security posted related to Brazilian legal contingencies.  In addition, restricted cash as of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included $5 million of cash collateral posted in the United Kingdom for a letter of credit for aluminum 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3:</w:t>
      </w:r>
      <w:r>
        <w:rPr>
          <w:rFonts w:ascii="Calibri;Arial;sans-serif" w:hAnsi="Calibri;Arial;sans-serif"/>
          <w:b/>
          <w:caps w:val="false"/>
          <w:smallCaps w:val="false"/>
          <w:sz w:val="20"/>
        </w:rPr>
        <w:t xml:space="preserve"> INVENTORIES, NET</w:t>
      </w:r>
    </w:p>
    <w:p>
      <w:pPr>
        <w:pStyle w:val="TextBody"/>
        <w:bidi w:val="0"/>
        <w:spacing w:before="0" w:after="0"/>
        <w:ind w:left="0" w:right="0" w:hanging="0"/>
        <w:jc w:val="left"/>
        <w:rPr>
          <w:caps w:val="false"/>
          <w:smallCaps w:val="false"/>
        </w:rPr>
      </w:pPr>
      <w:r>
        <w:rPr>
          <w:caps w:val="false"/>
          <w:smallCaps w:val="false"/>
        </w:rPr>
        <w:t> </w:t>
      </w:r>
    </w:p>
    <w:tbl>
      <w:tblPr>
        <w:tblW w:w="3883" w:type="dxa"/>
        <w:jc w:val="left"/>
        <w:tblInd w:w="0" w:type="dxa"/>
        <w:tblLayout w:type="fixed"/>
        <w:tblCellMar>
          <w:top w:w="0" w:type="dxa"/>
          <w:left w:w="0" w:type="dxa"/>
          <w:bottom w:w="0" w:type="dxa"/>
          <w:right w:w="0" w:type="dxa"/>
        </w:tblCellMar>
      </w:tblPr>
      <w:tblGrid>
        <w:gridCol w:w="1325"/>
        <w:gridCol w:w="60"/>
        <w:gridCol w:w="322"/>
        <w:gridCol w:w="867"/>
        <w:gridCol w:w="60"/>
        <w:gridCol w:w="60"/>
        <w:gridCol w:w="302"/>
        <w:gridCol w:w="812"/>
        <w:gridCol w:w="75"/>
      </w:tblGrid>
      <w:tr>
        <w:trPr/>
        <w:tc>
          <w:tcPr>
            <w:tcW w:w="1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December 31,</w:t>
            </w:r>
          </w:p>
        </w:tc>
        <w:tc>
          <w:tcPr>
            <w:tcW w:w="75" w:type="dxa"/>
            <w:tcBorders/>
            <w:shd w:fill="FFFF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75"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Finished goods</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67"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12"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85</w:t>
            </w:r>
          </w:p>
        </w:tc>
        <w:tc>
          <w:tcPr>
            <w:tcW w:w="75"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Work in process</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68</w:t>
            </w:r>
          </w:p>
        </w:tc>
        <w:tc>
          <w:tcPr>
            <w:tcW w:w="75"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3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64</w:t>
            </w:r>
          </w:p>
        </w:tc>
        <w:tc>
          <w:tcPr>
            <w:tcW w:w="75"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3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During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September 30, 2024, </w:t>
      </w:r>
      <w:r>
        <w:rPr>
          <w:rFonts w:ascii="Calibri;Arial;sans-serif" w:hAnsi="Calibri;Arial;sans-serif"/>
          <w:caps w:val="false"/>
          <w:smallCaps w:val="false"/>
          <w:sz w:val="20"/>
        </w:rPr>
        <w:t xml:space="preserve">Kodak recorded an inventory reserve adjustment of $4 million in its Electrophotographic Printing Solutions business related to higher-than-expected volume declines for certain component and service parts sold to its installed base of printers.  The decline is due to the negative impact of recent pricing actions and ceasing the manufacturing of NEXFINITY printers effective </w:t>
      </w:r>
      <w:r>
        <w:rPr>
          <w:rStyle w:val="Emphasis"/>
          <w:rFonts w:ascii="Calibri;Arial;sans-serif" w:hAnsi="Calibri;Arial;sans-serif"/>
          <w:caps w:val="false"/>
          <w:smallCaps w:val="false"/>
          <w:sz w:val="20"/>
        </w:rPr>
        <w:t xml:space="preserve">December 2022.  </w:t>
      </w:r>
      <w:r>
        <w:rPr>
          <w:rFonts w:ascii="Calibri;Arial;sans-serif" w:hAnsi="Calibri;Arial;sans-serif"/>
          <w:caps w:val="false"/>
          <w:smallCaps w:val="false"/>
          <w:sz w:val="20"/>
        </w:rPr>
        <w:t>The $4 million inventory reserve adjustment is recorded in Cost of revenues in the Consolidated Statement of Operations.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Calibri;Arial;sans-serif" w:hAnsi="Calibri;Arial;sans-serif"/>
          <w:sz w:val="20"/>
        </w:rPr>
        <w:t>[10]</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4:</w:t>
      </w:r>
      <w:r>
        <w:rPr>
          <w:rFonts w:ascii="Calibri;Arial;sans-serif" w:hAnsi="Calibri;Arial;sans-serif"/>
          <w:b/>
          <w:caps w:val="false"/>
          <w:smallCaps w:val="false"/>
          <w:sz w:val="20"/>
        </w:rPr>
        <w:t> REDEEMABLE,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Redeemable convertible preferred stock was as follows:</w:t>
      </w:r>
    </w:p>
    <w:p>
      <w:pPr>
        <w:pStyle w:val="TextBody"/>
        <w:bidi w:val="0"/>
        <w:spacing w:before="0" w:after="0"/>
        <w:ind w:left="0" w:right="0" w:hanging="0"/>
        <w:jc w:val="left"/>
        <w:rPr>
          <w:caps w:val="false"/>
          <w:smallCaps w:val="false"/>
        </w:rPr>
      </w:pPr>
      <w:r>
        <w:rPr>
          <w:caps w:val="false"/>
          <w:smallCaps w:val="false"/>
        </w:rPr>
        <w:t> </w:t>
      </w:r>
    </w:p>
    <w:tbl>
      <w:tblPr>
        <w:tblW w:w="4438" w:type="dxa"/>
        <w:jc w:val="left"/>
        <w:tblInd w:w="0" w:type="dxa"/>
        <w:tblLayout w:type="fixed"/>
        <w:tblCellMar>
          <w:top w:w="0" w:type="dxa"/>
          <w:left w:w="0" w:type="dxa"/>
          <w:bottom w:w="0" w:type="dxa"/>
          <w:right w:w="0" w:type="dxa"/>
        </w:tblCellMar>
      </w:tblPr>
      <w:tblGrid>
        <w:gridCol w:w="1895"/>
        <w:gridCol w:w="60"/>
        <w:gridCol w:w="322"/>
        <w:gridCol w:w="867"/>
        <w:gridCol w:w="60"/>
        <w:gridCol w:w="60"/>
        <w:gridCol w:w="302"/>
        <w:gridCol w:w="812"/>
        <w:gridCol w:w="60"/>
      </w:tblGrid>
      <w:tr>
        <w:trPr/>
        <w:tc>
          <w:tcPr>
            <w:tcW w:w="1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Series B preferred stock</w:t>
            </w:r>
          </w:p>
        </w:tc>
        <w:tc>
          <w:tcPr>
            <w:tcW w:w="60" w:type="dxa"/>
            <w:tcBorders/>
            <w:shd w:fill="CCEEFF" w:val="clear"/>
            <w:vAlign w:val="center"/>
          </w:tcPr>
          <w:p>
            <w:pPr>
              <w:pStyle w:val="TableContents"/>
              <w:bidi w:val="0"/>
              <w:spacing w:before="0" w:after="283"/>
              <w:ind w:left="0" w:right="0" w:hanging="0"/>
              <w:jc w:val="left"/>
              <w:rPr/>
            </w:pPr>
            <w:r>
              <w:rPr/>
              <w:t> </w:t>
            </w:r>
          </w:p>
        </w:tc>
        <w:tc>
          <w:tcPr>
            <w:tcW w:w="32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6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1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96</w:t>
            </w:r>
          </w:p>
        </w:tc>
        <w:tc>
          <w:tcPr>
            <w:tcW w:w="6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Series C preferred stock</w:t>
            </w:r>
          </w:p>
        </w:tc>
        <w:tc>
          <w:tcPr>
            <w:tcW w:w="60" w:type="dxa"/>
            <w:tcBorders/>
            <w:shd w:fill="FFFFFF" w:val="clear"/>
            <w:vAlign w:val="center"/>
          </w:tcPr>
          <w:p>
            <w:pPr>
              <w:pStyle w:val="TableContents"/>
              <w:bidi w:val="0"/>
              <w:spacing w:before="0" w:after="283"/>
              <w:jc w:val="left"/>
              <w:rPr/>
            </w:pPr>
            <w:r>
              <w:rPr/>
              <w:t> </w:t>
            </w:r>
          </w:p>
        </w:tc>
        <w:tc>
          <w:tcPr>
            <w:tcW w:w="3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114</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3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Series B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February 26, 2021 </w:t>
      </w:r>
      <w:r>
        <w:rPr>
          <w:rFonts w:ascii="Calibri;Arial;sans-serif" w:hAnsi="Calibri;Arial;sans-serif"/>
          <w:caps w:val="false"/>
          <w:smallCaps w:val="false"/>
          <w:sz w:val="20"/>
        </w:rPr>
        <w:t xml:space="preserve">the Company agreed to exchange one million shares of Series A Preferred Stock held by Southeastern Asset Management, Inc. (“Southeastern”) and Longleaf Partners Small-Cap Fund, </w:t>
      </w:r>
      <w:r>
        <w:rPr>
          <w:rStyle w:val="Emphasis"/>
          <w:rFonts w:ascii="Calibri;Arial;sans-serif" w:hAnsi="Calibri;Arial;sans-serif"/>
          <w:caps w:val="false"/>
          <w:smallCaps w:val="false"/>
          <w:sz w:val="20"/>
        </w:rPr>
        <w:t>C2W</w:t>
      </w:r>
      <w:r>
        <w:rPr>
          <w:rFonts w:ascii="Calibri;Arial;sans-serif" w:hAnsi="Calibri;Arial;sans-serif"/>
          <w:caps w:val="false"/>
          <w:smallCaps w:val="false"/>
          <w:sz w:val="20"/>
        </w:rPr>
        <w:t xml:space="preserve"> Partners Master Fund Limited and Deseret Mutual Pension Trust, which are investment funds managed by Southeastern (such investment funds, collectively, the “Purchasers”), for shares of the Company’s newly created 4.0% Series B Convertible Preferred Stock, no par value (the “Series B Preferred Stock”), on a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-for-</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basis plus accrued and unpaid dividends. The fair value of the Series B Preferred Stock at the time of issuance approximated $95 million. The Company has classified the Series B Preferred Stock as temporary equity in the Consolidated Statement of Financial Position. If any shares of Series B Preferred Stock have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been converted prior to </w:t>
      </w:r>
      <w:r>
        <w:rPr>
          <w:rStyle w:val="Emphasis"/>
          <w:rFonts w:ascii="Calibri;Arial;sans-serif" w:hAnsi="Calibri;Arial;sans-serif"/>
          <w:caps w:val="false"/>
          <w:smallCaps w:val="false"/>
          <w:sz w:val="20"/>
        </w:rPr>
        <w:t xml:space="preserve">May 28, 2026 </w:t>
      </w:r>
      <w:r>
        <w:rPr>
          <w:rFonts w:ascii="Calibri;Arial;sans-serif" w:hAnsi="Calibri;Arial;sans-serif"/>
          <w:caps w:val="false"/>
          <w:smallCaps w:val="false"/>
          <w:sz w:val="20"/>
        </w:rPr>
        <w:t>the Company is required to redeem such shares at $100 per share plus the amount of accrued and unpaid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Dividend and Other Rights</w:t>
      </w:r>
    </w:p>
    <w:p>
      <w:pPr>
        <w:pStyle w:val="TextBody"/>
        <w:bidi w:val="0"/>
        <w:spacing w:before="0" w:after="0"/>
        <w:ind w:left="0" w:right="0" w:hanging="0"/>
        <w:jc w:val="left"/>
        <w:rPr/>
      </w:pPr>
      <w:r>
        <w:rPr>
          <w:rFonts w:ascii="Calibri;Arial;sans-serif" w:hAnsi="Calibri;Arial;sans-serif"/>
          <w:caps w:val="false"/>
          <w:smallCaps w:val="false"/>
          <w:sz w:val="20"/>
        </w:rPr>
        <w:t xml:space="preserve">The Series B Preferred Stock has a liquidation preference of $100 per share, and the holders of Series B Preferred Stock are entitled to cumulative dividends payable quarterly in cash at a rate of 4.0% per annum. Dividends owed on the Series B Preferred Stock have been declared and paid when due. If dividends on any Series B Preferred Stock are in arrears for </w:t>
      </w:r>
      <w:r>
        <w:rPr>
          <w:rStyle w:val="Emphasis"/>
          <w:rFonts w:ascii="Calibri;Arial;sans-serif" w:hAnsi="Calibri;Arial;sans-serif"/>
          <w:caps w:val="false"/>
          <w:smallCaps w:val="false"/>
          <w:sz w:val="20"/>
        </w:rPr>
        <w:t>six</w:t>
      </w:r>
      <w:r>
        <w:rPr>
          <w:rFonts w:ascii="Calibri;Arial;sans-serif" w:hAnsi="Calibri;Arial;sans-serif"/>
          <w:caps w:val="false"/>
          <w:smallCaps w:val="false"/>
          <w:sz w:val="20"/>
        </w:rPr>
        <w:t xml:space="preserve"> or more consecutive or non-consecutive dividend periods, the holders of the Series B Preferred Stock will be entitled to nominate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director at the next annual shareholder meeting and all subsequent shareholder meetings until all accumulated dividends on such Series B Preferred Stock have been paid or set aside.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Conversion Features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Each share of Series B Preferred Stock is convertible, at the option of each holder at any time, into shares of Common Stock at the initial conversion rate of 9.5238 shares of Common Stock for each share of Series B Preferred Stock (equivalent to an initial conversion price of $10.50 per share of Common Stock). The initial conversion rate and the corresponding conversion price are subject to certain customary anti-dilution adjustments. If a holder elects to convert any shares of Series B Preferred Stock during a specified period in connection with a fundamental change (as defined in the Series B Certificate of Designations), such holder can elect to have the conversion rate adjusted and can elect to receive a cash payment in lieu of shares for a portion of the shares. Such holder will also be entitled to a payment in respect of accumulated dividends. In addition, the Company will have the right to require holders to convert any shares of Series B Preferred Stock in connection with certain reorganization events in which case the conversion rate will be adjusted, subject to certain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Company will have the right to cause the mandatory conversion of the Series B Preferred Stock into shares of Common Stock at any time after the initial issuance of the Series B Preferred Stock if the closing price of the Common Stock has equaled or exceeded $14.50 (subject to adjustment in the same manner as the conversion price) for 45 trading days within a period of 60 consecutive trading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[11]</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Embedded Conversion Features</w:t>
      </w:r>
    </w:p>
    <w:p>
      <w:pPr>
        <w:pStyle w:val="TextBody"/>
        <w:bidi w:val="0"/>
        <w:spacing w:before="0" w:after="0"/>
        <w:ind w:left="0" w:right="0" w:hanging="0"/>
        <w:jc w:val="left"/>
        <w:rPr/>
      </w:pPr>
      <w:r>
        <w:rPr>
          <w:rFonts w:ascii="Calibri;Arial;sans-serif" w:hAnsi="Calibri;Arial;sans-serif"/>
          <w:caps w:val="false"/>
          <w:smallCaps w:val="false"/>
          <w:sz w:val="20"/>
        </w:rPr>
        <w:t xml:space="preserve">The Company allocated </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xml:space="preserve"> million to a derivative liability based on the aggregate fair value of the embedded conversion feature of the Series B Preferred Stock on the date of issuance which reduced the original carrying value of the Series B Preferred Stock. The derivative is being accounted for at fair value with subsequent changes in the fair value being reported as part of Other (income) charges, net in the Consolidated Statement of Operations. The fair value of the Series B Preferred Stock embedded derivative as of both </w:t>
      </w:r>
      <w:r>
        <w:rPr>
          <w:rStyle w:val="Emphasis"/>
          <w:rFonts w:ascii="Calibri;Arial;sans-serif" w:hAnsi="Calibri;Arial;sans-serif"/>
          <w:caps w:val="false"/>
          <w:smallCaps w:val="false"/>
          <w:sz w:val="20"/>
        </w:rPr>
        <w:t>September 30,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was a liability of $1 million and is included in Other long-term liabilities in the accompanying Consolidated Statement of Financial Position.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carrying value of the Series B Preferred Stock is being accreted to the mandatory redemption amount using the effective interest method to Additional paid in capital in the Consolidated Statement of Financial Position as a deemed dividend from the date of issuance through the mandatory redemption date, </w:t>
      </w:r>
      <w:r>
        <w:rPr>
          <w:rStyle w:val="Emphasis"/>
          <w:rFonts w:ascii="Calibri;Arial;sans-serif" w:hAnsi="Calibri;Arial;sans-serif"/>
          <w:caps w:val="false"/>
          <w:smallCaps w:val="false"/>
          <w:sz w:val="20"/>
        </w:rPr>
        <w:t>May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sz w:val="20"/>
        </w:rPr>
      </w:pPr>
      <w:r>
        <w:rPr>
          <w:rFonts w:ascii="Calibri;Arial;sans-serif" w:hAnsi="Calibri;Arial;sans-serif"/>
          <w:b/>
          <w:sz w:val="20"/>
        </w:rPr>
        <w:t>Series C Preferred Stock</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February 26, 2021, </w:t>
      </w:r>
      <w:r>
        <w:rPr>
          <w:rFonts w:ascii="Calibri;Arial;sans-serif" w:hAnsi="Calibri;Arial;sans-serif"/>
          <w:caps w:val="false"/>
          <w:smallCaps w:val="false"/>
          <w:sz w:val="20"/>
        </w:rPr>
        <w:t xml:space="preserve">the Company and GO EK Ventures IV, LLC (the “Investor”) entered into a Series C Preferred Stock Purchase Agreement (the “Purchase Agreement”) pursuant to which the Company agreed to sell to the Investor, and the Investor agreed to purchase from the Company, an aggregate of 1,000,000 shares of the Company’s newly created 5.0% Series C Convertible Preferred Stock, no par value per share (the “Series C Preferred Stock”), for a purchase price of $100 per share, representing $100 million of gross proceeds to the Company. The Investor is a fund managed by Grand Oaks Capital. The Company has classified the Series C Preferred Stock as temporary equity in the Consolidated Statement of Financial Position.  If any shares of Series C Preferred Stock have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been converted prior to </w:t>
      </w:r>
      <w:r>
        <w:rPr>
          <w:rStyle w:val="Emphasis"/>
          <w:rFonts w:ascii="Calibri;Arial;sans-serif" w:hAnsi="Calibri;Arial;sans-serif"/>
          <w:caps w:val="false"/>
          <w:smallCaps w:val="false"/>
          <w:sz w:val="20"/>
        </w:rPr>
        <w:t xml:space="preserve">May 28, 2026, </w:t>
      </w:r>
      <w:r>
        <w:rPr>
          <w:rFonts w:ascii="Calibri;Arial;sans-serif" w:hAnsi="Calibri;Arial;sans-serif"/>
          <w:caps w:val="false"/>
          <w:smallCaps w:val="false"/>
          <w:sz w:val="20"/>
        </w:rPr>
        <w:t xml:space="preserve">the Company is required to redeem such shares at $100 per share plus the amount of accrued and unpaid dividends thereon; provided that the holders of the Series C Preferred Stock have the right to extend such redemption date by up to </w:t>
      </w:r>
      <w:r>
        <w:rPr>
          <w:rStyle w:val="Emphasis"/>
          <w:rFonts w:ascii="Calibri;Arial;sans-serif" w:hAnsi="Calibri;Arial;sans-serif"/>
          <w:caps w:val="false"/>
          <w:smallCaps w:val="false"/>
          <w:sz w:val="20"/>
        </w:rPr>
        <w:t>two</w:t>
      </w:r>
      <w:r>
        <w:rPr>
          <w:rFonts w:ascii="Calibri;Arial;sans-serif" w:hAnsi="Calibri;Arial;sans-serif"/>
          <w:caps w:val="false"/>
          <w:smallCaps w:val="false"/>
          <w:sz w:val="20"/>
        </w:rPr>
        <w:t xml:space="preserv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Dividend and Other Rights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Series C Preferred Stock has a liquidation preference of $100 per share, and the holders of Series C Preferred Stock are entitled to cumulative dividends payable quarterly “in‐kind” in the form of additional shares of Series C Preferred Stock at a rate of 5.0% per annum. Dividends owed on the Series C Preferred Stock have been declared and additional Series C shares issued when due. Holders of the Series C Preferred Stock are also entitled to participate in any dividends paid on the Common Stock (other than stock dividends) on an as-converted basis, with such dividends on any shares of the Series C Preferred Stock being payable upon conversion of such shares of Series C Preferred Stock to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Conversion Features </w:t>
      </w:r>
    </w:p>
    <w:p>
      <w:pPr>
        <w:pStyle w:val="TextBody"/>
        <w:bidi w:val="0"/>
        <w:spacing w:before="0" w:after="0"/>
        <w:ind w:left="0" w:right="0" w:hanging="0"/>
        <w:jc w:val="left"/>
        <w:rPr/>
      </w:pPr>
      <w:r>
        <w:rPr>
          <w:rFonts w:ascii="Calibri;Arial;sans-serif" w:hAnsi="Calibri;Arial;sans-serif"/>
          <w:caps w:val="false"/>
          <w:smallCaps w:val="false"/>
          <w:sz w:val="20"/>
        </w:rPr>
        <w:t xml:space="preserve">Each share of Series C Preferred Stock is convertible, at the option of each holder at any time, into shares of Common Stock at the initial conversion price of $10 per share of Common Stock. The initial conversion price and the corresponding conversion rate are subject to certain customary anti-dilution adjustments and to proportional increase in the event the liquidation preference of the Series C Preferred Stock is automatically increased. If a holder elects to convert any shares of Series C Preferred Stock during a specified period in connection with a fundamental change (as defined in the Series C Certificate of Designations), such holder can elect to have the conversion rate adjusted and can elect to receive a cash payment in lieu of shares for a portion of the shares of Common Stock. Such holder will also be entitled to a payment in respect of accumulated dividends and a payment based on the present value of all required remaining dividend payments through </w:t>
      </w:r>
      <w:r>
        <w:rPr>
          <w:rStyle w:val="Emphasis"/>
          <w:rFonts w:ascii="Calibri;Arial;sans-serif" w:hAnsi="Calibri;Arial;sans-serif"/>
          <w:caps w:val="false"/>
          <w:smallCaps w:val="false"/>
          <w:sz w:val="20"/>
        </w:rPr>
        <w:t xml:space="preserve">May 28, 2026, </w:t>
      </w:r>
      <w:r>
        <w:rPr>
          <w:rFonts w:ascii="Calibri;Arial;sans-serif" w:hAnsi="Calibri;Arial;sans-serif"/>
          <w:caps w:val="false"/>
          <w:smallCaps w:val="false"/>
          <w:sz w:val="20"/>
        </w:rPr>
        <w:t>the mandatory redemption date. Such additional payments will be payable at the Company’s option in cash or in additional shares of Common Stock. In addition, the Company will have the right to require holders to convert any shares of Series C Preferred Stock in connection with certain reorganization events in which case the conversion rate will be adjusted, subject to certain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Company has the right to cause the mandatory conversion of the Series C Preferred Stock into shares of Common Stock at any time after </w:t>
      </w:r>
      <w:r>
        <w:rPr>
          <w:rStyle w:val="Emphasis"/>
          <w:rFonts w:ascii="Calibri;Arial;sans-serif" w:hAnsi="Calibri;Arial;sans-serif"/>
          <w:caps w:val="false"/>
          <w:smallCaps w:val="false"/>
          <w:sz w:val="20"/>
        </w:rPr>
        <w:t xml:space="preserve">February 26, 2024 </w:t>
      </w:r>
      <w:r>
        <w:rPr>
          <w:rFonts w:ascii="Calibri;Arial;sans-serif" w:hAnsi="Calibri;Arial;sans-serif"/>
          <w:caps w:val="false"/>
          <w:smallCaps w:val="false"/>
          <w:sz w:val="20"/>
        </w:rPr>
        <w:t>if the closing price of the Common Stock has equaled or exceeded 150% of the then-effective conversion price for 45 trading days within a period of 60 consecutive trading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[12]</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Embedded Conversion Features</w:t>
      </w:r>
    </w:p>
    <w:p>
      <w:pPr>
        <w:pStyle w:val="TextBody"/>
        <w:bidi w:val="0"/>
        <w:spacing w:before="0" w:after="0"/>
        <w:ind w:left="0" w:right="0" w:hanging="0"/>
        <w:jc w:val="left"/>
        <w:rPr/>
      </w:pPr>
      <w:r>
        <w:rPr>
          <w:rFonts w:ascii="Calibri;Arial;sans-serif" w:hAnsi="Calibri;Arial;sans-serif"/>
          <w:caps w:val="false"/>
          <w:smallCaps w:val="false"/>
          <w:sz w:val="20"/>
        </w:rPr>
        <w:t>The Company allocated $2 million of the net proceeds received to a derivative liability based on the aggregate fair value of the embedded conversion feature of the Series C Preferred Stock on the dates of issuance which reduced the original carrying value of the Series C Preferred Stock. The derivative is being accounted for at fair value with subsequent changes in the fair value being reported as part of Other (income) charges, net in the Consolidated Statement of Operations. The fair value of the Series C Preferred Stock derivative as of both </w:t>
      </w:r>
      <w:r>
        <w:rPr>
          <w:rStyle w:val="Emphasis"/>
          <w:rFonts w:ascii="Calibri;Arial;sans-serif" w:hAnsi="Calibri;Arial;sans-serif"/>
          <w:caps w:val="false"/>
          <w:smallCaps w:val="false"/>
          <w:sz w:val="20"/>
        </w:rPr>
        <w:t xml:space="preserve"> September 30,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was a liability of $1 million and is included in Other long-term liabilities in the accompanying Consolidated Statement of Financial Position.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carrying value of the Series C Preferred Stock is being accreted to the mandatory redemption amount using the effective interest method to Additional paid in capital in the Consolidated Statement of Financial Position as a deemed dividend from the date of issuance through the mandatory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5:</w:t>
      </w:r>
      <w:r>
        <w:rPr>
          <w:rFonts w:ascii="Calibri;Arial;sans-serif" w:hAnsi="Calibri;Arial;sans-serif"/>
          <w:b/>
          <w:caps w:val="false"/>
          <w:smallCaps w:val="false"/>
          <w:sz w:val="20"/>
        </w:rPr>
        <w:t xml:space="preserv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Income recognized on operating lease arrangements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September 30, 2024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is presented below. Income recognized for sales-type lease arrangements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 September 30,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was $0 million and $1 million, respectively.</w:t>
      </w:r>
    </w:p>
    <w:p>
      <w:pPr>
        <w:pStyle w:val="TextBody"/>
        <w:bidi w:val="0"/>
        <w:spacing w:before="0" w:after="0"/>
        <w:ind w:left="0" w:right="0" w:hanging="0"/>
        <w:jc w:val="left"/>
        <w:rPr>
          <w:caps w:val="false"/>
          <w:smallCaps w:val="false"/>
        </w:rPr>
      </w:pPr>
      <w:r>
        <w:rPr>
          <w:caps w:val="false"/>
          <w:smallCaps w:val="false"/>
        </w:rPr>
        <w:t> </w:t>
      </w:r>
    </w:p>
    <w:tbl>
      <w:tblPr>
        <w:tblW w:w="6054" w:type="dxa"/>
        <w:jc w:val="left"/>
        <w:tblInd w:w="0" w:type="dxa"/>
        <w:tblLayout w:type="fixed"/>
        <w:tblCellMar>
          <w:top w:w="0" w:type="dxa"/>
          <w:left w:w="0" w:type="dxa"/>
          <w:bottom w:w="0" w:type="dxa"/>
          <w:right w:w="0" w:type="dxa"/>
        </w:tblCellMar>
      </w:tblPr>
      <w:tblGrid>
        <w:gridCol w:w="2525"/>
        <w:gridCol w:w="60"/>
        <w:gridCol w:w="339"/>
        <w:gridCol w:w="339"/>
        <w:gridCol w:w="160"/>
        <w:gridCol w:w="160"/>
        <w:gridCol w:w="339"/>
        <w:gridCol w:w="344"/>
        <w:gridCol w:w="60"/>
        <w:gridCol w:w="60"/>
        <w:gridCol w:w="242"/>
        <w:gridCol w:w="446"/>
        <w:gridCol w:w="116"/>
        <w:gridCol w:w="116"/>
        <w:gridCol w:w="242"/>
        <w:gridCol w:w="446"/>
        <w:gridCol w:w="60"/>
      </w:tblGrid>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1"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8"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6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6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Lease income - operating leases:</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Lease income</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339"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344"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46"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46"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Variable lease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3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9"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1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3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4"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6"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4</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6"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lease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3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3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6:</w:t>
      </w:r>
      <w:r>
        <w:rPr>
          <w:rFonts w:ascii="Calibri;Arial;sans-serif" w:hAnsi="Calibri;Arial;sans-serif"/>
          <w:b/>
          <w:caps w:val="false"/>
          <w:smallCaps w:val="false"/>
          <w:sz w:val="20"/>
        </w:rPr>
        <w:t xml:space="preserve">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As of </w:t>
      </w:r>
      <w:r>
        <w:rPr>
          <w:rStyle w:val="Emphasis"/>
          <w:rFonts w:ascii="Calibri;Arial;sans-serif" w:hAnsi="Calibri;Arial;sans-serif"/>
          <w:caps w:val="false"/>
          <w:smallCaps w:val="false"/>
          <w:sz w:val="20"/>
        </w:rPr>
        <w:t>September 30, 2024</w:t>
      </w:r>
      <w:r>
        <w:rPr>
          <w:rFonts w:ascii="Calibri;Arial;sans-serif" w:hAnsi="Calibri;Arial;sans-serif"/>
          <w:caps w:val="false"/>
          <w:smallCaps w:val="false"/>
          <w:sz w:val="20"/>
        </w:rPr>
        <w:t>, the Company had outstanding letters of credit of $27 million issued under the Amended and Restated Letter of Credit Facility Agreement ("L/C Facility Agreement") as well as bank guarantees and letters of credit of $1 million, surety bonds in the amount of $27 million, and restricted cash of $108 million, primarily related to cash collateral supporting the Company’s undiscounted actuarial workers’ compensation obligations with the NYS WCB, cash collateral to ensure payment of possible casualty and workers’ compensation claims, cash collateral supporting the outstanding letters of credit under the Letter of Credit Facility Agreement, to ensure payment of possible legal contingencies, hedging activities, environmental liabilities, rental payments and to support various customs, tax and trade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Kodak’s Brazilian operations are involved in various litigation matters in Brazil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Kodak’s Brazilian operations are disputing these matters and intend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w:t>
      </w:r>
      <w:r>
        <w:rPr>
          <w:rStyle w:val="Emphasis"/>
          <w:rFonts w:ascii="Calibri;Arial;sans-serif" w:hAnsi="Calibri;Arial;sans-serif"/>
          <w:caps w:val="false"/>
          <w:smallCaps w:val="false"/>
          <w:sz w:val="20"/>
        </w:rPr>
        <w:t>September 30, 2024</w:t>
      </w:r>
      <w:r>
        <w:rPr>
          <w:rFonts w:ascii="Calibri;Arial;sans-serif" w:hAnsi="Calibri;Arial;sans-serif"/>
          <w:caps w:val="false"/>
          <w:smallCaps w:val="false"/>
          <w:sz w:val="20"/>
        </w:rPr>
        <w:t xml:space="preserve">, Kodak’s Brazilian operations maintained accruals of approximately $3 million for claims aggregating approximately $86 million inclusive of interest and penalties where appropriate. The unreserved portion of the indirect taxes, civil litigation and disputes associated with former employees and contract labor claims, inclusive of any related interest and penalties, for which there was at least a reasonable possibility that a loss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be incurred, amounted to approximately $5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In connection with assessments in Brazil, local regulations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 xml:space="preserve">require Kodak’s Brazilian operations to post security for a portion of the amounts in dispute. As of </w:t>
      </w:r>
      <w:r>
        <w:rPr>
          <w:rStyle w:val="Emphasis"/>
          <w:rFonts w:ascii="Calibri;Arial;sans-serif" w:hAnsi="Calibri;Arial;sans-serif"/>
          <w:caps w:val="false"/>
          <w:smallCaps w:val="false"/>
          <w:sz w:val="20"/>
        </w:rPr>
        <w:t>September 30, 2024</w:t>
      </w:r>
      <w:r>
        <w:rPr>
          <w:rFonts w:ascii="Calibri;Arial;sans-serif" w:hAnsi="Calibri;Arial;sans-serif"/>
          <w:caps w:val="false"/>
          <w:smallCaps w:val="false"/>
          <w:sz w:val="20"/>
        </w:rPr>
        <w:t xml:space="preserve">, Kodak’s Brazilian operations have posted security composed of $6 million of pledged cash reported within Restricted cash in the Consolidated Statement of Financial Position and liens on certain Brazilian assets with a net book value of approximately $40 million. Generally, any encumbrances on the Brazilian assets would be removed to the extent the matter is resolved in favor of Kodak’s Brazilian operations.  The matter securing the lien on the non-cash assets was resolved in favor of Kodak’s Brazilian operations on </w:t>
      </w:r>
      <w:r>
        <w:rPr>
          <w:rStyle w:val="Emphasis"/>
          <w:rFonts w:ascii="Calibri;Arial;sans-serif" w:hAnsi="Calibri;Arial;sans-serif"/>
          <w:caps w:val="false"/>
          <w:smallCaps w:val="false"/>
          <w:sz w:val="20"/>
        </w:rPr>
        <w:t xml:space="preserve">March 12, 2024 </w:t>
      </w:r>
      <w:r>
        <w:rPr>
          <w:rFonts w:ascii="Calibri;Arial;sans-serif" w:hAnsi="Calibri;Arial;sans-serif"/>
          <w:caps w:val="false"/>
          <w:smallCaps w:val="false"/>
          <w:sz w:val="20"/>
        </w:rPr>
        <w:t>and those operations are in the process of having the lien on those assets removed.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[13]</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sz w:val="20"/>
        </w:rPr>
        <w:t xml:space="preserve">The Company has received </w:t>
      </w:r>
      <w:r>
        <w:rPr>
          <w:rStyle w:val="Emphasis"/>
          <w:rFonts w:ascii="Calibri;Arial;sans-serif" w:hAnsi="Calibri;Arial;sans-serif"/>
          <w:sz w:val="20"/>
        </w:rPr>
        <w:t>five</w:t>
      </w:r>
      <w:r>
        <w:rPr>
          <w:rFonts w:ascii="Calibri;Arial;sans-serif" w:hAnsi="Calibri;Arial;sans-serif"/>
          <w:sz w:val="20"/>
        </w:rPr>
        <w:t xml:space="preserve"> requests under New Jersey law demanding, among other things, that the Company take certain actions in response to alleged breaches of fiduciary duty relating to option grants and securities transactions and alleged proxy statement disclosure deficiencies (each a “Derivative Demand”, and collectively the “Derivative Demands”) in the context of an announcement on </w:t>
      </w:r>
      <w:r>
        <w:rPr>
          <w:rStyle w:val="Emphasis"/>
          <w:rFonts w:ascii="Calibri;Arial;sans-serif" w:hAnsi="Calibri;Arial;sans-serif"/>
          <w:sz w:val="20"/>
        </w:rPr>
        <w:t>July 28, 2020 (</w:t>
      </w:r>
      <w:r>
        <w:rPr>
          <w:rFonts w:ascii="Calibri;Arial;sans-serif" w:hAnsi="Calibri;Arial;sans-serif"/>
          <w:sz w:val="20"/>
        </w:rPr>
        <w:t>the “DFC Announcement”) by the U.S. International Development Finance Corporation (the “DFC”) regarding the signing of a non-binding letter of interest to provide a subsidiary of the Company with a potential $765 million loan (the “DFC Loan”) to support the launch of Kodak Pharmaceuticals, an initiative that would manufacture pharmaceutical ingredients for essential generic drugs (the “DFC Pharmaceutical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May 19, 2021 </w:t>
      </w:r>
      <w:r>
        <w:rPr>
          <w:rFonts w:ascii="Calibri;Arial;sans-serif" w:hAnsi="Calibri;Arial;sans-serif"/>
          <w:caps w:val="false"/>
          <w:smallCaps w:val="false"/>
          <w:sz w:val="20"/>
        </w:rPr>
        <w:t xml:space="preserve">Louis Peters,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of the persons making a Derivative Demand (“Peters”), commenced a derivative lawsuit on behalf of the Company against certain officers and current and former directors of the Company and the Company as a nominal defendant in the Supreme Court of the State of New York in Monroe County seeking damages and equitable relief based on alleged breaches of fiduciary duty and unjust enrichment resulting from stock trades, option grants and a charitable contribution in the context of the DFC Announcement of the potential DFC Loan and DFC Pharmaceutical Project (the “State Derivative Lawsuit”). The plaintiff filed an amended complaint in the State Derivative Lawsuit on </w:t>
      </w:r>
      <w:r>
        <w:rPr>
          <w:rStyle w:val="Emphasis"/>
          <w:rFonts w:ascii="Calibri;Arial;sans-serif" w:hAnsi="Calibri;Arial;sans-serif"/>
          <w:caps w:val="false"/>
          <w:smallCaps w:val="false"/>
          <w:sz w:val="20"/>
        </w:rPr>
        <w:t xml:space="preserve">August 23, 2021, </w:t>
      </w:r>
      <w:r>
        <w:rPr>
          <w:rFonts w:ascii="Calibri;Arial;sans-serif" w:hAnsi="Calibri;Arial;sans-serif"/>
          <w:caps w:val="false"/>
          <w:smallCaps w:val="false"/>
          <w:sz w:val="20"/>
        </w:rPr>
        <w:t xml:space="preserve">and the Company and individual defendants filed motions to dismiss (or alternatively, in the case of the Company, a motion for summary judgment) in the State Derivative Lawsuit on </w:t>
      </w:r>
      <w:r>
        <w:rPr>
          <w:rStyle w:val="Emphasis"/>
          <w:rFonts w:ascii="Calibri;Arial;sans-serif" w:hAnsi="Calibri;Arial;sans-serif"/>
          <w:caps w:val="false"/>
          <w:smallCaps w:val="false"/>
          <w:sz w:val="20"/>
        </w:rPr>
        <w:t xml:space="preserve">October 22, 2021. </w:t>
      </w: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March 17, 2022, </w:t>
      </w:r>
      <w:r>
        <w:rPr>
          <w:rFonts w:ascii="Calibri;Arial;sans-serif" w:hAnsi="Calibri;Arial;sans-serif"/>
          <w:caps w:val="false"/>
          <w:smallCaps w:val="false"/>
          <w:sz w:val="20"/>
        </w:rPr>
        <w:t>the court issued an order staying the State Derivative Lawsuit pending the resolution of the Federal Derivative Lawsuit described below.</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Calibri;Arial;sans-serif" w:hAnsi="Calibri;Arial;sans-serif"/>
          <w:sz w:val="20"/>
        </w:rPr>
        <w:t xml:space="preserve">On </w:t>
      </w:r>
      <w:r>
        <w:rPr>
          <w:rStyle w:val="Emphasis"/>
          <w:rFonts w:ascii="Calibri;Arial;sans-serif" w:hAnsi="Calibri;Arial;sans-serif"/>
          <w:sz w:val="20"/>
        </w:rPr>
        <w:t xml:space="preserve">September 2, 2021 </w:t>
      </w:r>
      <w:r>
        <w:rPr>
          <w:rFonts w:ascii="Calibri;Arial;sans-serif" w:hAnsi="Calibri;Arial;sans-serif"/>
          <w:sz w:val="20"/>
        </w:rPr>
        <w:t xml:space="preserve">Herbert Silverberg, another person making a Derivative Demand (“Silverberg”), commenced a derivative lawsuit on behalf of the Company against </w:t>
      </w:r>
      <w:r>
        <w:rPr>
          <w:rStyle w:val="Emphasis"/>
          <w:rFonts w:ascii="Calibri;Arial;sans-serif" w:hAnsi="Calibri;Arial;sans-serif"/>
          <w:sz w:val="20"/>
        </w:rPr>
        <w:t>one</w:t>
      </w:r>
      <w:r>
        <w:rPr>
          <w:rFonts w:ascii="Calibri;Arial;sans-serif" w:hAnsi="Calibri;Arial;sans-serif"/>
          <w:sz w:val="20"/>
        </w:rPr>
        <w:t xml:space="preserve"> current and </w:t>
      </w:r>
      <w:r>
        <w:rPr>
          <w:rStyle w:val="Emphasis"/>
          <w:rFonts w:ascii="Calibri;Arial;sans-serif" w:hAnsi="Calibri;Arial;sans-serif"/>
          <w:sz w:val="20"/>
        </w:rPr>
        <w:t>one</w:t>
      </w:r>
      <w:r>
        <w:rPr>
          <w:rFonts w:ascii="Calibri;Arial;sans-serif" w:hAnsi="Calibri;Arial;sans-serif"/>
          <w:sz w:val="20"/>
        </w:rPr>
        <w:t xml:space="preserve"> former director of the Company and the Company as a nominal defendant in the Federal District Court for the Western District of New York seeking damages and equitable relief on a basis overlapping with the State Derivative Lawsuit and alleged proxy statement misrepresentations and omissions. On </w:t>
      </w:r>
      <w:r>
        <w:rPr>
          <w:rStyle w:val="Emphasis"/>
          <w:rFonts w:ascii="Calibri;Arial;sans-serif" w:hAnsi="Calibri;Arial;sans-serif"/>
          <w:sz w:val="20"/>
        </w:rPr>
        <w:t xml:space="preserve">October 4, 2021 </w:t>
      </w:r>
      <w:r>
        <w:rPr>
          <w:rFonts w:ascii="Calibri;Arial;sans-serif" w:hAnsi="Calibri;Arial;sans-serif"/>
          <w:sz w:val="20"/>
        </w:rPr>
        <w:t xml:space="preserve">Peters commenced a derivative lawsuit on behalf of the Company against the same parties named in the State Derivative Lawsuit in the Federal District Court for the Western District of New York seeking damages and equitable relief on a basis overlapping with the State Derivative Lawsuit and alleged violations of Section </w:t>
      </w:r>
      <w:r>
        <w:rPr>
          <w:rStyle w:val="Emphasis"/>
          <w:rFonts w:ascii="Calibri;Arial;sans-serif" w:hAnsi="Calibri;Arial;sans-serif"/>
          <w:sz w:val="20"/>
        </w:rPr>
        <w:t>10</w:t>
      </w:r>
      <w:r>
        <w:rPr>
          <w:rFonts w:ascii="Calibri;Arial;sans-serif" w:hAnsi="Calibri;Arial;sans-serif"/>
          <w:sz w:val="20"/>
        </w:rPr>
        <w:t xml:space="preserve">(b) of the Exchange Act. The Federal derivative lawsuits filed by Silverberg and Peters were consolidated into a single proceeding (the “Federal Derivative Lawsuit”) on </w:t>
      </w:r>
      <w:r>
        <w:rPr>
          <w:rStyle w:val="Emphasis"/>
          <w:rFonts w:ascii="Calibri;Arial;sans-serif" w:hAnsi="Calibri;Arial;sans-serif"/>
          <w:sz w:val="20"/>
        </w:rPr>
        <w:t xml:space="preserve">January 18, 2022, </w:t>
      </w:r>
      <w:r>
        <w:rPr>
          <w:rFonts w:ascii="Calibri;Arial;sans-serif" w:hAnsi="Calibri;Arial;sans-serif"/>
          <w:sz w:val="20"/>
        </w:rPr>
        <w:t xml:space="preserve">and Peters was appointed as lead plaintiff in the Federal Derivative Lawsuit. An amended consolidated complaint combining the allegations contained in the Federal derivative lawsuits filed by Silverberg and Peters was filed in the Federal Derivative Lawsuit on </w:t>
      </w:r>
      <w:r>
        <w:rPr>
          <w:rStyle w:val="Emphasis"/>
          <w:rFonts w:ascii="Calibri;Arial;sans-serif" w:hAnsi="Calibri;Arial;sans-serif"/>
          <w:sz w:val="20"/>
        </w:rPr>
        <w:t xml:space="preserve">February 16, 2022, </w:t>
      </w:r>
      <w:r>
        <w:rPr>
          <w:rFonts w:ascii="Calibri;Arial;sans-serif" w:hAnsi="Calibri;Arial;sans-serif"/>
          <w:sz w:val="20"/>
        </w:rPr>
        <w:t xml:space="preserve">and the Company and individual defendants served motions to dismiss or, in the alternative in the case of the Company, for summary judgment on </w:t>
      </w:r>
      <w:r>
        <w:rPr>
          <w:rStyle w:val="Emphasis"/>
          <w:rFonts w:ascii="Calibri;Arial;sans-serif" w:hAnsi="Calibri;Arial;sans-serif"/>
          <w:sz w:val="20"/>
        </w:rPr>
        <w:t xml:space="preserve">April 15, 2022. </w:t>
      </w:r>
      <w:r>
        <w:rPr>
          <w:rFonts w:ascii="Calibri;Arial;sans-serif" w:hAnsi="Calibri;Arial;sans-serif"/>
          <w:sz w:val="20"/>
        </w:rPr>
        <w:t xml:space="preserve">Threshold discovery in the case was completed, and the Company and individual defendants formally filed their motions to dismiss/for summary judgment on </w:t>
      </w:r>
      <w:r>
        <w:rPr>
          <w:rStyle w:val="Emphasis"/>
          <w:rFonts w:ascii="Calibri;Arial;sans-serif" w:hAnsi="Calibri;Arial;sans-serif"/>
          <w:sz w:val="20"/>
        </w:rPr>
        <w:t xml:space="preserve">September 30, 2022. </w:t>
      </w:r>
      <w:r>
        <w:rPr>
          <w:rFonts w:ascii="Calibri;Arial;sans-serif" w:hAnsi="Calibri;Arial;sans-serif"/>
          <w:sz w:val="20"/>
        </w:rPr>
        <w:t xml:space="preserve">The plaintiffs filed an opposition to the motions to dismiss/for summary judgment on </w:t>
      </w:r>
      <w:r>
        <w:rPr>
          <w:rStyle w:val="Emphasis"/>
          <w:rFonts w:ascii="Calibri;Arial;sans-serif" w:hAnsi="Calibri;Arial;sans-serif"/>
          <w:sz w:val="20"/>
        </w:rPr>
        <w:t xml:space="preserve">November 14, 2022, </w:t>
      </w:r>
      <w:r>
        <w:rPr>
          <w:rFonts w:ascii="Calibri;Arial;sans-serif" w:hAnsi="Calibri;Arial;sans-serif"/>
          <w:sz w:val="20"/>
        </w:rPr>
        <w:t xml:space="preserve">and the Company and the individual defendants filed responses to the plaintiffs’ opposition on </w:t>
      </w:r>
      <w:r>
        <w:rPr>
          <w:rStyle w:val="Emphasis"/>
          <w:rFonts w:ascii="Calibri;Arial;sans-serif" w:hAnsi="Calibri;Arial;sans-serif"/>
          <w:sz w:val="20"/>
        </w:rPr>
        <w:t xml:space="preserve">December 27, 2022 </w:t>
      </w:r>
      <w:r>
        <w:rPr>
          <w:rFonts w:ascii="Calibri;Arial;sans-serif" w:hAnsi="Calibri;Arial;sans-serif"/>
          <w:sz w:val="20"/>
        </w:rPr>
        <w:t xml:space="preserve">and </w:t>
      </w:r>
      <w:r>
        <w:rPr>
          <w:rStyle w:val="Emphasis"/>
          <w:rFonts w:ascii="Calibri;Arial;sans-serif" w:hAnsi="Calibri;Arial;sans-serif"/>
          <w:sz w:val="20"/>
        </w:rPr>
        <w:t xml:space="preserve">December 23, 2022, </w:t>
      </w:r>
      <w:r>
        <w:rPr>
          <w:rFonts w:ascii="Calibri;Arial;sans-serif" w:hAnsi="Calibri;Arial;sans-serif"/>
          <w:sz w:val="20"/>
        </w:rPr>
        <w:t xml:space="preserve">respectively. A hearing with respect to the motions to dismiss/for summary judgment was held on </w:t>
      </w:r>
      <w:r>
        <w:rPr>
          <w:rStyle w:val="Emphasis"/>
          <w:rFonts w:ascii="Calibri;Arial;sans-serif" w:hAnsi="Calibri;Arial;sans-serif"/>
          <w:sz w:val="20"/>
        </w:rPr>
        <w:t xml:space="preserve">August 9, 2023, </w:t>
      </w:r>
      <w:r>
        <w:rPr>
          <w:rFonts w:ascii="Calibri;Arial;sans-serif" w:hAnsi="Calibri;Arial;sans-serif"/>
          <w:sz w:val="20"/>
        </w:rPr>
        <w:t xml:space="preserve">and the lawsuit was dismissed in its entirety with prejudice on </w:t>
      </w:r>
      <w:r>
        <w:rPr>
          <w:rStyle w:val="Emphasis"/>
          <w:rFonts w:ascii="Calibri;Arial;sans-serif" w:hAnsi="Calibri;Arial;sans-serif"/>
          <w:sz w:val="20"/>
        </w:rPr>
        <w:t xml:space="preserve">September 26, 2023. </w:t>
      </w:r>
      <w:r>
        <w:rPr>
          <w:rFonts w:ascii="Calibri;Arial;sans-serif" w:hAnsi="Calibri;Arial;sans-serif"/>
          <w:sz w:val="20"/>
        </w:rPr>
        <w:t xml:space="preserve">The plaintiffs/appellants filed a notice of appeal of the dismissal on </w:t>
      </w:r>
      <w:r>
        <w:rPr>
          <w:rStyle w:val="Emphasis"/>
          <w:rFonts w:ascii="Calibri;Arial;sans-serif" w:hAnsi="Calibri;Arial;sans-serif"/>
          <w:sz w:val="20"/>
        </w:rPr>
        <w:t xml:space="preserve">October 25, 2023 </w:t>
      </w:r>
      <w:r>
        <w:rPr>
          <w:rFonts w:ascii="Calibri;Arial;sans-serif" w:hAnsi="Calibri;Arial;sans-serif"/>
          <w:sz w:val="20"/>
        </w:rPr>
        <w:t xml:space="preserve">and filed their brief on appeal on </w:t>
      </w:r>
      <w:r>
        <w:rPr>
          <w:rStyle w:val="Emphasis"/>
          <w:rFonts w:ascii="Calibri;Arial;sans-serif" w:hAnsi="Calibri;Arial;sans-serif"/>
          <w:sz w:val="20"/>
        </w:rPr>
        <w:t xml:space="preserve">March 21, 2024.  </w:t>
      </w:r>
      <w:r>
        <w:rPr>
          <w:rFonts w:ascii="Calibri;Arial;sans-serif" w:hAnsi="Calibri;Arial;sans-serif"/>
          <w:sz w:val="20"/>
        </w:rPr>
        <w:t xml:space="preserve">The Company filed its response brief on </w:t>
      </w:r>
      <w:r>
        <w:rPr>
          <w:rStyle w:val="Emphasis"/>
          <w:rFonts w:ascii="Calibri;Arial;sans-serif" w:hAnsi="Calibri;Arial;sans-serif"/>
          <w:sz w:val="20"/>
        </w:rPr>
        <w:t xml:space="preserve">June 20, 2024, </w:t>
      </w:r>
      <w:r>
        <w:rPr>
          <w:rFonts w:ascii="Calibri;Arial;sans-serif" w:hAnsi="Calibri;Arial;sans-serif"/>
          <w:sz w:val="20"/>
        </w:rPr>
        <w:t xml:space="preserve">and the plaintiffs/appellants filed their reply brief on </w:t>
      </w:r>
      <w:r>
        <w:rPr>
          <w:rStyle w:val="Emphasis"/>
          <w:rFonts w:ascii="Calibri;Arial;sans-serif" w:hAnsi="Calibri;Arial;sans-serif"/>
          <w:sz w:val="20"/>
        </w:rPr>
        <w:t>July 11,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Additional shareholder derivative lawsuits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 xml:space="preserve">be brought based on the other Derivative Demands (any such lawsuits, collectively with the State Derivative Lawsuit, the Federal Derivative Lawsuit and the Fiduciary Class Action, the “Fiduciary Matters”). The Company, acting through a Special Committee of Independent Directors, previously determined that there was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merit to the claims alleged by the Derivative Demands made through the time of its determination (except with respect to the charitable contribution, which was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fully considered by the Special Committee). See the Company’s Current Report on Form </w:t>
      </w:r>
      <w:r>
        <w:rPr>
          <w:rStyle w:val="Emphasis"/>
          <w:rFonts w:ascii="Calibri;Arial;sans-serif" w:hAnsi="Calibri;Arial;sans-serif"/>
          <w:caps w:val="false"/>
          <w:smallCaps w:val="false"/>
          <w:sz w:val="20"/>
        </w:rPr>
        <w:t>8‐K</w:t>
      </w:r>
      <w:r>
        <w:rPr>
          <w:rFonts w:ascii="Calibri;Arial;sans-serif" w:hAnsi="Calibri;Arial;sans-serif"/>
          <w:caps w:val="false"/>
          <w:smallCaps w:val="false"/>
          <w:sz w:val="20"/>
        </w:rPr>
        <w:t xml:space="preserve"> filed with the SEC on </w:t>
      </w:r>
      <w:r>
        <w:rPr>
          <w:rStyle w:val="Emphasis"/>
          <w:rFonts w:ascii="Calibri;Arial;sans-serif" w:hAnsi="Calibri;Arial;sans-serif"/>
          <w:caps w:val="false"/>
          <w:smallCaps w:val="false"/>
          <w:sz w:val="20"/>
        </w:rPr>
        <w:t xml:space="preserve">September 16, 2020. </w:t>
      </w:r>
      <w:r>
        <w:rPr>
          <w:rFonts w:ascii="Calibri;Arial;sans-serif" w:hAnsi="Calibri;Arial;sans-serif"/>
          <w:caps w:val="false"/>
          <w:smallCaps w:val="false"/>
          <w:sz w:val="20"/>
        </w:rPr>
        <w:t xml:space="preserve">The Company, acting through a separate Special Litigation Committee of Independent Directors, concurred with the </w:t>
      </w:r>
      <w:r>
        <w:rPr>
          <w:rStyle w:val="Emphasis"/>
          <w:rFonts w:ascii="Calibri;Arial;sans-serif" w:hAnsi="Calibri;Arial;sans-serif"/>
          <w:caps w:val="false"/>
          <w:smallCaps w:val="false"/>
          <w:sz w:val="20"/>
        </w:rPr>
        <w:t>first</w:t>
      </w:r>
      <w:r>
        <w:rPr>
          <w:rFonts w:ascii="Calibri;Arial;sans-serif" w:hAnsi="Calibri;Arial;sans-serif"/>
          <w:caps w:val="false"/>
          <w:smallCaps w:val="false"/>
          <w:sz w:val="20"/>
        </w:rPr>
        <w:t xml:space="preserve"> Special Committee’s findings and further concluded that it is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in the Company’s interest to bring or allow any other shareholder to assert any of the claims alleged by the State Derivative Lawsuit or Federal Derivative Lawsuit (with the exception of the Peters claim purportedly arising under Section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(b) of the Exchange Act, which was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addressed as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demand was made with respect to such claim). The </w:t>
      </w:r>
      <w:r>
        <w:rPr>
          <w:rStyle w:val="Emphasis"/>
          <w:rFonts w:ascii="Calibri;Arial;sans-serif" w:hAnsi="Calibri;Arial;sans-serif"/>
          <w:caps w:val="false"/>
          <w:smallCaps w:val="false"/>
          <w:sz w:val="20"/>
        </w:rPr>
        <w:t>second</w:t>
      </w:r>
      <w:r>
        <w:rPr>
          <w:rFonts w:ascii="Calibri;Arial;sans-serif" w:hAnsi="Calibri;Arial;sans-serif"/>
          <w:caps w:val="false"/>
          <w:smallCaps w:val="false"/>
          <w:sz w:val="20"/>
        </w:rPr>
        <w:t xml:space="preserve"> Special Litigation Committee will carefully review any other additional complaints constituting Fiduciary Matters which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be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[14]</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sz w:val="20"/>
        </w:rPr>
      </w:pPr>
      <w:r>
        <w:rPr>
          <w:rFonts w:ascii="Calibri;Arial;sans-serif" w:hAnsi="Calibri;Arial;sans-serif"/>
          <w:sz w:val="20"/>
        </w:rPr>
        <w:t>The DFC Announcement has also prompted investigations by several congressional committees, the SEC and the New York Attorney General’s office. The Company has cooperated in those investigations.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Calibri;Arial;sans-serif" w:hAnsi="Calibri;Arial;sans-serif"/>
          <w:sz w:val="20"/>
        </w:rPr>
        <w:t xml:space="preserve">In addition, 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w:t>
      </w:r>
      <w:r>
        <w:rPr>
          <w:rStyle w:val="Emphasis"/>
          <w:rFonts w:ascii="Calibri;Arial;sans-serif" w:hAnsi="Calibri;Arial;sans-serif"/>
          <w:sz w:val="20"/>
        </w:rPr>
        <w:t>not</w:t>
      </w:r>
      <w:r>
        <w:rPr>
          <w:rFonts w:ascii="Calibri;Arial;sans-serif" w:hAnsi="Calibri;Arial;sans-serif"/>
          <w:sz w:val="20"/>
        </w:rPr>
        <w:t xml:space="preserve"> believe that it is probable that the outcomes in these various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7:</w:t>
      </w:r>
      <w:r>
        <w:rPr>
          <w:rFonts w:ascii="Calibri;Arial;sans-serif" w:hAnsi="Calibri;Arial;sans-serif"/>
          <w:b/>
          <w:caps w:val="false"/>
          <w:smallCaps w:val="false"/>
          <w:sz w:val="20"/>
        </w:rPr>
        <w:t xml:space="preserve">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In connection with the settlement of certain of the Company’s historical environmental liabilities at Eastman Business Park, a more than 1,200-acre technology center and industrial complex in Rochester, New York, in the event the historical liabilities exceed $99 million, the Company will become liable for 50% of the portion above </w:t>
      </w:r>
      <w:r>
        <w:rPr>
          <w:rStyle w:val="Emphasis"/>
          <w:rFonts w:ascii="Calibri;Arial;sans-serif" w:hAnsi="Calibri;Arial;sans-serif"/>
          <w:caps w:val="false"/>
          <w:smallCaps w:val="false"/>
          <w:sz w:val="20"/>
        </w:rPr>
        <w:t>$99</w:t>
      </w:r>
      <w:r>
        <w:rPr>
          <w:rFonts w:ascii="Calibri;Arial;sans-serif" w:hAnsi="Calibri;Arial;sans-serif"/>
          <w:caps w:val="false"/>
          <w:smallCaps w:val="false"/>
          <w:sz w:val="20"/>
        </w:rPr>
        <w:t xml:space="preserve"> million with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limitation to the maximum potential future payments. There is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liability recorded for this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Extended Warranty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 offers its customers extended warranty arrangements that are generally one year but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range from three months to six years after the original warranty period. The change in Kodak’s deferred revenue balance in relation to these extended warranty and maintenance arrangements from </w:t>
      </w:r>
      <w:r>
        <w:rPr>
          <w:rStyle w:val="Emphasis"/>
          <w:rFonts w:ascii="Calibri;Arial;sans-serif" w:hAnsi="Calibri;Arial;sans-serif"/>
          <w:caps w:val="false"/>
          <w:smallCaps w:val="false"/>
          <w:sz w:val="20"/>
        </w:rPr>
        <w:t xml:space="preserve"> December 31, 2023 </w:t>
      </w:r>
      <w:r>
        <w:rPr>
          <w:rFonts w:ascii="Calibri;Arial;sans-serif" w:hAnsi="Calibri;Arial;sans-serif"/>
          <w:caps w:val="false"/>
          <w:smallCaps w:val="false"/>
          <w:sz w:val="20"/>
        </w:rPr>
        <w:t xml:space="preserve">to </w:t>
      </w:r>
      <w:r>
        <w:rPr>
          <w:rStyle w:val="Emphasis"/>
          <w:rFonts w:ascii="Calibri;Arial;sans-serif" w:hAnsi="Calibri;Arial;sans-serif"/>
          <w:caps w:val="false"/>
          <w:smallCaps w:val="false"/>
          <w:sz w:val="20"/>
        </w:rPr>
        <w:t xml:space="preserve">September 30, 2024, </w:t>
      </w:r>
      <w:r>
        <w:rPr>
          <w:rFonts w:ascii="Calibri;Arial;sans-serif" w:hAnsi="Calibri;Arial;sans-serif"/>
          <w:caps w:val="false"/>
          <w:smallCaps w:val="false"/>
          <w:sz w:val="20"/>
        </w:rPr>
        <w:t>which is reflected in Other current liabilities in the accompanying Consolidated Statement of Financial Position, was as follows:</w:t>
      </w:r>
    </w:p>
    <w:p>
      <w:pPr>
        <w:pStyle w:val="TextBody"/>
        <w:bidi w:val="0"/>
        <w:spacing w:before="0" w:after="0"/>
        <w:ind w:left="0" w:right="0" w:hanging="0"/>
        <w:jc w:val="left"/>
        <w:rPr>
          <w:caps w:val="false"/>
          <w:smallCaps w:val="false"/>
        </w:rPr>
      </w:pPr>
      <w:r>
        <w:rPr>
          <w:caps w:val="false"/>
          <w:smallCaps w:val="false"/>
        </w:rPr>
        <w:t> </w:t>
      </w:r>
    </w:p>
    <w:tbl>
      <w:tblPr>
        <w:tblW w:w="6410" w:type="dxa"/>
        <w:jc w:val="left"/>
        <w:tblInd w:w="0" w:type="dxa"/>
        <w:tblLayout w:type="fixed"/>
        <w:tblCellMar>
          <w:top w:w="0" w:type="dxa"/>
          <w:left w:w="0" w:type="dxa"/>
          <w:bottom w:w="0" w:type="dxa"/>
          <w:right w:w="0" w:type="dxa"/>
        </w:tblCellMar>
      </w:tblPr>
      <w:tblGrid>
        <w:gridCol w:w="5855"/>
        <w:gridCol w:w="60"/>
        <w:gridCol w:w="125"/>
        <w:gridCol w:w="290"/>
        <w:gridCol w:w="80"/>
      </w:tblGrid>
      <w:tr>
        <w:trPr/>
        <w:tc>
          <w:tcPr>
            <w:tcW w:w="58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Deferred revenue on extended warranties as of December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9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80" w:type="dxa"/>
            <w:tcBorders/>
            <w:shd w:fill="CCEE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New extended warranty and maintenance arrangements deferred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58</w:t>
            </w:r>
          </w:p>
        </w:tc>
        <w:tc>
          <w:tcPr>
            <w:tcW w:w="80" w:type="dxa"/>
            <w:tcBorders/>
            <w:shd w:fill="FFFFFF" w:val="clear"/>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Recognition of extended warranty and maintenance arrangement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(62</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8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Deferred revenue on extended warranties as of September 30, 2024</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[15]</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8:</w:t>
      </w:r>
      <w:r>
        <w:rPr>
          <w:rFonts w:ascii="Calibri;Arial;sans-serif" w:hAnsi="Calibri;Arial;sans-serif"/>
          <w:b/>
          <w:caps w:val="false"/>
          <w:smallCaps w:val="false"/>
          <w:sz w:val="20"/>
        </w:rPr>
        <w:t xml:space="preserv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Disaggregation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following tables present revenue disaggregated by major product and geography: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Major Product:</w:t>
      </w:r>
    </w:p>
    <w:p>
      <w:pPr>
        <w:pStyle w:val="TextBody"/>
        <w:bidi w:val="0"/>
        <w:spacing w:before="0" w:after="0"/>
        <w:ind w:left="0" w:right="0" w:hanging="0"/>
        <w:jc w:val="left"/>
        <w:rPr>
          <w:caps w:val="false"/>
          <w:smallCaps w:val="false"/>
        </w:rPr>
      </w:pPr>
      <w:r>
        <w:rPr>
          <w:caps w:val="false"/>
          <w:smallCaps w:val="false"/>
        </w:rPr>
        <w:t> </w:t>
      </w:r>
    </w:p>
    <w:tbl>
      <w:tblPr>
        <w:tblW w:w="6564" w:type="dxa"/>
        <w:jc w:val="left"/>
        <w:tblInd w:w="0" w:type="dxa"/>
        <w:tblLayout w:type="fixed"/>
        <w:tblCellMar>
          <w:top w:w="0" w:type="dxa"/>
          <w:left w:w="0" w:type="dxa"/>
          <w:bottom w:w="0" w:type="dxa"/>
          <w:right w:w="0" w:type="dxa"/>
        </w:tblCellMar>
      </w:tblPr>
      <w:tblGrid>
        <w:gridCol w:w="2960"/>
        <w:gridCol w:w="60"/>
        <w:gridCol w:w="125"/>
        <w:gridCol w:w="335"/>
        <w:gridCol w:w="60"/>
        <w:gridCol w:w="60"/>
        <w:gridCol w:w="264"/>
        <w:gridCol w:w="551"/>
        <w:gridCol w:w="60"/>
        <w:gridCol w:w="60"/>
        <w:gridCol w:w="167"/>
        <w:gridCol w:w="348"/>
        <w:gridCol w:w="60"/>
        <w:gridCol w:w="60"/>
        <w:gridCol w:w="244"/>
        <w:gridCol w:w="510"/>
        <w:gridCol w:w="60"/>
        <w:gridCol w:w="60"/>
        <w:gridCol w:w="125"/>
        <w:gridCol w:w="335"/>
        <w:gridCol w:w="60"/>
      </w:tblGrid>
      <w:tr>
        <w:trPr/>
        <w:tc>
          <w:tcPr>
            <w:tcW w:w="6504"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6504"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 2024</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Advanced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Materials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Print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Chemicals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Brand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All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6504" w:type="dxa"/>
            <w:gridSpan w:val="20"/>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Core products (1)</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firstLine="180"/>
              <w:jc w:val="left"/>
              <w:rPr>
                <w:rFonts w:ascii="Calibri;Arial;sans-serif" w:hAnsi="Calibri;Arial;sans-serif"/>
                <w:sz w:val="20"/>
              </w:rPr>
            </w:pPr>
            <w:r>
              <w:rPr>
                <w:rFonts w:ascii="Calibri;Arial;sans-serif" w:hAnsi="Calibri;Arial;sans-serif"/>
                <w:sz w:val="20"/>
              </w:rPr>
              <w:t>Plates, inks and other consumables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33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55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33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133</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firstLine="180"/>
              <w:jc w:val="left"/>
              <w:rPr>
                <w:rFonts w:ascii="Calibri;Arial;sans-serif" w:hAnsi="Calibri;Arial;sans-serif"/>
                <w:sz w:val="20"/>
              </w:rPr>
            </w:pPr>
            <w:r>
              <w:rPr>
                <w:rFonts w:ascii="Calibri;Arial;sans-serif" w:hAnsi="Calibri;Arial;sans-serif"/>
                <w:sz w:val="20"/>
              </w:rPr>
              <w:t>Ongoing service arrangements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38</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annuities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171</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firstLine="180"/>
              <w:jc w:val="left"/>
              <w:rPr>
                <w:rFonts w:ascii="Calibri;Arial;sans-serif" w:hAnsi="Calibri;Arial;sans-serif"/>
                <w:sz w:val="20"/>
              </w:rPr>
            </w:pPr>
            <w:r>
              <w:rPr>
                <w:rFonts w:ascii="Calibri;Arial;sans-serif" w:hAnsi="Calibri;Arial;sans-serif"/>
                <w:sz w:val="20"/>
              </w:rPr>
              <w:t>Equipment &amp; software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5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18</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firstLine="180"/>
              <w:jc w:val="left"/>
              <w:rPr>
                <w:rFonts w:ascii="Calibri;Arial;sans-serif" w:hAnsi="Calibri;Arial;sans-serif"/>
                <w:sz w:val="20"/>
              </w:rPr>
            </w:pPr>
            <w:r>
              <w:rPr>
                <w:rFonts w:ascii="Calibri;Arial;sans-serif" w:hAnsi="Calibri;Arial;sans-serif"/>
                <w:sz w:val="20"/>
              </w:rPr>
              <w:t>Film and chemicals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63</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540" w:right="0" w:hanging="0"/>
              <w:jc w:val="left"/>
              <w:rPr>
                <w:rFonts w:ascii="Calibri;Arial;sans-serif" w:hAnsi="Calibri;Arial;sans-serif"/>
                <w:sz w:val="20"/>
              </w:rPr>
            </w:pPr>
            <w:r>
              <w:rPr>
                <w:rFonts w:ascii="Calibri;Arial;sans-serif" w:hAnsi="Calibri;Arial;sans-serif"/>
                <w:sz w:val="20"/>
              </w:rPr>
              <w:t>Total Core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252</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Growth products (2)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Other (3)</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8</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6564" w:type="dxa"/>
        <w:jc w:val="left"/>
        <w:tblInd w:w="0" w:type="dxa"/>
        <w:tblLayout w:type="fixed"/>
        <w:tblCellMar>
          <w:top w:w="0" w:type="dxa"/>
          <w:left w:w="0" w:type="dxa"/>
          <w:bottom w:w="0" w:type="dxa"/>
          <w:right w:w="0" w:type="dxa"/>
        </w:tblCellMar>
      </w:tblPr>
      <w:tblGrid>
        <w:gridCol w:w="2960"/>
        <w:gridCol w:w="60"/>
        <w:gridCol w:w="125"/>
        <w:gridCol w:w="335"/>
        <w:gridCol w:w="60"/>
        <w:gridCol w:w="60"/>
        <w:gridCol w:w="221"/>
        <w:gridCol w:w="594"/>
        <w:gridCol w:w="60"/>
        <w:gridCol w:w="60"/>
        <w:gridCol w:w="167"/>
        <w:gridCol w:w="348"/>
        <w:gridCol w:w="60"/>
        <w:gridCol w:w="60"/>
        <w:gridCol w:w="244"/>
        <w:gridCol w:w="510"/>
        <w:gridCol w:w="60"/>
        <w:gridCol w:w="60"/>
        <w:gridCol w:w="125"/>
        <w:gridCol w:w="335"/>
        <w:gridCol w:w="60"/>
      </w:tblGrid>
      <w:tr>
        <w:trPr/>
        <w:tc>
          <w:tcPr>
            <w:tcW w:w="6504"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60" w:type="dxa"/>
            <w:tcBorders/>
            <w:shd w:fill="FFFFFF" w:val="clear"/>
            <w:vAlign w:val="center"/>
          </w:tcPr>
          <w:p>
            <w:pPr>
              <w:pStyle w:val="TableContents"/>
              <w:bidi w:val="0"/>
              <w:spacing w:before="0" w:after="283"/>
              <w:jc w:val="left"/>
              <w:rPr/>
            </w:pPr>
            <w:r>
              <w:rPr/>
              <w:t> </w:t>
            </w:r>
          </w:p>
        </w:tc>
      </w:tr>
      <w:tr>
        <w:trPr/>
        <w:tc>
          <w:tcPr>
            <w:tcW w:w="6504"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 2024</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Advanced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Materials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Print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Chemicals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Brand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All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Core products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firstLine="180"/>
              <w:jc w:val="left"/>
              <w:rPr>
                <w:rFonts w:ascii="Calibri;Arial;sans-serif" w:hAnsi="Calibri;Arial;sans-serif"/>
                <w:sz w:val="20"/>
              </w:rPr>
            </w:pPr>
            <w:r>
              <w:rPr>
                <w:rFonts w:ascii="Calibri;Arial;sans-serif" w:hAnsi="Calibri;Arial;sans-serif"/>
                <w:sz w:val="20"/>
              </w:rPr>
              <w:t>Plates, inks and other consumables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33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594"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33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408</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firstLine="180"/>
              <w:jc w:val="left"/>
              <w:rPr>
                <w:rFonts w:ascii="Calibri;Arial;sans-serif" w:hAnsi="Calibri;Arial;sans-serif"/>
                <w:sz w:val="20"/>
              </w:rPr>
            </w:pPr>
            <w:r>
              <w:rPr>
                <w:rFonts w:ascii="Calibri;Arial;sans-serif" w:hAnsi="Calibri;Arial;sans-serif"/>
                <w:sz w:val="20"/>
              </w:rPr>
              <w:t>Ongoing service arrangements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4"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118</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annuities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526</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firstLine="180"/>
              <w:jc w:val="left"/>
              <w:rPr>
                <w:rFonts w:ascii="Calibri;Arial;sans-serif" w:hAnsi="Calibri;Arial;sans-serif"/>
                <w:sz w:val="20"/>
              </w:rPr>
            </w:pPr>
            <w:r>
              <w:rPr>
                <w:rFonts w:ascii="Calibri;Arial;sans-serif" w:hAnsi="Calibri;Arial;sans-serif"/>
                <w:sz w:val="20"/>
              </w:rPr>
              <w:t>Equipment &amp; software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45</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firstLine="180"/>
              <w:jc w:val="left"/>
              <w:rPr>
                <w:rFonts w:ascii="Calibri;Arial;sans-serif" w:hAnsi="Calibri;Arial;sans-serif"/>
                <w:sz w:val="20"/>
              </w:rPr>
            </w:pPr>
            <w:r>
              <w:rPr>
                <w:rFonts w:ascii="Calibri;Arial;sans-serif" w:hAnsi="Calibri;Arial;sans-serif"/>
                <w:sz w:val="20"/>
              </w:rPr>
              <w:t>Film and chemicals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179</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960" w:type="dxa"/>
            <w:tcBorders/>
            <w:shd w:fill="CCEEFF" w:val="clear"/>
            <w:vAlign w:val="center"/>
          </w:tcPr>
          <w:p>
            <w:pPr>
              <w:pStyle w:val="TableContents"/>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Core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750</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Growth products (2)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Other (3)</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4"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24</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777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Calibri;Arial;sans-serif" w:hAnsi="Calibri;Arial;sans-serif"/>
          <w:sz w:val="20"/>
        </w:rPr>
        <w:t>[16]</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jc w:val="left"/>
        <w:rPr/>
      </w:pPr>
      <w:r>
        <w:rPr/>
        <w:t xml:space="preserve">  </w:t>
      </w:r>
    </w:p>
    <w:tbl>
      <w:tblPr>
        <w:tblW w:w="6414" w:type="dxa"/>
        <w:jc w:val="left"/>
        <w:tblInd w:w="0" w:type="dxa"/>
        <w:tblLayout w:type="fixed"/>
        <w:tblCellMar>
          <w:top w:w="0" w:type="dxa"/>
          <w:left w:w="0" w:type="dxa"/>
          <w:bottom w:w="0" w:type="dxa"/>
          <w:right w:w="0" w:type="dxa"/>
        </w:tblCellMar>
      </w:tblPr>
      <w:tblGrid>
        <w:gridCol w:w="2795"/>
        <w:gridCol w:w="60"/>
        <w:gridCol w:w="125"/>
        <w:gridCol w:w="335"/>
        <w:gridCol w:w="60"/>
        <w:gridCol w:w="60"/>
        <w:gridCol w:w="264"/>
        <w:gridCol w:w="551"/>
        <w:gridCol w:w="60"/>
        <w:gridCol w:w="60"/>
        <w:gridCol w:w="167"/>
        <w:gridCol w:w="348"/>
        <w:gridCol w:w="60"/>
        <w:gridCol w:w="60"/>
        <w:gridCol w:w="244"/>
        <w:gridCol w:w="510"/>
        <w:gridCol w:w="60"/>
        <w:gridCol w:w="60"/>
        <w:gridCol w:w="125"/>
        <w:gridCol w:w="335"/>
        <w:gridCol w:w="75"/>
      </w:tblGrid>
      <w:tr>
        <w:trPr/>
        <w:tc>
          <w:tcPr>
            <w:tcW w:w="6339"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75" w:type="dxa"/>
            <w:tcBorders/>
            <w:shd w:fill="FFFFFF" w:val="clear"/>
            <w:vAlign w:val="center"/>
          </w:tcPr>
          <w:p>
            <w:pPr>
              <w:pStyle w:val="TableContents"/>
              <w:bidi w:val="0"/>
              <w:spacing w:before="0" w:after="283"/>
              <w:jc w:val="left"/>
              <w:rPr/>
            </w:pPr>
            <w:r>
              <w:rPr/>
              <w:t> </w:t>
            </w:r>
          </w:p>
        </w:tc>
      </w:tr>
      <w:tr>
        <w:trPr/>
        <w:tc>
          <w:tcPr>
            <w:tcW w:w="6339"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 2023</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Advanced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Materials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Print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Chemicals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Brand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All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Total</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Core products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5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Plates, inks and other consumables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142</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Ongoing service arrangements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45</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annuities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187</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180" w:right="0" w:firstLine="180"/>
              <w:jc w:val="left"/>
              <w:rPr>
                <w:rFonts w:ascii="Calibri;Arial;sans-serif" w:hAnsi="Calibri;Arial;sans-serif"/>
                <w:caps w:val="false"/>
                <w:smallCaps w:val="false"/>
                <w:sz w:val="20"/>
              </w:rPr>
            </w:pPr>
            <w:r>
              <w:rPr>
                <w:rFonts w:ascii="Calibri;Arial;sans-serif" w:hAnsi="Calibri;Arial;sans-serif"/>
                <w:caps w:val="false"/>
                <w:smallCaps w:val="false"/>
                <w:sz w:val="20"/>
              </w:rPr>
              <w:t>Equipment &amp; software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ind w:left="0" w:right="0" w:hanging="0"/>
              <w:jc w:val="left"/>
              <w:rPr/>
            </w:pPr>
            <w:r>
              <w:rPr/>
              <w:t> </w:t>
            </w:r>
          </w:p>
        </w:tc>
        <w:tc>
          <w:tcPr>
            <w:tcW w:w="55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180" w:right="0" w:firstLine="180"/>
              <w:jc w:val="left"/>
              <w:rPr>
                <w:rFonts w:ascii="Calibri;Arial;sans-serif" w:hAnsi="Calibri;Arial;sans-serif"/>
                <w:caps w:val="false"/>
                <w:smallCaps w:val="false"/>
                <w:sz w:val="20"/>
              </w:rPr>
            </w:pPr>
            <w:r>
              <w:rPr>
                <w:rFonts w:ascii="Calibri;Arial;sans-serif" w:hAnsi="Calibri;Arial;sans-serif"/>
                <w:caps w:val="false"/>
                <w:smallCaps w:val="false"/>
                <w:sz w:val="20"/>
              </w:rPr>
              <w:t>Film and chemicals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53</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Core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256</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Growth products (2)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ind w:left="0" w:right="0" w:hanging="0"/>
              <w:jc w:val="left"/>
              <w:rPr/>
            </w:pPr>
            <w:r>
              <w:rPr/>
              <w:t> </w:t>
            </w:r>
          </w:p>
        </w:tc>
        <w:tc>
          <w:tcPr>
            <w:tcW w:w="55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34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(3)</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6384" w:type="dxa"/>
        <w:jc w:val="left"/>
        <w:tblInd w:w="0" w:type="dxa"/>
        <w:tblLayout w:type="fixed"/>
        <w:tblCellMar>
          <w:top w:w="0" w:type="dxa"/>
          <w:left w:w="0" w:type="dxa"/>
          <w:bottom w:w="0" w:type="dxa"/>
          <w:right w:w="0" w:type="dxa"/>
        </w:tblCellMar>
      </w:tblPr>
      <w:tblGrid>
        <w:gridCol w:w="2780"/>
        <w:gridCol w:w="60"/>
        <w:gridCol w:w="125"/>
        <w:gridCol w:w="335"/>
        <w:gridCol w:w="60"/>
        <w:gridCol w:w="60"/>
        <w:gridCol w:w="221"/>
        <w:gridCol w:w="594"/>
        <w:gridCol w:w="60"/>
        <w:gridCol w:w="60"/>
        <w:gridCol w:w="167"/>
        <w:gridCol w:w="348"/>
        <w:gridCol w:w="60"/>
        <w:gridCol w:w="60"/>
        <w:gridCol w:w="244"/>
        <w:gridCol w:w="510"/>
        <w:gridCol w:w="60"/>
        <w:gridCol w:w="60"/>
        <w:gridCol w:w="125"/>
        <w:gridCol w:w="335"/>
        <w:gridCol w:w="60"/>
      </w:tblGrid>
      <w:tr>
        <w:trPr/>
        <w:tc>
          <w:tcPr>
            <w:tcW w:w="6324"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60" w:type="dxa"/>
            <w:tcBorders/>
            <w:shd w:fill="FFFFFF" w:val="clear"/>
            <w:vAlign w:val="center"/>
          </w:tcPr>
          <w:p>
            <w:pPr>
              <w:pStyle w:val="TableContents"/>
              <w:bidi w:val="0"/>
              <w:spacing w:before="0" w:after="283"/>
              <w:jc w:val="left"/>
              <w:rPr/>
            </w:pPr>
            <w:r>
              <w:rPr/>
              <w:t> </w:t>
            </w:r>
          </w:p>
        </w:tc>
      </w:tr>
      <w:tr>
        <w:trPr/>
        <w:tc>
          <w:tcPr>
            <w:tcW w:w="6324"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 2023</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Advanced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Materials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Print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Chemicals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Brand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All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Core products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Plates, inks and other consumables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9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446</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Ongoing service arrangements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142</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annuities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588</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Equipment &amp; software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51</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Film and chemicals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166</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Core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805</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Growth products (2)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59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34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(3)</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842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lineRule="auto" w:line="288" w:before="0" w:after="0"/>
              <w:ind w:left="0" w:right="0" w:hanging="0"/>
              <w:jc w:val="left"/>
              <w:rPr/>
            </w:pPr>
            <w:r>
              <w:rPr>
                <w:rFonts w:ascii="Calibri;Arial;sans-serif" w:hAnsi="Calibri;Arial;sans-serif"/>
                <w:sz w:val="20"/>
              </w:rPr>
              <w:t>(</w:t>
            </w:r>
            <w:r>
              <w:rPr>
                <w:rStyle w:val="Emphasis"/>
                <w:rFonts w:ascii="Calibri;Arial;sans-serif" w:hAnsi="Calibri;Arial;sans-serif"/>
                <w:sz w:val="20"/>
              </w:rPr>
              <w:t>1</w:t>
            </w:r>
            <w:r>
              <w:rPr>
                <w:rFonts w:ascii="Calibri;Arial;sans-serif" w:hAnsi="Calibri;Arial;sans-serif"/>
                <w:sz w:val="20"/>
              </w:rPr>
              <w:t>)</w:t>
            </w:r>
          </w:p>
        </w:tc>
        <w:tc>
          <w:tcPr>
            <w:tcW w:w="1000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Core includes the Print segment and the Motion Picture and Industrial Film and Chemicals businesses within the Advanced Materials and Chemicals segment, excluding coating and product commercialization services (“Coating Services”).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lineRule="auto" w:line="288" w:before="0" w:after="0"/>
              <w:ind w:left="0" w:right="0" w:hanging="0"/>
              <w:jc w:val="left"/>
              <w:rPr/>
            </w:pPr>
            <w:r>
              <w:rPr>
                <w:rFonts w:ascii="Calibri;Arial;sans-serif" w:hAnsi="Calibri;Arial;sans-serif"/>
                <w:sz w:val="20"/>
              </w:rPr>
              <w:t>(</w:t>
            </w:r>
            <w:r>
              <w:rPr>
                <w:rStyle w:val="Emphasis"/>
                <w:rFonts w:ascii="Calibri;Arial;sans-serif" w:hAnsi="Calibri;Arial;sans-serif"/>
                <w:sz w:val="20"/>
              </w:rPr>
              <w:t>2</w:t>
            </w:r>
            <w:r>
              <w:rPr>
                <w:rFonts w:ascii="Calibri;Arial;sans-serif" w:hAnsi="Calibri;Arial;sans-serif"/>
                <w:sz w:val="20"/>
              </w:rPr>
              <w:t>)</w:t>
            </w:r>
          </w:p>
        </w:tc>
        <w:tc>
          <w:tcPr>
            <w:tcW w:w="9958"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Growth consists of Coating Services and Advanced Materials and Functional Printing within the Advanced Materials and Chemicals segment.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lineRule="auto" w:line="288" w:before="0" w:after="0"/>
              <w:ind w:left="0" w:right="0" w:hanging="0"/>
              <w:jc w:val="left"/>
              <w:rPr/>
            </w:pPr>
            <w:r>
              <w:rPr>
                <w:rFonts w:ascii="Calibri;Arial;sans-serif" w:hAnsi="Calibri;Arial;sans-serif"/>
                <w:sz w:val="20"/>
              </w:rPr>
              <w:t>(</w:t>
            </w:r>
            <w:r>
              <w:rPr>
                <w:rStyle w:val="Emphasis"/>
                <w:rFonts w:ascii="Calibri;Arial;sans-serif" w:hAnsi="Calibri;Arial;sans-serif"/>
                <w:sz w:val="20"/>
              </w:rPr>
              <w:t>3</w:t>
            </w:r>
            <w:r>
              <w:rPr>
                <w:rFonts w:ascii="Calibri;Arial;sans-serif" w:hAnsi="Calibri;Arial;sans-serif"/>
                <w:sz w:val="20"/>
              </w:rPr>
              <w:t>)</w:t>
            </w:r>
          </w:p>
        </w:tc>
        <w:tc>
          <w:tcPr>
            <w:tcW w:w="997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Other consists of Intellectual Property Licensing ("IP Licensing") within the Advanced Materials and Chemicals segment, Brand Licensing and Eastman Business Park.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Calibri;Arial;sans-serif" w:hAnsi="Calibri;Arial;sans-serif"/>
          <w:sz w:val="20"/>
        </w:rPr>
        <w:t>[17]</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lineRule="auto" w:line="288" w:before="0" w:after="0"/>
        <w:ind w:left="0" w:right="0" w:hanging="0"/>
        <w:jc w:val="left"/>
        <w:rPr/>
      </w:pPr>
      <w:r>
        <w:rPr>
          <w:rFonts w:ascii="Calibri;Arial;sans-serif" w:hAnsi="Calibri;Arial;sans-serif"/>
          <w:b/>
          <w:caps w:val="false"/>
          <w:smallCaps w:val="false"/>
          <w:sz w:val="20"/>
        </w:rPr>
        <w:t>Geography (</w:t>
      </w:r>
      <w:r>
        <w:rPr>
          <w:rStyle w:val="Emphasis"/>
          <w:rFonts w:ascii="Calibri;Arial;sans-serif" w:hAnsi="Calibri;Arial;sans-serif"/>
          <w:b/>
          <w:caps w:val="false"/>
          <w:smallCaps w:val="false"/>
          <w:sz w:val="20"/>
        </w:rPr>
        <w:t>1</w:t>
      </w:r>
      <w:r>
        <w:rPr>
          <w:rFonts w:ascii="Calibri;Arial;sans-serif" w:hAnsi="Calibri;Arial;sans-serif"/>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054" w:type="dxa"/>
        <w:jc w:val="left"/>
        <w:tblInd w:w="0" w:type="dxa"/>
        <w:tblLayout w:type="fixed"/>
        <w:tblCellMar>
          <w:top w:w="0" w:type="dxa"/>
          <w:left w:w="0" w:type="dxa"/>
          <w:bottom w:w="0" w:type="dxa"/>
          <w:right w:w="0" w:type="dxa"/>
        </w:tblCellMar>
      </w:tblPr>
      <w:tblGrid>
        <w:gridCol w:w="2450"/>
        <w:gridCol w:w="60"/>
        <w:gridCol w:w="125"/>
        <w:gridCol w:w="335"/>
        <w:gridCol w:w="60"/>
        <w:gridCol w:w="60"/>
        <w:gridCol w:w="264"/>
        <w:gridCol w:w="551"/>
        <w:gridCol w:w="60"/>
        <w:gridCol w:w="60"/>
        <w:gridCol w:w="167"/>
        <w:gridCol w:w="348"/>
        <w:gridCol w:w="60"/>
        <w:gridCol w:w="60"/>
        <w:gridCol w:w="244"/>
        <w:gridCol w:w="510"/>
        <w:gridCol w:w="60"/>
        <w:gridCol w:w="60"/>
        <w:gridCol w:w="125"/>
        <w:gridCol w:w="335"/>
        <w:gridCol w:w="60"/>
      </w:tblGrid>
      <w:tr>
        <w:trPr/>
        <w:tc>
          <w:tcPr>
            <w:tcW w:w="5994"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5994"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 2024</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Advanced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Materials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gridSpan w:val="2"/>
            <w:tcBorders/>
            <w:shd w:fill="FFFFFF" w:val="clear"/>
            <w:vAlign w:val="center"/>
          </w:tcPr>
          <w:p>
            <w:pPr>
              <w:pStyle w:val="TableContents"/>
              <w:bidi w:val="0"/>
              <w:spacing w:before="0" w:after="283"/>
              <w:jc w:val="center"/>
              <w:rPr/>
            </w:pPr>
            <w:r>
              <w:rPr>
                <w:rStyle w:val="Emphasis"/>
                <w:rFonts w:ascii="Calibri;Arial;sans-serif" w:hAnsi="Calibri;Arial;sans-serif"/>
                <w:b/>
                <w:sz w:val="20"/>
              </w:rPr>
              <w:t>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Print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Chemicals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Brand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All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United States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55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34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510"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120</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Canada</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5</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North America</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125</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Europe, Middle East and Africa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80</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Asia Pacific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55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51</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Latin America</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5</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6054" w:type="dxa"/>
        <w:jc w:val="left"/>
        <w:tblInd w:w="0" w:type="dxa"/>
        <w:tblLayout w:type="fixed"/>
        <w:tblCellMar>
          <w:top w:w="0" w:type="dxa"/>
          <w:left w:w="0" w:type="dxa"/>
          <w:bottom w:w="0" w:type="dxa"/>
          <w:right w:w="0" w:type="dxa"/>
        </w:tblCellMar>
      </w:tblPr>
      <w:tblGrid>
        <w:gridCol w:w="2450"/>
        <w:gridCol w:w="60"/>
        <w:gridCol w:w="125"/>
        <w:gridCol w:w="335"/>
        <w:gridCol w:w="60"/>
        <w:gridCol w:w="60"/>
        <w:gridCol w:w="221"/>
        <w:gridCol w:w="594"/>
        <w:gridCol w:w="60"/>
        <w:gridCol w:w="60"/>
        <w:gridCol w:w="167"/>
        <w:gridCol w:w="348"/>
        <w:gridCol w:w="60"/>
        <w:gridCol w:w="60"/>
        <w:gridCol w:w="244"/>
        <w:gridCol w:w="510"/>
        <w:gridCol w:w="60"/>
        <w:gridCol w:w="60"/>
        <w:gridCol w:w="125"/>
        <w:gridCol w:w="335"/>
        <w:gridCol w:w="60"/>
      </w:tblGrid>
      <w:tr>
        <w:trPr/>
        <w:tc>
          <w:tcPr>
            <w:tcW w:w="5994"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60" w:type="dxa"/>
            <w:tcBorders/>
            <w:shd w:fill="FFFFFF" w:val="clear"/>
            <w:vAlign w:val="center"/>
          </w:tcPr>
          <w:p>
            <w:pPr>
              <w:pStyle w:val="TableContents"/>
              <w:bidi w:val="0"/>
              <w:spacing w:before="0" w:after="283"/>
              <w:jc w:val="left"/>
              <w:rPr/>
            </w:pPr>
            <w:r>
              <w:rPr/>
              <w:t> </w:t>
            </w:r>
          </w:p>
        </w:tc>
      </w:tr>
      <w:tr>
        <w:trPr/>
        <w:tc>
          <w:tcPr>
            <w:tcW w:w="5994"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 2024</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Advanced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Materials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Print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Chemicals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Brand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All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United States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594"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34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510"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358</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Canada</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13</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North America</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371</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Europe, Middle East and Africa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251</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Asia Pacific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141</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Latin America</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14</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777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Calibri;Arial;sans-serif" w:hAnsi="Calibri;Arial;sans-serif"/>
          <w:sz w:val="20"/>
        </w:rPr>
        <w:t>[18]</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jc w:val="left"/>
        <w:rPr/>
      </w:pPr>
      <w:r>
        <w:rPr/>
        <w:t xml:space="preserve">  </w:t>
      </w:r>
    </w:p>
    <w:tbl>
      <w:tblPr>
        <w:tblW w:w="6054" w:type="dxa"/>
        <w:jc w:val="left"/>
        <w:tblInd w:w="0" w:type="dxa"/>
        <w:tblLayout w:type="fixed"/>
        <w:tblCellMar>
          <w:top w:w="0" w:type="dxa"/>
          <w:left w:w="0" w:type="dxa"/>
          <w:bottom w:w="0" w:type="dxa"/>
          <w:right w:w="0" w:type="dxa"/>
        </w:tblCellMar>
      </w:tblPr>
      <w:tblGrid>
        <w:gridCol w:w="2450"/>
        <w:gridCol w:w="60"/>
        <w:gridCol w:w="125"/>
        <w:gridCol w:w="335"/>
        <w:gridCol w:w="60"/>
        <w:gridCol w:w="60"/>
        <w:gridCol w:w="264"/>
        <w:gridCol w:w="551"/>
        <w:gridCol w:w="60"/>
        <w:gridCol w:w="60"/>
        <w:gridCol w:w="167"/>
        <w:gridCol w:w="348"/>
        <w:gridCol w:w="60"/>
        <w:gridCol w:w="60"/>
        <w:gridCol w:w="244"/>
        <w:gridCol w:w="510"/>
        <w:gridCol w:w="60"/>
        <w:gridCol w:w="60"/>
        <w:gridCol w:w="125"/>
        <w:gridCol w:w="335"/>
        <w:gridCol w:w="60"/>
      </w:tblGrid>
      <w:tr>
        <w:trPr/>
        <w:tc>
          <w:tcPr>
            <w:tcW w:w="5994"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5994"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 2023</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Advanced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Materials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Print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Chemicals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Brand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All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117</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Canada</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North America</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122</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Europe, Middle East and Africa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ind w:left="0" w:right="0" w:hanging="0"/>
              <w:jc w:val="left"/>
              <w:rPr/>
            </w:pPr>
            <w:r>
              <w:rPr/>
              <w:t> </w:t>
            </w:r>
          </w:p>
        </w:tc>
        <w:tc>
          <w:tcPr>
            <w:tcW w:w="55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34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91</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Asia Pacific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ind w:left="0" w:right="0" w:hanging="0"/>
              <w:jc w:val="left"/>
              <w:rPr/>
            </w:pPr>
            <w:r>
              <w:rPr/>
              <w:t> </w:t>
            </w:r>
          </w:p>
        </w:tc>
        <w:tc>
          <w:tcPr>
            <w:tcW w:w="55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50</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Latin America</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6054" w:type="dxa"/>
        <w:jc w:val="left"/>
        <w:tblInd w:w="0" w:type="dxa"/>
        <w:tblLayout w:type="fixed"/>
        <w:tblCellMar>
          <w:top w:w="0" w:type="dxa"/>
          <w:left w:w="0" w:type="dxa"/>
          <w:bottom w:w="0" w:type="dxa"/>
          <w:right w:w="0" w:type="dxa"/>
        </w:tblCellMar>
      </w:tblPr>
      <w:tblGrid>
        <w:gridCol w:w="2450"/>
        <w:gridCol w:w="60"/>
        <w:gridCol w:w="125"/>
        <w:gridCol w:w="335"/>
        <w:gridCol w:w="60"/>
        <w:gridCol w:w="60"/>
        <w:gridCol w:w="221"/>
        <w:gridCol w:w="594"/>
        <w:gridCol w:w="60"/>
        <w:gridCol w:w="60"/>
        <w:gridCol w:w="167"/>
        <w:gridCol w:w="348"/>
        <w:gridCol w:w="60"/>
        <w:gridCol w:w="60"/>
        <w:gridCol w:w="244"/>
        <w:gridCol w:w="510"/>
        <w:gridCol w:w="60"/>
        <w:gridCol w:w="60"/>
        <w:gridCol w:w="125"/>
        <w:gridCol w:w="335"/>
        <w:gridCol w:w="60"/>
      </w:tblGrid>
      <w:tr>
        <w:trPr/>
        <w:tc>
          <w:tcPr>
            <w:tcW w:w="5994"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60" w:type="dxa"/>
            <w:tcBorders/>
            <w:shd w:fill="FFFFFF" w:val="clear"/>
            <w:vAlign w:val="center"/>
          </w:tcPr>
          <w:p>
            <w:pPr>
              <w:pStyle w:val="TableContents"/>
              <w:bidi w:val="0"/>
              <w:spacing w:before="0" w:after="283"/>
              <w:jc w:val="left"/>
              <w:rPr/>
            </w:pPr>
            <w:r>
              <w:rPr/>
              <w:t> </w:t>
            </w:r>
          </w:p>
        </w:tc>
      </w:tr>
      <w:tr>
        <w:trPr/>
        <w:tc>
          <w:tcPr>
            <w:tcW w:w="5994" w:type="dxa"/>
            <w:gridSpan w:val="2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 2023</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Advanced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Materials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Print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Chemicals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Brand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All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9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372</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Canada</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North America</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386</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Europe, Middle East and Africa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59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34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282</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Asia Pacific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156</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Latin America</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842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425" w:type="dxa"/>
        <w:jc w:val="left"/>
        <w:tblInd w:w="0" w:type="dxa"/>
        <w:tblLayout w:type="fixed"/>
        <w:tblCellMar>
          <w:top w:w="0" w:type="dxa"/>
          <w:left w:w="0" w:type="dxa"/>
          <w:bottom w:w="0" w:type="dxa"/>
          <w:right w:w="0" w:type="dxa"/>
        </w:tblCellMar>
      </w:tblPr>
      <w:tblGrid>
        <w:gridCol w:w="260"/>
        <w:gridCol w:w="5165"/>
      </w:tblGrid>
      <w:tr>
        <w:trPr/>
        <w:tc>
          <w:tcPr>
            <w:tcW w:w="260" w:type="dxa"/>
            <w:tcBorders/>
            <w:vAlign w:val="center"/>
          </w:tcPr>
          <w:p>
            <w:pPr>
              <w:pStyle w:val="TableContents"/>
              <w:bidi w:val="0"/>
              <w:spacing w:lineRule="auto" w:line="288" w:before="0" w:after="0"/>
              <w:ind w:left="0" w:right="0" w:hanging="0"/>
              <w:jc w:val="left"/>
              <w:rPr/>
            </w:pPr>
            <w:r>
              <w:rPr>
                <w:rFonts w:ascii="Calibri;Arial;sans-serif" w:hAnsi="Calibri;Arial;sans-serif"/>
                <w:sz w:val="20"/>
              </w:rPr>
              <w:t>(</w:t>
            </w:r>
            <w:r>
              <w:rPr>
                <w:rStyle w:val="Emphasis"/>
                <w:rFonts w:ascii="Calibri;Arial;sans-serif" w:hAnsi="Calibri;Arial;sans-serif"/>
                <w:sz w:val="20"/>
              </w:rPr>
              <w:t>1</w:t>
            </w:r>
            <w:r>
              <w:rPr>
                <w:rFonts w:ascii="Calibri;Arial;sans-serif" w:hAnsi="Calibri;Arial;sans-serif"/>
                <w:sz w:val="20"/>
              </w:rPr>
              <w:t>)</w:t>
            </w:r>
          </w:p>
        </w:tc>
        <w:tc>
          <w:tcPr>
            <w:tcW w:w="516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Sales are reported in the geographic area in which they originate.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[19]</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Contract Balances</w:t>
      </w:r>
    </w:p>
    <w:p>
      <w:pPr>
        <w:pStyle w:val="TextBody"/>
        <w:bidi w:val="0"/>
        <w:spacing w:before="0" w:after="0"/>
        <w:ind w:left="0" w:right="0" w:hanging="0"/>
        <w:jc w:val="left"/>
        <w:rPr/>
      </w:pPr>
      <w:r>
        <w:rPr>
          <w:rFonts w:ascii="Calibri;Arial;sans-serif" w:hAnsi="Calibri;Arial;sans-serif"/>
          <w:caps w:val="false"/>
          <w:smallCaps w:val="false"/>
          <w:sz w:val="20"/>
        </w:rPr>
        <w:t>The timing of revenue recognition, billings and cash collections results in billed trade receivables, unbilled receivables (contract assets), and customer advances and deposits (contract liabilities) in the Consolidated Statement of Financial Position. The contract assets are transferred to trade receivables when the rights to consideration become unconditional. The amount recorded for contract assets at </w:t>
      </w:r>
      <w:r>
        <w:rPr>
          <w:rStyle w:val="Emphasis"/>
          <w:rFonts w:ascii="Calibri;Arial;sans-serif" w:hAnsi="Calibri;Arial;sans-serif"/>
          <w:caps w:val="false"/>
          <w:smallCaps w:val="false"/>
          <w:sz w:val="20"/>
        </w:rPr>
        <w:t xml:space="preserve"> September 30,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was $2 million and $1 million, respectively, and is reported in Other current assets in the Consolidated Statement of Financial Position. The contract liabilities primarily relate to brand licensing agreements, prepaid service contracts or upfront payments for certain equipment purchases. The amount recorded for contract liabilities in the Consolidated Statement of Financial Position at </w:t>
      </w:r>
      <w:r>
        <w:rPr>
          <w:rStyle w:val="Emphasis"/>
          <w:rFonts w:ascii="Calibri;Arial;sans-serif" w:hAnsi="Calibri;Arial;sans-serif"/>
          <w:caps w:val="false"/>
          <w:smallCaps w:val="false"/>
          <w:sz w:val="20"/>
        </w:rPr>
        <w:t xml:space="preserve"> September 30,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was $94 million and $100 million, respectively, of which $35 million and $37 million, respectively, was reported in Other current liabilities and $59 million and $63 million, respectively, was reported in Other long-term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Revenue recognized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September 30, 2024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that was included in the contract liability balance at the beginning of the year was $9 million and $29 million, respectively, in </w:t>
      </w:r>
      <w:r>
        <w:rPr>
          <w:rStyle w:val="Emphasis"/>
          <w:rFonts w:ascii="Calibri;Arial;sans-serif" w:hAnsi="Calibri;Arial;sans-serif"/>
          <w:caps w:val="false"/>
          <w:smallCaps w:val="false"/>
          <w:sz w:val="20"/>
        </w:rPr>
        <w:t>2024</w:t>
      </w:r>
      <w:r>
        <w:rPr>
          <w:rFonts w:ascii="Calibri;Arial;sans-serif" w:hAnsi="Calibri;Arial;sans-serif"/>
          <w:caps w:val="false"/>
          <w:smallCaps w:val="false"/>
          <w:sz w:val="20"/>
        </w:rPr>
        <w:t xml:space="preserve"> and $6 million and $31 million, respectively, in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and primarily represented revenue from prepaid service contracts and equipment sales. Contract liabilities as of </w:t>
      </w:r>
      <w:r>
        <w:rPr>
          <w:rStyle w:val="Emphasis"/>
          <w:rFonts w:ascii="Calibri;Arial;sans-serif" w:hAnsi="Calibri;Arial;sans-serif"/>
          <w:caps w:val="false"/>
          <w:smallCaps w:val="false"/>
          <w:sz w:val="20"/>
        </w:rPr>
        <w:t>September 30, 2024</w:t>
      </w:r>
      <w:r>
        <w:rPr>
          <w:rFonts w:ascii="Calibri;Arial;sans-serif" w:hAnsi="Calibri;Arial;sans-serif"/>
          <w:caps w:val="false"/>
          <w:smallCaps w:val="false"/>
          <w:sz w:val="20"/>
        </w:rPr>
        <w:t> included $17 million and $24 million of cash payments received during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September 30, 2024</w:t>
      </w:r>
      <w:r>
        <w:rPr>
          <w:rFonts w:ascii="Calibri;Arial;sans-serif" w:hAnsi="Calibri;Arial;sans-serif"/>
          <w:caps w:val="false"/>
          <w:smallCaps w:val="false"/>
          <w:sz w:val="20"/>
        </w:rPr>
        <w:t>, respectively.  Contract liabilities as of </w:t>
      </w:r>
      <w:r>
        <w:rPr>
          <w:rStyle w:val="Emphasis"/>
          <w:rFonts w:ascii="Calibri;Arial;sans-serif" w:hAnsi="Calibri;Arial;sans-serif"/>
          <w:caps w:val="false"/>
          <w:smallCaps w:val="false"/>
          <w:sz w:val="20"/>
        </w:rPr>
        <w:t xml:space="preserve"> September 30, 2023</w:t>
      </w:r>
      <w:r>
        <w:rPr>
          <w:rFonts w:ascii="Calibri;Arial;sans-serif" w:hAnsi="Calibri;Arial;sans-serif"/>
          <w:caps w:val="false"/>
          <w:smallCaps w:val="false"/>
          <w:sz w:val="20"/>
        </w:rPr>
        <w:t xml:space="preserve"> included $74 million and $85 million of cash payments received and amounts recorded in accounts receivable during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September 30, 2023</w:t>
      </w:r>
      <w:r>
        <w:rPr>
          <w:rFonts w:ascii="Calibri;Arial;sans-serif" w:hAnsi="Calibri;Arial;sans-serif"/>
          <w:caps w:val="false"/>
          <w:smallCaps w:val="false"/>
          <w:sz w:val="20"/>
        </w:rPr>
        <w:t xml:space="preserve">, respectively, including $49 million recorded in accounts receivable for long-term brand licensing agreements executed in the </w:t>
      </w:r>
      <w:r>
        <w:rPr>
          <w:rStyle w:val="Emphasis"/>
          <w:rFonts w:ascii="Calibri;Arial;sans-serif" w:hAnsi="Calibri;Arial;sans-serif"/>
          <w:caps w:val="false"/>
          <w:smallCaps w:val="false"/>
          <w:sz w:val="20"/>
        </w:rPr>
        <w:t>third</w:t>
      </w:r>
      <w:r>
        <w:rPr>
          <w:rFonts w:ascii="Calibri;Arial;sans-serif" w:hAnsi="Calibri;Arial;sans-serif"/>
          <w:caps w:val="false"/>
          <w:smallCaps w:val="false"/>
          <w:sz w:val="20"/>
        </w:rPr>
        <w:t xml:space="preserve"> quarter of </w:t>
      </w:r>
      <w:r>
        <w:rPr>
          <w:rStyle w:val="Emphasis"/>
          <w:rFonts w:ascii="Calibri;Arial;sans-serif" w:hAnsi="Calibri;Arial;sans-serif"/>
          <w:caps w:val="false"/>
          <w:smallCaps w:val="false"/>
          <w:sz w:val="20"/>
        </w:rPr>
        <w:t>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 does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disclose the value of unsatisfied performance obligations for contracts with an original expected length of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year or less or for which revenue is recognized at the amount to which Kodak has the right to invoice for services performed. Performance obligations with an original expected length of greater than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year generally consist of deferred service contracts, operating leases and licensing arrangements. As of </w:t>
      </w:r>
      <w:r>
        <w:rPr>
          <w:rStyle w:val="Emphasis"/>
          <w:rFonts w:ascii="Calibri;Arial;sans-serif" w:hAnsi="Calibri;Arial;sans-serif"/>
          <w:caps w:val="false"/>
          <w:smallCaps w:val="false"/>
          <w:sz w:val="20"/>
        </w:rPr>
        <w:t>September 30, 2024</w:t>
      </w:r>
      <w:r>
        <w:rPr>
          <w:rFonts w:ascii="Calibri;Arial;sans-serif" w:hAnsi="Calibri;Arial;sans-serif"/>
          <w:caps w:val="false"/>
          <w:smallCaps w:val="false"/>
          <w:sz w:val="20"/>
        </w:rPr>
        <w:t>, there was approximately $93 million of unrecognized revenue from unsatisfied performance obligations. Approximately 5% of the revenue from unsatisfied performance obligations is expected to be recognized in the remainder of 2024, 15% in 2025, 12% in each of 2026 and 2027 and 56% thereafter.</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Calibri;Arial;sans-serif" w:hAnsi="Calibri;Arial;sans-serif"/>
          <w:b/>
          <w:sz w:val="20"/>
        </w:rPr>
        <w:t xml:space="preserve">NOTE </w:t>
      </w:r>
      <w:r>
        <w:rPr>
          <w:rStyle w:val="Emphasis"/>
          <w:rFonts w:ascii="Calibri;Arial;sans-serif" w:hAnsi="Calibri;Arial;sans-serif"/>
          <w:b/>
          <w:sz w:val="20"/>
        </w:rPr>
        <w:t>9:</w:t>
      </w:r>
      <w:r>
        <w:rPr>
          <w:rFonts w:ascii="Calibri;Arial;sans-serif" w:hAnsi="Calibri;Arial;sans-serif"/>
          <w:b/>
          <w:sz w:val="20"/>
        </w:rPr>
        <w:t xml:space="preserve"> OTHER OPERATING (INCOME) EXPENSE, NET</w:t>
      </w:r>
    </w:p>
    <w:p>
      <w:pPr>
        <w:pStyle w:val="TextBody"/>
        <w:bidi w:val="0"/>
        <w:spacing w:before="0" w:after="0"/>
        <w:ind w:left="0" w:right="0" w:hanging="0"/>
        <w:jc w:val="both"/>
        <w:rPr/>
      </w:pPr>
      <w:r>
        <w:rPr/>
        <w:t> </w:t>
      </w:r>
    </w:p>
    <w:tbl>
      <w:tblPr>
        <w:tblW w:w="5520" w:type="dxa"/>
        <w:jc w:val="left"/>
        <w:tblInd w:w="0" w:type="dxa"/>
        <w:tblLayout w:type="fixed"/>
        <w:tblCellMar>
          <w:top w:w="0" w:type="dxa"/>
          <w:left w:w="0" w:type="dxa"/>
          <w:bottom w:w="0" w:type="dxa"/>
          <w:right w:w="0" w:type="dxa"/>
        </w:tblCellMar>
      </w:tblPr>
      <w:tblGrid>
        <w:gridCol w:w="1970"/>
        <w:gridCol w:w="60"/>
        <w:gridCol w:w="236"/>
        <w:gridCol w:w="492"/>
        <w:gridCol w:w="113"/>
        <w:gridCol w:w="113"/>
        <w:gridCol w:w="236"/>
        <w:gridCol w:w="492"/>
        <w:gridCol w:w="60"/>
        <w:gridCol w:w="60"/>
        <w:gridCol w:w="214"/>
        <w:gridCol w:w="496"/>
        <w:gridCol w:w="137"/>
        <w:gridCol w:w="102"/>
        <w:gridCol w:w="214"/>
        <w:gridCol w:w="445"/>
        <w:gridCol w:w="80"/>
      </w:tblGrid>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8"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7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13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6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Gain on sale of assets (1)</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2" w:type="dxa"/>
            <w:tcBorders/>
            <w:shd w:fill="CCEEFF" w:val="clear"/>
            <w:vAlign w:val="center"/>
          </w:tcPr>
          <w:p>
            <w:pPr>
              <w:pStyle w:val="TableContents"/>
              <w:bidi w:val="0"/>
              <w:spacing w:before="0" w:after="283"/>
              <w:ind w:left="0" w:right="0" w:hanging="0"/>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13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4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197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Other</w:t>
            </w:r>
          </w:p>
        </w:tc>
        <w:tc>
          <w:tcPr>
            <w:tcW w:w="60" w:type="dxa"/>
            <w:tcBorders/>
            <w:shd w:fill="FFFFFF" w:val="clear"/>
            <w:vAlign w:val="center"/>
          </w:tcPr>
          <w:p>
            <w:pPr>
              <w:pStyle w:val="TableContents"/>
              <w:bidi w:val="0"/>
              <w:spacing w:before="0" w:after="283"/>
              <w:ind w:left="0" w:right="0" w:hanging="0"/>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92"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92"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96"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13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45"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w:t>
            </w:r>
          </w:p>
        </w:tc>
        <w:tc>
          <w:tcPr>
            <w:tcW w:w="13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8260" w:type="dxa"/>
        <w:jc w:val="left"/>
        <w:tblInd w:w="0" w:type="dxa"/>
        <w:tblLayout w:type="fixed"/>
        <w:tblCellMar>
          <w:top w:w="0" w:type="dxa"/>
          <w:left w:w="0" w:type="dxa"/>
          <w:bottom w:w="0" w:type="dxa"/>
          <w:right w:w="0" w:type="dxa"/>
        </w:tblCellMar>
      </w:tblPr>
      <w:tblGrid>
        <w:gridCol w:w="260"/>
        <w:gridCol w:w="8000"/>
      </w:tblGrid>
      <w:tr>
        <w:trPr/>
        <w:tc>
          <w:tcPr>
            <w:tcW w:w="260" w:type="dxa"/>
            <w:tcBorders/>
            <w:vAlign w:val="center"/>
          </w:tcPr>
          <w:p>
            <w:pPr>
              <w:pStyle w:val="TableContents"/>
              <w:bidi w:val="0"/>
              <w:spacing w:lineRule="auto" w:line="288" w:before="0" w:after="283"/>
              <w:jc w:val="left"/>
              <w:rPr/>
            </w:pPr>
            <w:r>
              <w:rPr>
                <w:rFonts w:ascii="Calibri;Arial;sans-serif" w:hAnsi="Calibri;Arial;sans-serif"/>
                <w:sz w:val="20"/>
              </w:rPr>
              <w:t>(</w:t>
            </w:r>
            <w:r>
              <w:rPr>
                <w:rStyle w:val="Emphasis"/>
                <w:rFonts w:ascii="Calibri;Arial;sans-serif" w:hAnsi="Calibri;Arial;sans-serif"/>
                <w:sz w:val="20"/>
              </w:rPr>
              <w:t>1</w:t>
            </w:r>
            <w:r>
              <w:rPr>
                <w:rFonts w:ascii="Calibri;Arial;sans-serif" w:hAnsi="Calibri;Arial;sans-serif"/>
                <w:sz w:val="20"/>
              </w:rPr>
              <w:t>)</w:t>
            </w:r>
          </w:p>
        </w:tc>
        <w:tc>
          <w:tcPr>
            <w:tcW w:w="8000" w:type="dxa"/>
            <w:tcBorders/>
            <w:vAlign w:val="center"/>
          </w:tcPr>
          <w:p>
            <w:pPr>
              <w:pStyle w:val="TableContents"/>
              <w:bidi w:val="0"/>
              <w:spacing w:before="0" w:after="283"/>
              <w:jc w:val="left"/>
              <w:rPr/>
            </w:pPr>
            <w:r>
              <w:rPr>
                <w:rFonts w:ascii="Calibri;Arial;sans-serif" w:hAnsi="Calibri;Arial;sans-serif"/>
                <w:sz w:val="20"/>
              </w:rPr>
              <w:t xml:space="preserve">In the </w:t>
            </w:r>
            <w:r>
              <w:rPr>
                <w:rStyle w:val="Emphasis"/>
                <w:rFonts w:ascii="Calibri;Arial;sans-serif" w:hAnsi="Calibri;Arial;sans-serif"/>
                <w:sz w:val="20"/>
              </w:rPr>
              <w:t>first</w:t>
            </w:r>
            <w:r>
              <w:rPr>
                <w:rFonts w:ascii="Calibri;Arial;sans-serif" w:hAnsi="Calibri;Arial;sans-serif"/>
                <w:sz w:val="20"/>
              </w:rPr>
              <w:t xml:space="preserve"> quarter of </w:t>
            </w:r>
            <w:r>
              <w:rPr>
                <w:rStyle w:val="Emphasis"/>
                <w:rFonts w:ascii="Calibri;Arial;sans-serif" w:hAnsi="Calibri;Arial;sans-serif"/>
                <w:sz w:val="20"/>
              </w:rPr>
              <w:t>2024,</w:t>
            </w:r>
            <w:r>
              <w:rPr>
                <w:rFonts w:ascii="Calibri;Arial;sans-serif" w:hAnsi="Calibri;Arial;sans-serif"/>
                <w:sz w:val="20"/>
              </w:rPr>
              <w:t xml:space="preserve"> Kodak sold certain assets in the U.S. and recognized a gain of $17 million.</w:t>
            </w:r>
          </w:p>
        </w:tc>
      </w:tr>
    </w:tbl>
    <w:p>
      <w:pPr>
        <w:pStyle w:val="TextBody"/>
        <w:bidi w:val="0"/>
        <w:spacing w:before="0" w:after="0"/>
        <w:ind w:left="0" w:right="0" w:hanging="0"/>
        <w:jc w:val="both"/>
        <w:rPr/>
      </w:pPr>
      <w:r>
        <w:rPr/>
        <w:t> </w:t>
      </w:r>
    </w:p>
    <w:p>
      <w:pPr>
        <w:pStyle w:val="TextBody"/>
        <w:bidi w:val="0"/>
        <w:spacing w:before="0" w:after="0"/>
        <w:jc w:val="center"/>
        <w:rPr/>
      </w:pPr>
      <w:r>
        <w:rPr>
          <w:rStyle w:val="Emphasis"/>
          <w:rFonts w:ascii="Calibri;Arial;sans-serif" w:hAnsi="Calibri;Arial;sans-serif"/>
          <w:sz w:val="20"/>
        </w:rPr>
        <w:t>[20]</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10:</w:t>
      </w:r>
      <w:r>
        <w:rPr>
          <w:rFonts w:ascii="Calibri;Arial;sans-serif" w:hAnsi="Calibri;Arial;sans-serif"/>
          <w:b/>
          <w:caps w:val="false"/>
          <w:smallCaps w:val="false"/>
          <w:sz w:val="20"/>
        </w:rPr>
        <w:t xml:space="preserve"> OTHER (INCOME) CHARGES, NET</w:t>
      </w:r>
    </w:p>
    <w:p>
      <w:pPr>
        <w:pStyle w:val="TextBody"/>
        <w:bidi w:val="0"/>
        <w:spacing w:before="0" w:after="0"/>
        <w:ind w:left="0" w:right="0" w:hanging="0"/>
        <w:jc w:val="left"/>
        <w:rPr>
          <w:caps w:val="false"/>
          <w:smallCaps w:val="false"/>
        </w:rPr>
      </w:pPr>
      <w:r>
        <w:rPr>
          <w:caps w:val="false"/>
          <w:smallCaps w:val="false"/>
        </w:rPr>
        <w:t> </w:t>
      </w:r>
    </w:p>
    <w:tbl>
      <w:tblPr>
        <w:tblW w:w="9291" w:type="dxa"/>
        <w:jc w:val="left"/>
        <w:tblInd w:w="0" w:type="dxa"/>
        <w:tblLayout w:type="fixed"/>
        <w:tblCellMar>
          <w:top w:w="0" w:type="dxa"/>
          <w:left w:w="0" w:type="dxa"/>
          <w:bottom w:w="0" w:type="dxa"/>
          <w:right w:w="0" w:type="dxa"/>
        </w:tblCellMar>
      </w:tblPr>
      <w:tblGrid>
        <w:gridCol w:w="5720"/>
        <w:gridCol w:w="60"/>
        <w:gridCol w:w="231"/>
        <w:gridCol w:w="481"/>
        <w:gridCol w:w="148"/>
        <w:gridCol w:w="111"/>
        <w:gridCol w:w="231"/>
        <w:gridCol w:w="481"/>
        <w:gridCol w:w="80"/>
        <w:gridCol w:w="60"/>
        <w:gridCol w:w="214"/>
        <w:gridCol w:w="445"/>
        <w:gridCol w:w="137"/>
        <w:gridCol w:w="102"/>
        <w:gridCol w:w="214"/>
        <w:gridCol w:w="496"/>
        <w:gridCol w:w="80"/>
      </w:tblGrid>
      <w:tr>
        <w:trPr/>
        <w:tc>
          <w:tcPr>
            <w:tcW w:w="57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3"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8"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13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Interest income (1)</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8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148"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1"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8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4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(9</w:t>
            </w:r>
          </w:p>
        </w:tc>
        <w:tc>
          <w:tcPr>
            <w:tcW w:w="13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96"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72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Loss on foreign exchange transactions</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w:t>
            </w:r>
          </w:p>
        </w:tc>
        <w:tc>
          <w:tcPr>
            <w:tcW w:w="13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w:t>
            </w:r>
          </w:p>
        </w:tc>
        <w:tc>
          <w:tcPr>
            <w:tcW w:w="8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Change in fair value of embedded conversion features derivative liability</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w:t>
            </w:r>
          </w:p>
        </w:tc>
        <w:tc>
          <w:tcPr>
            <w:tcW w:w="14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Other</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45"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13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96"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48"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1" w:type="dxa"/>
            <w:tcBorders/>
            <w:shd w:fill="CCEE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3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lineRule="auto" w:line="288" w:before="0" w:after="283"/>
              <w:jc w:val="left"/>
              <w:rPr/>
            </w:pPr>
            <w:r>
              <w:rPr>
                <w:rFonts w:ascii="Calibri;Arial;sans-serif" w:hAnsi="Calibri;Arial;sans-serif"/>
                <w:sz w:val="20"/>
              </w:rPr>
              <w:t>(</w:t>
            </w:r>
            <w:r>
              <w:rPr>
                <w:rStyle w:val="Emphasis"/>
                <w:rFonts w:ascii="Calibri;Arial;sans-serif" w:hAnsi="Calibri;Arial;sans-serif"/>
                <w:sz w:val="20"/>
              </w:rPr>
              <w:t>1</w:t>
            </w:r>
            <w:r>
              <w:rPr>
                <w:rFonts w:ascii="Calibri;Arial;sans-serif" w:hAnsi="Calibri;Arial;sans-serif"/>
                <w:sz w:val="20"/>
              </w:rPr>
              <w:t>)</w:t>
            </w:r>
          </w:p>
        </w:tc>
        <w:tc>
          <w:tcPr>
            <w:tcW w:w="10010" w:type="dxa"/>
            <w:tcBorders/>
            <w:vAlign w:val="center"/>
          </w:tcPr>
          <w:p>
            <w:pPr>
              <w:pStyle w:val="TableContents"/>
              <w:bidi w:val="0"/>
              <w:spacing w:before="0" w:after="0"/>
              <w:ind w:left="0" w:right="0" w:hanging="0"/>
              <w:jc w:val="left"/>
              <w:rPr/>
            </w:pPr>
            <w:r>
              <w:rPr>
                <w:rFonts w:ascii="Calibri;Arial;sans-serif" w:hAnsi="Calibri;Arial;sans-serif"/>
                <w:caps w:val="false"/>
                <w:smallCaps w:val="false"/>
                <w:sz w:val="20"/>
              </w:rPr>
              <w:t xml:space="preserve">The </w:t>
            </w:r>
            <w:r>
              <w:rPr>
                <w:rStyle w:val="Emphasis"/>
                <w:rFonts w:ascii="Calibri;Arial;sans-serif" w:hAnsi="Calibri;Arial;sans-serif"/>
                <w:caps w:val="false"/>
                <w:smallCaps w:val="false"/>
                <w:sz w:val="20"/>
              </w:rPr>
              <w:t>first</w:t>
            </w:r>
            <w:r>
              <w:rPr>
                <w:rFonts w:ascii="Calibri;Arial;sans-serif" w:hAnsi="Calibri;Arial;sans-serif"/>
                <w:caps w:val="false"/>
                <w:smallCaps w:val="false"/>
                <w:sz w:val="20"/>
              </w:rPr>
              <w:t xml:space="preserve"> quarter of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includes $9 million of interest income associated with a refund received from a governmental authority in a location outside the U.S. that was previously held by the governmental authority to guarantee tax disputes in that jurisdiction.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11:</w:t>
      </w:r>
      <w:r>
        <w:rPr>
          <w:rFonts w:ascii="Calibri;Arial;sans-serif" w:hAnsi="Calibri;Arial;sans-serif"/>
          <w:b/>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income tax provision (benefit) and effective tax rate were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4115"/>
        <w:gridCol w:w="60"/>
        <w:gridCol w:w="190"/>
        <w:gridCol w:w="579"/>
        <w:gridCol w:w="236"/>
        <w:gridCol w:w="91"/>
        <w:gridCol w:w="190"/>
        <w:gridCol w:w="396"/>
        <w:gridCol w:w="80"/>
        <w:gridCol w:w="60"/>
        <w:gridCol w:w="177"/>
        <w:gridCol w:w="411"/>
        <w:gridCol w:w="219"/>
        <w:gridCol w:w="85"/>
        <w:gridCol w:w="177"/>
        <w:gridCol w:w="539"/>
        <w:gridCol w:w="155"/>
      </w:tblGrid>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8"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155" w:type="dxa"/>
            <w:tcBorders/>
            <w:shd w:fill="FFFF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155" w:type="dxa"/>
            <w:tcBorders/>
            <w:shd w:fill="FFFF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236"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5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219"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7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5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Earnings from operations before income taxes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579"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21</w:t>
            </w:r>
          </w:p>
        </w:tc>
        <w:tc>
          <w:tcPr>
            <w:tcW w:w="23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39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1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83</w:t>
            </w:r>
          </w:p>
        </w:tc>
        <w:tc>
          <w:tcPr>
            <w:tcW w:w="219"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539"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78</w:t>
            </w:r>
          </w:p>
        </w:tc>
        <w:tc>
          <w:tcPr>
            <w:tcW w:w="15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Effective tax rate</w:t>
            </w:r>
          </w:p>
        </w:tc>
        <w:tc>
          <w:tcPr>
            <w:tcW w:w="60" w:type="dxa"/>
            <w:tcBorders/>
            <w:shd w:fill="FFFFFF" w:val="clear"/>
            <w:vAlign w:val="center"/>
          </w:tcPr>
          <w:p>
            <w:pPr>
              <w:pStyle w:val="TableContents"/>
              <w:bidi w:val="0"/>
              <w:spacing w:before="0" w:after="283"/>
              <w:ind w:left="0" w:right="0" w:hanging="0"/>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79"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14.3</w:t>
            </w:r>
          </w:p>
        </w:tc>
        <w:tc>
          <w:tcPr>
            <w:tcW w:w="236"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1" w:type="dxa"/>
            <w:tcBorders/>
            <w:shd w:fill="FFFFFF" w:val="clear"/>
            <w:vAlign w:val="center"/>
          </w:tcPr>
          <w:p>
            <w:pPr>
              <w:pStyle w:val="TableContents"/>
              <w:bidi w:val="0"/>
              <w:spacing w:before="0" w:after="283"/>
              <w:ind w:left="0" w:right="0" w:hanging="0"/>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6"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11"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8.4</w:t>
            </w:r>
          </w:p>
        </w:tc>
        <w:tc>
          <w:tcPr>
            <w:tcW w:w="21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5" w:type="dxa"/>
            <w:tcBorders/>
            <w:shd w:fill="FFFFFF" w:val="clear"/>
            <w:vAlign w:val="center"/>
          </w:tcPr>
          <w:p>
            <w:pPr>
              <w:pStyle w:val="TableContents"/>
              <w:bidi w:val="0"/>
              <w:spacing w:before="0" w:after="283"/>
              <w:ind w:left="0" w:right="0" w:hanging="0"/>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39"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10.3</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11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Provision (benefit) for income taxes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579"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23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39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41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219"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539"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15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Provision for income taxes at U.S. statutory tax rate</w:t>
            </w:r>
          </w:p>
        </w:tc>
        <w:tc>
          <w:tcPr>
            <w:tcW w:w="60" w:type="dxa"/>
            <w:tcBorders/>
            <w:shd w:fill="FFFFFF" w:val="clear"/>
            <w:vAlign w:val="center"/>
          </w:tcPr>
          <w:p>
            <w:pPr>
              <w:pStyle w:val="TableContents"/>
              <w:bidi w:val="0"/>
              <w:spacing w:before="0" w:after="283"/>
              <w:ind w:left="0" w:right="0" w:hanging="0"/>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79"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4</w:t>
            </w:r>
          </w:p>
        </w:tc>
        <w:tc>
          <w:tcPr>
            <w:tcW w:w="236"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6"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11"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17</w:t>
            </w:r>
          </w:p>
        </w:tc>
        <w:tc>
          <w:tcPr>
            <w:tcW w:w="219"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39"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16</w:t>
            </w:r>
          </w:p>
        </w:tc>
        <w:tc>
          <w:tcPr>
            <w:tcW w:w="155" w:type="dxa"/>
            <w:tcBorders/>
            <w:shd w:fill="FFFFFF" w:val="clear"/>
            <w:vAlign w:val="center"/>
          </w:tcPr>
          <w:p>
            <w:pPr>
              <w:pStyle w:val="TableContents"/>
              <w:bidi w:val="0"/>
              <w:spacing w:before="0" w:after="283"/>
              <w:ind w:left="0" w:right="0" w:hanging="0"/>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Difference between tax at effective vs. statutory rate</w:t>
            </w:r>
          </w:p>
        </w:tc>
        <w:tc>
          <w:tcPr>
            <w:tcW w:w="60" w:type="dxa"/>
            <w:tcBorders/>
            <w:shd w:fill="CCEEFF" w:val="clear"/>
            <w:vAlign w:val="center"/>
          </w:tcPr>
          <w:p>
            <w:pPr>
              <w:pStyle w:val="TableContents"/>
              <w:bidi w:val="0"/>
              <w:spacing w:before="0" w:after="0"/>
              <w:ind w:left="0" w:right="0" w:hanging="0"/>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5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0"/>
              <w:ind w:left="0" w:right="0" w:hanging="0"/>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3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4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(10</w:t>
            </w:r>
          </w:p>
        </w:tc>
        <w:tc>
          <w:tcPr>
            <w:tcW w:w="219"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85" w:type="dxa"/>
            <w:tcBorders/>
            <w:shd w:fill="CCEEFF" w:val="clear"/>
            <w:vAlign w:val="center"/>
          </w:tcPr>
          <w:p>
            <w:pPr>
              <w:pStyle w:val="TableContents"/>
              <w:bidi w:val="0"/>
              <w:spacing w:before="0" w:after="0"/>
              <w:ind w:left="0" w:right="0" w:hanging="0"/>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5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(8</w:t>
            </w:r>
          </w:p>
        </w:tc>
        <w:tc>
          <w:tcPr>
            <w:tcW w:w="155" w:type="dxa"/>
            <w:tcBorders/>
            <w:shd w:fill="CCEEFF" w:val="clear"/>
            <w:vAlign w:val="center"/>
          </w:tcPr>
          <w:p>
            <w:pPr>
              <w:pStyle w:val="TableContents"/>
              <w:bidi w:val="0"/>
              <w:spacing w:before="0" w:after="0"/>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September 30, 2024</w:t>
      </w:r>
      <w:r>
        <w:rPr>
          <w:rFonts w:ascii="Calibri;Arial;sans-serif" w:hAnsi="Calibri;Arial;sans-serif"/>
          <w:caps w:val="false"/>
          <w:smallCaps w:val="false"/>
          <w:sz w:val="20"/>
        </w:rPr>
        <w:t>, the difference between Kodak’s effective tax rate and the U.S. statutory rate of 21.0% is primarily attributable to: (</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the impact related to existing valuation allowances associated with changes in net deferred tax assets from current earnings and losses,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the results from operations in jurisdictions outside the U.S., (</w:t>
      </w:r>
      <w:r>
        <w:rPr>
          <w:rStyle w:val="Emphasis"/>
          <w:rFonts w:ascii="Calibri;Arial;sans-serif" w:hAnsi="Calibri;Arial;sans-serif"/>
          <w:caps w:val="false"/>
          <w:smallCaps w:val="false"/>
          <w:sz w:val="20"/>
        </w:rPr>
        <w:t>3</w:t>
      </w:r>
      <w:r>
        <w:rPr>
          <w:rFonts w:ascii="Calibri;Arial;sans-serif" w:hAnsi="Calibri;Arial;sans-serif"/>
          <w:caps w:val="false"/>
          <w:smallCaps w:val="false"/>
          <w:sz w:val="20"/>
        </w:rPr>
        <w:t>) a provision associated with foreign withholding taxes on undistributed earnings and (</w:t>
      </w:r>
      <w:r>
        <w:rPr>
          <w:rStyle w:val="Emphasis"/>
          <w:rFonts w:ascii="Calibri;Arial;sans-serif" w:hAnsi="Calibri;Arial;sans-serif"/>
          <w:caps w:val="false"/>
          <w:smallCaps w:val="false"/>
          <w:sz w:val="20"/>
        </w:rPr>
        <w:t>4</w:t>
      </w:r>
      <w:r>
        <w:rPr>
          <w:rFonts w:ascii="Calibri;Arial;sans-serif" w:hAnsi="Calibri;Arial;sans-serif"/>
          <w:caps w:val="false"/>
          <w:smallCaps w:val="false"/>
          <w:sz w:val="20"/>
        </w:rPr>
        <w:t>) changes in audit 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In </w:t>
      </w:r>
      <w:r>
        <w:rPr>
          <w:rStyle w:val="Emphasis"/>
          <w:rFonts w:ascii="Calibri;Arial;sans-serif" w:hAnsi="Calibri;Arial;sans-serif"/>
          <w:caps w:val="false"/>
          <w:smallCaps w:val="false"/>
          <w:sz w:val="20"/>
        </w:rPr>
        <w:t xml:space="preserve">December 2021, </w:t>
      </w:r>
      <w:r>
        <w:rPr>
          <w:rFonts w:ascii="Calibri;Arial;sans-serif" w:hAnsi="Calibri;Arial;sans-serif"/>
          <w:caps w:val="false"/>
          <w:smallCaps w:val="false"/>
          <w:sz w:val="20"/>
        </w:rPr>
        <w:t xml:space="preserve">the Organisation for Economic Cooperation and Development (“OECD”) introduced Base Erosion and Profit Shifting (“BEPS”) Pillar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xml:space="preserve"> rules that impose a global minimum tax rate of </w:t>
      </w:r>
      <w:r>
        <w:rPr>
          <w:rStyle w:val="Emphasis"/>
          <w:rFonts w:ascii="Calibri;Arial;sans-serif" w:hAnsi="Calibri;Arial;sans-serif"/>
          <w:caps w:val="false"/>
          <w:smallCaps w:val="false"/>
          <w:sz w:val="20"/>
        </w:rPr>
        <w:t>15%.</w:t>
      </w:r>
      <w:r>
        <w:rPr>
          <w:rFonts w:ascii="Calibri;Arial;sans-serif" w:hAnsi="Calibri;Arial;sans-serif"/>
          <w:caps w:val="false"/>
          <w:smallCaps w:val="false"/>
          <w:sz w:val="20"/>
        </w:rPr>
        <w:t xml:space="preserve">  Many participating countries enacted changes which take effect in </w:t>
      </w:r>
      <w:r>
        <w:rPr>
          <w:rStyle w:val="Emphasis"/>
          <w:rFonts w:ascii="Calibri;Arial;sans-serif" w:hAnsi="Calibri;Arial;sans-serif"/>
          <w:caps w:val="false"/>
          <w:smallCaps w:val="false"/>
          <w:sz w:val="20"/>
        </w:rPr>
        <w:t>2024.</w:t>
      </w:r>
      <w:r>
        <w:rPr>
          <w:rFonts w:ascii="Calibri;Arial;sans-serif" w:hAnsi="Calibri;Arial;sans-serif"/>
          <w:caps w:val="false"/>
          <w:smallCaps w:val="false"/>
          <w:sz w:val="20"/>
        </w:rPr>
        <w:t xml:space="preserve"> After considering the applicable tax law changes in the Pillar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xml:space="preserve"> implementation, Kodak determined there was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material impact to its tax provision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September 30,</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[21]</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caps w:val="false"/>
          <w:smallCaps w:val="false"/>
          <w:sz w:val="20"/>
        </w:rPr>
        <w:t xml:space="preserve">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September 30, 2023, </w:t>
      </w:r>
      <w:r>
        <w:rPr>
          <w:rFonts w:ascii="Calibri;Arial;sans-serif" w:hAnsi="Calibri;Arial;sans-serif"/>
          <w:caps w:val="false"/>
          <w:smallCaps w:val="false"/>
          <w:sz w:val="20"/>
        </w:rPr>
        <w:t>the difference between Kodak’s effective tax rate and the U.S. statutory rate of 21.0% is primarily attributable to: (</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the impact related to existing valuation allowances associated with changes in net deferred tax assets from current earnings and losses,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the results from operations in jurisdictions outside the U.S., and (</w:t>
      </w:r>
      <w:r>
        <w:rPr>
          <w:rStyle w:val="Emphasis"/>
          <w:rFonts w:ascii="Calibri;Arial;sans-serif" w:hAnsi="Calibri;Arial;sans-serif"/>
          <w:caps w:val="false"/>
          <w:smallCaps w:val="false"/>
          <w:sz w:val="20"/>
        </w:rPr>
        <w:t>3</w:t>
      </w:r>
      <w:r>
        <w:rPr>
          <w:rFonts w:ascii="Calibri;Arial;sans-serif" w:hAnsi="Calibri;Arial;sans-serif"/>
          <w:caps w:val="false"/>
          <w:smallCaps w:val="false"/>
          <w:sz w:val="20"/>
        </w:rPr>
        <w:t>) a benefit associated with foreign withholding taxes on undistributed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For the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September 30, 2023, </w:t>
      </w:r>
      <w:r>
        <w:rPr>
          <w:rFonts w:ascii="Calibri;Arial;sans-serif" w:hAnsi="Calibri;Arial;sans-serif"/>
          <w:caps w:val="false"/>
          <w:smallCaps w:val="false"/>
          <w:sz w:val="20"/>
        </w:rPr>
        <w:t>the difference between Kodak’s effective tax rate and the U.S. statutory rate of 21.0% is primarily attributable to: (</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the impact related to existing valuation allowances associated with changes in net deferred tax assets from current earnings and losses,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the results from operations in jurisdictions outside the U.S., (</w:t>
      </w:r>
      <w:r>
        <w:rPr>
          <w:rStyle w:val="Emphasis"/>
          <w:rFonts w:ascii="Calibri;Arial;sans-serif" w:hAnsi="Calibri;Arial;sans-serif"/>
          <w:caps w:val="false"/>
          <w:smallCaps w:val="false"/>
          <w:sz w:val="20"/>
        </w:rPr>
        <w:t>3</w:t>
      </w:r>
      <w:r>
        <w:rPr>
          <w:rFonts w:ascii="Calibri;Arial;sans-serif" w:hAnsi="Calibri;Arial;sans-serif"/>
          <w:caps w:val="false"/>
          <w:smallCaps w:val="false"/>
          <w:sz w:val="20"/>
        </w:rPr>
        <w:t>) a benefit associated with foreign withholding taxes on undistributed earnings and (</w:t>
      </w:r>
      <w:r>
        <w:rPr>
          <w:rStyle w:val="Emphasis"/>
          <w:rFonts w:ascii="Calibri;Arial;sans-serif" w:hAnsi="Calibri;Arial;sans-serif"/>
          <w:caps w:val="false"/>
          <w:smallCaps w:val="false"/>
          <w:sz w:val="20"/>
        </w:rPr>
        <w:t>4</w:t>
      </w:r>
      <w:r>
        <w:rPr>
          <w:rFonts w:ascii="Calibri;Arial;sans-serif" w:hAnsi="Calibri;Arial;sans-serif"/>
          <w:caps w:val="false"/>
          <w:smallCaps w:val="false"/>
          <w:sz w:val="20"/>
        </w:rPr>
        <w:t>) changes in audit reserves, including a settlement with a taxing authority in a location outside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12:</w:t>
      </w:r>
      <w:r>
        <w:rPr>
          <w:rFonts w:ascii="Calibri;Arial;sans-serif" w:hAnsi="Calibri;Arial;sans-serif"/>
          <w:b/>
          <w:caps w:val="false"/>
          <w:smallCaps w:val="false"/>
          <w:sz w:val="20"/>
        </w:rPr>
        <w:t xml:space="preserve"> RETIREMENT PLANS AND OTHER POSTRETIREMENT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Components of the net periodic benefit cost for all major U.S. and non-U.S. defined benefit plans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15"/>
        <w:gridCol w:w="60"/>
        <w:gridCol w:w="125"/>
        <w:gridCol w:w="290"/>
        <w:gridCol w:w="80"/>
        <w:gridCol w:w="60"/>
        <w:gridCol w:w="235"/>
        <w:gridCol w:w="490"/>
        <w:gridCol w:w="80"/>
        <w:gridCol w:w="60"/>
        <w:gridCol w:w="125"/>
        <w:gridCol w:w="290"/>
        <w:gridCol w:w="80"/>
        <w:gridCol w:w="60"/>
        <w:gridCol w:w="235"/>
        <w:gridCol w:w="490"/>
        <w:gridCol w:w="80"/>
        <w:gridCol w:w="60"/>
        <w:gridCol w:w="125"/>
        <w:gridCol w:w="395"/>
        <w:gridCol w:w="80"/>
        <w:gridCol w:w="60"/>
        <w:gridCol w:w="218"/>
        <w:gridCol w:w="507"/>
        <w:gridCol w:w="80"/>
        <w:gridCol w:w="60"/>
        <w:gridCol w:w="125"/>
        <w:gridCol w:w="395"/>
        <w:gridCol w:w="80"/>
        <w:gridCol w:w="60"/>
        <w:gridCol w:w="218"/>
        <w:gridCol w:w="507"/>
        <w:gridCol w:w="80"/>
      </w:tblGrid>
      <w:tr>
        <w:trPr/>
        <w:tc>
          <w:tcPr>
            <w:tcW w:w="4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4"/>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0" w:type="dxa"/>
            <w:gridSpan w:val="14"/>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4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r>
      <w:tr>
        <w:trPr/>
        <w:tc>
          <w:tcPr>
            <w:tcW w:w="4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31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4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Non-U.S.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Non-U.S.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Non-U.S.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Non-U.S.</w:t>
            </w:r>
          </w:p>
        </w:tc>
        <w:tc>
          <w:tcPr>
            <w:tcW w:w="80" w:type="dxa"/>
            <w:tcBorders/>
            <w:shd w:fill="FFFFFF" w:val="clear"/>
            <w:vAlign w:val="center"/>
          </w:tcPr>
          <w:p>
            <w:pPr>
              <w:pStyle w:val="TableContents"/>
              <w:bidi w:val="0"/>
              <w:spacing w:before="0" w:after="283"/>
              <w:jc w:val="left"/>
              <w:rPr/>
            </w:pPr>
            <w:r>
              <w:rPr/>
              <w:t> </w:t>
            </w:r>
          </w:p>
        </w:tc>
      </w:tr>
      <w:tr>
        <w:trPr/>
        <w:tc>
          <w:tcPr>
            <w:tcW w:w="4315"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Major defined benefit plans: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31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Service cost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29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29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39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50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39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50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pPr>
            <w:r>
              <w:rPr/>
              <w:t> </w:t>
            </w:r>
          </w:p>
        </w:tc>
      </w:tr>
      <w:tr>
        <w:trPr/>
        <w:tc>
          <w:tcPr>
            <w:tcW w:w="431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Interest cost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15</w:t>
            </w:r>
          </w:p>
        </w:tc>
        <w:tc>
          <w:tcPr>
            <w:tcW w:w="80" w:type="dxa"/>
            <w:tcBorders/>
            <w:shd w:fill="CCEEFF" w:val="clear"/>
            <w:vAlign w:val="center"/>
          </w:tcPr>
          <w:p>
            <w:pPr>
              <w:pStyle w:val="TableContents"/>
              <w:bidi w:val="0"/>
              <w:spacing w:before="0" w:after="283"/>
              <w:jc w:val="left"/>
              <w:rPr/>
            </w:pPr>
            <w:r>
              <w:rPr/>
              <w:t> </w:t>
            </w:r>
          </w:p>
        </w:tc>
      </w:tr>
      <w:tr>
        <w:trPr/>
        <w:tc>
          <w:tcPr>
            <w:tcW w:w="431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Expected return on plan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(62</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(64</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(187</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(14</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(192</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(15</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31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Amortization of:</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315"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Prior service cost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315" w:type="dxa"/>
            <w:tcBorders/>
            <w:shd w:fill="CCEE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Actuarial (gain)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(9</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0"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(8</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0"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(28</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(22</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pPr>
            <w:r>
              <w:rPr/>
              <w:t> </w:t>
            </w:r>
          </w:p>
        </w:tc>
      </w:tr>
      <w:tr>
        <w:trPr/>
        <w:tc>
          <w:tcPr>
            <w:tcW w:w="431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pension (income) expense before special termination benefits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9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(38</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49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9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(37</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49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(114</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pPr>
            <w:r>
              <w:rPr/>
              <w:t> </w:t>
            </w:r>
          </w:p>
        </w:tc>
      </w:tr>
      <w:tr>
        <w:trPr/>
        <w:tc>
          <w:tcPr>
            <w:tcW w:w="431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Special termination benefits (1)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0"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0"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431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Net pension (income) expense from major plans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(38</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(37</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(113</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(111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pPr>
            <w:r>
              <w:rPr/>
              <w:t> </w:t>
            </w:r>
          </w:p>
        </w:tc>
      </w:tr>
      <w:tr>
        <w:trPr/>
        <w:tc>
          <w:tcPr>
            <w:tcW w:w="431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Other plans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0"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0"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431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net pension (income)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(38</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(37</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(113</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pP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The special termination benefits were incurred as a result of Kodak’s restructuring actions and have been included in Restructuring costs and other in the Consolidated Statement of Operations for that period.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[22]</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13:</w:t>
      </w:r>
      <w:r>
        <w:rPr>
          <w:rFonts w:ascii="Calibri;Arial;sans-serif" w:hAnsi="Calibri;Arial;sans-serif"/>
          <w:b/>
          <w:caps w:val="false"/>
          <w:smallCaps w:val="false"/>
          <w:sz w:val="20"/>
        </w:rPr>
        <w:t xml:space="preserve">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Basic earnings per share computations are based on the weighted-average number of shares of common stock outstanding during the period. Diluted earnings per share computations include any dilutive effect of potential common shares. In periods with a net loss available to common shareholders, diluted earnings per share are calculated using weighted-average basic shares for that period, as utilizing diluted shares would be anti-dilutive to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 reconciliation of the amounts used to calculate basic and diluted earnings per share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September 30, 2024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follows:</w:t>
      </w:r>
    </w:p>
    <w:p>
      <w:pPr>
        <w:pStyle w:val="TextBody"/>
        <w:bidi w:val="0"/>
        <w:spacing w:before="0" w:after="0"/>
        <w:ind w:left="0" w:right="0" w:hanging="0"/>
        <w:jc w:val="left"/>
        <w:rPr>
          <w:caps w:val="false"/>
          <w:smallCaps w:val="false"/>
        </w:rPr>
      </w:pPr>
      <w:r>
        <w:rPr>
          <w:caps w:val="false"/>
          <w:smallCaps w:val="false"/>
        </w:rPr>
        <w:t> </w:t>
      </w:r>
    </w:p>
    <w:tbl>
      <w:tblPr>
        <w:tblW w:w="8689" w:type="dxa"/>
        <w:jc w:val="left"/>
        <w:tblInd w:w="0" w:type="dxa"/>
        <w:tblLayout w:type="fixed"/>
        <w:tblCellMar>
          <w:top w:w="0" w:type="dxa"/>
          <w:left w:w="0" w:type="dxa"/>
          <w:bottom w:w="0" w:type="dxa"/>
          <w:right w:w="0" w:type="dxa"/>
        </w:tblCellMar>
      </w:tblPr>
      <w:tblGrid>
        <w:gridCol w:w="5120"/>
        <w:gridCol w:w="60"/>
        <w:gridCol w:w="231"/>
        <w:gridCol w:w="481"/>
        <w:gridCol w:w="148"/>
        <w:gridCol w:w="111"/>
        <w:gridCol w:w="231"/>
        <w:gridCol w:w="481"/>
        <w:gridCol w:w="80"/>
        <w:gridCol w:w="60"/>
        <w:gridCol w:w="236"/>
        <w:gridCol w:w="435"/>
        <w:gridCol w:w="151"/>
        <w:gridCol w:w="113"/>
        <w:gridCol w:w="236"/>
        <w:gridCol w:w="435"/>
        <w:gridCol w:w="80"/>
      </w:tblGrid>
      <w:tr>
        <w:trPr/>
        <w:tc>
          <w:tcPr>
            <w:tcW w:w="5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3"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6"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15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6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Net earnings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8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18</w:t>
            </w:r>
          </w:p>
        </w:tc>
        <w:tc>
          <w:tcPr>
            <w:tcW w:w="14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8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3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76</w:t>
            </w:r>
          </w:p>
        </w:tc>
        <w:tc>
          <w:tcPr>
            <w:tcW w:w="15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3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70</w:t>
            </w:r>
          </w:p>
        </w:tc>
        <w:tc>
          <w:tcPr>
            <w:tcW w:w="80"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Less: Series B Preferred stock cash dividends</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48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48"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1"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48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4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5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4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12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Less: Series C Preferred stock in-kind dividends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48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48"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1"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48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ind w:left="0" w:right="0" w:hanging="0"/>
              <w:jc w:val="left"/>
              <w:rPr/>
            </w:pPr>
            <w:r>
              <w:rPr/>
              <w:t> </w:t>
            </w:r>
          </w:p>
        </w:tc>
        <w:tc>
          <w:tcPr>
            <w:tcW w:w="4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15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ind w:left="0" w:right="0" w:hanging="0"/>
              <w:jc w:val="left"/>
              <w:rPr/>
            </w:pPr>
            <w:r>
              <w:rPr/>
              <w:t> </w:t>
            </w:r>
          </w:p>
        </w:tc>
        <w:tc>
          <w:tcPr>
            <w:tcW w:w="4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12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Less: Preferred stock deemed dividends</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481" w:type="dxa"/>
            <w:tcBorders/>
            <w:shd w:fill="FFFFFF" w:val="clear"/>
            <w:vAlign w:val="center"/>
          </w:tcPr>
          <w:p>
            <w:pPr>
              <w:pStyle w:val="TableContents"/>
              <w:bidi w:val="0"/>
              <w:spacing w:before="0" w:after="283"/>
              <w:ind w:left="0" w:right="0" w:hanging="0"/>
              <w:jc w:val="right"/>
              <w:rPr/>
            </w:pPr>
            <w:r>
              <w:rPr/>
              <w:t>—</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48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4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5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4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120" w:type="dxa"/>
            <w:tcBorders/>
            <w:shd w:fill="CCEEFF" w:val="clear"/>
            <w:vAlign w:val="center"/>
          </w:tcPr>
          <w:p>
            <w:pPr>
              <w:pStyle w:val="TableContents"/>
              <w:bidi w:val="0"/>
              <w:spacing w:before="0" w:after="0"/>
              <w:ind w:left="0" w:right="0" w:firstLine="180"/>
              <w:jc w:val="left"/>
              <w:rPr>
                <w:rFonts w:ascii="Calibri;Arial;sans-serif" w:hAnsi="Calibri;Arial;sans-serif"/>
                <w:sz w:val="20"/>
              </w:rPr>
            </w:pPr>
            <w:r>
              <w:rPr>
                <w:rFonts w:ascii="Calibri;Arial;sans-serif" w:hAnsi="Calibri;Arial;sans-serif"/>
                <w:sz w:val="20"/>
              </w:rPr>
              <w:t>Less: Earnings attributable to Series C Preferred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w:t>
            </w:r>
          </w:p>
        </w:tc>
        <w:tc>
          <w:tcPr>
            <w:tcW w:w="148"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1" w:type="dxa"/>
            <w:tcBorders/>
            <w:shd w:fill="CCEEFF" w:val="cle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(9</w:t>
            </w:r>
          </w:p>
        </w:tc>
        <w:tc>
          <w:tcPr>
            <w:tcW w:w="15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3" w:type="dxa"/>
            <w:tcBorders/>
            <w:shd w:fill="CCEEFF" w:val="clear"/>
            <w:vAlign w:val="center"/>
          </w:tcPr>
          <w:p>
            <w:pPr>
              <w:pStyle w:val="TableContents"/>
              <w:bidi w:val="0"/>
              <w:spacing w:before="0" w:after="283"/>
              <w:ind w:left="0" w:right="0" w:hanging="0"/>
              <w:jc w:val="left"/>
              <w:rPr/>
            </w:pPr>
            <w:r>
              <w:rPr/>
              <w:t> </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(8</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120" w:type="dxa"/>
            <w:tcBorders/>
            <w:shd w:fill="FFFFFF" w:val="clear"/>
            <w:vAlign w:val="center"/>
          </w:tcPr>
          <w:p>
            <w:pPr>
              <w:pStyle w:val="TableContents"/>
              <w:bidi w:val="0"/>
              <w:spacing w:before="0" w:after="0"/>
              <w:ind w:left="180" w:right="0" w:hanging="180"/>
              <w:jc w:val="left"/>
              <w:rPr>
                <w:rFonts w:ascii="Calibri;Arial;sans-serif" w:hAnsi="Calibri;Arial;sans-serif"/>
                <w:caps w:val="false"/>
                <w:smallCaps w:val="false"/>
                <w:sz w:val="20"/>
              </w:rPr>
            </w:pPr>
            <w:r>
              <w:rPr>
                <w:rFonts w:ascii="Calibri;Arial;sans-serif" w:hAnsi="Calibri;Arial;sans-serif"/>
                <w:caps w:val="false"/>
                <w:smallCaps w:val="false"/>
                <w:sz w:val="20"/>
              </w:rPr>
              <w:t>Net earnings available to common shareholders - basic</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58</w:t>
            </w:r>
          </w:p>
        </w:tc>
        <w:tc>
          <w:tcPr>
            <w:tcW w:w="15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54</w:t>
            </w:r>
          </w:p>
        </w:tc>
        <w:tc>
          <w:tcPr>
            <w:tcW w:w="80"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ind w:left="0" w:right="0" w:firstLine="180"/>
              <w:jc w:val="left"/>
              <w:rPr>
                <w:rFonts w:ascii="Calibri;Arial;sans-serif" w:hAnsi="Calibri;Arial;sans-serif"/>
                <w:sz w:val="20"/>
              </w:rPr>
            </w:pPr>
            <w:r>
              <w:rPr>
                <w:rFonts w:ascii="Calibri;Arial;sans-serif" w:hAnsi="Calibri;Arial;sans-serif"/>
                <w:sz w:val="20"/>
              </w:rPr>
              <w:t>Add back: Series B preferred stock cash and deemed dividends</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481"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14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481"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43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4</w:t>
            </w:r>
          </w:p>
        </w:tc>
        <w:tc>
          <w:tcPr>
            <w:tcW w:w="15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43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4</w:t>
            </w:r>
          </w:p>
        </w:tc>
        <w:tc>
          <w:tcPr>
            <w:tcW w:w="80"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0"/>
              <w:ind w:left="180" w:right="0" w:hanging="180"/>
              <w:jc w:val="left"/>
              <w:rPr>
                <w:rFonts w:ascii="Calibri;Arial;sans-serif" w:hAnsi="Calibri;Arial;sans-serif"/>
                <w:caps w:val="false"/>
                <w:smallCaps w:val="false"/>
                <w:sz w:val="20"/>
              </w:rPr>
            </w:pPr>
            <w:r>
              <w:rPr>
                <w:rFonts w:ascii="Calibri;Arial;sans-serif" w:hAnsi="Calibri;Arial;sans-serif"/>
                <w:caps w:val="false"/>
                <w:smallCaps w:val="false"/>
                <w:sz w:val="20"/>
              </w:rPr>
              <w:t>Net earnings available to common shareholders - diluted</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62</w:t>
            </w:r>
          </w:p>
        </w:tc>
        <w:tc>
          <w:tcPr>
            <w:tcW w:w="15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2825"/>
        <w:gridCol w:w="60"/>
        <w:gridCol w:w="101"/>
        <w:gridCol w:w="640"/>
        <w:gridCol w:w="101"/>
        <w:gridCol w:w="101"/>
        <w:gridCol w:w="101"/>
        <w:gridCol w:w="640"/>
        <w:gridCol w:w="60"/>
        <w:gridCol w:w="60"/>
        <w:gridCol w:w="96"/>
        <w:gridCol w:w="611"/>
        <w:gridCol w:w="96"/>
        <w:gridCol w:w="96"/>
        <w:gridCol w:w="96"/>
        <w:gridCol w:w="611"/>
        <w:gridCol w:w="60"/>
      </w:tblGrid>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4"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6"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60" w:type="dxa"/>
            <w:tcBorders/>
            <w:shd w:fill="FFFF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 of shares)</w:t>
            </w:r>
          </w:p>
        </w:tc>
        <w:tc>
          <w:tcPr>
            <w:tcW w:w="60" w:type="dxa"/>
            <w:tcBorders/>
            <w:shd w:fill="FFFFFF" w:val="clear"/>
            <w:vAlign w:val="center"/>
          </w:tcPr>
          <w:p>
            <w:pPr>
              <w:pStyle w:val="TableContents"/>
              <w:bidi w:val="0"/>
              <w:spacing w:before="0" w:after="283"/>
              <w:ind w:left="0" w:right="0" w:hanging="0"/>
              <w:jc w:val="left"/>
              <w:rPr/>
            </w:pPr>
            <w:r>
              <w:rPr/>
              <w:t> </w:t>
            </w:r>
          </w:p>
        </w:tc>
        <w:tc>
          <w:tcPr>
            <w:tcW w:w="7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7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Weighted average shares — basic</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80.3</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80.0</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79.3</w:t>
            </w:r>
          </w:p>
        </w:tc>
        <w:tc>
          <w:tcPr>
            <w:tcW w:w="6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firstLine="180"/>
              <w:jc w:val="left"/>
              <w:rPr>
                <w:rFonts w:ascii="Calibri;Arial;sans-serif" w:hAnsi="Calibri;Arial;sans-serif"/>
                <w:sz w:val="20"/>
              </w:rPr>
            </w:pPr>
            <w:r>
              <w:rPr>
                <w:rFonts w:ascii="Calibri;Arial;sans-serif" w:hAnsi="Calibri;Arial;sans-serif"/>
                <w:sz w:val="20"/>
              </w:rPr>
              <w:t>Unvested restricted stock units</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1.7</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1.6</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0.9</w:t>
            </w:r>
          </w:p>
        </w:tc>
        <w:tc>
          <w:tcPr>
            <w:tcW w:w="6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firstLine="180"/>
              <w:jc w:val="left"/>
              <w:rPr>
                <w:rFonts w:ascii="Calibri;Arial;sans-serif" w:hAnsi="Calibri;Arial;sans-serif"/>
                <w:sz w:val="20"/>
              </w:rPr>
            </w:pPr>
            <w:r>
              <w:rPr>
                <w:rFonts w:ascii="Calibri;Arial;sans-serif" w:hAnsi="Calibri;Arial;sans-serif"/>
                <w:sz w:val="20"/>
              </w:rPr>
              <w:t>Employee stock options</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1.0</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0.8</w:t>
            </w:r>
          </w:p>
        </w:tc>
        <w:tc>
          <w:tcPr>
            <w:tcW w:w="6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firstLine="180"/>
              <w:jc w:val="left"/>
              <w:rPr>
                <w:rFonts w:ascii="Calibri;Arial;sans-serif" w:hAnsi="Calibri;Arial;sans-serif"/>
                <w:sz w:val="20"/>
              </w:rPr>
            </w:pPr>
            <w:r>
              <w:rPr>
                <w:rFonts w:ascii="Calibri;Arial;sans-serif" w:hAnsi="Calibri;Arial;sans-serif"/>
                <w:sz w:val="20"/>
              </w:rPr>
              <w:t>Series B Preferred Stock</w:t>
            </w:r>
          </w:p>
        </w:tc>
        <w:tc>
          <w:tcPr>
            <w:tcW w:w="60" w:type="dxa"/>
            <w:tcBorders/>
            <w:shd w:fill="CCEEFF" w:val="clear"/>
            <w:vAlign w:val="center"/>
          </w:tcPr>
          <w:p>
            <w:pPr>
              <w:pStyle w:val="TableContents"/>
              <w:bidi w:val="0"/>
              <w:spacing w:before="0" w:after="283"/>
              <w:ind w:left="0" w:right="0" w:hanging="0"/>
              <w:jc w:val="left"/>
              <w:rPr/>
            </w:pPr>
            <w:r>
              <w:rPr/>
              <w:t> </w:t>
            </w:r>
          </w:p>
        </w:tc>
        <w:tc>
          <w:tcPr>
            <w:tcW w:w="1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0"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9.5</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1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0"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1"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9.5</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1"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9.5</w:t>
            </w:r>
          </w:p>
        </w:tc>
        <w:tc>
          <w:tcPr>
            <w:tcW w:w="6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Weighted average shares — diluted</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92.7</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92.1</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90.5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The computation of diluted earnings per share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September 30, 2024</w:t>
      </w:r>
      <w:r>
        <w:rPr>
          <w:rFonts w:ascii="Calibri;Arial;sans-serif" w:hAnsi="Calibri;Arial;sans-serif"/>
          <w:caps w:val="false"/>
          <w:smallCaps w:val="false"/>
          <w:sz w:val="20"/>
        </w:rPr>
        <w:t> excluded the impact of (</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the assumed conversion of 1.2 million shares of Series C Preferred Stock and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the assumed exercise of 2.6 million outstanding employee stock options because the effects would have been anti-dilutive.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computation of diluted earnings per share for the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September 30, 2023 </w:t>
      </w:r>
      <w:r>
        <w:rPr>
          <w:rFonts w:ascii="Calibri;Arial;sans-serif" w:hAnsi="Calibri;Arial;sans-serif"/>
          <w:caps w:val="false"/>
          <w:smallCaps w:val="false"/>
          <w:sz w:val="20"/>
        </w:rPr>
        <w:t>excluded the impact of (</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the assumed conversion of 1.1 million shares of Series C Preferred Stock,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the assumed exercise of 3.9 million outstanding employee stock options and (</w:t>
      </w:r>
      <w:r>
        <w:rPr>
          <w:rStyle w:val="Emphasis"/>
          <w:rFonts w:ascii="Calibri;Arial;sans-serif" w:hAnsi="Calibri;Arial;sans-serif"/>
          <w:caps w:val="false"/>
          <w:smallCaps w:val="false"/>
          <w:sz w:val="20"/>
        </w:rPr>
        <w:t>3</w:t>
      </w:r>
      <w:r>
        <w:rPr>
          <w:rFonts w:ascii="Calibri;Arial;sans-serif" w:hAnsi="Calibri;Arial;sans-serif"/>
          <w:caps w:val="false"/>
          <w:smallCaps w:val="false"/>
          <w:sz w:val="20"/>
        </w:rPr>
        <w:t>) the assumed vesting of 0.1 restricted stock units because the effects would have been anti-dilutive.</w:t>
      </w:r>
    </w:p>
    <w:p>
      <w:pPr>
        <w:pStyle w:val="TextBody"/>
        <w:bidi w:val="0"/>
        <w:spacing w:before="0" w:after="0"/>
        <w:ind w:left="0" w:right="0" w:hanging="0"/>
        <w:jc w:val="left"/>
        <w:rPr/>
      </w:pPr>
      <w:r>
        <w:rPr>
          <w:rFonts w:ascii="Calibri;Arial;sans-serif" w:hAnsi="Calibri;Arial;sans-serif"/>
          <w:caps w:val="false"/>
          <w:smallCaps w:val="false"/>
          <w:sz w:val="20"/>
        </w:rPr>
        <w:br/>
        <w:t xml:space="preserve">There was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income available to common shareholders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September 30, 2023. </w:t>
      </w:r>
      <w:r>
        <w:rPr>
          <w:rFonts w:ascii="Calibri;Arial;sans-serif" w:hAnsi="Calibri;Arial;sans-serif"/>
          <w:caps w:val="false"/>
          <w:smallCaps w:val="false"/>
          <w:sz w:val="20"/>
        </w:rPr>
        <w:t xml:space="preserve">Therefore, Kodak calculated diluted earnings per share using weighted-average basic shares outstanding. If Kodak reported income available to common shareholders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September 30, 2023, </w:t>
      </w:r>
      <w:r>
        <w:rPr>
          <w:rFonts w:ascii="Calibri;Arial;sans-serif" w:hAnsi="Calibri;Arial;sans-serif"/>
          <w:caps w:val="false"/>
          <w:smallCaps w:val="false"/>
          <w:sz w:val="20"/>
        </w:rPr>
        <w:t>the calculation of diluted earnings per share would have included (</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the assumed vesting of 1.2 million unvested restricted stock units and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the assumed exercise of 1.1 million outstanding stock options.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The</w:t>
      </w:r>
      <w:r>
        <w:rPr>
          <w:rFonts w:ascii="Arial;Helvetica;sans-serif" w:hAnsi="Arial;Helvetica;sans-serif"/>
          <w:caps w:val="false"/>
          <w:smallCaps w:val="false"/>
          <w:sz w:val="20"/>
        </w:rPr>
        <w:t xml:space="preserve"> </w:t>
      </w:r>
      <w:r>
        <w:rPr>
          <w:rFonts w:ascii="Calibri;Arial;sans-serif" w:hAnsi="Calibri;Arial;sans-serif"/>
          <w:caps w:val="false"/>
          <w:smallCaps w:val="false"/>
          <w:sz w:val="20"/>
        </w:rPr>
        <w:t xml:space="preserve">computation of diluted earnings per share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September 30, 2023 </w:t>
      </w:r>
      <w:r>
        <w:rPr>
          <w:rFonts w:ascii="Calibri;Arial;sans-serif" w:hAnsi="Calibri;Arial;sans-serif"/>
          <w:caps w:val="false"/>
          <w:smallCaps w:val="false"/>
          <w:sz w:val="20"/>
        </w:rPr>
        <w:t>excluded the impact of (</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the assumed exercise of 3.1 million outstanding stock options,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the assumed conversion of 1.0 million share of Series B Preferred Stock and (</w:t>
      </w:r>
      <w:r>
        <w:rPr>
          <w:rStyle w:val="Emphasis"/>
          <w:rFonts w:ascii="Calibri;Arial;sans-serif" w:hAnsi="Calibri;Arial;sans-serif"/>
          <w:caps w:val="false"/>
          <w:smallCaps w:val="false"/>
          <w:sz w:val="20"/>
        </w:rPr>
        <w:t>3</w:t>
      </w:r>
      <w:r>
        <w:rPr>
          <w:rFonts w:ascii="Calibri;Arial;sans-serif" w:hAnsi="Calibri;Arial;sans-serif"/>
          <w:caps w:val="false"/>
          <w:smallCaps w:val="false"/>
          <w:sz w:val="20"/>
        </w:rPr>
        <w:t>) the assumed conversion of 1.1 million shares of Series C Preferred Stock because the effects would have been anti-dilutive.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Calibri;Arial;sans-serif" w:hAnsi="Calibri;Arial;sans-serif"/>
          <w:sz w:val="20"/>
        </w:rPr>
        <w:t>[23]</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14:</w:t>
      </w:r>
      <w:r>
        <w:rPr>
          <w:rFonts w:ascii="Calibri;Arial;sans-serif" w:hAnsi="Calibri;Arial;sans-serif"/>
          <w:b/>
          <w:caps w:val="false"/>
          <w:smallCaps w:val="false"/>
          <w:sz w:val="20"/>
        </w:rPr>
        <w:t xml:space="preserve"> SHAREHOLDERS</w:t>
      </w:r>
      <w:r>
        <w:rPr>
          <w:rFonts w:ascii="Calibri;Arial;sans-serif" w:hAnsi="Calibri;Arial;sans-serif"/>
          <w:caps w:val="false"/>
          <w:smallCaps w:val="false"/>
          <w:sz w:val="20"/>
        </w:rPr>
        <w:t xml:space="preserve">’ </w:t>
      </w:r>
      <w:r>
        <w:rPr>
          <w:rFonts w:ascii="Calibri;Arial;sans-serif" w:hAnsi="Calibri;Arial;sans-serif"/>
          <w:b/>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Company has 560 million shares of authorized stock, consisting of: (i) 500 million shares of common stock, par value $0.01 per share and (ii) 60 million shares of preferred stock, no par value, issuable in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or more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Common Stock</w:t>
      </w:r>
    </w:p>
    <w:p>
      <w:pPr>
        <w:pStyle w:val="TextBody"/>
        <w:bidi w:val="0"/>
        <w:spacing w:before="0" w:after="0"/>
        <w:ind w:left="0" w:right="0" w:hanging="0"/>
        <w:jc w:val="left"/>
        <w:rPr/>
      </w:pPr>
      <w:r>
        <w:rPr>
          <w:rFonts w:ascii="Calibri;Arial;sans-serif" w:hAnsi="Calibri;Arial;sans-serif"/>
          <w:caps w:val="false"/>
          <w:smallCaps w:val="false"/>
          <w:sz w:val="20"/>
        </w:rPr>
        <w:t xml:space="preserve">As of </w:t>
      </w:r>
      <w:r>
        <w:rPr>
          <w:rStyle w:val="Emphasis"/>
          <w:rFonts w:ascii="Calibri;Arial;sans-serif" w:hAnsi="Calibri;Arial;sans-serif"/>
          <w:caps w:val="false"/>
          <w:smallCaps w:val="false"/>
          <w:sz w:val="20"/>
        </w:rPr>
        <w:t>September 30,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there were 80.4 million and 79.6 million shares of common stock outstanding,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Preferred Stock</w:t>
      </w:r>
    </w:p>
    <w:p>
      <w:pPr>
        <w:pStyle w:val="TextBody"/>
        <w:bidi w:val="0"/>
        <w:spacing w:before="0" w:after="0"/>
        <w:ind w:left="0" w:right="0" w:hanging="0"/>
        <w:jc w:val="left"/>
        <w:rPr/>
      </w:pPr>
      <w:r>
        <w:rPr>
          <w:rFonts w:ascii="Calibri;Arial;sans-serif" w:hAnsi="Calibri;Arial;sans-serif"/>
          <w:caps w:val="false"/>
          <w:smallCaps w:val="false"/>
          <w:sz w:val="20"/>
        </w:rPr>
        <w:t>Series B Preferred stock issued and outstanding as of both </w:t>
      </w:r>
      <w:r>
        <w:rPr>
          <w:rStyle w:val="Emphasis"/>
          <w:rFonts w:ascii="Calibri;Arial;sans-serif" w:hAnsi="Calibri;Arial;sans-serif"/>
          <w:caps w:val="false"/>
          <w:smallCaps w:val="false"/>
          <w:sz w:val="20"/>
        </w:rPr>
        <w:t xml:space="preserve"> September 30, 2024</w:t>
      </w:r>
      <w:r>
        <w:rPr>
          <w:rFonts w:ascii="Calibri;Arial;sans-serif" w:hAnsi="Calibri;Arial;sans-serif"/>
          <w:caps w:val="false"/>
          <w:smallCaps w:val="false"/>
          <w:sz w:val="20"/>
        </w:rPr>
        <w:t> and </w:t>
      </w:r>
      <w:r>
        <w:rPr>
          <w:rStyle w:val="Emphasis"/>
          <w:rFonts w:ascii="Calibri;Arial;sans-serif" w:hAnsi="Calibri;Arial;sans-serif"/>
          <w:caps w:val="false"/>
          <w:smallCaps w:val="false"/>
          <w:sz w:val="20"/>
        </w:rPr>
        <w:t xml:space="preserve"> December 31, 2023</w:t>
      </w:r>
      <w:r>
        <w:rPr>
          <w:rFonts w:ascii="Calibri;Arial;sans-serif" w:hAnsi="Calibri;Arial;sans-serif"/>
          <w:caps w:val="false"/>
          <w:smallCaps w:val="false"/>
          <w:sz w:val="20"/>
        </w:rPr>
        <w:t xml:space="preserve"> consisted of 1.0 million shares. Series C Preferred stock issued and outstanding as of </w:t>
      </w:r>
      <w:r>
        <w:rPr>
          <w:rStyle w:val="Emphasis"/>
          <w:rFonts w:ascii="Calibri;Arial;sans-serif" w:hAnsi="Calibri;Arial;sans-serif"/>
          <w:caps w:val="false"/>
          <w:smallCaps w:val="false"/>
          <w:sz w:val="20"/>
        </w:rPr>
        <w:t>September 30, 2024</w:t>
      </w:r>
      <w:r>
        <w:rPr>
          <w:rFonts w:ascii="Calibri;Arial;sans-serif" w:hAnsi="Calibri;Arial;sans-serif"/>
          <w:caps w:val="false"/>
          <w:smallCaps w:val="false"/>
          <w:sz w:val="20"/>
        </w:rPr>
        <w:t> and </w:t>
      </w:r>
      <w:r>
        <w:rPr>
          <w:rStyle w:val="Emphasis"/>
          <w:rFonts w:ascii="Calibri;Arial;sans-serif" w:hAnsi="Calibri;Arial;sans-serif"/>
          <w:caps w:val="false"/>
          <w:smallCaps w:val="false"/>
          <w:sz w:val="20"/>
        </w:rPr>
        <w:t xml:space="preserve"> December 31, 2023</w:t>
      </w:r>
      <w:r>
        <w:rPr>
          <w:rFonts w:ascii="Calibri;Arial;sans-serif" w:hAnsi="Calibri;Arial;sans-serif"/>
          <w:caps w:val="false"/>
          <w:smallCaps w:val="false"/>
          <w:sz w:val="20"/>
        </w:rPr>
        <w:t xml:space="preserve"> consisted of 1.2 million shares and 1.1 million shares,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Treasury Stock</w:t>
      </w:r>
    </w:p>
    <w:p>
      <w:pPr>
        <w:pStyle w:val="TextBody"/>
        <w:bidi w:val="0"/>
        <w:spacing w:before="0" w:after="0"/>
        <w:ind w:left="0" w:right="0" w:hanging="0"/>
        <w:jc w:val="left"/>
        <w:rPr/>
      </w:pPr>
      <w:r>
        <w:rPr>
          <w:rFonts w:ascii="Calibri;Arial;sans-serif" w:hAnsi="Calibri;Arial;sans-serif"/>
          <w:caps w:val="false"/>
          <w:smallCaps w:val="false"/>
          <w:sz w:val="20"/>
        </w:rPr>
        <w:t>Treasury stock consisted of approximately 1.2 million and 1.0 million shares as of </w:t>
      </w:r>
      <w:r>
        <w:rPr>
          <w:rStyle w:val="Emphasis"/>
          <w:rFonts w:ascii="Calibri;Arial;sans-serif" w:hAnsi="Calibri;Arial;sans-serif"/>
          <w:caps w:val="false"/>
          <w:smallCaps w:val="false"/>
          <w:sz w:val="20"/>
        </w:rPr>
        <w:t xml:space="preserve"> September 30,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15:</w:t>
      </w:r>
      <w:r>
        <w:rPr>
          <w:rFonts w:ascii="Calibri;Arial;sans-serif" w:hAnsi="Calibri;Arial;sans-serif"/>
          <w:b/>
          <w:caps w:val="false"/>
          <w:smallCaps w:val="false"/>
          <w:sz w:val="20"/>
        </w:rPr>
        <w:t xml:space="preserve"> OTHER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changes in Other comprehensive income (loss) by component were as follows:</w:t>
      </w:r>
    </w:p>
    <w:p>
      <w:pPr>
        <w:pStyle w:val="TextBody"/>
        <w:bidi w:val="0"/>
        <w:spacing w:before="0" w:after="0"/>
        <w:ind w:left="0" w:right="0" w:hanging="0"/>
        <w:jc w:val="left"/>
        <w:rPr>
          <w:caps w:val="false"/>
          <w:smallCaps w:val="false"/>
        </w:rPr>
      </w:pPr>
      <w:r>
        <w:rPr>
          <w:caps w:val="false"/>
          <w:smallCaps w:val="false"/>
        </w:rPr>
        <w:t> </w:t>
      </w:r>
    </w:p>
    <w:tbl>
      <w:tblPr>
        <w:tblW w:w="8780" w:type="dxa"/>
        <w:jc w:val="left"/>
        <w:tblInd w:w="0" w:type="dxa"/>
        <w:tblLayout w:type="fixed"/>
        <w:tblCellMar>
          <w:top w:w="0" w:type="dxa"/>
          <w:left w:w="0" w:type="dxa"/>
          <w:bottom w:w="0" w:type="dxa"/>
          <w:right w:w="0" w:type="dxa"/>
        </w:tblCellMar>
      </w:tblPr>
      <w:tblGrid>
        <w:gridCol w:w="5210"/>
        <w:gridCol w:w="60"/>
        <w:gridCol w:w="231"/>
        <w:gridCol w:w="481"/>
        <w:gridCol w:w="148"/>
        <w:gridCol w:w="111"/>
        <w:gridCol w:w="231"/>
        <w:gridCol w:w="481"/>
        <w:gridCol w:w="80"/>
        <w:gridCol w:w="60"/>
        <w:gridCol w:w="187"/>
        <w:gridCol w:w="434"/>
        <w:gridCol w:w="119"/>
        <w:gridCol w:w="89"/>
        <w:gridCol w:w="187"/>
        <w:gridCol w:w="591"/>
        <w:gridCol w:w="80"/>
      </w:tblGrid>
      <w:tr>
        <w:trPr/>
        <w:tc>
          <w:tcPr>
            <w:tcW w:w="5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3"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7"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7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Currency translation adjustments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Currency translation adjustments</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2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Pension and other postretirement benefit plan changes</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Newly established net loss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w:t>
            </w:r>
          </w:p>
        </w:tc>
        <w:tc>
          <w:tcPr>
            <w:tcW w:w="14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(89</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210"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Newly established prior service cost</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(29</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21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Tax provision</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4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Newly established net loss and prior service cost, net of tax</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(118</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21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Reclassification adjustments: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lineRule="auto" w:line="288" w:before="0" w:after="0"/>
              <w:ind w:left="360" w:right="0" w:hanging="0"/>
              <w:jc w:val="left"/>
              <w:rPr>
                <w:rFonts w:ascii="Calibri;Arial;sans-serif" w:hAnsi="Calibri;Arial;sans-serif"/>
                <w:sz w:val="20"/>
              </w:rPr>
            </w:pPr>
            <w:r>
              <w:rPr>
                <w:rFonts w:ascii="Calibri;Arial;sans-serif" w:hAnsi="Calibri;Arial;sans-serif"/>
                <w:sz w:val="20"/>
              </w:rPr>
              <w:t>Amortization of prior service cost (1)</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8</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8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lineRule="auto" w:line="288" w:before="0" w:after="0"/>
              <w:ind w:left="360" w:right="0" w:hanging="0"/>
              <w:jc w:val="left"/>
              <w:rPr>
                <w:rFonts w:ascii="Calibri;Arial;sans-serif" w:hAnsi="Calibri;Arial;sans-serif"/>
                <w:sz w:val="20"/>
              </w:rPr>
            </w:pPr>
            <w:r>
              <w:rPr>
                <w:rFonts w:ascii="Calibri;Arial;sans-serif" w:hAnsi="Calibri;Arial;sans-serif"/>
                <w:sz w:val="20"/>
              </w:rPr>
              <w:t>Amortization of actuarial gains (1)</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(9</w:t>
            </w:r>
          </w:p>
        </w:tc>
        <w:tc>
          <w:tcPr>
            <w:tcW w:w="148"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1" w:type="dxa"/>
            <w:tcBorders/>
            <w:shd w:fill="CCEEFF" w:val="cle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(8</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4"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(28</w:t>
            </w:r>
          </w:p>
        </w:tc>
        <w:tc>
          <w:tcPr>
            <w:tcW w:w="11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9" w:type="dxa"/>
            <w:tcBorders/>
            <w:shd w:fill="CCEEFF" w:val="clear"/>
            <w:vAlign w:val="center"/>
          </w:tcPr>
          <w:p>
            <w:pPr>
              <w:pStyle w:val="TableContents"/>
              <w:bidi w:val="0"/>
              <w:spacing w:before="0" w:after="283"/>
              <w:ind w:left="0" w:right="0" w:hanging="0"/>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(23</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21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reclassification adjustments</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48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148"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1"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48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43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w:t>
            </w:r>
          </w:p>
        </w:tc>
        <w:tc>
          <w:tcPr>
            <w:tcW w:w="11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9"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21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Tax provision</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4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Reclassification adjustments, net of tax</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148"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1" w:type="dxa"/>
            <w:tcBorders/>
            <w:shd w:fill="FFFFFF" w:val="clear"/>
            <w:vAlign w:val="center"/>
          </w:tcPr>
          <w:p>
            <w:pPr>
              <w:pStyle w:val="TableContents"/>
              <w:bidi w:val="0"/>
              <w:spacing w:before="0" w:after="283"/>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w:t>
            </w:r>
          </w:p>
        </w:tc>
        <w:tc>
          <w:tcPr>
            <w:tcW w:w="11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9"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21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Pension and other postretirement benefit plan changes, net of tax</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148"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1" w:type="dxa"/>
            <w:tcBorders/>
            <w:shd w:fill="CCEEFF" w:val="clear"/>
            <w:vAlign w:val="center"/>
          </w:tcPr>
          <w:p>
            <w:pPr>
              <w:pStyle w:val="TableContents"/>
              <w:bidi w:val="0"/>
              <w:spacing w:before="0" w:after="283"/>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w:t>
            </w:r>
          </w:p>
        </w:tc>
        <w:tc>
          <w:tcPr>
            <w:tcW w:w="11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9"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(135</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21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comprehensive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w:t>
            </w:r>
          </w:p>
        </w:tc>
        <w:tc>
          <w:tcPr>
            <w:tcW w:w="11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9" w:type="dxa"/>
            <w:tcBorders/>
            <w:shd w:fill="FFFF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(150</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260"/>
        <w:gridCol w:w="9380"/>
      </w:tblGrid>
      <w:tr>
        <w:trPr/>
        <w:tc>
          <w:tcPr>
            <w:tcW w:w="260" w:type="dxa"/>
            <w:tcBorders/>
            <w:vAlign w:val="center"/>
          </w:tcPr>
          <w:p>
            <w:pPr>
              <w:pStyle w:val="TableContents"/>
              <w:bidi w:val="0"/>
              <w:spacing w:lineRule="auto" w:line="288" w:before="0" w:after="0"/>
              <w:ind w:left="0" w:right="0" w:hanging="0"/>
              <w:jc w:val="left"/>
              <w:rPr/>
            </w:pPr>
            <w:r>
              <w:rPr>
                <w:rFonts w:ascii="Calibri;Arial;sans-serif" w:hAnsi="Calibri;Arial;sans-serif"/>
                <w:sz w:val="20"/>
              </w:rPr>
              <w:t>(</w:t>
            </w:r>
            <w:r>
              <w:rPr>
                <w:rStyle w:val="Emphasis"/>
                <w:rFonts w:ascii="Calibri;Arial;sans-serif" w:hAnsi="Calibri;Arial;sans-serif"/>
                <w:sz w:val="20"/>
              </w:rPr>
              <w:t>1</w:t>
            </w:r>
            <w:r>
              <w:rPr>
                <w:rFonts w:ascii="Calibri;Arial;sans-serif" w:hAnsi="Calibri;Arial;sans-serif"/>
                <w:sz w:val="20"/>
              </w:rPr>
              <w:t>)</w:t>
            </w:r>
          </w:p>
        </w:tc>
        <w:tc>
          <w:tcPr>
            <w:tcW w:w="9380" w:type="dxa"/>
            <w:tcBorders/>
            <w:vAlign w:val="center"/>
          </w:tcPr>
          <w:p>
            <w:pPr>
              <w:pStyle w:val="TableContents"/>
              <w:bidi w:val="0"/>
              <w:spacing w:before="0" w:after="0"/>
              <w:ind w:left="0" w:right="0" w:hanging="0"/>
              <w:jc w:val="left"/>
              <w:rPr/>
            </w:pPr>
            <w:r>
              <w:rPr>
                <w:rFonts w:ascii="Calibri;Arial;sans-serif" w:hAnsi="Calibri;Arial;sans-serif"/>
                <w:sz w:val="20"/>
              </w:rPr>
              <w:t xml:space="preserve">Reclassified to Total Net Periodic Benefit Cost - refer to Note </w:t>
            </w:r>
            <w:r>
              <w:rPr>
                <w:rStyle w:val="Emphasis"/>
                <w:rFonts w:ascii="Calibri;Arial;sans-serif" w:hAnsi="Calibri;Arial;sans-serif"/>
                <w:sz w:val="20"/>
              </w:rPr>
              <w:t>12,</w:t>
            </w:r>
            <w:r>
              <w:rPr>
                <w:rFonts w:ascii="Calibri;Arial;sans-serif" w:hAnsi="Calibri;Arial;sans-serif"/>
                <w:sz w:val="20"/>
              </w:rPr>
              <w:t xml:space="preserve"> "Retirement Plans and Other Postretirement Benefits".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[24]</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16:</w:t>
      </w:r>
      <w:r>
        <w:rPr>
          <w:rFonts w:ascii="Calibri;Arial;sans-serif" w:hAnsi="Calibri;Arial;sans-serif"/>
          <w:b/>
          <w:caps w:val="false"/>
          <w:smallCaps w:val="false"/>
          <w:sz w:val="20"/>
        </w:rPr>
        <w:t xml:space="preserve">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has three reportable segments: Print, Advanced Materials and Chemicals and Brand. A description of Kodak’s reportable segments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Print</w:t>
      </w:r>
      <w:r>
        <w:rPr>
          <w:rFonts w:ascii="Calibri;Arial;sans-serif" w:hAnsi="Calibri;Arial;sans-serif"/>
          <w:caps w:val="false"/>
          <w:smallCaps w:val="false"/>
          <w:sz w:val="20"/>
        </w:rPr>
        <w:t>: The Print segment is comprised of five lines of business: the Prepress Solutions business, the PROSPER business, the Software business, the Electrophotographic Printing Solutions business and the VERSAMARK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Advanced Materials and Chemicals:</w:t>
      </w:r>
      <w:r>
        <w:rPr>
          <w:rFonts w:ascii="Calibri;Arial;sans-serif" w:hAnsi="Calibri;Arial;sans-serif"/>
          <w:caps w:val="false"/>
          <w:smallCaps w:val="false"/>
          <w:sz w:val="20"/>
        </w:rPr>
        <w:t xml:space="preserve"> The Advanced Materials and Chemicals segment is comprised of four lines of business: the Industrial Film and Chemicals business, the Motion Picture business, the Advanced Materials and Functional Printing business and the IP Licensing and Analytical Services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Brand</w:t>
      </w:r>
      <w:r>
        <w:rPr>
          <w:rFonts w:ascii="Calibri;Arial;sans-serif" w:hAnsi="Calibri;Arial;sans-serif"/>
          <w:caps w:val="false"/>
          <w:smallCaps w:val="false"/>
          <w:sz w:val="20"/>
        </w:rPr>
        <w:t>: The Brand segment contains the brand licensing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All Other</w:t>
      </w:r>
      <w:r>
        <w:rPr>
          <w:rFonts w:ascii="Calibri;Arial;sans-serif" w:hAnsi="Calibri;Arial;sans-serif"/>
          <w:caps w:val="false"/>
          <w:smallCaps w:val="false"/>
          <w:sz w:val="20"/>
        </w:rPr>
        <w:t>: All Other is comprised of the operations of the Eastman Business Park, a more than 1,200-acre technology center and industrial complex.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Segment financial information is shown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Segment Revenues</w:t>
      </w:r>
    </w:p>
    <w:p>
      <w:pPr>
        <w:pStyle w:val="TextBody"/>
        <w:bidi w:val="0"/>
        <w:spacing w:before="0" w:after="0"/>
        <w:ind w:left="0" w:right="0" w:hanging="0"/>
        <w:jc w:val="left"/>
        <w:rPr>
          <w:caps w:val="false"/>
          <w:smallCaps w:val="false"/>
        </w:rPr>
      </w:pPr>
      <w:r>
        <w:rPr>
          <w:caps w:val="false"/>
          <w:smallCaps w:val="false"/>
        </w:rPr>
        <w:t> </w:t>
      </w:r>
    </w:p>
    <w:tbl>
      <w:tblPr>
        <w:tblW w:w="6278" w:type="dxa"/>
        <w:jc w:val="left"/>
        <w:tblInd w:w="0" w:type="dxa"/>
        <w:tblLayout w:type="fixed"/>
        <w:tblCellMar>
          <w:top w:w="0" w:type="dxa"/>
          <w:left w:w="0" w:type="dxa"/>
          <w:bottom w:w="0" w:type="dxa"/>
          <w:right w:w="0" w:type="dxa"/>
        </w:tblCellMar>
      </w:tblPr>
      <w:tblGrid>
        <w:gridCol w:w="2750"/>
        <w:gridCol w:w="60"/>
        <w:gridCol w:w="202"/>
        <w:gridCol w:w="542"/>
        <w:gridCol w:w="97"/>
        <w:gridCol w:w="97"/>
        <w:gridCol w:w="202"/>
        <w:gridCol w:w="542"/>
        <w:gridCol w:w="60"/>
        <w:gridCol w:w="60"/>
        <w:gridCol w:w="193"/>
        <w:gridCol w:w="518"/>
        <w:gridCol w:w="92"/>
        <w:gridCol w:w="92"/>
        <w:gridCol w:w="193"/>
        <w:gridCol w:w="518"/>
        <w:gridCol w:w="60"/>
      </w:tblGrid>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6"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7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7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Print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542"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182</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542"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51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550</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51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620</w:t>
            </w:r>
          </w:p>
        </w:tc>
        <w:tc>
          <w:tcPr>
            <w:tcW w:w="6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Advanced Materials and Chemicals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71</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203</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197</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Brand</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13</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w:t>
            </w:r>
          </w:p>
        </w:tc>
        <w:tc>
          <w:tcPr>
            <w:tcW w:w="6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All Other</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3</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8"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11</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9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8"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13</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261</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777</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842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[25]</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Segment Operational EBITDA and Consolidated Earnings from Operations Before Income Taxes</w:t>
      </w:r>
    </w:p>
    <w:p>
      <w:pPr>
        <w:pStyle w:val="TextBody"/>
        <w:bidi w:val="0"/>
        <w:spacing w:before="0" w:after="0"/>
        <w:ind w:left="0" w:right="0" w:hanging="0"/>
        <w:jc w:val="left"/>
        <w:rPr>
          <w:caps w:val="false"/>
          <w:smallCaps w:val="false"/>
        </w:rPr>
      </w:pPr>
      <w:r>
        <w:rPr>
          <w:caps w:val="false"/>
          <w:smallCaps w:val="false"/>
        </w:rPr>
        <w:t> </w:t>
      </w:r>
    </w:p>
    <w:tbl>
      <w:tblPr>
        <w:tblW w:w="8313" w:type="dxa"/>
        <w:jc w:val="left"/>
        <w:tblInd w:w="0" w:type="dxa"/>
        <w:tblLayout w:type="fixed"/>
        <w:tblCellMar>
          <w:top w:w="0" w:type="dxa"/>
          <w:left w:w="0" w:type="dxa"/>
          <w:bottom w:w="0" w:type="dxa"/>
          <w:right w:w="0" w:type="dxa"/>
        </w:tblCellMar>
      </w:tblPr>
      <w:tblGrid>
        <w:gridCol w:w="4745"/>
        <w:gridCol w:w="60"/>
        <w:gridCol w:w="217"/>
        <w:gridCol w:w="503"/>
        <w:gridCol w:w="138"/>
        <w:gridCol w:w="104"/>
        <w:gridCol w:w="217"/>
        <w:gridCol w:w="503"/>
        <w:gridCol w:w="80"/>
        <w:gridCol w:w="60"/>
        <w:gridCol w:w="189"/>
        <w:gridCol w:w="508"/>
        <w:gridCol w:w="121"/>
        <w:gridCol w:w="91"/>
        <w:gridCol w:w="189"/>
        <w:gridCol w:w="508"/>
        <w:gridCol w:w="80"/>
      </w:tblGrid>
      <w:tr>
        <w:trPr/>
        <w:tc>
          <w:tcPr>
            <w:tcW w:w="4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6"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7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12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6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Print</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50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(9</w:t>
            </w:r>
          </w:p>
        </w:tc>
        <w:tc>
          <w:tcPr>
            <w:tcW w:w="138"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50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50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(9</w:t>
            </w:r>
          </w:p>
        </w:tc>
        <w:tc>
          <w:tcPr>
            <w:tcW w:w="12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50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18</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Advanced Materials and Chemicals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15</w:t>
            </w:r>
          </w:p>
        </w:tc>
        <w:tc>
          <w:tcPr>
            <w:tcW w:w="12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15</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Brand</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3"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4</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3"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8"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11</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8"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10</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of reportable segments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0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0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50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12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50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43</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All other</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(8</w:t>
            </w:r>
          </w:p>
        </w:tc>
        <w:tc>
          <w:tcPr>
            <w:tcW w:w="138"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(21</w:t>
            </w:r>
          </w:p>
        </w:tc>
        <w:tc>
          <w:tcPr>
            <w:tcW w:w="12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(23</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4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Restructuring costs and other (1)</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138"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12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(9</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4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Stock based compensation</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138"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w:t>
            </w:r>
          </w:p>
        </w:tc>
        <w:tc>
          <w:tcPr>
            <w:tcW w:w="12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4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Consulting and other costs (2)</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right"/>
              <w:rPr/>
            </w:pPr>
            <w:r>
              <w:rPr/>
              <w:t>—</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12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10</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Idle costs (3)</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right"/>
              <w:rPr/>
            </w:pPr>
            <w:r>
              <w:rPr/>
              <w:t>—</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12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4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Other operating income, net (4)</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right"/>
              <w:rPr/>
            </w:pPr>
            <w:r>
              <w:rPr/>
              <w:t>—</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16</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Interest expense (4)</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0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138"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0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50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(44</w:t>
            </w:r>
          </w:p>
        </w:tc>
        <w:tc>
          <w:tcPr>
            <w:tcW w:w="12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50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(36</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4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Pension income excluding service cost component (4)</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42</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124</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122</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Loss on extinguishment of debt (4)</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right"/>
              <w:rPr/>
            </w:pPr>
            <w:r>
              <w:rPr/>
              <w:t>—</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(27</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pPr>
            <w:r>
              <w:rPr/>
              <w:t>—</w:t>
            </w:r>
          </w:p>
        </w:tc>
        <w:tc>
          <w:tcPr>
            <w:tcW w:w="12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(27</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4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income (charges), net (4)</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360" w:right="0" w:hanging="180"/>
              <w:jc w:val="left"/>
              <w:rPr>
                <w:rFonts w:ascii="Calibri;Arial;sans-serif" w:hAnsi="Calibri;Arial;sans-serif"/>
                <w:caps w:val="false"/>
                <w:smallCaps w:val="false"/>
                <w:sz w:val="20"/>
              </w:rPr>
            </w:pPr>
            <w:r>
              <w:rPr>
                <w:rFonts w:ascii="Calibri;Arial;sans-serif" w:hAnsi="Calibri;Arial;sans-serif"/>
                <w:caps w:val="false"/>
                <w:smallCaps w:val="false"/>
                <w:sz w:val="20"/>
              </w:rPr>
              <w:t>Consolidated earnings from operations before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83</w:t>
            </w:r>
          </w:p>
        </w:tc>
        <w:tc>
          <w:tcPr>
            <w:tcW w:w="12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lineRule="auto" w:line="288" w:before="0" w:after="283"/>
              <w:jc w:val="left"/>
              <w:rPr/>
            </w:pPr>
            <w:r>
              <w:rPr>
                <w:rFonts w:ascii="Calibri;Arial;sans-serif" w:hAnsi="Calibri;Arial;sans-serif"/>
                <w:sz w:val="20"/>
              </w:rPr>
              <w:t>(</w:t>
            </w:r>
            <w:r>
              <w:rPr>
                <w:rStyle w:val="Emphasis"/>
                <w:rFonts w:ascii="Calibri;Arial;sans-serif" w:hAnsi="Calibri;Arial;sans-serif"/>
                <w:sz w:val="20"/>
              </w:rPr>
              <w:t>1</w:t>
            </w:r>
            <w:r>
              <w:rPr>
                <w:rFonts w:ascii="Calibri;Arial;sans-serif" w:hAnsi="Calibri;Arial;sans-serif"/>
                <w:sz w:val="20"/>
              </w:rPr>
              <w:t>)</w:t>
            </w:r>
          </w:p>
        </w:tc>
        <w:tc>
          <w:tcPr>
            <w:tcW w:w="10034" w:type="dxa"/>
            <w:tcBorders/>
            <w:vAlign w:val="center"/>
          </w:tcPr>
          <w:p>
            <w:pPr>
              <w:pStyle w:val="TableContents"/>
              <w:bidi w:val="0"/>
              <w:spacing w:before="0" w:after="283"/>
              <w:jc w:val="left"/>
              <w:rPr/>
            </w:pPr>
            <w:r>
              <w:rPr>
                <w:rFonts w:ascii="Calibri;Arial;sans-serif" w:hAnsi="Calibri;Arial;sans-serif"/>
                <w:sz w:val="20"/>
              </w:rPr>
              <w:t xml:space="preserve">Restructuring costs and other for the </w:t>
            </w:r>
            <w:r>
              <w:rPr>
                <w:rStyle w:val="Emphasis"/>
                <w:rFonts w:ascii="Calibri;Arial;sans-serif" w:hAnsi="Calibri;Arial;sans-serif"/>
                <w:sz w:val="20"/>
              </w:rPr>
              <w:t>three</w:t>
            </w:r>
            <w:r>
              <w:rPr>
                <w:rFonts w:ascii="Calibri;Arial;sans-serif" w:hAnsi="Calibri;Arial;sans-serif"/>
                <w:sz w:val="20"/>
              </w:rPr>
              <w:t xml:space="preserve"> and </w:t>
            </w:r>
            <w:r>
              <w:rPr>
                <w:rStyle w:val="Emphasis"/>
                <w:rFonts w:ascii="Calibri;Arial;sans-serif" w:hAnsi="Calibri;Arial;sans-serif"/>
                <w:sz w:val="20"/>
              </w:rPr>
              <w:t>nine</w:t>
            </w:r>
            <w:r>
              <w:rPr>
                <w:rFonts w:ascii="Calibri;Arial;sans-serif" w:hAnsi="Calibri;Arial;sans-serif"/>
                <w:sz w:val="20"/>
              </w:rPr>
              <w:t xml:space="preserve"> months ended </w:t>
            </w:r>
            <w:r>
              <w:rPr>
                <w:rStyle w:val="Emphasis"/>
                <w:rFonts w:ascii="Calibri;Arial;sans-serif" w:hAnsi="Calibri;Arial;sans-serif"/>
                <w:sz w:val="20"/>
              </w:rPr>
              <w:t xml:space="preserve">September 30, 2023 </w:t>
            </w:r>
            <w:r>
              <w:rPr>
                <w:rFonts w:ascii="Calibri;Arial;sans-serif" w:hAnsi="Calibri;Arial;sans-serif"/>
                <w:sz w:val="20"/>
              </w:rPr>
              <w:t>included $1 million and $7 million, respectively, which were reported as Restructuring costs and other in the Consolidated Statement of Operations. The remaining $2 million in each period represented inventory write-downs and were reported as Cost of revenues in the accompanying Consolidated Statement of Operations.</w:t>
            </w:r>
          </w:p>
        </w:tc>
      </w:tr>
      <w:tr>
        <w:trPr/>
        <w:tc>
          <w:tcPr>
            <w:tcW w:w="171" w:type="dxa"/>
            <w:tcBorders/>
            <w:vAlign w:val="center"/>
          </w:tcPr>
          <w:p>
            <w:pPr>
              <w:pStyle w:val="TableContents"/>
              <w:bidi w:val="0"/>
              <w:spacing w:before="0" w:after="283"/>
              <w:jc w:val="left"/>
              <w:rPr/>
            </w:pPr>
            <w:r>
              <w:rPr/>
              <w:t> </w:t>
            </w:r>
          </w:p>
        </w:tc>
        <w:tc>
          <w:tcPr>
            <w:tcW w:w="10034" w:type="dxa"/>
            <w:tcBorders/>
            <w:vAlign w:val="center"/>
          </w:tcPr>
          <w:p>
            <w:pPr>
              <w:pStyle w:val="TableContents"/>
              <w:bidi w:val="0"/>
              <w:spacing w:before="0" w:after="283"/>
              <w:jc w:val="left"/>
              <w:rPr/>
            </w:pPr>
            <w:r>
              <w:rPr/>
              <w:t> </w:t>
            </w:r>
          </w:p>
        </w:tc>
      </w:tr>
      <w:tr>
        <w:trPr/>
        <w:tc>
          <w:tcPr>
            <w:tcW w:w="171" w:type="dxa"/>
            <w:tcBorders/>
            <w:vAlign w:val="center"/>
          </w:tcPr>
          <w:p>
            <w:pPr>
              <w:pStyle w:val="TableContents"/>
              <w:bidi w:val="0"/>
              <w:spacing w:lineRule="auto" w:line="288" w:before="0" w:after="283"/>
              <w:jc w:val="left"/>
              <w:rPr/>
            </w:pPr>
            <w:r>
              <w:rPr>
                <w:rFonts w:ascii="Calibri;Arial;sans-serif" w:hAnsi="Calibri;Arial;sans-serif"/>
                <w:sz w:val="20"/>
              </w:rPr>
              <w:t>(</w:t>
            </w:r>
            <w:r>
              <w:rPr>
                <w:rStyle w:val="Emphasis"/>
                <w:rFonts w:ascii="Calibri;Arial;sans-serif" w:hAnsi="Calibri;Arial;sans-serif"/>
                <w:sz w:val="20"/>
              </w:rPr>
              <w:t>2</w:t>
            </w:r>
            <w:r>
              <w:rPr>
                <w:rFonts w:ascii="Calibri;Arial;sans-serif" w:hAnsi="Calibri;Arial;sans-serif"/>
                <w:sz w:val="20"/>
              </w:rPr>
              <w:t>)</w:t>
            </w:r>
          </w:p>
        </w:tc>
        <w:tc>
          <w:tcPr>
            <w:tcW w:w="10034" w:type="dxa"/>
            <w:tcBorders/>
            <w:vAlign w:val="center"/>
          </w:tcPr>
          <w:p>
            <w:pPr>
              <w:pStyle w:val="TableContents"/>
              <w:bidi w:val="0"/>
              <w:spacing w:before="0" w:after="283"/>
              <w:jc w:val="left"/>
              <w:rPr/>
            </w:pPr>
            <w:r>
              <w:rPr>
                <w:rFonts w:ascii="Calibri;Arial;sans-serif" w:hAnsi="Calibri;Arial;sans-serif"/>
                <w:sz w:val="20"/>
              </w:rPr>
              <w:t xml:space="preserve">Consulting and other costs are primarily professional services and internal costs associated with certain corporate strategic initiatives, investigations and litigation. Consulting and other costs included $1 million and $12 million of income in the </w:t>
            </w:r>
            <w:r>
              <w:rPr>
                <w:rStyle w:val="Emphasis"/>
                <w:rFonts w:ascii="Calibri;Arial;sans-serif" w:hAnsi="Calibri;Arial;sans-serif"/>
                <w:sz w:val="20"/>
              </w:rPr>
              <w:t>three</w:t>
            </w:r>
            <w:r>
              <w:rPr>
                <w:rFonts w:ascii="Calibri;Arial;sans-serif" w:hAnsi="Calibri;Arial;sans-serif"/>
                <w:sz w:val="20"/>
              </w:rPr>
              <w:t xml:space="preserve"> and </w:t>
            </w:r>
            <w:r>
              <w:rPr>
                <w:rStyle w:val="Emphasis"/>
                <w:rFonts w:ascii="Calibri;Arial;sans-serif" w:hAnsi="Calibri;Arial;sans-serif"/>
                <w:sz w:val="20"/>
              </w:rPr>
              <w:t>nine</w:t>
            </w:r>
            <w:r>
              <w:rPr>
                <w:rFonts w:ascii="Calibri;Arial;sans-serif" w:hAnsi="Calibri;Arial;sans-serif"/>
                <w:sz w:val="20"/>
              </w:rPr>
              <w:t xml:space="preserve"> months ended </w:t>
            </w:r>
            <w:r>
              <w:rPr>
                <w:rStyle w:val="Emphasis"/>
                <w:rFonts w:ascii="Calibri;Arial;sans-serif" w:hAnsi="Calibri;Arial;sans-serif"/>
                <w:sz w:val="20"/>
              </w:rPr>
              <w:t xml:space="preserve">September 30, 2023, </w:t>
            </w:r>
            <w:r>
              <w:rPr>
                <w:rFonts w:ascii="Calibri;Arial;sans-serif" w:hAnsi="Calibri;Arial;sans-serif"/>
                <w:sz w:val="20"/>
              </w:rPr>
              <w:t>respectively, representing insurance reimbursement of legal costs previously paid by the Company associated with investigations and litigation matters.</w:t>
            </w:r>
          </w:p>
        </w:tc>
      </w:tr>
      <w:tr>
        <w:trPr/>
        <w:tc>
          <w:tcPr>
            <w:tcW w:w="171" w:type="dxa"/>
            <w:tcBorders/>
            <w:vAlign w:val="center"/>
          </w:tcPr>
          <w:p>
            <w:pPr>
              <w:pStyle w:val="TableContents"/>
              <w:bidi w:val="0"/>
              <w:spacing w:before="0" w:after="283"/>
              <w:jc w:val="left"/>
              <w:rPr/>
            </w:pPr>
            <w:r>
              <w:rPr/>
              <w:t> </w:t>
            </w:r>
          </w:p>
        </w:tc>
        <w:tc>
          <w:tcPr>
            <w:tcW w:w="10034" w:type="dxa"/>
            <w:tcBorders/>
            <w:vAlign w:val="center"/>
          </w:tcPr>
          <w:p>
            <w:pPr>
              <w:pStyle w:val="TableContents"/>
              <w:bidi w:val="0"/>
              <w:spacing w:before="0" w:after="283"/>
              <w:jc w:val="left"/>
              <w:rPr/>
            </w:pPr>
            <w:r>
              <w:rPr/>
              <w:t> </w:t>
            </w:r>
          </w:p>
        </w:tc>
      </w:tr>
      <w:tr>
        <w:trPr/>
        <w:tc>
          <w:tcPr>
            <w:tcW w:w="171" w:type="dxa"/>
            <w:tcBorders/>
            <w:vAlign w:val="center"/>
          </w:tcPr>
          <w:p>
            <w:pPr>
              <w:pStyle w:val="TableContents"/>
              <w:bidi w:val="0"/>
              <w:spacing w:lineRule="auto" w:line="288" w:before="0" w:after="283"/>
              <w:jc w:val="left"/>
              <w:rPr/>
            </w:pPr>
            <w:r>
              <w:rPr>
                <w:rFonts w:ascii="Calibri;Arial;sans-serif" w:hAnsi="Calibri;Arial;sans-serif"/>
                <w:sz w:val="20"/>
              </w:rPr>
              <w:t>(</w:t>
            </w:r>
            <w:r>
              <w:rPr>
                <w:rStyle w:val="Emphasis"/>
                <w:rFonts w:ascii="Calibri;Arial;sans-serif" w:hAnsi="Calibri;Arial;sans-serif"/>
                <w:sz w:val="20"/>
              </w:rPr>
              <w:t>3</w:t>
            </w:r>
            <w:r>
              <w:rPr>
                <w:rFonts w:ascii="Calibri;Arial;sans-serif" w:hAnsi="Calibri;Arial;sans-serif"/>
                <w:sz w:val="20"/>
              </w:rPr>
              <w:t>)</w:t>
            </w:r>
          </w:p>
        </w:tc>
        <w:tc>
          <w:tcPr>
            <w:tcW w:w="10034" w:type="dxa"/>
            <w:tcBorders/>
            <w:vAlign w:val="center"/>
          </w:tcPr>
          <w:p>
            <w:pPr>
              <w:pStyle w:val="TableContents"/>
              <w:bidi w:val="0"/>
              <w:spacing w:before="0" w:after="283"/>
              <w:jc w:val="left"/>
              <w:rPr/>
            </w:pPr>
            <w:r>
              <w:rPr>
                <w:rFonts w:ascii="Calibri;Arial;sans-serif" w:hAnsi="Calibri;Arial;sans-serif"/>
                <w:sz w:val="20"/>
              </w:rPr>
              <w:t xml:space="preserve">Consists of </w:t>
            </w:r>
            <w:r>
              <w:rPr>
                <w:rStyle w:val="Emphasis"/>
                <w:rFonts w:ascii="Calibri;Arial;sans-serif" w:hAnsi="Calibri;Arial;sans-serif"/>
                <w:sz w:val="20"/>
              </w:rPr>
              <w:t>third</w:t>
            </w:r>
            <w:r>
              <w:rPr>
                <w:rFonts w:ascii="Calibri;Arial;sans-serif" w:hAnsi="Calibri;Arial;sans-serif"/>
                <w:sz w:val="20"/>
              </w:rPr>
              <w:t xml:space="preserve">-party costs such as security, maintenance and utilities required to maintain land and buildings in certain locations </w:t>
            </w:r>
            <w:r>
              <w:rPr>
                <w:rStyle w:val="Emphasis"/>
                <w:rFonts w:ascii="Calibri;Arial;sans-serif" w:hAnsi="Calibri;Arial;sans-serif"/>
                <w:sz w:val="20"/>
              </w:rPr>
              <w:t>not</w:t>
            </w:r>
            <w:r>
              <w:rPr>
                <w:rFonts w:ascii="Calibri;Arial;sans-serif" w:hAnsi="Calibri;Arial;sans-serif"/>
                <w:sz w:val="20"/>
              </w:rPr>
              <w:t xml:space="preserve"> used in any Kodak operations and the costs, net of any rental income received, of underutilized portions of certain properties.</w:t>
            </w:r>
          </w:p>
        </w:tc>
      </w:tr>
      <w:tr>
        <w:trPr/>
        <w:tc>
          <w:tcPr>
            <w:tcW w:w="171" w:type="dxa"/>
            <w:tcBorders/>
            <w:vAlign w:val="center"/>
          </w:tcPr>
          <w:p>
            <w:pPr>
              <w:pStyle w:val="TableContents"/>
              <w:bidi w:val="0"/>
              <w:spacing w:before="0" w:after="283"/>
              <w:jc w:val="left"/>
              <w:rPr/>
            </w:pPr>
            <w:r>
              <w:rPr/>
              <w:t> </w:t>
            </w:r>
          </w:p>
        </w:tc>
        <w:tc>
          <w:tcPr>
            <w:tcW w:w="10034" w:type="dxa"/>
            <w:tcBorders/>
            <w:vAlign w:val="center"/>
          </w:tcPr>
          <w:p>
            <w:pPr>
              <w:pStyle w:val="TableContents"/>
              <w:bidi w:val="0"/>
              <w:spacing w:before="0" w:after="283"/>
              <w:jc w:val="left"/>
              <w:rPr/>
            </w:pPr>
            <w:r>
              <w:rPr/>
              <w:t> </w:t>
            </w:r>
          </w:p>
        </w:tc>
      </w:tr>
      <w:tr>
        <w:trPr/>
        <w:tc>
          <w:tcPr>
            <w:tcW w:w="171" w:type="dxa"/>
            <w:tcBorders/>
            <w:vAlign w:val="center"/>
          </w:tcPr>
          <w:p>
            <w:pPr>
              <w:pStyle w:val="TableContents"/>
              <w:bidi w:val="0"/>
              <w:spacing w:lineRule="auto" w:line="288" w:before="0" w:after="0"/>
              <w:ind w:left="0" w:right="0" w:hanging="0"/>
              <w:jc w:val="left"/>
              <w:rPr/>
            </w:pPr>
            <w:r>
              <w:rPr>
                <w:rFonts w:ascii="Calibri;Arial;sans-serif" w:hAnsi="Calibri;Arial;sans-serif"/>
                <w:sz w:val="20"/>
              </w:rPr>
              <w:t>(</w:t>
            </w:r>
            <w:r>
              <w:rPr>
                <w:rStyle w:val="Emphasis"/>
                <w:rFonts w:ascii="Calibri;Arial;sans-serif" w:hAnsi="Calibri;Arial;sans-serif"/>
                <w:sz w:val="20"/>
              </w:rPr>
              <w:t>4</w:t>
            </w:r>
            <w:r>
              <w:rPr>
                <w:rFonts w:ascii="Calibri;Arial;sans-serif" w:hAnsi="Calibri;Arial;sans-serif"/>
                <w:sz w:val="20"/>
              </w:rPr>
              <w:t>)</w:t>
            </w:r>
          </w:p>
        </w:tc>
        <w:tc>
          <w:tcPr>
            <w:tcW w:w="10034"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As reported in the Consolidated Statement of Operations.</w:t>
            </w:r>
          </w:p>
        </w:tc>
      </w:tr>
    </w:tbl>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 increased employee benefit reserves by approximately $2 million and $1 million in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 September 30, 2024</w:t>
      </w:r>
      <w:r>
        <w:rPr>
          <w:rFonts w:ascii="Calibri;Arial;sans-serif" w:hAnsi="Calibri;Arial;sans-serif"/>
          <w:caps w:val="false"/>
          <w:smallCaps w:val="false"/>
          <w:sz w:val="20"/>
        </w:rPr>
        <w:t xml:space="preserve">, respectively.  The increase in employee benefit reserves in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September 30, 2024 </w:t>
      </w:r>
      <w:r>
        <w:rPr>
          <w:rFonts w:ascii="Calibri;Arial;sans-serif" w:hAnsi="Calibri;Arial;sans-serif"/>
          <w:caps w:val="false"/>
          <w:smallCaps w:val="false"/>
          <w:sz w:val="20"/>
        </w:rPr>
        <w:t xml:space="preserve">was primarily due to an increase in workers' compensation reserves driven by changes in discount rates. The increase in reserves in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 September 30, 2024</w:t>
      </w:r>
      <w:r>
        <w:rPr>
          <w:rFonts w:ascii="Calibri;Arial;sans-serif" w:hAnsi="Calibri;Arial;sans-serif"/>
          <w:caps w:val="false"/>
          <w:smallCaps w:val="false"/>
          <w:sz w:val="20"/>
        </w:rPr>
        <w:t xml:space="preserve"> impacted gross profit and selling, general and administrative expenses (“SG&amp;A”) by approximately $1 million each.  The increase in reserves in the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 September 30, 2024 </w:t>
      </w:r>
      <w:r>
        <w:rPr>
          <w:rFonts w:ascii="Calibri;Arial;sans-serif" w:hAnsi="Calibri;Arial;sans-serif"/>
          <w:caps w:val="false"/>
          <w:smallCaps w:val="false"/>
          <w:sz w:val="20"/>
        </w:rPr>
        <w:t>did not have a significant impact on gross profit, R&amp;D or SG&amp;A.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 decreased employee benefit reserves by approximately $3 million in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September 30, 2023, </w:t>
      </w:r>
      <w:r>
        <w:rPr>
          <w:rFonts w:ascii="Calibri;Arial;sans-serif" w:hAnsi="Calibri;Arial;sans-serif"/>
          <w:caps w:val="false"/>
          <w:smallCaps w:val="false"/>
          <w:sz w:val="20"/>
        </w:rPr>
        <w:t xml:space="preserve">primarily related to workers’ compensation reserves, driven by changes in discount rates. The change in employee benefit reserves in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September 30, 2023 </w:t>
      </w:r>
      <w:r>
        <w:rPr>
          <w:rFonts w:ascii="Calibri;Arial;sans-serif" w:hAnsi="Calibri;Arial;sans-serif"/>
          <w:caps w:val="false"/>
          <w:smallCaps w:val="false"/>
          <w:sz w:val="20"/>
        </w:rPr>
        <w:t xml:space="preserve">impacted gross profit by approximately $2 million and SG&amp;A by approximately $1 million. The decrease in reserves in the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September 30, 2023 </w:t>
      </w:r>
      <w:r>
        <w:rPr>
          <w:rFonts w:ascii="Calibri;Arial;sans-serif" w:hAnsi="Calibri;Arial;sans-serif"/>
          <w:caps w:val="false"/>
          <w:smallCaps w:val="false"/>
          <w:sz w:val="20"/>
        </w:rPr>
        <w:t>impacted gross profit by approximately $1 million and SG&amp;A expenses by approximately $2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[26]</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Segment Measure of Profit and Loss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segment measure of profit and loss is an adjusted earnings before interest, taxes, depreciation and amortization (“Operational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Calibri;Arial;sans-serif" w:hAnsi="Calibri;Arial;sans-serif"/>
          <w:caps w:val="false"/>
          <w:smallCaps w:val="false"/>
          <w:sz w:val="20"/>
        </w:rPr>
        <w:t>As demonstrated in the above table, Operational EBITDA represents consolidated earnings from operations excluding the provision for income taxes; non-service cost components of pension and other postemployment benefits (“OPEB”) income; depreciation and amortization expense; restructuring costs and other; stock-based compensation expense; consulting and other costs; idle costs; interest expense; other operating income, net; loss on extinguishment of debt and other income (charges), net</w:t>
      </w:r>
      <w:r>
        <w:rPr>
          <w:rFonts w:ascii="Times New Roman" w:hAnsi="Times New Roman"/>
          <w:caps w:val="false"/>
          <w:smallCaps w:val="false"/>
          <w:sz w:val="20"/>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17:</w:t>
      </w:r>
      <w:r>
        <w:rPr>
          <w:rFonts w:ascii="Calibri;Arial;sans-serif" w:hAnsi="Calibri;Arial;sans-serif"/>
          <w:b/>
          <w:caps w:val="false"/>
          <w:smallCaps w:val="false"/>
          <w:sz w:val="20"/>
        </w:rPr>
        <w:t xml:space="preser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 as a result of its global operating and financing activities, is exposed to changes in foreign currency exchange rates and interest rates, which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 xml:space="preserve">adversely affect its results of operations and financial position. Kodak manages such exposures, in part, with derivative financial instruments. Foreign currency forward contracts are used to mitigate currency risk related to foreign currency denominated assets and liabilities. Kodak’s exposure to changes in interest rates results from its investing and borrowing activities used to meet its liquidity needs. Kodak does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utilize financial instruments for trading or other speculative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Kodak’s foreign currency forward contracts are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designated as hedges and are marked to market through net income at the same time that the exposed assets and liabilities are remeasured through net income (both in Other (income) charges, net in the Consolidated Statement of Operations). The notional amount of such contracts open at </w:t>
      </w:r>
      <w:r>
        <w:rPr>
          <w:rStyle w:val="Emphasis"/>
          <w:rFonts w:ascii="Calibri;Arial;sans-serif" w:hAnsi="Calibri;Arial;sans-serif"/>
          <w:caps w:val="false"/>
          <w:smallCaps w:val="false"/>
          <w:sz w:val="20"/>
        </w:rPr>
        <w:t>September 30,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was approximately $253 million and $279 million, respectively. The majority of the contracts of this type held by Kodak as of </w:t>
      </w:r>
      <w:r>
        <w:rPr>
          <w:rStyle w:val="Emphasis"/>
          <w:rFonts w:ascii="Calibri;Arial;sans-serif" w:hAnsi="Calibri;Arial;sans-serif"/>
          <w:caps w:val="false"/>
          <w:smallCaps w:val="false"/>
          <w:sz w:val="20"/>
        </w:rPr>
        <w:t>September 30,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are denominated in euros, Chinese renminbi and Japanese yen.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net effect of foreign currency forward contracts in the results of operations is shown in the following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113" w:type="dxa"/>
        <w:jc w:val="left"/>
        <w:tblInd w:w="0" w:type="dxa"/>
        <w:tblLayout w:type="fixed"/>
        <w:tblCellMar>
          <w:top w:w="0" w:type="dxa"/>
          <w:left w:w="0" w:type="dxa"/>
          <w:bottom w:w="0" w:type="dxa"/>
          <w:right w:w="0" w:type="dxa"/>
        </w:tblCellMar>
      </w:tblPr>
      <w:tblGrid>
        <w:gridCol w:w="5570"/>
        <w:gridCol w:w="60"/>
        <w:gridCol w:w="300"/>
        <w:gridCol w:w="445"/>
        <w:gridCol w:w="192"/>
        <w:gridCol w:w="144"/>
        <w:gridCol w:w="300"/>
        <w:gridCol w:w="300"/>
        <w:gridCol w:w="60"/>
        <w:gridCol w:w="60"/>
        <w:gridCol w:w="277"/>
        <w:gridCol w:w="277"/>
        <w:gridCol w:w="133"/>
        <w:gridCol w:w="133"/>
        <w:gridCol w:w="277"/>
        <w:gridCol w:w="510"/>
        <w:gridCol w:w="75"/>
      </w:tblGrid>
      <w:tr>
        <w:trPr/>
        <w:tc>
          <w:tcPr>
            <w:tcW w:w="5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1"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7"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Nine Months Ended</w:t>
            </w:r>
          </w:p>
        </w:tc>
        <w:tc>
          <w:tcPr>
            <w:tcW w:w="75" w:type="dxa"/>
            <w:tcBorders/>
            <w:shd w:fill="FFFF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September 30,</w:t>
            </w:r>
          </w:p>
        </w:tc>
        <w:tc>
          <w:tcPr>
            <w:tcW w:w="75" w:type="dxa"/>
            <w:tcBorders/>
            <w:shd w:fill="FFFF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192"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2024</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75"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(gain) loss from derivatives not designated as hedging instruments</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4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19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44"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0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7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 had no derivatives designated as hedging instruments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September 30, 2024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In the event of a default under any of the Company’s credit agreements, or a default under any derivative contract or similar obligation of Kodak, subject to certain minimum thresholds, the derivative counterparties would have the right, although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the obligation, to require immediate settlement of some or all open derivative contracts at their then-current fair value, but with liability positions netted against asset positions with the same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[27]</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Fair Value</w:t>
      </w:r>
    </w:p>
    <w:p>
      <w:pPr>
        <w:pStyle w:val="TextBody"/>
        <w:bidi w:val="0"/>
        <w:spacing w:before="0" w:after="0"/>
        <w:ind w:left="0" w:right="0" w:hanging="0"/>
        <w:jc w:val="left"/>
        <w:rPr/>
      </w:pPr>
      <w:r>
        <w:rPr>
          <w:rFonts w:ascii="Calibri;Arial;sans-serif" w:hAnsi="Calibri;Arial;sans-serif"/>
          <w:caps w:val="false"/>
          <w:smallCaps w:val="false"/>
          <w:sz w:val="20"/>
        </w:rPr>
        <w:t xml:space="preserve">Fair values of Kodak’s foreign currency forward contracts are determined using observable inputs (Level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xml:space="preserve">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Other current assets and the gross fair value of foreign currency forward contracts in a liability position are reported in Other current liabilities in the Consolidated Statement of Financial Position. The gross fair value of forward contracts in an asset position as of both </w:t>
      </w:r>
      <w:r>
        <w:rPr>
          <w:rStyle w:val="Emphasis"/>
          <w:rFonts w:ascii="Calibri;Arial;sans-serif" w:hAnsi="Calibri;Arial;sans-serif"/>
          <w:caps w:val="false"/>
          <w:smallCaps w:val="false"/>
          <w:sz w:val="20"/>
        </w:rPr>
        <w:t xml:space="preserve"> September 30,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was $3 million. The gross fair value of foreign currency forward contracts in a liability position as of both </w:t>
      </w:r>
      <w:r>
        <w:rPr>
          <w:rStyle w:val="Emphasis"/>
          <w:rFonts w:ascii="Calibri;Arial;sans-serif" w:hAnsi="Calibri;Arial;sans-serif"/>
          <w:caps w:val="false"/>
          <w:smallCaps w:val="false"/>
          <w:sz w:val="20"/>
        </w:rPr>
        <w:t xml:space="preserve"> September 30,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was $0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Transfers between levels of the fair value hierarchy are recognized based on the actual date of the event or change in circumstances that caused the transfer. There were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transfers between levels of the fair value hierarchy during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nine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September 30, 2024</w:t>
      </w:r>
      <w:r>
        <w:rPr>
          <w:rFonts w:ascii="Calibri;Arial;sans-serif" w:hAnsi="Calibri;Arial;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fair values of long-term debt (Level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xml:space="preserve"> fair value measurements) are determined by reference to quoted market prices of similar instruments, if available, or by pricing models based on the value of related cash flows discounted at current market interest rates. The fair values of long-term borrowings were $395 million and $396 million at </w:t>
      </w:r>
      <w:r>
        <w:rPr>
          <w:rStyle w:val="Emphasis"/>
          <w:rFonts w:ascii="Calibri;Arial;sans-serif" w:hAnsi="Calibri;Arial;sans-serif"/>
          <w:caps w:val="false"/>
          <w:smallCaps w:val="false"/>
          <w:sz w:val="20"/>
        </w:rPr>
        <w:t>September 30,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respectively.  The carrying values of cash and cash equivalents, restricted cash and the current portion of long-term debt approximate their fair values at both </w:t>
      </w:r>
      <w:r>
        <w:rPr>
          <w:rStyle w:val="Emphasis"/>
          <w:rFonts w:ascii="Calibri;Arial;sans-serif" w:hAnsi="Calibri;Arial;sans-serif"/>
          <w:caps w:val="false"/>
          <w:smallCaps w:val="false"/>
          <w:sz w:val="20"/>
        </w:rPr>
        <w:t>September 30, 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Calibri;Arial;sans-serif" w:hAnsi="Calibri;Arial;sans-serif"/>
          <w:sz w:val="20"/>
        </w:rPr>
        <w:t>[28]</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caps w:val="false"/>
          <w:smallCaps w:val="false"/>
          <w:sz w:val="20"/>
        </w:rPr>
      </w:pPr>
      <w:bookmarkStart w:id="11" w:name="MDA"/>
      <w:bookmarkEnd w:id="11"/>
      <w:r>
        <w:rPr>
          <w:rFonts w:ascii="Calibri;Arial;sans-serif" w:hAnsi="Calibri;Arial;sans-serif"/>
          <w:b/>
          <w:caps w:val="false"/>
          <w:smallCaps w:val="false"/>
          <w:sz w:val="20"/>
        </w:rPr>
        <w:t>Item</w:t>
      </w:r>
      <w:r>
        <w:rPr>
          <w:rFonts w:ascii="Calibri;Arial;sans-serif" w:hAnsi="Calibri;Arial;sans-serif"/>
          <w:caps w:val="false"/>
          <w:smallCaps w:val="false"/>
          <w:sz w:val="20"/>
        </w:rPr>
        <w:t> </w:t>
      </w:r>
      <w:r>
        <w:rPr>
          <w:rFonts w:ascii="Calibri;Arial;sans-serif" w:hAnsi="Calibri;Arial;sans-serif"/>
          <w:b/>
          <w:caps w:val="false"/>
          <w:smallCaps w:val="false"/>
          <w:sz w:val="20"/>
        </w:rPr>
        <w:t>2. Management</w:t>
      </w:r>
      <w:r>
        <w:rPr>
          <w:rFonts w:ascii="Calibri;Arial;sans-serif" w:hAnsi="Calibri;Arial;sans-serif"/>
          <w:caps w:val="false"/>
          <w:smallCaps w:val="false"/>
          <w:sz w:val="20"/>
        </w:rPr>
        <w:t>’</w:t>
      </w:r>
      <w:r>
        <w:rPr>
          <w:rFonts w:ascii="Calibri;Arial;sans-serif" w:hAnsi="Calibri;Arial;sans-serif"/>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CAUTIONARY STATEMENT PURSUANT TO SAFE HARBOR PROVISIONS OF THE PRIVATE SECURITIES LITIGATION REFORM ACT OF 1995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This report on Form 10-Q includes “forward–looking statements” as that term is defined under the Private Securities Litigation Reform Act of 1995.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words and expressions, as well as statements that do not relate strictly to historical or current facts, are intended to identify forward–looking statements. All forward–looking statements, including management’s examination of historical operating trends and data, are based upon Kodak’s current expectations and assumptions. Forward-looking statements are subject to risks, uncertainties and other factors that could cause actual results to differ materially from historical results or those expressed in or implied by such forward-looking statements. Important factors that could cause actual events or results to differ materially from the forward-looking statements include, among others, the risks and uncertainties described in more detail in the Company’s Annual Report on Form 10–K for the year ended December 31, 2023 under the headings “Business,” “Risk Factors,” “Legal Proceedings,” and/or “Management’s Discussion and Analysis of Financial Condition and Results of Operations–Liquidity and Capital Resources,” in the corresponding sections of this report on Form 10-Q and the Company’s quarterly reports on Form 10‐Q for the quarters ended March 31, 2024 and June 30, 2024, and in other filings the Company makes with the SEC from time to time, as well as the following:</w:t>
      </w:r>
    </w:p>
    <w:p>
      <w:pPr>
        <w:pStyle w:val="TextBody"/>
        <w:bidi w:val="0"/>
        <w:spacing w:before="0" w:after="0"/>
        <w:ind w:left="0" w:right="0" w:hanging="0"/>
        <w:jc w:val="left"/>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75"/>
        <w:gridCol w:w="170"/>
        <w:gridCol w:w="8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25"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Kodak’s ability to improve and sustain its operating structure, cash flow, profitability and other financial results;</w:t>
            </w:r>
          </w:p>
        </w:tc>
      </w:tr>
    </w:tbl>
    <w:p>
      <w:pPr>
        <w:pStyle w:val="TextBody"/>
        <w:bidi w:val="0"/>
        <w:spacing w:before="0" w:after="0"/>
        <w:ind w:left="0" w:right="0" w:hanging="0"/>
        <w:jc w:val="left"/>
        <w:rPr/>
      </w:pPr>
      <w:r>
        <w:rPr/>
        <w:t> </w:t>
      </w:r>
    </w:p>
    <w:tbl>
      <w:tblPr>
        <w:tblW w:w="8455" w:type="dxa"/>
        <w:jc w:val="left"/>
        <w:tblInd w:w="0" w:type="dxa"/>
        <w:tblLayout w:type="fixed"/>
        <w:tblCellMar>
          <w:top w:w="0" w:type="dxa"/>
          <w:left w:w="0" w:type="dxa"/>
          <w:bottom w:w="0" w:type="dxa"/>
          <w:right w:w="0" w:type="dxa"/>
        </w:tblCellMar>
      </w:tblPr>
      <w:tblGrid>
        <w:gridCol w:w="75"/>
        <w:gridCol w:w="170"/>
        <w:gridCol w:w="82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821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Kodak’s ability to achieve strategic objectives, cash forecasts, financial projections and projected growth;</w:t>
            </w:r>
          </w:p>
        </w:tc>
      </w:tr>
    </w:tbl>
    <w:p>
      <w:pPr>
        <w:pStyle w:val="TextBody"/>
        <w:bidi w:val="0"/>
        <w:spacing w:before="0" w:after="0"/>
        <w:ind w:left="0" w:right="0" w:hanging="0"/>
        <w:jc w:val="left"/>
        <w:rPr/>
      </w:pPr>
      <w:r>
        <w:rPr/>
        <w:t> </w:t>
      </w:r>
    </w:p>
    <w:tbl>
      <w:tblPr>
        <w:tblW w:w="7615" w:type="dxa"/>
        <w:jc w:val="left"/>
        <w:tblInd w:w="0" w:type="dxa"/>
        <w:tblLayout w:type="fixed"/>
        <w:tblCellMar>
          <w:top w:w="0" w:type="dxa"/>
          <w:left w:w="0" w:type="dxa"/>
          <w:bottom w:w="0" w:type="dxa"/>
          <w:right w:w="0" w:type="dxa"/>
        </w:tblCellMar>
      </w:tblPr>
      <w:tblGrid>
        <w:gridCol w:w="75"/>
        <w:gridCol w:w="170"/>
        <w:gridCol w:w="73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737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Kodak’s ability to achieve the financial and operational results contained in its business plans;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Kodak’s ability to obtain additional or alternate financing if and as needed, Kodak's continued ability to manage world-wide cash through inter-company loans, distributions and other mechanisms, and Kodak's ability to provide or facilitate financing for its customers;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Kodak’s ability to fund continued investments, capital needs and collateral requirements and to service its debt and Series B Preferred Stock and Series C Preferred Stock;</w:t>
            </w:r>
          </w:p>
        </w:tc>
      </w:tr>
    </w:tbl>
    <w:p>
      <w:pPr>
        <w:pStyle w:val="TextBody"/>
        <w:bidi w:val="0"/>
        <w:spacing w:before="0" w:after="0"/>
        <w:ind w:left="0" w:right="0" w:hanging="0"/>
        <w:jc w:val="left"/>
        <w:rPr/>
      </w:pPr>
      <w:r>
        <w:rPr/>
        <w:t> </w:t>
      </w:r>
    </w:p>
    <w:tbl>
      <w:tblPr>
        <w:tblW w:w="7570" w:type="dxa"/>
        <w:jc w:val="left"/>
        <w:tblInd w:w="0" w:type="dxa"/>
        <w:tblLayout w:type="fixed"/>
        <w:tblCellMar>
          <w:top w:w="0" w:type="dxa"/>
          <w:left w:w="0" w:type="dxa"/>
          <w:bottom w:w="0" w:type="dxa"/>
          <w:right w:w="0" w:type="dxa"/>
        </w:tblCellMar>
      </w:tblPr>
      <w:tblGrid>
        <w:gridCol w:w="75"/>
        <w:gridCol w:w="170"/>
        <w:gridCol w:w="73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7325"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Changes in foreign currency exchange rates, commodity prices, interest rates and tariff rates;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The impact of the global economic environment, including inflationary pressures, geopolitical issues such as the war in Ukraine and conflicts involving Israel, medical epidemics, and Kodak’s ability to effectively mitigate the associated increased costs of aluminum and other raw materials, energy, labor, shipping, delays in shipment and production times, and fluctuations in demand;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Kodak's ability to effectively compete with large, well-financed industry participants or with competitors whose cost structure is lower than Kodak's;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The performance by third parties of their obligations to supply products, components or services to Kodak and Kodak’s ability to address supply chain disruptions and continue to obtain raw materials and components available from single or limited sources of supply, which may be adversely affected by the war in Ukraine, the conflicts involving Israel and residual effects of the COVID-19 pandemic;</w:t>
            </w:r>
          </w:p>
        </w:tc>
      </w:tr>
    </w:tbl>
    <w:p>
      <w:pPr>
        <w:pStyle w:val="TextBody"/>
        <w:bidi w:val="0"/>
        <w:spacing w:before="0" w:after="0"/>
        <w:ind w:left="0" w:right="0" w:hanging="0"/>
        <w:jc w:val="left"/>
        <w:rPr/>
      </w:pPr>
      <w:r>
        <w:rPr/>
        <w:t> </w:t>
      </w:r>
    </w:p>
    <w:tbl>
      <w:tblPr>
        <w:tblW w:w="6130" w:type="dxa"/>
        <w:jc w:val="left"/>
        <w:tblInd w:w="0" w:type="dxa"/>
        <w:tblLayout w:type="fixed"/>
        <w:tblCellMar>
          <w:top w:w="0" w:type="dxa"/>
          <w:left w:w="0" w:type="dxa"/>
          <w:bottom w:w="0" w:type="dxa"/>
          <w:right w:w="0" w:type="dxa"/>
        </w:tblCellMar>
      </w:tblPr>
      <w:tblGrid>
        <w:gridCol w:w="75"/>
        <w:gridCol w:w="170"/>
        <w:gridCol w:w="5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885"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Kodak’s ability to comply with the covenants in its various credit facilities;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[29]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Kodak’s ability to effectively anticipate technology and industry trends and develop and market new products, solutions and technologies, including products based on its technology and expertise that relate to industries in which it does not currently conduct material business;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Kodak’s ability to effect strategic transactions, such as investments, acquisitions, strategic alliances, divestitures and similar transactions, or to achieve the benefits sought to be achieved from such strategic transactions;</w:t>
            </w:r>
          </w:p>
        </w:tc>
      </w:tr>
    </w:tbl>
    <w:p>
      <w:pPr>
        <w:pStyle w:val="TextBody"/>
        <w:bidi w:val="0"/>
        <w:spacing w:before="0" w:after="0"/>
        <w:ind w:left="0" w:right="0" w:hanging="0"/>
        <w:jc w:val="left"/>
        <w:rPr/>
      </w:pPr>
      <w:r>
        <w:rPr/>
        <w:t> </w:t>
      </w:r>
    </w:p>
    <w:tbl>
      <w:tblPr>
        <w:tblW w:w="9595" w:type="dxa"/>
        <w:jc w:val="left"/>
        <w:tblInd w:w="0" w:type="dxa"/>
        <w:tblLayout w:type="fixed"/>
        <w:tblCellMar>
          <w:top w:w="0" w:type="dxa"/>
          <w:left w:w="0" w:type="dxa"/>
          <w:bottom w:w="0" w:type="dxa"/>
          <w:right w:w="0" w:type="dxa"/>
        </w:tblCellMar>
      </w:tblPr>
      <w:tblGrid>
        <w:gridCol w:w="75"/>
        <w:gridCol w:w="170"/>
        <w:gridCol w:w="93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35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Kodak's ability to discontinue, sell or spin-off certain non-core businesses or operations, or otherwise monetize assets;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The impact of the investigations, litigation and claims arising out of the circumstances surrounding the announcement on July 28, 2020, by the U.S. International Development Finance Corporation of the signing of a non‐binding letter of interest to provide a subsidiary of Kodak with a potential loan to support the launch of an initiative for the manufacture of pharmaceutical ingredients for essential generic drugs;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The potential impact of force majeure events, cyber‐attacks or other data security incidents or information technology outages that could disrupt or otherwise harm Kodak’s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Future events and other factors may cause Kodak’s actual results to differ materially from the forward–looking statements. All forward–looking statements attributable to Kodak or persons acting on its behalf apply only as of the date of this report on Form 10-Q and are expressly qualified in their entirety by the cautionary statements included or referenced in this document. Kodak undertakes no obligation to update or revise forward–looking statements to reflect events or circumstances that arise after the date made or to reflect the occurrence of unanticipated events,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EXECUTIVE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is a global manufacturer focused on commercial print and advanced materials and chemicals. With 79,000 patents earned over 130 years of research and development ("R&amp;D"), Kodak believes in the power of technology and science to enhance what the world sees and creates. Kodak’s innovative, award-winning products, combined with its customer-first approach, make Kodak the partner of choice for commercial printers worldwide. Kodak is committed to environmental stewardship, including industry leadership in developing sustainable solutions for print.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sz w:val="20"/>
        </w:rPr>
      </w:pPr>
      <w:r>
        <w:rPr>
          <w:rFonts w:ascii="Calibri;Arial;sans-serif" w:hAnsi="Calibri;Arial;sans-serif"/>
          <w:sz w:val="20"/>
        </w:rPr>
        <w:t>Consolidated revenues in the </w:t>
      </w:r>
      <w:r>
        <w:rPr>
          <w:sz w:val="20"/>
        </w:rPr>
        <w:t xml:space="preserve"> three and nine months ended September 30, 2024  </w:t>
      </w:r>
      <w:r>
        <w:rPr>
          <w:rFonts w:ascii="Calibri;Arial;sans-serif" w:hAnsi="Calibri;Arial;sans-serif"/>
          <w:sz w:val="20"/>
        </w:rPr>
        <w:t>were $261</w:t>
      </w:r>
      <w:r>
        <w:rPr>
          <w:sz w:val="20"/>
        </w:rPr>
        <w:t xml:space="preserve">  </w:t>
      </w:r>
      <w:r>
        <w:rPr>
          <w:rFonts w:ascii="Calibri;Arial;sans-serif" w:hAnsi="Calibri;Arial;sans-serif"/>
          <w:sz w:val="20"/>
        </w:rPr>
        <w:t>million and $777 million, respectively,</w:t>
      </w:r>
      <w:r>
        <w:rPr>
          <w:sz w:val="20"/>
        </w:rPr>
        <w:t xml:space="preserve">  </w:t>
      </w:r>
      <w:r>
        <w:rPr>
          <w:rFonts w:ascii="Calibri;Arial;sans-serif" w:hAnsi="Calibri;Arial;sans-serif"/>
          <w:sz w:val="20"/>
        </w:rPr>
        <w:t>decreases of $</w:t>
      </w:r>
      <w:r>
        <w:rPr>
          <w:sz w:val="20"/>
        </w:rPr>
        <w:t xml:space="preserve"> 8  </w:t>
      </w:r>
      <w:r>
        <w:rPr>
          <w:rFonts w:ascii="Calibri;Arial;sans-serif" w:hAnsi="Calibri;Arial;sans-serif"/>
          <w:sz w:val="20"/>
        </w:rPr>
        <w:t>million (</w:t>
      </w:r>
      <w:r>
        <w:rPr>
          <w:sz w:val="20"/>
        </w:rPr>
        <w:t xml:space="preserve"> 3% </w:t>
      </w:r>
      <w:r>
        <w:rPr>
          <w:rFonts w:ascii="Calibri;Arial;sans-serif" w:hAnsi="Calibri;Arial;sans-serif"/>
          <w:sz w:val="20"/>
        </w:rPr>
        <w:t>) and $65</w:t>
      </w:r>
      <w:r>
        <w:rPr>
          <w:sz w:val="20"/>
        </w:rPr>
        <w:t xml:space="preserve">  </w:t>
      </w:r>
      <w:r>
        <w:rPr>
          <w:rFonts w:ascii="Calibri;Arial;sans-serif" w:hAnsi="Calibri;Arial;sans-serif"/>
          <w:sz w:val="20"/>
        </w:rPr>
        <w:t xml:space="preserve">million (8%) when compared to the </w:t>
      </w:r>
      <w:r>
        <w:rPr>
          <w:sz w:val="20"/>
        </w:rPr>
        <w:t xml:space="preserve">three and nine months ended September 30, 2023 </w:t>
      </w:r>
      <w:r>
        <w:rPr>
          <w:rFonts w:ascii="Calibri;Arial;sans-serif" w:hAnsi="Calibri;Arial;sans-serif"/>
          <w:sz w:val="20"/>
        </w:rPr>
        <w:t>.  Currency fluctuations had a favorable impact on revenues ($1 million) in the three months ended September 30, 2024 compared to the three months ended September 30, 2023.  </w:t>
      </w:r>
      <w:r>
        <w:rPr>
          <w:sz w:val="20"/>
        </w:rPr>
        <w:t xml:space="preserve"> </w:t>
      </w:r>
      <w:r>
        <w:rPr>
          <w:rFonts w:ascii="Calibri;Arial;sans-serif" w:hAnsi="Calibri;Arial;sans-serif"/>
          <w:sz w:val="20"/>
        </w:rPr>
        <w:t>Currency fluctuations had an unfavorable impact on revenues ($3 million) in the nine months ended September 30, 2024 compared to the nine months ended September 30, 2023.</w:t>
      </w:r>
      <w:r>
        <w:rPr>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Print revenues in the three and nine months ended September 30, 2024 were $182 million and $550 million, respectively, decreases of $14 million (7%) and $70 million (11%), respectively, compared to the prior year quarter and year-to-date period.  Print revenues accounted for 70% and 71% of Kodak’s total revenues for the three and nine months ended September 30, 2024, respectively.  Advanced Materials and Chemicals revenues in the three and nine months ended September 30, 2024 were $71 million and $203 million, respectively, an increase of $7 million (11%) and $6 million (3%) compared to the prior year quarter and year-to-date periods,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Economic Environment and Other Global Events</w:t>
      </w:r>
      <w:r>
        <w:rPr>
          <w:rFonts w:ascii="Calibri;Arial;sans-serif" w:hAnsi="Calibri;Arial;sans-serif"/>
          <w:b/>
          <w:i/>
          <w:caps w:val="false"/>
          <w:smallCaps w:val="false"/>
          <w:sz w:val="20"/>
        </w:rPr>
        <w:t>:</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products are sold and serviced in numerous countries across the globe with more than half of sales generated outside the U.S. Current global economic conditions remain highly volatile due to the uncertain and unpredictable macroeconomic environment, heightened levels of inflation, the war in Ukraine, the conflicts involving Israel, and other global events which impacted Kodak’s operations. Kodak is experiencing revenue declines and increased manufacturing costs for certain businesses due to lower volumes and increases in labor, material and distribution costs, as well as supply chain disruptions and shortages in materials and labor.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br/>
        <w:t>Kodak implemented various pricing actions and customer-focused initiatives largely in 2022 and 2023 to mitigate the impact of increased manufacturing costs, primarily within its Print and Advanced Materials and Chemicals segments. While these actions have positively impacted the profitability of these segments, certain businesses are experiencing pricing pressures.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[30]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rFonts w:ascii="Calibri;Arial;sans-serif" w:hAnsi="Calibri;Arial;sans-serif"/>
          <w:sz w:val="20"/>
        </w:rPr>
      </w:pPr>
      <w:r>
        <w:rPr>
          <w:rFonts w:ascii="Calibri;Arial;sans-serif" w:hAnsi="Calibri;Arial;sans-serif"/>
          <w:sz w:val="20"/>
        </w:rPr>
        <w:br/>
        <w:t>The Print segment is experiencing a slowdown in customer demand for plates that negatively impacted volume due to current global economic conditions and the impact of pricing actions. In addition to the pricing actions and customer-focused initiatives described above, Kodak has implemented supply chain and workforce optimization, productivity improvements and other cost savings activities. The combined actions have largely mitigated the impact of lower volumes and increased manufacturing costs. However, the potential worsening of economic conditions, continued decreases in volume and increases in manufacturing and other costs without further price increases, productivity improvements or other cost savings measures, could unfavorably impact this segment's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Electrophotographic Printing Solutions business (the "EPS Business") within the Print Segment is experiencing higher than expected volume declines in 2024 due to the negative impact of recent pricing actions and ceasing the manufacturing of NEXFINITY printers effective December 2022.  During the three months ended September 30, 2024, Kodak recorded an inventory reserve adjustment of $4 million to reflect lower forecasted demand associated with certain component and service parts sold to its installed base of printers. As of September 30, 2024, the remaining net inventory balance for component and service parts approximated $5 million.  In addition, the EPS Business was notified during the third quarter of 2024 that the primary distributor of its black and white consumables and service parts initiated actions to accelerate the decline of this business and has significantly reduced its forecasted demand.  The EPS Business is exploring various options to realize the full value of this inventory, including contractual rights under the distributor agreement.  As of September 30, 2024, the net inventory for black and white consumables and service parts approximated $7 million.</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br/>
        <w:t>The Advanced Materials and Chemicals segment has also experienced labor shortages in certain manufacturing areas. Increased demand for consumer film products along with manufacturing equipment limitations and labor shortages have contributed to increased backorders. Kodak has increased headcount in this segment to better meet demand, and improved the infrastructure and streamlined processes to increase capacity in the film business, but supply will continue to be constrained by manufacturing equipment limitations without further capital improvements.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has implemented numerous measures to mitigate the challenges associated with supply chain disruptions and shortages in materials, including increasing safety stock on certain materials, increasing lead-times, providing suppliers with longer forecasts of future demand and certifying additional sources or substitute materials where possible. These measures have enabled Kodak to largely meet current demand.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Following the cessation of U.S. plate manufacturing operations by Kodak’s key competitors, Kodak has faced increasing competition in the U.S. from low-priced plates imported from China and Japan. On September 28, 2023, Kodak filed petitions with the U.S. Department of Commerce (“Commerce Department”) and the U.S. International Trade Commission (“ITC”) requesting relief from unfairly traded imports of plates from China and Japan in the form of the imposition of anti-dumping and/or countervailing duties on such imported plates. After making an affirmative preliminary determination on November 15, 2023, on October 22, 2024 the ITC made a final determination that a U.S. industry is materially injured by reason of imports of aluminum lithographic printing plates from China and Japan that the Commerce Department has determined are sold at less than fair value and subsidized by the government of China. The Commerce Department conducted investigations to determine dumping and subsidy margins against imports of plates manufactured in China and Japan. The Commerce Department announced preliminary findings in its countervailing duty investigation on imports of plates manufactured in China on February 27, 2024 and announced preliminary findings in its anti-dumping duty investigations on imports of plates manufactured in China and Japan on April 26, 2024, which were amended with respect to plates from China on May 28, 2024. The Commerce Department announced final findings in its anti-dumping duty investigations on imports of plates manufactured in China and Japan and its countervailing duty investigation on imports of plates manufactured in China on September 23, 2024.  As a result of the determinations by the ITC and Commerce Department, duties are now being imposed on U.S. imports of plates as follows: (i) anti-dumping duties of 115.84% on such plates manufactured in China by Fuji and 317.43% on such plates manufactured in China by other entities (in each case, imposed on plates imported on or after May 1, 2024), (ii) countervailing duties of 35.66% on practically all such plates manufactured in China (imposed on plates imported on or after March 1, 2024), and (iii) anti-dumping duties of 91.83% on practically all such plates manufactured in Japan (imposed on plates imported on or after May 1, 2024). There can be no assurance that the duties imposed on imported plates will provide Kodak effective relief and will not be reduced or impaired by any appeal or other challenge.</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is monitoring the events surrounding the conflicts involving Israel and the impact on the operations of its Israel subsidiary. A leased warehouse in Israel was destroyed in 2023; however, none of Kodak’s employees were injured. While the potential impact of future developments related to this conflict is difficult to predict at this time, Kodak has been able to adapt its operations to avoid material disruption to its business. The direct operations of Kodak’s Israel subsidiary are less than 1% of total consolidated revenue and assets as of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[31]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sz w:val="20"/>
        </w:rPr>
      </w:pPr>
      <w:r>
        <w:rPr>
          <w:rFonts w:ascii="Calibri;Arial;sans-serif" w:hAnsi="Calibri;Arial;sans-serif"/>
          <w:sz w:val="20"/>
        </w:rPr>
        <w:t>Kodak also continues to monitor the events surrounding the war in Ukraine and the various sanctions imposed in response to the war. Kodak believes it is in compliance with all sanctions. Kodak is experiencing worldwide supply constraints for aluminum and increased energy and transportation costs due in part to the war in Ukraine. The extent to which the war in Ukraine will impact the global economy and Kodak's business and operations remains uncertain.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sz w:val="20"/>
        </w:rPr>
      </w:pPr>
      <w:r>
        <w:rPr>
          <w:rFonts w:ascii="Calibri;Arial;sans-serif" w:hAnsi="Calibri;Arial;sans-serif"/>
          <w:sz w:val="20"/>
        </w:rPr>
        <w:t>The war in Ukraine and the international response have disrupted Kodak’s ability to operate its Russian subsidiary in the ordinary course, affecting its ability to pay vendors and employees, receive amounts owed from customers in Russia and deliver product. Kodak is in the process of an orderly winding down of its Russian subsidiary and has ceased its direct Russian operations. The direct operations of Kodak’s Russian subsidiary did not have a material impact on the Company’s financial statements (less than 1% of total consolidated revenues and assets for 2021 - 2023), and there were no material impacts on the consolidated results of operations as of and for the quarter ended September 30, 2024 from the wind-down activities.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sz w:val="20"/>
        </w:rPr>
      </w:pPr>
      <w:r>
        <w:rPr>
          <w:rFonts w:ascii="Calibri;Arial;sans-serif" w:hAnsi="Calibri;Arial;sans-serif"/>
          <w:sz w:val="20"/>
        </w:rPr>
        <w:t>The ongoing changes in global economic conditions and the impact of other global events on Kodak’s operations and financial performance remains uncertain and will depend on several factors such as the slowdown in customer demand, the ability to offset higher labor, material and distribution costs through pricing actions, duration of supply chain disruptions and the ability to secure raw materials and components.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Kodak</w:t>
      </w:r>
      <w:r>
        <w:rPr>
          <w:rFonts w:ascii="Calibri;Arial;sans-serif" w:hAnsi="Calibri;Arial;sans-serif"/>
          <w:caps w:val="false"/>
          <w:smallCaps w:val="false"/>
          <w:sz w:val="20"/>
        </w:rPr>
        <w:t>’</w:t>
      </w:r>
      <w:r>
        <w:rPr>
          <w:rFonts w:ascii="Calibri;Arial;sans-serif" w:hAnsi="Calibri;Arial;sans-serif"/>
          <w:b/>
          <w:caps w:val="false"/>
          <w:smallCaps w:val="false"/>
          <w:sz w:val="20"/>
        </w:rPr>
        <w:t>s strategy</w:t>
      </w:r>
      <w:r>
        <w:rPr>
          <w:rFonts w:ascii="Calibri;Arial;sans-serif" w:hAnsi="Calibri;Arial;sans-serif"/>
          <w:b/>
          <w:i/>
          <w:caps w:val="false"/>
          <w:smallCaps w:val="false"/>
          <w:sz w:val="20"/>
        </w:rPr>
        <w:t>:</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Segments within the print industry and the film industry face competition from digital substitution. Kodak’s strategy is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Focus product investment in core competency areas of print and advanced materials, leveraging Kodak’s proprietary technologies to deliver technologically advanced products in the product goods packaging, graphic communications, and functional printing markets;</w:t>
            </w:r>
          </w:p>
        </w:tc>
      </w:tr>
    </w:tbl>
    <w:p>
      <w:pPr>
        <w:pStyle w:val="TextBody"/>
        <w:bidi w:val="0"/>
        <w:spacing w:before="0" w:after="0"/>
        <w:ind w:left="0" w:right="0" w:hanging="0"/>
        <w:jc w:val="left"/>
        <w:rPr/>
      </w:pPr>
      <w:r>
        <w:rPr/>
        <w:t> </w:t>
      </w:r>
    </w:p>
    <w:tbl>
      <w:tblPr>
        <w:tblW w:w="7825" w:type="dxa"/>
        <w:jc w:val="left"/>
        <w:tblInd w:w="0" w:type="dxa"/>
        <w:tblLayout w:type="fixed"/>
        <w:tblCellMar>
          <w:top w:w="0" w:type="dxa"/>
          <w:left w:w="0" w:type="dxa"/>
          <w:bottom w:w="0" w:type="dxa"/>
          <w:right w:w="0" w:type="dxa"/>
        </w:tblCellMar>
      </w:tblPr>
      <w:tblGrid>
        <w:gridCol w:w="75"/>
        <w:gridCol w:w="170"/>
        <w:gridCol w:w="75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758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Grow revenues through a focus on customers in Kodak’s print division, increasing overall share;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Promote the use of film and expand the applications of Kodak’s film and chemicals to best utilize the existing infrastructure; and</w:t>
            </w:r>
          </w:p>
        </w:tc>
      </w:tr>
    </w:tbl>
    <w:p>
      <w:pPr>
        <w:pStyle w:val="TextBody"/>
        <w:bidi w:val="0"/>
        <w:spacing w:before="0" w:after="0"/>
        <w:ind w:left="0" w:right="0" w:hanging="0"/>
        <w:jc w:val="left"/>
        <w:rPr/>
      </w:pPr>
      <w:r>
        <w:rPr/>
        <w:t> </w:t>
      </w:r>
    </w:p>
    <w:tbl>
      <w:tblPr>
        <w:tblW w:w="7405" w:type="dxa"/>
        <w:jc w:val="left"/>
        <w:tblInd w:w="0" w:type="dxa"/>
        <w:tblLayout w:type="fixed"/>
        <w:tblCellMar>
          <w:top w:w="0" w:type="dxa"/>
          <w:left w:w="0" w:type="dxa"/>
          <w:bottom w:w="0" w:type="dxa"/>
          <w:right w:w="0" w:type="dxa"/>
        </w:tblCellMar>
      </w:tblPr>
      <w:tblGrid>
        <w:gridCol w:w="75"/>
        <w:gridCol w:w="170"/>
        <w:gridCol w:w="71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71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Continue to streamline processes to drive cost reductions and improve operating leverage.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 discussion of opportunities and challenges related to Kodak’s strategy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Print’s digital plate products include traditional digital plates and Kodak SONORA Process Free Plates. SONORA Process Free Plates allow Kodak customers to skip the plate processing step prior to mounting plates on a printing press. This improvement in the printing process saves time and costs for customers. Also, SONORA Process Free Plates reduce the environmental impact of the printing process because they eliminate the use of chemicals (including solvents), water and power that is otherwise required to process a traditional plate. The segment's digital plate products are experiencing challenges from higher prices and availability of raw materials, digital substitution and competitive pricing pressures. Kodak seeks to mitigate the impact of increases in manufacturing costs through a combination of surcharges and price increases, improved production efficiency and cost reduction initiatives. In addition, Kodak seeks to offset the impact of short-term and long‐term market dynamics on pricing and volume pressures through innovations in Kodak product lines, including investing in digital print technologies.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Print's digital printing businesses, the PROSPER business is expected to grow as the legacy VERSAMARK business continues to decline as a percentage of the segment’s total revenue. The PROSPER Inkjet Systems business is expected to continue to build profitability. Kodak launched the PROSPER 7000 Turbo Press in June 2022. The PROSPER 7000 Turbo Press enables commercial, publishing and newspaper printers to compete more effectively with offset and to shift more long run jobs from conventional printing processes to inkjet. Investment in the next generation technology, ULTRASTREAM, is focused on the ability to place ULTRASTREAM writing systems in Kodak branded presses and in various original equipment manufacturers in applications ranging from commercial print to packaging.  In addition, Kodak officially launched the KODAK PROSPER ULTRA 520 Digital Press utilizing Kodak’s ULTRASTREAM inkjet technology, which offers offset print quality in a smaller footprint.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[32]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Advanced Materials and Chemicals is using Kodak’s deep expertise in chemistry and strengths in deposition and coating processes that come from decades of experience in film manufacturing to work on new initiatives: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w:t>
            </w:r>
          </w:p>
        </w:tc>
        <w:tc>
          <w:tcPr>
            <w:tcW w:w="10005"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Electric Vehicle (“EV”)/Energy Storage Battery Material Manufacturing </w:t>
            </w:r>
            <w:r>
              <w:rPr>
                <w:rFonts w:ascii="Calibri;Arial;sans-serif" w:hAnsi="Calibri;Arial;sans-serif"/>
                <w:i/>
                <w:sz w:val="20"/>
              </w:rPr>
              <w:t xml:space="preserve">- </w:t>
            </w:r>
            <w:r>
              <w:rPr>
                <w:rFonts w:ascii="Calibri;Arial;sans-serif" w:hAnsi="Calibri;Arial;sans-serif"/>
                <w:sz w:val="20"/>
              </w:rPr>
              <w:t>Coating of substrates is a critical aspect of manufacturing materials for batteries and Kodak plans to capitalize on its expertise in coating technology to develop opportunities in this area. Kodak utilizes its pilot coating facility to conduct development of coated electrodes for a variety of battery, fuel cell, and solar film companies as well as low volume manufacturing of electrodes. On July 13, 2022, Kodak invested $25 million to acquire a minority preferred equity interest in Wildcat Discovery Technologies, Inc. (“Wildcat”), a private technology company that uses proprietary methods to research and develop new battery materials, including an EV battery. Kodak also entered into an agreement to provide coating and engineering services in collaboration with Wildcat to develop and scale film coating technologies. Wildcat has granted Kodak certain rights to negotiate a production or licensing arrangement with Wildcat when and if Wildcat’s technology reaches commercial readiness.  Kodak has utilized an existing production coating facility to manufacture coated substrates for EV cell assembly. Kodak is evaluating expansion or enhancement of this facility to serve a wider variety of production level customers.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w:t>
            </w:r>
          </w:p>
        </w:tc>
        <w:tc>
          <w:tcPr>
            <w:tcW w:w="1000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Light-Blocking Technology - A proprietary technology initially developed for electrophotographic toners is being leveraged to commercialize a carbon‐less fabric coating designed to offer superior light management, from complete blackout to selective light filtering, and coating compatibility with an unmatched range of fabrics and also to manage ultraviolet and/or infrared light in addition to visible light. Kodak has installed a production-scale machine to coat fabrics in Eastman Business Park, located in Rochester, NY.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w:t>
            </w:r>
          </w:p>
        </w:tc>
        <w:tc>
          <w:tcPr>
            <w:tcW w:w="1000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Transparent Antennas - Kodak plans to leverage its proprietary copper micro‐wire technologies and high‐resolution printing expertise to contract‐manufacture custom transparent antennas for automotive, commercial construction, and other applications requiring excellent radio frequency (“RF”) and optical performance. The integration of antennas is growing worldwide due to the rapid expansion of 5G and an overall increase in RF communications, and the ubiquity of glass surfaces makes transparent antennas attractive for multiple end‐use markets. Kodak is evaluating this unique printing technology and expertise for transparent heaters to be used in biomedical analytical devices and telecom applications such as satellite dishes.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w:t>
            </w:r>
          </w:p>
        </w:tc>
        <w:tc>
          <w:tcPr>
            <w:tcW w:w="1000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Reagent Manufacturing - Kodak plans to capitalize on its existing chemical manufacturing expertise, including current production of unregulated Key Starting Materials for pharmaceuticals, to implement an expansion into manufacturing Diagnostic Test Reagent solutions. Kodak has started construction of a Current Good Manufacturing Practice (“cGMP”) lab and manufacturing facility to manufacture reagents for healthcare applications within an existing building located at Eastman Business Park.  Production is scheduled to begin in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Film and related component manufacturing operations and Kodak Research Laboratories utilize capacity at Eastman Business Park, which helps cost absorption for both Kodak operations and tenants at Eastman Business Park.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Kodak plans to capitalize on its intellectual property through new business or licensing opportunities in 3D printing materials, smart material applications, and printed electronics markets.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[33]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sz w:val="20"/>
        </w:rPr>
      </w:pPr>
      <w:r>
        <w:rPr>
          <w:rFonts w:ascii="Calibri;Arial;sans-serif" w:hAnsi="Calibri;Arial;sans-serif"/>
          <w:b/>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2024 COMPARED TO 2023</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THIRD QUARTER RESULTS OF OPERATIONS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56"/>
        <w:gridCol w:w="60"/>
        <w:gridCol w:w="110"/>
        <w:gridCol w:w="290"/>
        <w:gridCol w:w="65"/>
        <w:gridCol w:w="60"/>
        <w:gridCol w:w="71"/>
        <w:gridCol w:w="294"/>
        <w:gridCol w:w="152"/>
        <w:gridCol w:w="60"/>
        <w:gridCol w:w="110"/>
        <w:gridCol w:w="290"/>
        <w:gridCol w:w="65"/>
        <w:gridCol w:w="60"/>
        <w:gridCol w:w="71"/>
        <w:gridCol w:w="294"/>
        <w:gridCol w:w="152"/>
        <w:gridCol w:w="60"/>
        <w:gridCol w:w="193"/>
        <w:gridCol w:w="457"/>
        <w:gridCol w:w="65"/>
        <w:gridCol w:w="60"/>
        <w:gridCol w:w="110"/>
        <w:gridCol w:w="335"/>
        <w:gridCol w:w="65"/>
        <w:gridCol w:w="60"/>
        <w:gridCol w:w="71"/>
        <w:gridCol w:w="294"/>
        <w:gridCol w:w="152"/>
        <w:gridCol w:w="60"/>
        <w:gridCol w:w="110"/>
        <w:gridCol w:w="335"/>
        <w:gridCol w:w="65"/>
        <w:gridCol w:w="60"/>
        <w:gridCol w:w="71"/>
        <w:gridCol w:w="294"/>
        <w:gridCol w:w="152"/>
        <w:gridCol w:w="60"/>
        <w:gridCol w:w="193"/>
        <w:gridCol w:w="457"/>
        <w:gridCol w:w="66"/>
      </w:tblGrid>
      <w:tr>
        <w:trPr/>
        <w:tc>
          <w:tcPr>
            <w:tcW w:w="41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4"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Three Months Ended September 30,</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44"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Nine Months Ended September 30,</w:t>
            </w:r>
          </w:p>
        </w:tc>
        <w:tc>
          <w:tcPr>
            <w:tcW w:w="66" w:type="dxa"/>
            <w:tcBorders/>
            <w:shd w:fill="FFFFFF"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5"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 of</w:t>
            </w:r>
          </w:p>
        </w:tc>
        <w:tc>
          <w:tcPr>
            <w:tcW w:w="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5"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 of</w:t>
            </w:r>
          </w:p>
        </w:tc>
        <w:tc>
          <w:tcPr>
            <w:tcW w:w="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center"/>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5"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 of</w:t>
            </w:r>
          </w:p>
        </w:tc>
        <w:tc>
          <w:tcPr>
            <w:tcW w:w="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5"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 of</w:t>
            </w:r>
          </w:p>
        </w:tc>
        <w:tc>
          <w:tcPr>
            <w:tcW w:w="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center"/>
              <w:rPr/>
            </w:pPr>
            <w:r>
              <w:rPr/>
              <w:t> </w:t>
            </w:r>
          </w:p>
        </w:tc>
        <w:tc>
          <w:tcPr>
            <w:tcW w:w="66" w:type="dxa"/>
            <w:tcBorders/>
            <w:shd w:fill="FFFFFF"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4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2024</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Sales</w:t>
            </w:r>
          </w:p>
        </w:tc>
        <w:tc>
          <w:tcPr>
            <w:tcW w:w="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2023</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Sales</w:t>
            </w:r>
          </w:p>
        </w:tc>
        <w:tc>
          <w:tcPr>
            <w:tcW w:w="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 Change</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2024</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Sales</w:t>
            </w:r>
          </w:p>
        </w:tc>
        <w:tc>
          <w:tcPr>
            <w:tcW w:w="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2023</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Sales</w:t>
            </w:r>
          </w:p>
        </w:tc>
        <w:tc>
          <w:tcPr>
            <w:tcW w:w="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 Change</w:t>
            </w:r>
          </w:p>
        </w:tc>
        <w:tc>
          <w:tcPr>
            <w:tcW w:w="66" w:type="dxa"/>
            <w:tcBorders/>
            <w:shd w:fill="FFFFFF" w:val="clear"/>
            <w:vAlign w:val="center"/>
          </w:tcPr>
          <w:p>
            <w:pPr>
              <w:pStyle w:val="TableContents"/>
              <w:bidi w:val="0"/>
              <w:spacing w:before="0" w:after="283"/>
              <w:jc w:val="left"/>
              <w:rPr/>
            </w:pPr>
            <w:r>
              <w:rPr/>
              <w:t> </w:t>
            </w:r>
          </w:p>
        </w:tc>
      </w:tr>
      <w:tr>
        <w:trPr/>
        <w:tc>
          <w:tcPr>
            <w:tcW w:w="4156"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Calibri;Arial;sans-serif" w:hAnsi="Calibri;Arial;sans-serif"/>
                <w:sz w:val="16"/>
              </w:rPr>
            </w:pPr>
            <w:r>
              <w:rPr>
                <w:rFonts w:ascii="Calibri;Arial;sans-serif" w:hAnsi="Calibri;Arial;sans-serif"/>
                <w:sz w:val="16"/>
              </w:rPr>
              <w:t>$</w:t>
            </w:r>
          </w:p>
        </w:tc>
        <w:tc>
          <w:tcPr>
            <w:tcW w:w="290"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261</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Calibri;Arial;sans-serif" w:hAnsi="Calibri;Arial;sans-serif"/>
                <w:sz w:val="16"/>
              </w:rPr>
            </w:pPr>
            <w:r>
              <w:rPr>
                <w:rFonts w:ascii="Calibri;Arial;sans-serif" w:hAnsi="Calibri;Arial;sans-serif"/>
                <w:sz w:val="16"/>
              </w:rPr>
              <w:t>$</w:t>
            </w:r>
          </w:p>
        </w:tc>
        <w:tc>
          <w:tcPr>
            <w:tcW w:w="290"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269</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3" w:type="dxa"/>
            <w:tcBorders/>
            <w:shd w:fill="CCEEFF" w:val="clear"/>
            <w:vAlign w:val="center"/>
          </w:tcPr>
          <w:p>
            <w:pPr>
              <w:pStyle w:val="TableContents"/>
              <w:bidi w:val="0"/>
              <w:spacing w:before="0" w:after="283"/>
              <w:ind w:left="0" w:right="0" w:hanging="0"/>
              <w:jc w:val="left"/>
              <w:rPr>
                <w:rFonts w:ascii="Calibri;Arial;sans-serif" w:hAnsi="Calibri;Arial;sans-serif"/>
                <w:sz w:val="16"/>
              </w:rPr>
            </w:pPr>
            <w:r>
              <w:rPr>
                <w:rFonts w:ascii="Calibri;Arial;sans-serif" w:hAnsi="Calibri;Arial;sans-serif"/>
                <w:sz w:val="16"/>
              </w:rPr>
              <w:t>$</w:t>
            </w:r>
          </w:p>
        </w:tc>
        <w:tc>
          <w:tcPr>
            <w:tcW w:w="457"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(8</w:t>
            </w:r>
          </w:p>
        </w:tc>
        <w:tc>
          <w:tcPr>
            <w:tcW w:w="65"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Calibri;Arial;sans-serif" w:hAnsi="Calibri;Arial;sans-serif"/>
                <w:sz w:val="16"/>
              </w:rPr>
            </w:pPr>
            <w:r>
              <w:rPr>
                <w:rFonts w:ascii="Calibri;Arial;sans-serif" w:hAnsi="Calibri;Arial;sans-serif"/>
                <w:sz w:val="16"/>
              </w:rPr>
              <w:t>$</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777</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Calibri;Arial;sans-serif" w:hAnsi="Calibri;Arial;sans-serif"/>
                <w:sz w:val="16"/>
              </w:rPr>
            </w:pPr>
            <w:r>
              <w:rPr>
                <w:rFonts w:ascii="Calibri;Arial;sans-serif" w:hAnsi="Calibri;Arial;sans-serif"/>
                <w:sz w:val="16"/>
              </w:rPr>
              <w:t>$</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842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3" w:type="dxa"/>
            <w:tcBorders/>
            <w:shd w:fill="CCEEFF" w:val="clear"/>
            <w:vAlign w:val="center"/>
          </w:tcPr>
          <w:p>
            <w:pPr>
              <w:pStyle w:val="TableContents"/>
              <w:bidi w:val="0"/>
              <w:spacing w:before="0" w:after="283"/>
              <w:ind w:left="0" w:right="0" w:hanging="0"/>
              <w:jc w:val="left"/>
              <w:rPr>
                <w:rFonts w:ascii="Calibri;Arial;sans-serif" w:hAnsi="Calibri;Arial;sans-serif"/>
                <w:sz w:val="16"/>
              </w:rPr>
            </w:pPr>
            <w:r>
              <w:rPr>
                <w:rFonts w:ascii="Calibri;Arial;sans-serif" w:hAnsi="Calibri;Arial;sans-serif"/>
                <w:sz w:val="16"/>
              </w:rPr>
              <w:t>$</w:t>
            </w:r>
          </w:p>
        </w:tc>
        <w:tc>
          <w:tcPr>
            <w:tcW w:w="457"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(65</w:t>
            </w:r>
          </w:p>
        </w:tc>
        <w:tc>
          <w:tcPr>
            <w:tcW w:w="66"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r>
      <w:tr>
        <w:trPr/>
        <w:tc>
          <w:tcPr>
            <w:tcW w:w="4156"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Cost of revenues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216</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219</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w:t>
            </w:r>
          </w:p>
        </w:tc>
        <w:tc>
          <w:tcPr>
            <w:tcW w:w="65"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625</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679</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(54</w:t>
            </w:r>
          </w:p>
        </w:tc>
        <w:tc>
          <w:tcPr>
            <w:tcW w:w="66"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r>
      <w:tr>
        <w:trPr/>
        <w:tc>
          <w:tcPr>
            <w:tcW w:w="4156"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Gross profit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45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17</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50</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19</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457"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(5</w:t>
            </w:r>
          </w:p>
        </w:tc>
        <w:tc>
          <w:tcPr>
            <w:tcW w:w="65"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152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20</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163</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19</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457"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(11</w:t>
            </w:r>
          </w:p>
        </w:tc>
        <w:tc>
          <w:tcPr>
            <w:tcW w:w="66"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r>
      <w:tr>
        <w:trPr/>
        <w:tc>
          <w:tcPr>
            <w:tcW w:w="4156"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290"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44</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294"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17</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290"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40</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294"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15</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457"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4</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136</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294"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18</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114</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294"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14</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457"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22</w:t>
            </w:r>
          </w:p>
        </w:tc>
        <w:tc>
          <w:tcPr>
            <w:tcW w:w="66" w:type="dxa"/>
            <w:tcBorders/>
            <w:shd w:fill="FFFFFF" w:val="clear"/>
            <w:vAlign w:val="center"/>
          </w:tcPr>
          <w:p>
            <w:pPr>
              <w:pStyle w:val="TableContents"/>
              <w:bidi w:val="0"/>
              <w:spacing w:before="0" w:after="283"/>
              <w:jc w:val="left"/>
              <w:rPr/>
            </w:pPr>
            <w:r>
              <w:rPr/>
              <w:t> </w:t>
            </w:r>
          </w:p>
        </w:tc>
      </w:tr>
      <w:tr>
        <w:trPr/>
        <w:tc>
          <w:tcPr>
            <w:tcW w:w="4156"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Research and development costs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8</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7</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457"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457" w:type="dxa"/>
            <w:tcBorders/>
            <w:shd w:fill="CCEEFF" w:val="clear"/>
            <w:vAlign w:val="center"/>
          </w:tcPr>
          <w:p>
            <w:pPr>
              <w:pStyle w:val="TableContents"/>
              <w:bidi w:val="0"/>
              <w:spacing w:before="0" w:after="283"/>
              <w:ind w:left="0" w:right="0" w:hanging="0"/>
              <w:jc w:val="right"/>
              <w:rPr/>
            </w:pPr>
            <w:r>
              <w:rPr/>
              <w:t>—</w:t>
            </w:r>
          </w:p>
        </w:tc>
        <w:tc>
          <w:tcPr>
            <w:tcW w:w="66" w:type="dxa"/>
            <w:tcBorders/>
            <w:shd w:fill="CCEEFF"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Restructuring costs and other</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290"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294"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0</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290"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294"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0</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457" w:type="dxa"/>
            <w:tcBorders/>
            <w:shd w:fill="FFFFFF" w:val="clear"/>
            <w:vAlign w:val="center"/>
          </w:tcPr>
          <w:p>
            <w:pPr>
              <w:pStyle w:val="TableContents"/>
              <w:bidi w:val="0"/>
              <w:spacing w:before="0" w:after="283"/>
              <w:ind w:left="0" w:right="0" w:hanging="0"/>
              <w:jc w:val="right"/>
              <w:rPr/>
            </w:pPr>
            <w:r>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6</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294"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7</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294"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457"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66"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r>
      <w:tr>
        <w:trPr/>
        <w:tc>
          <w:tcPr>
            <w:tcW w:w="4156" w:type="dxa"/>
            <w:tcBorders/>
            <w:shd w:fill="CCEEFF" w:val="clear"/>
            <w:vAlign w:val="center"/>
          </w:tcPr>
          <w:p>
            <w:pPr>
              <w:pStyle w:val="TableContents"/>
              <w:bidi w:val="0"/>
              <w:spacing w:before="0" w:after="0"/>
              <w:ind w:left="0" w:right="0" w:hanging="0"/>
              <w:jc w:val="left"/>
              <w:rPr>
                <w:rFonts w:ascii="Calibri;Arial;sans-serif" w:hAnsi="Calibri;Arial;sans-serif"/>
                <w:sz w:val="16"/>
              </w:rPr>
            </w:pPr>
            <w:r>
              <w:rPr>
                <w:rFonts w:ascii="Calibri;Arial;sans-serif" w:hAnsi="Calibri;Arial;sans-serif"/>
                <w:sz w:val="16"/>
              </w:rPr>
              <w:t>Other operating income, net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0</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0</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(16</w:t>
            </w:r>
          </w:p>
        </w:tc>
        <w:tc>
          <w:tcPr>
            <w:tcW w:w="65"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(2</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0</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(16</w:t>
            </w:r>
          </w:p>
        </w:tc>
        <w:tc>
          <w:tcPr>
            <w:tcW w:w="66"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r>
      <w:tr>
        <w:trPr/>
        <w:tc>
          <w:tcPr>
            <w:tcW w:w="4156"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(Loss) earnings from operations before interest expense, pension income excluding service cost component, loss on extinguishment of debt, other (income) charges, net and income taxes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290"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(8</w:t>
            </w:r>
          </w:p>
        </w:tc>
        <w:tc>
          <w:tcPr>
            <w:tcW w:w="65"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294"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290"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294"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457"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(10</w:t>
            </w:r>
          </w:p>
        </w:tc>
        <w:tc>
          <w:tcPr>
            <w:tcW w:w="65"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294"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0</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17</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294"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457"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(16</w:t>
            </w:r>
          </w:p>
        </w:tc>
        <w:tc>
          <w:tcPr>
            <w:tcW w:w="66"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r>
      <w:tr>
        <w:trPr/>
        <w:tc>
          <w:tcPr>
            <w:tcW w:w="4156"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Interest expense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14</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5</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14</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5</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457" w:type="dxa"/>
            <w:tcBorders/>
            <w:shd w:fill="CCEEFF" w:val="clear"/>
            <w:vAlign w:val="center"/>
          </w:tcPr>
          <w:p>
            <w:pPr>
              <w:pStyle w:val="TableContents"/>
              <w:bidi w:val="0"/>
              <w:spacing w:before="0" w:after="283"/>
              <w:ind w:left="0" w:right="0" w:hanging="0"/>
              <w:jc w:val="right"/>
              <w:rPr/>
            </w:pPr>
            <w:r>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44</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6</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36</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4</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457"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8</w:t>
            </w:r>
          </w:p>
        </w:tc>
        <w:tc>
          <w:tcPr>
            <w:tcW w:w="66" w:type="dxa"/>
            <w:tcBorders/>
            <w:shd w:fill="CCEEFF"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Pension income excluding service cost component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290"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(42</w:t>
            </w:r>
          </w:p>
        </w:tc>
        <w:tc>
          <w:tcPr>
            <w:tcW w:w="65"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294"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(16</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290"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(41</w:t>
            </w:r>
          </w:p>
        </w:tc>
        <w:tc>
          <w:tcPr>
            <w:tcW w:w="65"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294"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(15</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457"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65"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(124</w:t>
            </w:r>
          </w:p>
        </w:tc>
        <w:tc>
          <w:tcPr>
            <w:tcW w:w="65"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294"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(16</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(122</w:t>
            </w:r>
          </w:p>
        </w:tc>
        <w:tc>
          <w:tcPr>
            <w:tcW w:w="65"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294"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(14</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457"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w:t>
            </w:r>
          </w:p>
        </w:tc>
        <w:tc>
          <w:tcPr>
            <w:tcW w:w="66"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r>
      <w:tr>
        <w:trPr/>
        <w:tc>
          <w:tcPr>
            <w:tcW w:w="4156" w:type="dxa"/>
            <w:tcBorders/>
            <w:shd w:fill="CCEEFF" w:val="clear"/>
            <w:vAlign w:val="center"/>
          </w:tcPr>
          <w:p>
            <w:pPr>
              <w:pStyle w:val="TableContents"/>
              <w:bidi w:val="0"/>
              <w:spacing w:before="0" w:after="0"/>
              <w:ind w:left="0" w:right="0" w:hanging="0"/>
              <w:jc w:val="left"/>
              <w:rPr>
                <w:rFonts w:ascii="Calibri;Arial;sans-serif" w:hAnsi="Calibri;Arial;sans-serif"/>
                <w:sz w:val="16"/>
              </w:rPr>
            </w:pPr>
            <w:r>
              <w:rPr>
                <w:rFonts w:ascii="Calibri;Arial;sans-serif" w:hAnsi="Calibri;Arial;sans-serif"/>
                <w:sz w:val="16"/>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0</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27</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10</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(27</w:t>
            </w:r>
          </w:p>
        </w:tc>
        <w:tc>
          <w:tcPr>
            <w:tcW w:w="65"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0</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27</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3</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(27</w:t>
            </w:r>
          </w:p>
        </w:tc>
        <w:tc>
          <w:tcPr>
            <w:tcW w:w="66"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r>
      <w:tr>
        <w:trPr/>
        <w:tc>
          <w:tcPr>
            <w:tcW w:w="4156"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Other (income) charges, net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65"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294"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(0</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294"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w:t>
            </w:r>
          </w:p>
        </w:tc>
        <w:tc>
          <w:tcPr>
            <w:tcW w:w="65"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w:t>
            </w:r>
          </w:p>
        </w:tc>
        <w:tc>
          <w:tcPr>
            <w:tcW w:w="65"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294"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(0</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w:t>
            </w:r>
          </w:p>
        </w:tc>
        <w:tc>
          <w:tcPr>
            <w:tcW w:w="65"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294"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(0</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6" w:type="dxa"/>
            <w:tcBorders/>
            <w:shd w:fill="FFFFFF" w:val="clear"/>
            <w:vAlign w:val="center"/>
          </w:tcPr>
          <w:p>
            <w:pPr>
              <w:pStyle w:val="TableContents"/>
              <w:bidi w:val="0"/>
              <w:spacing w:before="0" w:after="283"/>
              <w:jc w:val="left"/>
              <w:rPr/>
            </w:pPr>
            <w:r>
              <w:rPr/>
              <w:t> </w:t>
            </w:r>
          </w:p>
        </w:tc>
      </w:tr>
      <w:tr>
        <w:trPr/>
        <w:tc>
          <w:tcPr>
            <w:tcW w:w="4156" w:type="dxa"/>
            <w:tcBorders/>
            <w:shd w:fill="CCEEFF" w:val="clear"/>
            <w:vAlign w:val="center"/>
          </w:tcPr>
          <w:p>
            <w:pPr>
              <w:pStyle w:val="TableContents"/>
              <w:bidi w:val="0"/>
              <w:spacing w:before="0" w:after="0"/>
              <w:ind w:left="0" w:right="0" w:hanging="0"/>
              <w:jc w:val="left"/>
              <w:rPr>
                <w:rFonts w:ascii="Calibri;Arial;sans-serif" w:hAnsi="Calibri;Arial;sans-serif"/>
                <w:sz w:val="16"/>
              </w:rPr>
            </w:pPr>
            <w:r>
              <w:rPr>
                <w:rFonts w:ascii="Calibri;Arial;sans-serif" w:hAnsi="Calibri;Arial;sans-serif"/>
                <w:sz w:val="16"/>
              </w:rPr>
              <w:t>Earnings from operations before income taxes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21</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8</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0</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21</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83</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11</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78</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9</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5</w:t>
            </w:r>
          </w:p>
        </w:tc>
        <w:tc>
          <w:tcPr>
            <w:tcW w:w="66" w:type="dxa"/>
            <w:tcBorders/>
            <w:shd w:fill="CCEEFF"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294"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w:t>
            </w:r>
          </w:p>
        </w:tc>
        <w:tc>
          <w:tcPr>
            <w:tcW w:w="65"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294"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5</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7</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294"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8</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294"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15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66"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r>
      <w:tr>
        <w:trPr/>
        <w:tc>
          <w:tcPr>
            <w:tcW w:w="4156" w:type="dxa"/>
            <w:tcBorders/>
            <w:shd w:fill="CCEEFF" w:val="clear"/>
            <w:vAlign w:val="center"/>
          </w:tcPr>
          <w:p>
            <w:pPr>
              <w:pStyle w:val="TableContents"/>
              <w:bidi w:val="0"/>
              <w:spacing w:before="0" w:after="0"/>
              <w:ind w:left="0" w:right="0" w:hanging="0"/>
              <w:jc w:val="left"/>
              <w:rPr>
                <w:rFonts w:ascii="Calibri;Arial;sans-serif" w:hAnsi="Calibri;Arial;sans-serif"/>
                <w:sz w:val="16"/>
              </w:rPr>
            </w:pPr>
            <w:r>
              <w:rPr>
                <w:rFonts w:ascii="Calibri;Arial;sans-serif" w:hAnsi="Calibri;Arial;sans-serif"/>
                <w:sz w:val="16"/>
              </w:rPr>
              <w:t>NET EARNINGS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16"/>
              </w:rPr>
            </w:pPr>
            <w:r>
              <w:rPr>
                <w:rFonts w:ascii="Calibri;Arial;sans-serif" w:hAnsi="Calibri;Arial;sans-serif"/>
                <w:sz w:val="16"/>
              </w:rPr>
              <w:t>$</w:t>
            </w:r>
          </w:p>
        </w:tc>
        <w:tc>
          <w:tcPr>
            <w:tcW w:w="290" w:type="dxa"/>
            <w:tcBorders>
              <w:bottom w:val="double" w:sz="6"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16"/>
              </w:rPr>
            </w:pPr>
            <w:r>
              <w:rPr>
                <w:rFonts w:ascii="Calibri;Arial;sans-serif" w:hAnsi="Calibri;Arial;sans-serif"/>
                <w:sz w:val="16"/>
              </w:rPr>
              <w:t>18</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7</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16"/>
              </w:rPr>
            </w:pPr>
            <w:r>
              <w:rPr>
                <w:rFonts w:ascii="Calibri;Arial;sans-serif" w:hAnsi="Calibri;Arial;sans-serif"/>
                <w:sz w:val="16"/>
              </w:rPr>
              <w:t>$</w:t>
            </w:r>
          </w:p>
        </w:tc>
        <w:tc>
          <w:tcPr>
            <w:tcW w:w="290" w:type="dxa"/>
            <w:tcBorders>
              <w:bottom w:val="double" w:sz="6"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16"/>
              </w:rPr>
            </w:pPr>
            <w:r>
              <w:rPr>
                <w:rFonts w:ascii="Calibri;Arial;sans-serif" w:hAnsi="Calibri;Arial;sans-serif"/>
                <w:sz w:val="16"/>
              </w:rPr>
              <w:t>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1</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16"/>
              </w:rPr>
            </w:pPr>
            <w:r>
              <w:rPr>
                <w:rFonts w:ascii="Calibri;Arial;sans-serif" w:hAnsi="Calibri;Arial;sans-serif"/>
                <w:sz w:val="16"/>
              </w:rPr>
              <w:t>$</w:t>
            </w:r>
          </w:p>
        </w:tc>
        <w:tc>
          <w:tcPr>
            <w:tcW w:w="457" w:type="dxa"/>
            <w:tcBorders>
              <w:bottom w:val="double" w:sz="6"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16"/>
              </w:rPr>
            </w:pPr>
            <w:r>
              <w:rPr>
                <w:rFonts w:ascii="Calibri;Arial;sans-serif" w:hAnsi="Calibri;Arial;sans-serif"/>
                <w:sz w:val="16"/>
              </w:rPr>
              <w:t>16</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16"/>
              </w:rPr>
            </w:pPr>
            <w:r>
              <w:rPr>
                <w:rFonts w:ascii="Calibri;Arial;sans-serif" w:hAnsi="Calibri;Arial;sans-serif"/>
                <w:sz w:val="16"/>
              </w:rPr>
              <w:t>$</w:t>
            </w:r>
          </w:p>
        </w:tc>
        <w:tc>
          <w:tcPr>
            <w:tcW w:w="335" w:type="dxa"/>
            <w:tcBorders>
              <w:bottom w:val="double" w:sz="6"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16"/>
              </w:rPr>
            </w:pPr>
            <w:r>
              <w:rPr>
                <w:rFonts w:ascii="Calibri;Arial;sans-serif" w:hAnsi="Calibri;Arial;sans-serif"/>
                <w:sz w:val="16"/>
              </w:rPr>
              <w:t>76</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10</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16"/>
              </w:rPr>
            </w:pPr>
            <w:r>
              <w:rPr>
                <w:rFonts w:ascii="Calibri;Arial;sans-serif" w:hAnsi="Calibri;Arial;sans-serif"/>
                <w:sz w:val="16"/>
              </w:rPr>
              <w:t>$</w:t>
            </w:r>
          </w:p>
        </w:tc>
        <w:tc>
          <w:tcPr>
            <w:tcW w:w="335" w:type="dxa"/>
            <w:tcBorders>
              <w:bottom w:val="double" w:sz="6"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16"/>
              </w:rPr>
            </w:pPr>
            <w:r>
              <w:rPr>
                <w:rFonts w:ascii="Calibri;Arial;sans-serif" w:hAnsi="Calibri;Arial;sans-serif"/>
                <w:sz w:val="16"/>
              </w:rPr>
              <w:t>70</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8</w:t>
            </w:r>
          </w:p>
        </w:tc>
        <w:tc>
          <w:tcPr>
            <w:tcW w:w="15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16"/>
              </w:rPr>
            </w:pPr>
            <w:r>
              <w:rPr>
                <w:rFonts w:ascii="Calibri;Arial;sans-serif" w:hAnsi="Calibri;Arial;sans-serif"/>
                <w:sz w:val="16"/>
              </w:rPr>
              <w:t>$</w:t>
            </w:r>
          </w:p>
        </w:tc>
        <w:tc>
          <w:tcPr>
            <w:tcW w:w="457" w:type="dxa"/>
            <w:tcBorders>
              <w:bottom w:val="double" w:sz="6"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16"/>
              </w:rPr>
            </w:pPr>
            <w:r>
              <w:rPr>
                <w:rFonts w:ascii="Calibri;Arial;sans-serif" w:hAnsi="Calibri;Arial;sans-serif"/>
                <w:sz w:val="16"/>
              </w:rPr>
              <w:t>6</w:t>
            </w:r>
          </w:p>
        </w:tc>
        <w:tc>
          <w:tcPr>
            <w:tcW w:w="6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Current Quarter</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For the three months ended September 30, 2024 revenues declined $8 million compared with the same period in 2023, primarily driven by lower volume in Print ($15 million) partially offset by favorable volume and price and product mix in Advanced Materials and Chemicals ($4 million and $3 million, respectively). See segment discussions for additional details.</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Year-to-Date</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For the nine months ended September 30, 2024 revenues declined $65 million compared with the same period in 2023, primarily driven by lower volume as well as price and product mix declines in Print ($63 million and $4 million, respectively) and unfavorable foreign currency fluctuations ($3 million) partially offset by improved pricing and product mix within Advanced Materials and Chemicals ($5 million).  See segment discussions for additional details.</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Current Quarter</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Gross profit for the three months ended September 30, 2024 was $5 million lower than the same period in 2023, primarily due to the net change in employee benefit reserves ($3 million), current quarter inventory reserve adjustment in the EPS Business ($4 million) and higher aluminum costs ($5 million) partially offset by improved pricing and product mix and lower manufacturing costs in Advanced Materials and Chemicals ($2 million and $3 million, respectively) and higher restructuring and other costs in the prior year quarter ($2 million).  See segment discussions for additional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Year-to-Date</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Gross profit for the nine months ended September 30, 2024 was $11 million lower than the same period in 2023, primarily due to lower volumes for Advanced Materials and Chemicals ($4 million), lower volumes and less favorable pricing and product mix in Print (each $2 million), an inventory reserve adjustment in the EPS Business ($4 million), the net change in employee benefit reserves ($2 million), higher aluminum costs ($1 million) and higher manufacturing costs ($3 million) partially offset by improved pricing and product mix within Advanced Materials and Chemicals ($4 million), lower depreciation expense and higher restructuring and other costs in the prior year (each $2 million).  See segment discussions for additional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[34]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Selling,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Current Quarter</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Consolidated selling and general administrative expenses ("SG&amp;A") increased $4 million in the three months ended September 30, 2024 compared to the prior year period primarily due to an increase in selling and administrative costs ($3 million) related to costs associated with certain litigation matters and $1 million of income in the prior year quarter representing insurance reimbursement of legal costs previously paid by the Company associated with investigations and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Year-to-Date</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Consolidated SG&amp;A increased $22 million in the nine months ended September 30, 2024 compared to the prior year period due to an increase of $12 million in selling and administrative costs primarily related to investments in information technology systems and organizational structure to drive further operational efficiencies, as well as costs associated with the drupa trade show and certain litigation matters. In addition, the prior year period had $12 million of income representing insurance reimbursement of legal costs previously paid by the Company associated with investigations and litigation.  The cost increases were partially offset by a $1 million decline in equity compensation costs in the current year to date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Research and Development Costs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Consolidated research and development ("R&amp;D") expenses in the three and nine months ended September 30, 2024 remained relatively flat.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Pension Income Excluding Service Cost Component</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Pension income excluding service cost component remained relatively flat in the three and nine months ended September 30, 2024.  Refer to Note 12, "Retirement Plans and Other Postretirement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Other Operating Income, Net</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For details, refer to Note 9, "Other Operating (Income)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Other (Income) Charges, Net</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For details, refer to Note 10, "Other (Income) Charges,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REPORTABLE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has three reportable segments: Print, Advanced Materials and Chemicals and Brand. A description of Kodak’s reportable segments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Print</w:t>
      </w:r>
      <w:r>
        <w:rPr>
          <w:rFonts w:ascii="Calibri;Arial;sans-serif" w:hAnsi="Calibri;Arial;sans-serif"/>
          <w:caps w:val="false"/>
          <w:smallCaps w:val="false"/>
          <w:sz w:val="20"/>
        </w:rPr>
        <w:t>: The Print segment is comprised of five lines of business: the Prepress Solutions business, the PROSPER business, the Software business, the Electrophotographic Printing Solutions business and the VERSAMARK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Advanced Materials and Chemicals:  </w:t>
      </w:r>
      <w:r>
        <w:rPr>
          <w:rFonts w:ascii="Calibri;Arial;sans-serif" w:hAnsi="Calibri;Arial;sans-serif"/>
          <w:caps w:val="false"/>
          <w:smallCaps w:val="false"/>
          <w:sz w:val="20"/>
        </w:rPr>
        <w:t>The Advanced Materials and Chemicals segment is comprised of four lines of business: the Industrial Film and Chemicals business, the Motion Picture business, the Advanced Materials and Functional Printing business and the IP Licensing and Analytical Services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Brand</w:t>
      </w:r>
      <w:r>
        <w:rPr>
          <w:rFonts w:ascii="Calibri;Arial;sans-serif" w:hAnsi="Calibri;Arial;sans-serif"/>
          <w:caps w:val="false"/>
          <w:smallCaps w:val="false"/>
          <w:sz w:val="20"/>
        </w:rPr>
        <w:t>: The Brand segment contains the brand licensing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All Other</w:t>
      </w:r>
      <w:r>
        <w:rPr>
          <w:rFonts w:ascii="Calibri;Arial;sans-serif" w:hAnsi="Calibri;Arial;sans-serif"/>
          <w:caps w:val="false"/>
          <w:smallCaps w:val="false"/>
          <w:sz w:val="20"/>
        </w:rPr>
        <w:t>: All Other is comprised of the operations of the Eastman Business Park, a more than 1,200-acre technology center and industrial complex.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[35]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Segment Revenues</w:t>
      </w:r>
    </w:p>
    <w:p>
      <w:pPr>
        <w:pStyle w:val="TextBody"/>
        <w:bidi w:val="0"/>
        <w:spacing w:before="0" w:after="0"/>
        <w:ind w:left="0" w:right="0" w:hanging="0"/>
        <w:jc w:val="left"/>
        <w:rPr>
          <w:caps w:val="false"/>
          <w:smallCaps w:val="false"/>
        </w:rPr>
      </w:pPr>
      <w:r>
        <w:rPr>
          <w:caps w:val="false"/>
          <w:smallCaps w:val="false"/>
        </w:rPr>
        <w:t> </w:t>
      </w:r>
    </w:p>
    <w:tbl>
      <w:tblPr>
        <w:tblW w:w="6354" w:type="dxa"/>
        <w:jc w:val="left"/>
        <w:tblInd w:w="0" w:type="dxa"/>
        <w:tblLayout w:type="fixed"/>
        <w:tblCellMar>
          <w:top w:w="0" w:type="dxa"/>
          <w:left w:w="0" w:type="dxa"/>
          <w:bottom w:w="0" w:type="dxa"/>
          <w:right w:w="0" w:type="dxa"/>
        </w:tblCellMar>
      </w:tblPr>
      <w:tblGrid>
        <w:gridCol w:w="2750"/>
        <w:gridCol w:w="60"/>
        <w:gridCol w:w="207"/>
        <w:gridCol w:w="557"/>
        <w:gridCol w:w="99"/>
        <w:gridCol w:w="99"/>
        <w:gridCol w:w="207"/>
        <w:gridCol w:w="557"/>
        <w:gridCol w:w="60"/>
        <w:gridCol w:w="60"/>
        <w:gridCol w:w="197"/>
        <w:gridCol w:w="528"/>
        <w:gridCol w:w="94"/>
        <w:gridCol w:w="94"/>
        <w:gridCol w:w="197"/>
        <w:gridCol w:w="528"/>
        <w:gridCol w:w="60"/>
      </w:tblGrid>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6" w:type="dxa"/>
            <w:gridSpan w:val="6"/>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8" w:type="dxa"/>
            <w:gridSpan w:val="6"/>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Nine Months Ended</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2024</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7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2024</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Print</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182</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550</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620</w:t>
            </w:r>
          </w:p>
        </w:tc>
        <w:tc>
          <w:tcPr>
            <w:tcW w:w="6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Advanced Materials and Chemicals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55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71</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55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203</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197</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Brand</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55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55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6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All Other</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261</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777</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842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Segment Operational EBITDA and Consolidated Earnings from Operations Before Income Taxes</w:t>
      </w:r>
    </w:p>
    <w:p>
      <w:pPr>
        <w:pStyle w:val="TextBody"/>
        <w:bidi w:val="0"/>
        <w:spacing w:before="0" w:after="0"/>
        <w:ind w:left="0" w:right="0" w:hanging="0"/>
        <w:jc w:val="left"/>
        <w:rPr>
          <w:caps w:val="false"/>
          <w:smallCaps w:val="false"/>
        </w:rPr>
      </w:pPr>
      <w:r>
        <w:rPr>
          <w:caps w:val="false"/>
          <w:smallCaps w:val="false"/>
        </w:rPr>
        <w:t> </w:t>
      </w:r>
    </w:p>
    <w:tbl>
      <w:tblPr>
        <w:tblW w:w="8389" w:type="dxa"/>
        <w:jc w:val="left"/>
        <w:tblInd w:w="0" w:type="dxa"/>
        <w:tblLayout w:type="fixed"/>
        <w:tblCellMar>
          <w:top w:w="0" w:type="dxa"/>
          <w:left w:w="0" w:type="dxa"/>
          <w:bottom w:w="0" w:type="dxa"/>
          <w:right w:w="0" w:type="dxa"/>
        </w:tblCellMar>
      </w:tblPr>
      <w:tblGrid>
        <w:gridCol w:w="4745"/>
        <w:gridCol w:w="60"/>
        <w:gridCol w:w="222"/>
        <w:gridCol w:w="517"/>
        <w:gridCol w:w="142"/>
        <w:gridCol w:w="107"/>
        <w:gridCol w:w="222"/>
        <w:gridCol w:w="517"/>
        <w:gridCol w:w="80"/>
        <w:gridCol w:w="60"/>
        <w:gridCol w:w="193"/>
        <w:gridCol w:w="518"/>
        <w:gridCol w:w="123"/>
        <w:gridCol w:w="92"/>
        <w:gridCol w:w="193"/>
        <w:gridCol w:w="518"/>
        <w:gridCol w:w="80"/>
      </w:tblGrid>
      <w:tr>
        <w:trPr/>
        <w:tc>
          <w:tcPr>
            <w:tcW w:w="4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7" w:type="dxa"/>
            <w:gridSpan w:val="6"/>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7" w:type="dxa"/>
            <w:gridSpan w:val="6"/>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2024</w:t>
            </w:r>
          </w:p>
        </w:tc>
        <w:tc>
          <w:tcPr>
            <w:tcW w:w="14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2024</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7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Print</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14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7"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3"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123"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2" w:type="dxa"/>
            <w:tcBorders/>
            <w:shd w:fill="CCEEFF" w:val="clear"/>
            <w:vAlign w:val="center"/>
          </w:tcPr>
          <w:p>
            <w:pPr>
              <w:pStyle w:val="TableContents"/>
              <w:bidi w:val="0"/>
              <w:spacing w:before="0" w:after="283"/>
              <w:ind w:left="0" w:right="0" w:hanging="0"/>
              <w:jc w:val="left"/>
              <w:rPr/>
            </w:pPr>
            <w:r>
              <w:rPr/>
              <w:t> </w:t>
            </w:r>
          </w:p>
        </w:tc>
        <w:tc>
          <w:tcPr>
            <w:tcW w:w="193"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Advanced Materials and Chemicals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14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Brand</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4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All other</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14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(8</w:t>
            </w:r>
          </w:p>
        </w:tc>
        <w:tc>
          <w:tcPr>
            <w:tcW w:w="14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(21</w:t>
            </w:r>
          </w:p>
        </w:tc>
        <w:tc>
          <w:tcPr>
            <w:tcW w:w="123"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(23</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45"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Restructuring costs and other (1)</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14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7"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123"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(9</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4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Stock based compensation</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14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w:t>
            </w:r>
          </w:p>
        </w:tc>
        <w:tc>
          <w:tcPr>
            <w:tcW w:w="123"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45"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Consulting and other costs (2)</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pPr>
            <w:r>
              <w:rPr/>
              <w:t>—</w:t>
            </w:r>
          </w:p>
        </w:tc>
        <w:tc>
          <w:tcPr>
            <w:tcW w:w="14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123"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10</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Idle costs (3)</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pPr>
            <w:r>
              <w:rPr/>
              <w:t>—</w:t>
            </w:r>
          </w:p>
        </w:tc>
        <w:tc>
          <w:tcPr>
            <w:tcW w:w="14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123"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45"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Other operating income, net (4)</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pPr>
            <w:r>
              <w:rPr/>
              <w:t>—</w:t>
            </w:r>
          </w:p>
        </w:tc>
        <w:tc>
          <w:tcPr>
            <w:tcW w:w="14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16</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Interest expense (4)</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14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(44</w:t>
            </w:r>
          </w:p>
        </w:tc>
        <w:tc>
          <w:tcPr>
            <w:tcW w:w="123"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(36</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45"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Pension income excluding service cost component (4)</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42</w:t>
            </w:r>
          </w:p>
        </w:tc>
        <w:tc>
          <w:tcPr>
            <w:tcW w:w="14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124</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122</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Loss on extinguishment of debt (4)</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pPr>
            <w:r>
              <w:rPr/>
              <w:t>—</w:t>
            </w:r>
          </w:p>
        </w:tc>
        <w:tc>
          <w:tcPr>
            <w:tcW w:w="14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(27</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pPr>
            <w:r>
              <w:rPr/>
              <w:t>—</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(27</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745"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income (charges), net (4)</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4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Consolidated earnings from operations before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w:t>
            </w:r>
          </w:p>
        </w:tc>
        <w:tc>
          <w:tcPr>
            <w:tcW w:w="14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83</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90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lineRule="auto" w:line="288" w:before="0" w:after="283"/>
              <w:jc w:val="left"/>
              <w:rPr>
                <w:rFonts w:ascii="Calibri;Arial;sans-serif" w:hAnsi="Calibri;Arial;sans-serif"/>
                <w:sz w:val="20"/>
              </w:rPr>
            </w:pPr>
            <w:r>
              <w:rPr>
                <w:rFonts w:ascii="Calibri;Arial;sans-serif" w:hAnsi="Calibri;Arial;sans-serif"/>
                <w:sz w:val="20"/>
              </w:rPr>
              <w:t>(1)</w:t>
            </w:r>
          </w:p>
        </w:tc>
        <w:tc>
          <w:tcPr>
            <w:tcW w:w="9990"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Restructuring costs and other for the three and nine months ended September 30, 2023 included $1 million and $7 million, respectively, which were reported as Restructuring costs and other in the Consolidated Statement of Operations. The remaining $2 million in each period represented inventory write-downs and were reported as Cost of revenues in the accompanying Consolidated Statement of Operations.</w:t>
            </w:r>
          </w:p>
        </w:tc>
      </w:tr>
      <w:tr>
        <w:trPr/>
        <w:tc>
          <w:tcPr>
            <w:tcW w:w="215"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lineRule="auto" w:line="288" w:before="0" w:after="283"/>
              <w:jc w:val="left"/>
              <w:rPr>
                <w:rFonts w:ascii="Calibri;Arial;sans-serif" w:hAnsi="Calibri;Arial;sans-serif"/>
                <w:sz w:val="20"/>
              </w:rPr>
            </w:pPr>
            <w:r>
              <w:rPr>
                <w:rFonts w:ascii="Calibri;Arial;sans-serif" w:hAnsi="Calibri;Arial;sans-serif"/>
                <w:sz w:val="20"/>
              </w:rPr>
              <w:t>(2)</w:t>
            </w:r>
          </w:p>
        </w:tc>
        <w:tc>
          <w:tcPr>
            <w:tcW w:w="9990"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Consulting and other costs are primarily professional services and internal costs associated with certain corporate strategic initiatives, investigations and litigation. Consulting and other costs included $1 million and $12 million of income in the three and nine months ended September 30, 2023, respectively, representing insurance reimbursement of legal costs previously paid by the Company associated with investigations and litigation matters.</w:t>
            </w:r>
          </w:p>
        </w:tc>
      </w:tr>
      <w:tr>
        <w:trPr/>
        <w:tc>
          <w:tcPr>
            <w:tcW w:w="215"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lineRule="auto" w:line="288" w:before="0" w:after="283"/>
              <w:jc w:val="left"/>
              <w:rPr>
                <w:rFonts w:ascii="Calibri;Arial;sans-serif" w:hAnsi="Calibri;Arial;sans-serif"/>
                <w:sz w:val="20"/>
              </w:rPr>
            </w:pPr>
            <w:r>
              <w:rPr>
                <w:rFonts w:ascii="Calibri;Arial;sans-serif" w:hAnsi="Calibri;Arial;sans-serif"/>
                <w:sz w:val="20"/>
              </w:rPr>
              <w:t>(3)</w:t>
            </w:r>
          </w:p>
        </w:tc>
        <w:tc>
          <w:tcPr>
            <w:tcW w:w="9990"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Consists of third-party costs such as security, maintenance and utilities required to maintain land and buildings in certain locations not used in any Kodak operations and the costs, net of any rental income received, of underutilized portions of certain properties.</w:t>
            </w:r>
          </w:p>
        </w:tc>
      </w:tr>
      <w:tr>
        <w:trPr/>
        <w:tc>
          <w:tcPr>
            <w:tcW w:w="215"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(4)</w:t>
            </w:r>
          </w:p>
        </w:tc>
        <w:tc>
          <w:tcPr>
            <w:tcW w:w="999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As reported in the Consolidated Statement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increased employee benefit reserves by approximately $2 million and $1 million in the three and nine months ended September 30, 2024, respectively.  The increase in employee benefit reserves in the three months ended September 30, 2024 was primarily due to an increase in workers' compensation reserves driven by changes in discount rates. The increase in reserves in the three and nine months ended September 30, 2024 impacted gross profit and selling, general and administrative expenses (“SG&amp;A”) by approximately $1 million each. The increase in reserves in the nine months ended September 30, 2024 did not have a significant impact on gross profit, R&amp;D or SG&amp;A.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decreased employee benefit reserves by approximately $3 million in the three and nine months ended September 30, 2023, primarily related to workers’ compensation reserves, driven by changes in discount rates. The change in employee benefit reserves in the three months ended September 30, 2023 impacted gross profit by approximately $2 million and SG&amp;A by approximately $1 million. The decrease in reserves in the nine months ended September 30, 2023 impacted gross profit by approximately $1 million and SG&amp;A expenses by approximately $2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Segment Measure of Profit and Loss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segment measure of profit and loss is an adjusted earnings before interest, taxes, depreciation and amortization (“Operational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 demonstrated in the above table, Operational EBITDA represents consolidated earnings from operations excluding the provision for income taxes; non-service cost components of pension and other postemployment benefits (“OPEB”) income; depreciation and amortization expense; restructuring costs and other; stock-based compensation expense; consulting and other costs; idle costs; interest expense; other operating income, net; loss on extinguishment of debt and other income (charges), net.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PRINT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420" w:type="dxa"/>
        <w:jc w:val="left"/>
        <w:tblInd w:w="0" w:type="dxa"/>
        <w:tblLayout w:type="fixed"/>
        <w:tblCellMar>
          <w:top w:w="0" w:type="dxa"/>
          <w:left w:w="0" w:type="dxa"/>
          <w:bottom w:w="0" w:type="dxa"/>
          <w:right w:w="0" w:type="dxa"/>
        </w:tblCellMar>
      </w:tblPr>
      <w:tblGrid>
        <w:gridCol w:w="3080"/>
        <w:gridCol w:w="60"/>
        <w:gridCol w:w="212"/>
        <w:gridCol w:w="570"/>
        <w:gridCol w:w="263"/>
        <w:gridCol w:w="102"/>
        <w:gridCol w:w="212"/>
        <w:gridCol w:w="570"/>
        <w:gridCol w:w="263"/>
        <w:gridCol w:w="102"/>
        <w:gridCol w:w="231"/>
        <w:gridCol w:w="539"/>
        <w:gridCol w:w="80"/>
        <w:gridCol w:w="60"/>
        <w:gridCol w:w="206"/>
        <w:gridCol w:w="553"/>
        <w:gridCol w:w="255"/>
        <w:gridCol w:w="99"/>
        <w:gridCol w:w="206"/>
        <w:gridCol w:w="553"/>
        <w:gridCol w:w="255"/>
        <w:gridCol w:w="99"/>
        <w:gridCol w:w="231"/>
        <w:gridCol w:w="539"/>
        <w:gridCol w:w="80"/>
      </w:tblGrid>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6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96"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Nine Months Ended September 30,</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2024</w:t>
            </w:r>
          </w:p>
        </w:tc>
        <w:tc>
          <w:tcPr>
            <w:tcW w:w="2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7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2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 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2024</w:t>
            </w:r>
          </w:p>
        </w:tc>
        <w:tc>
          <w:tcPr>
            <w:tcW w:w="25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25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 Change</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182</w:t>
            </w:r>
          </w:p>
        </w:tc>
        <w:tc>
          <w:tcPr>
            <w:tcW w:w="2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196</w:t>
            </w:r>
          </w:p>
        </w:tc>
        <w:tc>
          <w:tcPr>
            <w:tcW w:w="2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550</w:t>
            </w:r>
          </w:p>
        </w:tc>
        <w:tc>
          <w:tcPr>
            <w:tcW w:w="25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620</w:t>
            </w:r>
          </w:p>
        </w:tc>
        <w:tc>
          <w:tcPr>
            <w:tcW w:w="25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(70</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7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7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Operational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263"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2" w:type="dxa"/>
            <w:tcBorders/>
            <w:shd w:fill="CCEE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2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2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9"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w:t>
            </w:r>
          </w:p>
        </w:tc>
        <w:tc>
          <w:tcPr>
            <w:tcW w:w="25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308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Operational EBITDA as a % of revenues</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57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263"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2"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57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263"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2"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2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9"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2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Current Quarter</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decrease in Print revenues for the three months ended September 30, 2024 of approximately $14 million reflected lower volumes and less favorable pricing in Prepress consumables ($8 million and $1 million, respectively), lower volumes in Electrophotographic Printing Solutions consumables and service and in Electrophotographic Printing Solutions equipment ($5 million and $1 million, respectively) and lower volumes in PROSPER equipment and VERSAMARK consumables and service (each $2 million).  These unfavorable impacts were partially offset by higher volume in PROSPER components and Prepress equipment ($3 million and $1 million, respectively) and more favorable pricing in Electrophotographic Printing Solutions consumables and service ($2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Year-to-Date</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decrease in Print revenues for the nine months ended September 30, 2024 of approximately $70 million reflected lower volumes in Prepress consumables and Prepress service ($29 million and $4 million, respectively), lower volumes in Electrophotographic Printing Solutions consumables and service and Electrophotographic Printing Solutions equipment ($15 million and $5 million, respectively), less favorable pricing in Prepress consumables ($6 million), lower volumes in Versamark consumables and service ($5 million), lower volumes in PROSPER annuities and PROSPER equipment ($3 million and $4 million, respectively), less favorable pricing and product mix in Prepress equipment ($3 million) and unfavorable foreign currency ($3 million).  These unfavorable impacts were partially offset by favorable pricing in Electrophotographic Printing Solutions consumables and service ($5 million) and higher volume for PROSPER components ($1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[37]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Operational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Current Quarter</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Print Operational EBITDA for the three months ended September 30, 2024 declined $13 million primarily related to higher costs for aluminum ($5 million), inventory reserve adjustment in Electrophotographic Printing Solutions ($4 million), lower volumes and less favorable pricing for Prepress consumables (each $1 million), higher SG&amp;A ($1 million) and the net change in employee benefit reserves ($3 million) partially offset by favorable pricing in Electrophotographic Printing Solutions consumables and service and higher volumes for PROSPER equipment (each $2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Year-to-Date</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Print Operational EBITDA for the nine months ended September 30, 2024 declined $27 million primarily related to higher SG&amp;A costs ($7 million), less favorable pricing and lower volumes for Prepress consumables ($6 million and $5 million, respectively), inventory reserve adjustment in Electrophotographic Printing Solutions ($4 million), higher manufacturing costs ($6 million), lower volumes for PROSPER components and Prepress service (each $2 million), the net change in employee benefit reserves ($2 million), unfavorable product mix for Prepress equipment ($1 million) and higher costs for aluminum ($1 million) partially offset by favorable pricing in Electrophotographic Printing Solutions consumables and service ($6 million) and higher volumes for PROSPER equipment and Electrophotographic Printing Solutions equipment ($3 million and $1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ADVANCED MATERIALS AND CHEMICALS SEGMENT</w:t>
      </w:r>
    </w:p>
    <w:p>
      <w:pPr>
        <w:pStyle w:val="TextBody"/>
        <w:bidi w:val="0"/>
        <w:spacing w:before="0" w:after="0"/>
        <w:ind w:left="0" w:right="0" w:hanging="0"/>
        <w:jc w:val="left"/>
        <w:rPr>
          <w:caps w:val="false"/>
          <w:smallCaps w:val="false"/>
        </w:rPr>
      </w:pPr>
      <w:r>
        <w:rPr>
          <w:caps w:val="false"/>
          <w:smallCaps w:val="false"/>
        </w:rPr>
        <w:t> </w:t>
      </w:r>
    </w:p>
    <w:tbl>
      <w:tblPr>
        <w:tblW w:w="9586" w:type="dxa"/>
        <w:jc w:val="left"/>
        <w:tblInd w:w="0" w:type="dxa"/>
        <w:tblLayout w:type="fixed"/>
        <w:tblCellMar>
          <w:top w:w="0" w:type="dxa"/>
          <w:left w:w="0" w:type="dxa"/>
          <w:bottom w:w="0" w:type="dxa"/>
          <w:right w:w="0" w:type="dxa"/>
        </w:tblCellMar>
      </w:tblPr>
      <w:tblGrid>
        <w:gridCol w:w="3080"/>
        <w:gridCol w:w="60"/>
        <w:gridCol w:w="270"/>
        <w:gridCol w:w="497"/>
        <w:gridCol w:w="335"/>
        <w:gridCol w:w="129"/>
        <w:gridCol w:w="270"/>
        <w:gridCol w:w="497"/>
        <w:gridCol w:w="335"/>
        <w:gridCol w:w="129"/>
        <w:gridCol w:w="385"/>
        <w:gridCol w:w="385"/>
        <w:gridCol w:w="60"/>
        <w:gridCol w:w="60"/>
        <w:gridCol w:w="210"/>
        <w:gridCol w:w="562"/>
        <w:gridCol w:w="260"/>
        <w:gridCol w:w="100"/>
        <w:gridCol w:w="210"/>
        <w:gridCol w:w="562"/>
        <w:gridCol w:w="260"/>
        <w:gridCol w:w="100"/>
        <w:gridCol w:w="250"/>
        <w:gridCol w:w="520"/>
        <w:gridCol w:w="60"/>
      </w:tblGrid>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3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2024</w:t>
            </w:r>
          </w:p>
        </w:tc>
        <w:tc>
          <w:tcPr>
            <w:tcW w:w="335"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335"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 Change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2024</w:t>
            </w:r>
          </w:p>
        </w:tc>
        <w:tc>
          <w:tcPr>
            <w:tcW w:w="2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7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2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 Change</w:t>
            </w:r>
          </w:p>
        </w:tc>
        <w:tc>
          <w:tcPr>
            <w:tcW w:w="6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71</w:t>
            </w:r>
          </w:p>
        </w:tc>
        <w:tc>
          <w:tcPr>
            <w:tcW w:w="335"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2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64</w:t>
            </w:r>
          </w:p>
        </w:tc>
        <w:tc>
          <w:tcPr>
            <w:tcW w:w="335"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3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203</w:t>
            </w:r>
          </w:p>
        </w:tc>
        <w:tc>
          <w:tcPr>
            <w:tcW w:w="2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197</w:t>
            </w:r>
          </w:p>
        </w:tc>
        <w:tc>
          <w:tcPr>
            <w:tcW w:w="2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6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Operational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2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335"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2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335"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3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2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2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Operational EBITDA as a % of revenues</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ind w:left="0" w:right="0" w:hanging="0"/>
              <w:jc w:val="left"/>
              <w:rPr/>
            </w:pPr>
            <w:r>
              <w:rPr/>
              <w:t> </w:t>
            </w:r>
          </w:p>
        </w:tc>
        <w:tc>
          <w:tcPr>
            <w:tcW w:w="49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33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29"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ind w:left="0" w:right="0" w:hanging="0"/>
              <w:jc w:val="left"/>
              <w:rPr/>
            </w:pPr>
            <w:r>
              <w:rPr/>
              <w:t> </w:t>
            </w:r>
          </w:p>
        </w:tc>
        <w:tc>
          <w:tcPr>
            <w:tcW w:w="49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33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29"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56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26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56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26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Current Quarter</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Advanced Materials and Chemicals revenues for the three months ended September 30, 2024 improved $7 million primarily from volume increases and price and product mix improvements in Industrial Film and Chemicals ($5 million and $3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Year-to-Date</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Advanced Materials and Chemicals revenues for the nine months ended September 30, 2024 improved $6 million mainly due to pricing and product mix improvements in Industrial Film and Chemicals ($5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Operational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Current Quarter</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Advanced Materials and Chemicals Operational EBITDA improved $2 million for the three months ended September 30, 2024 mainly due to lower manufacturing costs ($3 million) and price and product mix improvements in Industrial Film and Chemicals ($2 million) partially offset by changes in employee benefit reserves ($2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Year-to-Date</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Advanced Materials and Chemicals Operational EBITDA was flat for the nine months ended September 30, 2024 primarily driven by lower volumes in Industrial Film and Chemicals ($4 million), higher SG&amp;A ($3 million) and the net change in employee benefit reserves ($1 million) offset by price and product mix improvements in Industrial Film and Chemicals ($5 million) and lower manufacturing costs ($3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[38]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BRAND SEGMENT</w:t>
      </w:r>
    </w:p>
    <w:p>
      <w:pPr>
        <w:pStyle w:val="TextBody"/>
        <w:bidi w:val="0"/>
        <w:spacing w:before="0" w:after="0"/>
        <w:ind w:left="0" w:right="0" w:hanging="0"/>
        <w:jc w:val="left"/>
        <w:rPr>
          <w:caps w:val="false"/>
          <w:smallCaps w:val="false"/>
        </w:rPr>
      </w:pPr>
      <w:r>
        <w:rPr>
          <w:caps w:val="false"/>
          <w:smallCaps w:val="false"/>
        </w:rPr>
        <w:t> </w:t>
      </w:r>
    </w:p>
    <w:tbl>
      <w:tblPr>
        <w:tblW w:w="9539" w:type="dxa"/>
        <w:jc w:val="left"/>
        <w:tblInd w:w="0" w:type="dxa"/>
        <w:tblLayout w:type="fixed"/>
        <w:tblCellMar>
          <w:top w:w="0" w:type="dxa"/>
          <w:left w:w="0" w:type="dxa"/>
          <w:bottom w:w="0" w:type="dxa"/>
          <w:right w:w="0" w:type="dxa"/>
        </w:tblCellMar>
      </w:tblPr>
      <w:tblGrid>
        <w:gridCol w:w="3080"/>
        <w:gridCol w:w="60"/>
        <w:gridCol w:w="230"/>
        <w:gridCol w:w="424"/>
        <w:gridCol w:w="285"/>
        <w:gridCol w:w="110"/>
        <w:gridCol w:w="230"/>
        <w:gridCol w:w="617"/>
        <w:gridCol w:w="285"/>
        <w:gridCol w:w="110"/>
        <w:gridCol w:w="250"/>
        <w:gridCol w:w="520"/>
        <w:gridCol w:w="60"/>
        <w:gridCol w:w="60"/>
        <w:gridCol w:w="262"/>
        <w:gridCol w:w="482"/>
        <w:gridCol w:w="325"/>
        <w:gridCol w:w="125"/>
        <w:gridCol w:w="262"/>
        <w:gridCol w:w="482"/>
        <w:gridCol w:w="325"/>
        <w:gridCol w:w="125"/>
        <w:gridCol w:w="385"/>
        <w:gridCol w:w="385"/>
        <w:gridCol w:w="60"/>
      </w:tblGrid>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6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5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2024</w:t>
            </w:r>
          </w:p>
        </w:tc>
        <w:tc>
          <w:tcPr>
            <w:tcW w:w="28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28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 Change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2024</w:t>
            </w:r>
          </w:p>
        </w:tc>
        <w:tc>
          <w:tcPr>
            <w:tcW w:w="3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3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 Change</w:t>
            </w:r>
          </w:p>
        </w:tc>
        <w:tc>
          <w:tcPr>
            <w:tcW w:w="6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28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28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3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3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Operational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28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28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3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3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Operational EBITDA as a % of revenues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42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80</w:t>
            </w:r>
          </w:p>
        </w:tc>
        <w:tc>
          <w:tcPr>
            <w:tcW w:w="28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61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100</w:t>
            </w:r>
          </w:p>
        </w:tc>
        <w:tc>
          <w:tcPr>
            <w:tcW w:w="28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ind w:left="0" w:right="0" w:hanging="0"/>
              <w:jc w:val="left"/>
              <w:rPr/>
            </w:pPr>
            <w:r>
              <w:rPr/>
              <w:t> </w:t>
            </w:r>
          </w:p>
        </w:tc>
        <w:tc>
          <w:tcPr>
            <w:tcW w:w="48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85</w:t>
            </w:r>
          </w:p>
        </w:tc>
        <w:tc>
          <w:tcPr>
            <w:tcW w:w="32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25"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ind w:left="0" w:right="0" w:hanging="0"/>
              <w:jc w:val="left"/>
              <w:rPr/>
            </w:pPr>
            <w:r>
              <w:rPr/>
              <w:t> </w:t>
            </w:r>
          </w:p>
        </w:tc>
        <w:tc>
          <w:tcPr>
            <w:tcW w:w="48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83</w:t>
            </w:r>
          </w:p>
        </w:tc>
        <w:tc>
          <w:tcPr>
            <w:tcW w:w="32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25"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There were no material changes in Brand revenues or Operational EBITDA for the three and nine months ended September 30, 2024 compared to the prior year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RESTRUCTURING COSTS AND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recorded charges of $1 million and $6 million for the three and nine months ended September 30, 2024, respectively, in Restructuring costs and other in the Consolidated Statement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made cash payments related to restructuring of approximately $2 million and $6 million during the three and nine months ended September 30,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restructuring actions implemented in the first nine months of 2024 are expected to generate future annual cash savings of approximately $10 million, which are expected to reduce future annual SG&amp;A expenses and Cost of revenues by $5 million each. The majority of the annual savings are expected to be in effect by the end of 2024 as actions are completed.</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bookmarkStart w:id="12" w:name="liquid"/>
      <w:bookmarkEnd w:id="12"/>
      <w:r>
        <w:rPr>
          <w:rFonts w:ascii="Calibri;Arial;sans-serif" w:hAnsi="Calibri;Arial;sans-serif"/>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Management</w:t>
      </w:r>
      <w:r>
        <w:rPr>
          <w:rFonts w:ascii="Calibri;Arial;sans-serif" w:hAnsi="Calibri;Arial;sans-serif"/>
          <w:caps w:val="false"/>
          <w:smallCaps w:val="false"/>
          <w:sz w:val="20"/>
        </w:rPr>
        <w:t>’</w:t>
      </w:r>
      <w:r>
        <w:rPr>
          <w:rFonts w:ascii="Calibri;Arial;sans-serif" w:hAnsi="Calibri;Arial;sans-serif"/>
          <w:b/>
          <w:caps w:val="false"/>
          <w:smallCaps w:val="false"/>
          <w:sz w:val="20"/>
        </w:rPr>
        <w:t xml:space="preserve">s Assessment of Liquidity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ended the quarter with a cash balance of $214 million, a decrease of $41 million from December 31,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financing transactions entered into during 2023, cash proceeds related to brand licensing arrangements and improvements in cash flow relating to pricing rationalization, cost reductions and operational efficiencies provided additional liquidity to the Company to fund on‐going operations and obligations, invest in growth opportunities in Kodak’s businesses of print and advanced materials and chemicals and for corporate infrastructure investments expected to contribute to improvements in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[39]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Available liquidity includes existing cash balances. The amount of available liquidity is subject to fluctuations and includes cash balances held by various entities worldwide. At September 30, 2024 and December 31, 2023 approximately $116 million and $167 million, respectively, of cash and cash equivalents were held within the U.S. and approximately $98 million and $88 million, respectively, of cash and cash equivalents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Kodak utilizes cash balances outside the U.S. to fund needs in the U.S. through the use of inter-company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 of September 30, 2024 and December 31, 2023, outstanding inter-company loans to the U.S. were $463 million and $460 million, respectively, which include short-term inter-company loans from Kodak’s international finance center of $188 million and $173 million, respectively</w:t>
      </w:r>
      <w:r>
        <w:rPr>
          <w:rFonts w:ascii="Calibri;Arial;sans-serif" w:hAnsi="Calibri;Arial;sans-serif"/>
          <w:b/>
          <w:caps w:val="false"/>
          <w:smallCaps w:val="false"/>
          <w:sz w:val="20"/>
        </w:rPr>
        <w:t xml:space="preserve">. </w:t>
      </w:r>
      <w:r>
        <w:rPr>
          <w:rFonts w:ascii="Calibri;Arial;sans-serif" w:hAnsi="Calibri;Arial;sans-serif"/>
          <w:caps w:val="false"/>
          <w:smallCaps w:val="false"/>
          <w:sz w:val="20"/>
        </w:rPr>
        <w:t>In China, where approximately $36 million and $29 million of cash and cash equivalents was held as of September 30, 2024 and December 31, 2023, respectively, there are limitations related to net asset balances that may impact the ability to make cash available to other jurisdictions in the world. Under the terms of the Amended and Restated Term Loan Credit Agreement, the Company is permitted to invest up to $60 million (or $75 million after the Deleveraging Milestone Date) in Restricted Subsidiaries that are not Loan Parties and in joint ventures or Unrestricted Subsidiaries that are not party to the Amended and Restated Term Loan Credit Agreement.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Company’s Hong Kong subsidiary has an inter-company loan from one of the Company’s Chinese subsidiaries with a maturity date of November 16, 2024, the proceeds of which were in turn loaned to the Company. The inter-company loan terms provide for it to be repaid over two years in four equal $20 million installments, the first of which was due by November 16, 2023 with the remaining installments due in 2024. The Company paid $2 million in the first quarter of 2024 and $10 million in the second quarter of 2024 towards the first $20 million installment.  The outstanding amount of the intercompany loan as of September 30, 2024 was $68 million.  The Company is evaluating alternatives for the remaining installments which would allow Kodak and its subsidiaries to perform their obligations to each other while minimizing the impact on U.S. liquidity taking into account requirements imposed by Chinese regulators. Any amounts repaid to the Chinese subsidiary may not be able to be loaned, repatriated or otherwise moved back to the U.S., in which case the Company’s U.S. liquidity would be reduced. If the inter-company loan is not extended, refinanced or amended and the Hong Kong subsidiary does not pay any of the individual installments by the end of the 30-day grace period following notice by the Chinese subsidiary after a failure to pay on the due date of such installment, the Hong Kong subsidiary would default on the inter-company loan. The Chinese subsidiary has not issued notice to the Hong Kong subsidiary based on the failure to make any installment payment that has 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Calibri;Arial;sans-serif" w:hAnsi="Calibri;Arial;sans-serif"/>
          <w:caps w:val="false"/>
          <w:smallCaps w:val="false"/>
          <w:sz w:val="20"/>
        </w:rPr>
        <w:t>Kodak's cash flows continue to be negatively impacted by higher manufacturing costs due to volume declines and increased labor, material and distribution costs, supply chain disruptions and shortages in materials and labor. The impacts from price increases, continued cost reduction actions and supply chain-related cost improvements continue to positively impact Kodak’s operations. The economic uncertainties surrounding the current inflationary environment and other global events represent additional elements of complexity in Kodak’s plans to return to sustainable positive cash flow. The Company cannot predict the duration and scope of such events, including the war in Ukraine and the conflicts involving Israel, and other factors such as the ability to continue to secure raw materials and components, the impact of rising costs of labor, commodity and distribution costs, the ability to maintain current pricing levels or how quickly and to what extent normal economic and operating conditions can resume</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During the third quarter of 2023, Kodak entered into multiple long-term brand licensing arrangements and recorded total deferred revenue of approximately $57 million.  Kodak received approximately $12 million of cash proceeds related to these licensing arrangements in 2023, $40 million in the first quarter of 2024 and expects to receive $5 million in 2025.</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plans to return to sustainable positive cash flow include generating profitable revenues through pricing actions and customer-focused initiatives, implementing effective working capital utilization, reducing operating expenses, continuing to simplify the organizational structure, investing in information technology systems to drive operational efficiencies, generating cash from selling and leasing underutilized assets or through new licensing opportunities and implementing ways to reduce cash collateral needs.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br/>
        <w:t>Kodak believes its liquidity position is adequate to fund its operating and investing needs and to provide the flexibility to respond as necessary to ordinary changes in the business and economic environment. Kodak’s ability to adequately fund its long‐term liquidity, debt servicing and capital requirements will be dependent on generating positive cash flows from operations, managing world‐wide cash through intercompany loans, distributions or other mechanisms, and the ability to convert, redeem or extend the existing Series B and Series C Preferred Stock past their current maturities of May 26, 2026. To the extent the Series B or Series C Preferred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[40]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Stock maturity date is not extended and the shares remain outstanding, then the maturity date of the Term Loans under the Amended and Restated Term Loan Credit Agreement will be accelerated from August 15, 2028 to February 25, 2026. In addition, the maturity date of the Amended and Restated Letter of Credit Facility Agreement would be accelerated to 90 days prior to this date.</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Amended and Restated Term Loan Credit Agreement</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During the first quarter of 2024, the Company prepaid $17 million of the Term Loans with net proceeds from the sale of Target Non-Core Assets (as defined in the Amended and Restated Term Loan Agreement).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Letter of Credit Facility Agreement</w:t>
      </w:r>
      <w:r>
        <w:rPr>
          <w:rFonts w:ascii="Calibri;Arial;sans-serif" w:hAnsi="Calibri;Arial;sans-serif"/>
          <w:caps w:val="false"/>
          <w:smallCaps w:val="false"/>
          <w:sz w:val="20"/>
        </w:rPr>
        <w:br/>
        <w:t>Approximately $27 million and $31 million of letters of credit were issued under the Amended and Restated L/C Facility Agreement as of September 30, 2024 and December 31, 2023, respectively. The letters of credit under the Amended and Restated L/C Facility Agreement are collateralized by cash collateral (the “L/C Cash Collateral”). The L/C Cash Collateral was $29 million and $32 million at September 30, 2024, and December 31, 2023, respectively, which was classified as Restricted Cash.</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Cash Flow</w:t>
      </w:r>
      <w:r>
        <w:rPr>
          <w:rFonts w:ascii="Calibri;Arial;sans-serif" w:hAnsi="Calibri;Arial;sans-serif"/>
          <w:caps w:val="false"/>
          <w:smallCaps w:val="false"/>
          <w:sz w:val="20"/>
        </w:rPr>
        <w:br/>
        <w:t>Cash, cash equivalents and restricted cash balances were as follows:</w:t>
      </w:r>
    </w:p>
    <w:p>
      <w:pPr>
        <w:pStyle w:val="TextBody"/>
        <w:bidi w:val="0"/>
        <w:spacing w:before="0" w:after="0"/>
        <w:ind w:left="0" w:right="0" w:hanging="0"/>
        <w:jc w:val="left"/>
        <w:rPr>
          <w:caps w:val="false"/>
          <w:smallCaps w:val="false"/>
        </w:rPr>
      </w:pPr>
      <w:r>
        <w:rPr>
          <w:caps w:val="false"/>
          <w:smallCaps w:val="false"/>
        </w:rPr>
        <w:t> </w:t>
      </w:r>
    </w:p>
    <w:tbl>
      <w:tblPr>
        <w:tblW w:w="5998" w:type="dxa"/>
        <w:jc w:val="left"/>
        <w:tblInd w:w="0" w:type="dxa"/>
        <w:tblLayout w:type="fixed"/>
        <w:tblCellMar>
          <w:top w:w="0" w:type="dxa"/>
          <w:left w:w="0" w:type="dxa"/>
          <w:bottom w:w="0" w:type="dxa"/>
          <w:right w:w="0" w:type="dxa"/>
        </w:tblCellMar>
      </w:tblPr>
      <w:tblGrid>
        <w:gridCol w:w="3320"/>
        <w:gridCol w:w="60"/>
        <w:gridCol w:w="339"/>
        <w:gridCol w:w="910"/>
        <w:gridCol w:w="60"/>
        <w:gridCol w:w="60"/>
        <w:gridCol w:w="318"/>
        <w:gridCol w:w="856"/>
        <w:gridCol w:w="75"/>
      </w:tblGrid>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9"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December 31,</w:t>
            </w:r>
          </w:p>
        </w:tc>
        <w:tc>
          <w:tcPr>
            <w:tcW w:w="75" w:type="dxa"/>
            <w:tcBorders/>
            <w:shd w:fill="FFFF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75"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3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377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Cash Flow Activity</w:t>
      </w:r>
    </w:p>
    <w:tbl>
      <w:tblPr>
        <w:tblW w:w="9922" w:type="dxa"/>
        <w:jc w:val="left"/>
        <w:tblInd w:w="0" w:type="dxa"/>
        <w:tblLayout w:type="fixed"/>
        <w:tblCellMar>
          <w:top w:w="0" w:type="dxa"/>
          <w:left w:w="0" w:type="dxa"/>
          <w:bottom w:w="0" w:type="dxa"/>
          <w:right w:w="0" w:type="dxa"/>
        </w:tblCellMar>
      </w:tblPr>
      <w:tblGrid>
        <w:gridCol w:w="6050"/>
        <w:gridCol w:w="60"/>
        <w:gridCol w:w="211"/>
        <w:gridCol w:w="490"/>
        <w:gridCol w:w="135"/>
        <w:gridCol w:w="101"/>
        <w:gridCol w:w="211"/>
        <w:gridCol w:w="490"/>
        <w:gridCol w:w="80"/>
        <w:gridCol w:w="60"/>
        <w:gridCol w:w="465"/>
        <w:gridCol w:w="1474"/>
        <w:gridCol w:w="95"/>
      </w:tblGrid>
      <w:tr>
        <w:trPr/>
        <w:tc>
          <w:tcPr>
            <w:tcW w:w="6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8" w:type="dxa"/>
            <w:gridSpan w:val="6"/>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2024</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7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Year-Over-Year Change</w:t>
            </w:r>
          </w:p>
        </w:tc>
        <w:tc>
          <w:tcPr>
            <w:tcW w:w="95" w:type="dxa"/>
            <w:tcBorders/>
            <w:shd w:fill="FFFFFF" w:val="clear"/>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u w:val="single"/>
              </w:rPr>
            </w:pPr>
            <w:r>
              <w:rPr>
                <w:rFonts w:ascii="Calibri;Arial;sans-serif" w:hAnsi="Calibri;Arial;sans-serif"/>
                <w:caps w:val="false"/>
                <w:smallCaps w:val="false"/>
                <w:sz w:val="20"/>
                <w:u w:val="single"/>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5" w:type="dxa"/>
            <w:tcBorders/>
            <w:shd w:fill="CCEEFF" w:val="clear"/>
            <w:vAlign w:val="center"/>
          </w:tcPr>
          <w:p>
            <w:pPr>
              <w:pStyle w:val="TableContents"/>
              <w:bidi w:val="0"/>
              <w:spacing w:before="0" w:after="283"/>
              <w:jc w:val="left"/>
              <w:rPr/>
            </w:pPr>
            <w:r>
              <w:rPr/>
              <w:t> </w:t>
            </w:r>
          </w:p>
        </w:tc>
        <w:tc>
          <w:tcPr>
            <w:tcW w:w="1474"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(used in) provided by operating activities</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13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1"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4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(32</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60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u w:val="single"/>
              </w:rPr>
            </w:pPr>
            <w:r>
              <w:rPr>
                <w:rFonts w:ascii="Calibri;Arial;sans-serif" w:hAnsi="Calibri;Arial;sans-serif"/>
                <w:caps w:val="false"/>
                <w:smallCaps w:val="false"/>
                <w:sz w:val="20"/>
                <w:u w:val="single"/>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5" w:type="dxa"/>
            <w:tcBorders/>
            <w:shd w:fill="CCEEFF" w:val="clear"/>
            <w:vAlign w:val="center"/>
          </w:tcPr>
          <w:p>
            <w:pPr>
              <w:pStyle w:val="TableContents"/>
              <w:bidi w:val="0"/>
              <w:spacing w:before="0" w:after="283"/>
              <w:jc w:val="left"/>
              <w:rPr/>
            </w:pPr>
            <w:r>
              <w:rPr/>
              <w:t> </w:t>
            </w:r>
          </w:p>
        </w:tc>
        <w:tc>
          <w:tcPr>
            <w:tcW w:w="1474"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used in investing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w:t>
            </w:r>
          </w:p>
        </w:tc>
        <w:tc>
          <w:tcPr>
            <w:tcW w:w="13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1" w:type="dxa"/>
            <w:tcBorders/>
            <w:shd w:fill="FFFFFF" w:val="clear"/>
            <w:vAlign w:val="center"/>
          </w:tcPr>
          <w:p>
            <w:pPr>
              <w:pStyle w:val="TableContents"/>
              <w:bidi w:val="0"/>
              <w:spacing w:before="0" w:after="283"/>
              <w:ind w:left="0" w:right="0" w:hanging="0"/>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60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u w:val="single"/>
              </w:rPr>
            </w:pPr>
            <w:r>
              <w:rPr>
                <w:rFonts w:ascii="Calibri;Arial;sans-serif" w:hAnsi="Calibri;Arial;sans-serif"/>
                <w:caps w:val="false"/>
                <w:smallCaps w:val="false"/>
                <w:sz w:val="20"/>
                <w:u w:val="single"/>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5" w:type="dxa"/>
            <w:tcBorders/>
            <w:shd w:fill="CCEEFF" w:val="clear"/>
            <w:vAlign w:val="center"/>
          </w:tcPr>
          <w:p>
            <w:pPr>
              <w:pStyle w:val="TableContents"/>
              <w:bidi w:val="0"/>
              <w:spacing w:before="0" w:after="283"/>
              <w:jc w:val="left"/>
              <w:rPr/>
            </w:pPr>
            <w:r>
              <w:rPr/>
              <w:t> </w:t>
            </w:r>
          </w:p>
        </w:tc>
        <w:tc>
          <w:tcPr>
            <w:tcW w:w="1474"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(used in) provided by financing activities</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w:t>
            </w:r>
          </w:p>
        </w:tc>
        <w:tc>
          <w:tcPr>
            <w:tcW w:w="13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1"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(108</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60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Effect of exchange rate changes on 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3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101" w:type="dxa"/>
            <w:tcBorders/>
            <w:shd w:fill="CCEEFF" w:val="clear"/>
            <w:vAlign w:val="center"/>
          </w:tcPr>
          <w:p>
            <w:pPr>
              <w:pStyle w:val="TableContents"/>
              <w:bidi w:val="0"/>
              <w:spacing w:before="0" w:after="283"/>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605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Net (decrease) increase in cash, cash equivalents and restricted cash</w:t>
            </w:r>
          </w:p>
        </w:tc>
        <w:tc>
          <w:tcPr>
            <w:tcW w:w="60" w:type="dxa"/>
            <w:tcBorders/>
            <w:shd w:fill="FFFF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4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(55</w:t>
            </w:r>
          </w:p>
        </w:tc>
        <w:tc>
          <w:tcPr>
            <w:tcW w:w="13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101" w:type="dxa"/>
            <w:tcBorders/>
            <w:shd w:fill="FFFF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4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88</w:t>
            </w:r>
          </w:p>
        </w:tc>
        <w:tc>
          <w:tcPr>
            <w:tcW w:w="8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6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147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(143</w:t>
            </w:r>
          </w:p>
        </w:tc>
        <w:tc>
          <w:tcPr>
            <w:tcW w:w="95" w:type="dxa"/>
            <w:tcBorders/>
            <w:shd w:fill="FFFFFF" w:val="clear"/>
            <w:vAlign w:val="center"/>
          </w:tcPr>
          <w:p>
            <w:pPr>
              <w:pStyle w:val="TableContents"/>
              <w:bidi w:val="0"/>
              <w:spacing w:before="0" w:after="0"/>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Operating Activities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from operating activities declined $32 million for the nine months ended September 30, 2024 as compared with the corresponding period in 2023 reflecting a decline in proceeds from insurance reimbursements ($17 million) and a refund from a governmental authority ($9 million), both received in the prior year period, a decrease in liabilities excluding borrowings and trade payables and increased investment in inventory partially offset by a decrease in trade receivables primarily due to $40 million of cash proceeds related to brand licensing received in the first quarter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Investing Activities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used in investing activities for the nine months ended September 30, 2024 increased $7 million compared to the corresponding period in 2023 due to an increase in additions to properties ($24 million) partially offset by proceeds from the sale of assets ($17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Financing Activities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used in financing activities for the nine months ended September 30, 2024 increased $108 million compared to the corresponding period in 2023 driven by the net proceeds of $90 million received in the third quarter of 2023 from the July 21, 2023 financing transactions and the $17 million Amended and Restated Term Loan prepayment in the three months ending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Other Uses of Cash Related to Financing Transactions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holders of the Term Loans are entitled to quarterly cash interest payments at a rate of 7.5% per annum and holders of the Series B Preferred Stock are entitled to cumulative dividends payable quarterly in cash at a rate of 4.0% per annum. All interest and dividends have been paid when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Other Collateral Requirements</w:t>
      </w:r>
      <w:r>
        <w:rPr>
          <w:rFonts w:ascii="Calibri;Arial;sans-serif" w:hAnsi="Calibri;Arial;sans-serif"/>
          <w:caps w:val="false"/>
          <w:smallCaps w:val="false"/>
          <w:sz w:val="20"/>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NYS WCB requires security deposits related to self-insured workers’ compensation obligations, which security deposits are recalculated annually. Due to changes in 2019 to the manner in which the required security deposit is determined, the Company has been required to post additional collateral over the last several years. At December 31, 2022, the Company posted $75.0 million of collateral, representing 107% of the Company’s undiscounted actuarial workers’ compensation obligations. Effective May 1, 2023, the Company added New York to its existing workers compensation liability insurance policy and is no longer self-insured for future claims. As a result, the NYS WCB confirmed the Company will no longer be obligated to post any additional collateral. Further, the NYS WCB confirmed the Company can request a review of the security deposits supporting the historical liability beginning on July 1, 2025 with the submission of a current actuarial report. Based on the results of the actuarial valuation report, the required security deposits may be eligible for reduction in future periods.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Based on the legacy nature of the Company’s workers’ compensation obligations, the undiscounted actuarial obligation has been declining and the Company expects this trend to continue. While it may not be indicative of the rate of future declines, the undiscounted actuarial liability declined by an average of $5.3 million per year between 2014 and 2023. Accordingly, subject to the possibility of other changes to the calculation of required security deposits by the NYS WCB, the Company expects the amount of the required security deposits to decline over time and the gradual return of the security deposits that have been made or the capital used to support such security deposits.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 a result of the Company’s credit ratings, during the second quarter of 2020 two surety bond holders notified the Company they required approximately $9 million of incremental collateral. The Company reduced the surety bond value by approximately $9 million in July 2020 with an equivalent increase to an existing letter of credit with the NYS WCB. In the third quarter of 2023 the Company deposited $68 million directly with the NYS WCB and cancelled the corresponding letter of credit supporting the associated liability. The Company could be required to provide up to $13 million of letters of credit to the issuers of certain surety bonds in the future to fully collateralize the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sz w:val="20"/>
        </w:rPr>
      </w:pPr>
      <w:r>
        <w:rPr>
          <w:rFonts w:ascii="Calibri;Arial;sans-serif" w:hAnsi="Calibri;Arial;sans-serif"/>
          <w:b/>
          <w:sz w:val="20"/>
        </w:rPr>
        <w:t xml:space="preserve">Defined Benefit Pension and Postretirement Plans </w:t>
      </w:r>
    </w:p>
    <w:p>
      <w:pPr>
        <w:pStyle w:val="TextBody"/>
        <w:bidi w:val="0"/>
        <w:spacing w:before="0" w:after="0"/>
        <w:ind w:left="0" w:right="0" w:hanging="0"/>
        <w:jc w:val="left"/>
        <w:rPr>
          <w:rFonts w:ascii="Calibri;Arial;sans-serif" w:hAnsi="Calibri;Arial;sans-serif"/>
          <w:sz w:val="20"/>
        </w:rPr>
      </w:pPr>
      <w:r>
        <w:rPr>
          <w:rFonts w:ascii="Calibri;Arial;sans-serif" w:hAnsi="Calibri;Arial;sans-serif"/>
          <w:sz w:val="20"/>
        </w:rPr>
        <w:t>Kodak made net contributions (funded plans) or paid benefits (unfunded plans) totaling approximately $12 million to its defined benefit pension and postretirement benefit plans in the first nine months of 2024.  For the balance of 2024, the forecasted contribution (funded plans) and benefit payment (unfunded plans) requirements for its pension and postretirement plans are approximately $3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in conjunction with the Kodak Retirement Income Plan Committee (“KRIP Committee”), continues to implement various actions to preserve and maximize the value of KRIP’s over-funding by reducing investment risk and improving the overall liquidity of KRIP.  During the first quarter of 2024, the KRIP Committee outsourced the investment management of the plan to NEPC, LLC.  Effective April 1, 2024, the KRIP Committee approved an updated investment policy that modified the target asset allocations by allocating a greater portion of KRIP’s assets to lower risk investments as well as interest rate hedging investments which aim to manage the liability interest rate risk associated with KRIP.  As contemplated by the updated investment policy, NEPC subsequently initiated the redemption of a substantial majority of KRIP’s hedge fund investments and expanded its interest rate hedging strategy with a portion of those proceeds.  During the second quarter of 2024, NEPC engaged a third-party broker to explore strategic options, including the potential secondary sale of KRIP’s private equity and certain other illiquid investments.  During the third quarter of 2024, the third-party broker initiated a secondary sale process for KRIP’s private equity and certain other illiquid investments.  Kodak and the KRIP Committee are currently in the process of analyzing the bids received from potential buyers.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There can be no assurances that KRIP will enter into any sale transaction or that Kodak will receive excess assets from KRIP or concerning the timing or amount of any such receipt.  All liabilities of KRIP must be satisfied before any excess assets revert to Kodak, and any amounts that ultimately revert to Kodak will depend on the amount of KRIP’s liabilities and the future investment performance and value of its assets.  Also, any amount received will be subject to material excise tax and other obligations.  To the extent Kodak receives net proceeds from excess KRIP assets, Kodak must use such proceeds to pay down the Term Loans to defined levels pursuant to the Plan Reversion Proceeds provisions of the Amended and Restated Term Loan Credit Agreement before such proceeds would be available for other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[42]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Capital Expenditures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Cash flow from investing activities included $39 million of capital expenditures for the nine months ended September 30, 2024. Kodak expects approximately $50 million to $60 million of total capital expenditures for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Preparation of the Company’s Consolidated Financial Statements in conformity with accounting principles generally accepted in the United States (U.S. GAAP) requires management to make estimates and assumptions that affect the reported amounts of assets, liabilities, revenues and expenses.  The accounting policies most critical to the preparation of the consolidated financial statements and that require the most difficult, subjective or complex judgments are described in Management's Discussion and Analysis of Financial Condition and Results of Operations included in the 2023 Form 10-K.  There have been no material changes in the Company's critical accounting policies or estimates since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bookmarkStart w:id="13" w:name="qqd"/>
      <w:bookmarkEnd w:id="13"/>
      <w:r>
        <w:rPr>
          <w:rFonts w:ascii="Calibri;Arial;sans-serif" w:hAnsi="Calibri;Arial;sans-serif"/>
          <w:b/>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 noted in the Company’s Annual Report on Form 10-K for the year ended December 31, 2023 (“2023 Form 10-K”), Kodak operates and conducts business in many foreign countries and as a result is exposed to fluctuations between the U.S. dollar and other currencies.  Volatility in the global financial markets could increase the volatility of foreign currency exchange rates which would, in turn, impact sales and net income.  For a discussion of the Company's exposure to market risk and how market risk is mitigated, refer to Part I, Item 1A "Risk Factors" and Part II, Item 7A, "Quantitative and Qualitative Disclosures About Market Risk", contained in the 2023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caps w:val="false"/>
          <w:smallCaps w:val="false"/>
          <w:sz w:val="20"/>
        </w:rPr>
      </w:pPr>
      <w:bookmarkStart w:id="14" w:name="controls"/>
      <w:bookmarkEnd w:id="14"/>
      <w:r>
        <w:rPr>
          <w:rFonts w:ascii="Calibri;Arial;sans-serif" w:hAnsi="Calibri;Arial;sans-serif"/>
          <w:b/>
          <w:caps w:val="false"/>
          <w:smallCaps w:val="false"/>
          <w:sz w:val="20"/>
        </w:rPr>
        <w:t>Item</w:t>
      </w:r>
      <w:r>
        <w:rPr>
          <w:rFonts w:ascii="Calibri;Arial;sans-serif" w:hAnsi="Calibri;Arial;sans-serif"/>
          <w:caps w:val="false"/>
          <w:smallCaps w:val="false"/>
          <w:sz w:val="20"/>
        </w:rPr>
        <w:t> </w:t>
      </w:r>
      <w:r>
        <w:rPr>
          <w:rFonts w:ascii="Calibri;Arial;sans-serif" w:hAnsi="Calibri;Arial;sans-serif"/>
          <w:b/>
          <w:caps w:val="false"/>
          <w:smallCaps w:val="false"/>
          <w:sz w:val="20"/>
        </w:rPr>
        <w:t>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Evaluation of Disclosure Controls and Procedures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maintains disclosure controls and procedures that are designed to ensure that information required to be disclosed in Kodak’s reports filed or submitted under the Securities Exchange Act of 1934 (the “Exchange Act”) is recorded, processed, summarized and reported within the time periods specified in the SEC’s rules and forms and that such information is accumulated and communicated to management, including Kodak’s Executive Chairman and Chief Executive Officer and Chief Financial Officer, as appropriate, to allow timely decisions regarding required disclosure.  Kodak’s management, with the participation of Kodak’s Executive Chairman and Chief Executive Officer and Chief Financial Officer, has evaluated the effectiveness of Kodak’s disclosure controls and procedures as of the end of the period covered by this Quarterly Report on Form 10-Q and have concluded that, as of the end of the period covered by this Quarterly Report on Form 10-Q, Kodak’s disclosure controls and procedures (as defined in Rules 13a-15(e) and 15d-15(e) under the Exchange Act) were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Changes in Internal Control Over Financial Reporting</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is in the process of a multi-year project to modernize and enhance the Company’s global information technology systems, to improve and standardize business and financial processes and to increase the efficiency and effectiveness of financial planning and reporting.  As the phased implementation occurs, it may result in changes to processes and procedures which may result in changes to internal controls over financial reporting.  As such changes occur, Kodak evaluates whether they materially affect the Company’s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There have been no changes in Kodak’s internal control over financial reporting during the most recently completed fiscal quarter that have materially affected, or are reasonably likely to materially affect, Kodak’s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[43]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Calibri;Arial;sans-serif" w:hAnsi="Calibri;Arial;sans-serif"/>
          <w:b/>
          <w:caps w:val="false"/>
          <w:smallCaps w:val="false"/>
          <w:sz w:val="20"/>
        </w:rPr>
      </w:pPr>
      <w:bookmarkStart w:id="15" w:name="part2other"/>
      <w:bookmarkEnd w:id="15"/>
      <w:r>
        <w:rPr>
          <w:rFonts w:ascii="Calibri;Arial;sans-serif" w:hAnsi="Calibri;Arial;sans-serif"/>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bookmarkStart w:id="16" w:name="item1legal"/>
      <w:bookmarkEnd w:id="16"/>
      <w:r>
        <w:rPr>
          <w:rFonts w:ascii="Calibri;Arial;sans-serif" w:hAnsi="Calibri;Arial;sans-serif"/>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See Note 6, “Commitments and Contingencies” in the Notes to the Financial Statements included in Part I, Item 1, “Financial Statements” for information regarding certain legal proceedings in which Kodak is involved.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bookmarkStart w:id="17" w:name="item1arisk"/>
      <w:bookmarkEnd w:id="17"/>
      <w:r>
        <w:rPr>
          <w:rFonts w:ascii="Calibri;Arial;sans-serif" w:hAnsi="Calibri;Arial;sans-serif"/>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See the Risk Factors set forth in Part I, Item 1A. of the 2023 Form 10-K for a detailed discussion of risk factors that could materially affect Kodak’s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bookmarkStart w:id="18" w:name="item2unregistered"/>
      <w:bookmarkEnd w:id="18"/>
      <w:r>
        <w:rPr>
          <w:rFonts w:ascii="Calibri;Arial;sans-serif" w:hAnsi="Calibri;Arial;sans-serif"/>
          <w:b/>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230"/>
        <w:gridCol w:w="6455"/>
      </w:tblGrid>
      <w:tr>
        <w:trPr/>
        <w:tc>
          <w:tcPr>
            <w:tcW w:w="230"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(a)</w:t>
            </w:r>
          </w:p>
        </w:tc>
        <w:tc>
          <w:tcPr>
            <w:tcW w:w="6455"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Sales of unregistered securities during the quarter ended September 30,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245"/>
        <w:gridCol w:w="6845"/>
      </w:tblGrid>
      <w:tr>
        <w:trPr/>
        <w:tc>
          <w:tcPr>
            <w:tcW w:w="245"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(b)</w:t>
            </w:r>
          </w:p>
        </w:tc>
        <w:tc>
          <w:tcPr>
            <w:tcW w:w="6845"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Issuer purchases of equity securities during the quarter ended September 30, 2024</w:t>
            </w:r>
          </w:p>
        </w:tc>
      </w:tr>
    </w:tbl>
    <w:p>
      <w:pPr>
        <w:pStyle w:val="TextBody"/>
        <w:bidi w:val="0"/>
        <w:spacing w:before="0" w:after="0"/>
        <w:ind w:left="0" w:right="0" w:hanging="0"/>
        <w:jc w:val="left"/>
        <w:rPr>
          <w:caps w:val="false"/>
          <w:smallCaps w:val="false"/>
        </w:rPr>
      </w:pPr>
      <w:r>
        <w:rPr>
          <w:caps w:val="false"/>
          <w:smallCaps w:val="false"/>
        </w:rPr>
        <w:t> </w:t>
      </w:r>
    </w:p>
    <w:tbl>
      <w:tblPr>
        <w:tblW w:w="7446" w:type="dxa"/>
        <w:jc w:val="left"/>
        <w:tblInd w:w="0" w:type="dxa"/>
        <w:tblLayout w:type="fixed"/>
        <w:tblCellMar>
          <w:top w:w="0" w:type="dxa"/>
          <w:left w:w="0" w:type="dxa"/>
          <w:bottom w:w="0" w:type="dxa"/>
          <w:right w:w="0" w:type="dxa"/>
        </w:tblCellMar>
      </w:tblPr>
      <w:tblGrid>
        <w:gridCol w:w="1985"/>
        <w:gridCol w:w="60"/>
        <w:gridCol w:w="106"/>
        <w:gridCol w:w="1053"/>
        <w:gridCol w:w="60"/>
        <w:gridCol w:w="60"/>
        <w:gridCol w:w="201"/>
        <w:gridCol w:w="613"/>
        <w:gridCol w:w="60"/>
        <w:gridCol w:w="60"/>
        <w:gridCol w:w="324"/>
        <w:gridCol w:w="1090"/>
        <w:gridCol w:w="60"/>
        <w:gridCol w:w="60"/>
        <w:gridCol w:w="364"/>
        <w:gridCol w:w="1215"/>
        <w:gridCol w:w="75"/>
      </w:tblGrid>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4"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Total Number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9"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Maximum Number</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4" w:type="dxa"/>
            <w:gridSpan w:val="2"/>
            <w:tcBorders/>
            <w:shd w:fill="FFFFFF" w:val="clear"/>
            <w:vAlign w:val="center"/>
          </w:tcPr>
          <w:p>
            <w:pPr>
              <w:pStyle w:val="TableContents"/>
              <w:bidi w:val="0"/>
              <w:spacing w:before="0" w:after="283"/>
              <w:jc w:val="center"/>
              <w:rPr>
                <w:rFonts w:ascii="Calibri;Arial;sans-serif" w:hAnsi="Calibri;Arial;sans-serif"/>
                <w:b/>
                <w:sz w:val="20"/>
              </w:rPr>
            </w:pPr>
            <w:r>
              <w:rPr>
                <w:rFonts w:ascii="Calibri;Arial;sans-serif" w:hAnsi="Calibri;Arial;sans-serif"/>
                <w:b/>
                <w:sz w:val="20"/>
              </w:rPr>
              <w:t>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9" w:type="dxa"/>
            <w:gridSpan w:val="2"/>
            <w:tcBorders/>
            <w:shd w:fill="FFFFFF" w:val="clear"/>
            <w:vAlign w:val="center"/>
          </w:tcPr>
          <w:p>
            <w:pPr>
              <w:pStyle w:val="TableContents"/>
              <w:bidi w:val="0"/>
              <w:spacing w:before="0" w:after="283"/>
              <w:jc w:val="center"/>
              <w:rPr>
                <w:rFonts w:ascii="Calibri;Arial;sans-serif" w:hAnsi="Calibri;Arial;sans-serif"/>
                <w:b/>
                <w:sz w:val="20"/>
              </w:rPr>
            </w:pPr>
            <w:r>
              <w:rPr>
                <w:rFonts w:ascii="Calibri;Arial;sans-serif" w:hAnsi="Calibri;Arial;sans-serif"/>
                <w:b/>
                <w:sz w:val="20"/>
              </w:rPr>
              <w:t>of Shares</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4" w:type="dxa"/>
            <w:gridSpan w:val="2"/>
            <w:tcBorders/>
            <w:shd w:fill="FFFFFF" w:val="clear"/>
            <w:vAlign w:val="center"/>
          </w:tcPr>
          <w:p>
            <w:pPr>
              <w:pStyle w:val="TableContents"/>
              <w:bidi w:val="0"/>
              <w:spacing w:before="0" w:after="283"/>
              <w:jc w:val="center"/>
              <w:rPr>
                <w:rFonts w:ascii="Calibri;Arial;sans-serif" w:hAnsi="Calibri;Arial;sans-serif"/>
                <w:b/>
                <w:sz w:val="20"/>
              </w:rPr>
            </w:pPr>
            <w:r>
              <w:rPr>
                <w:rFonts w:ascii="Calibri;Arial;sans-serif" w:hAnsi="Calibri;Arial;sans-serif"/>
                <w:b/>
                <w:sz w:val="20"/>
              </w:rPr>
              <w:t>Purchased as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9" w:type="dxa"/>
            <w:gridSpan w:val="2"/>
            <w:tcBorders/>
            <w:shd w:fill="FFFFFF" w:val="clear"/>
            <w:vAlign w:val="center"/>
          </w:tcPr>
          <w:p>
            <w:pPr>
              <w:pStyle w:val="TableContents"/>
              <w:bidi w:val="0"/>
              <w:spacing w:before="0" w:after="283"/>
              <w:jc w:val="center"/>
              <w:rPr>
                <w:rFonts w:ascii="Calibri;Arial;sans-serif" w:hAnsi="Calibri;Arial;sans-serif"/>
                <w:b/>
                <w:sz w:val="20"/>
              </w:rPr>
            </w:pPr>
            <w:r>
              <w:rPr>
                <w:rFonts w:ascii="Calibri;Arial;sans-serif" w:hAnsi="Calibri;Arial;sans-serif"/>
                <w:b/>
                <w:sz w:val="20"/>
              </w:rPr>
              <w:t>That May Yet</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Total Number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4"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Part of Publicly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9"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Be Purchased</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Price Paid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4"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Announced Plans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9"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under the Plans or</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Purchased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or Programs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Programs (2)</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July 1 through 31</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1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ind w:left="0" w:right="0" w:hanging="0"/>
              <w:jc w:val="left"/>
              <w:rPr/>
            </w:pPr>
            <w:r>
              <w:rPr/>
              <w:t> </w:t>
            </w:r>
          </w:p>
        </w:tc>
        <w:tc>
          <w:tcPr>
            <w:tcW w:w="121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n/a</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August 1 through 31</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19,742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n/a</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September 1 through 30</w:t>
            </w:r>
          </w:p>
        </w:tc>
        <w:tc>
          <w:tcPr>
            <w:tcW w:w="60" w:type="dxa"/>
            <w:tcBorders/>
            <w:shd w:fill="CCEEFF" w:val="clear"/>
            <w:vAlign w:val="center"/>
          </w:tcPr>
          <w:p>
            <w:pPr>
              <w:pStyle w:val="TableContents"/>
              <w:bidi w:val="0"/>
              <w:spacing w:before="0" w:after="0"/>
              <w:ind w:left="0" w:right="0" w:hanging="0"/>
              <w:jc w:val="left"/>
              <w:rPr/>
            </w:pPr>
            <w:r>
              <w:rPr/>
              <w:t> </w:t>
            </w:r>
          </w:p>
        </w:tc>
        <w:tc>
          <w:tcPr>
            <w:tcW w:w="1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9,908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Calibri;Arial;sans-serif" w:hAnsi="Calibri;Arial;sans-serif"/>
                <w:sz w:val="20"/>
              </w:rPr>
            </w:pPr>
            <w:r>
              <w:rPr>
                <w:rFonts w:ascii="Calibri;Arial;sans-serif" w:hAnsi="Calibri;Arial;sans-serif"/>
                <w:sz w:val="20"/>
              </w:rPr>
              <w:t>5.23</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n/a</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Total</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58,417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1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7"/>
        <w:gridCol w:w="9908"/>
      </w:tblGrid>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w:t>
            </w:r>
          </w:p>
        </w:tc>
        <w:tc>
          <w:tcPr>
            <w:tcW w:w="9908"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These purchases were made to satisfy tax withholding obligations in connection with the vesting of restricted stock units issued to employees.</w:t>
            </w:r>
          </w:p>
        </w:tc>
      </w:tr>
    </w:tbl>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60"/>
        <w:gridCol w:w="245"/>
        <w:gridCol w:w="572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w:t>
            </w:r>
          </w:p>
        </w:tc>
        <w:tc>
          <w:tcPr>
            <w:tcW w:w="572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does not have a publicly announced repurchase plan or program.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140" w:right="0" w:hanging="0"/>
        <w:jc w:val="left"/>
        <w:rPr/>
      </w:pPr>
      <w:r>
        <w:rPr>
          <w:rFonts w:ascii="Calibri;Arial;sans-serif" w:hAnsi="Calibri;Arial;sans-serif"/>
          <w:b/>
          <w:caps w:val="false"/>
          <w:smallCaps w:val="false"/>
          <w:sz w:val="20"/>
        </w:rPr>
        <w:t xml:space="preserve">Item </w:t>
      </w:r>
      <w:r>
        <w:rPr>
          <w:rStyle w:val="Emphasis"/>
          <w:rFonts w:ascii="Calibri;Arial;sans-serif" w:hAnsi="Calibri;Arial;sans-serif"/>
          <w:b/>
          <w:caps w:val="false"/>
          <w:smallCaps w:val="false"/>
          <w:sz w:val="20"/>
        </w:rPr>
        <w:t>5.</w:t>
      </w:r>
      <w:r>
        <w:rPr>
          <w:rFonts w:ascii="Calibri;Arial;sans-serif" w:hAnsi="Calibri;Arial;sans-serif"/>
          <w:b/>
          <w:caps w:val="false"/>
          <w:smallCaps w:val="false"/>
          <w:sz w:val="20"/>
        </w:rPr>
        <w:t xml:space="preserve"> </w:t>
      </w:r>
      <w:bookmarkStart w:id="19" w:name="item5"/>
      <w:bookmarkEnd w:id="19"/>
      <w:r>
        <w:rPr>
          <w:rFonts w:ascii="Calibri;Arial;sans-serif" w:hAnsi="Calibri;Arial;sans-serif"/>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left"/>
        <w:rPr/>
      </w:pPr>
      <w:r>
        <w:rPr>
          <w:rFonts w:ascii="Calibri;Arial;sans-serif" w:hAnsi="Calibri;Arial;sans-serif"/>
          <w:b/>
          <w:caps w:val="false"/>
          <w:smallCaps w:val="false"/>
          <w:sz w:val="20"/>
        </w:rPr>
        <w:t xml:space="preserve">Rule </w:t>
      </w:r>
      <w:r>
        <w:rPr>
          <w:rStyle w:val="Emphasis"/>
          <w:rFonts w:ascii="Calibri;Arial;sans-serif" w:hAnsi="Calibri;Arial;sans-serif"/>
          <w:b/>
          <w:caps w:val="false"/>
          <w:smallCaps w:val="false"/>
          <w:sz w:val="20"/>
        </w:rPr>
        <w:t>10b5</w:t>
      </w:r>
      <w:r>
        <w:rPr>
          <w:rFonts w:ascii="Calibri;Arial;sans-serif" w:hAnsi="Calibri;Arial;sans-serif"/>
          <w:b/>
          <w:caps w:val="false"/>
          <w:smallCaps w:val="false"/>
          <w:sz w:val="20"/>
        </w:rPr>
        <w:t>-</w:t>
      </w:r>
      <w:r>
        <w:rPr>
          <w:rStyle w:val="Emphasis"/>
          <w:rFonts w:ascii="Calibri;Arial;sans-serif" w:hAnsi="Calibri;Arial;sans-serif"/>
          <w:b/>
          <w:caps w:val="false"/>
          <w:smallCaps w:val="false"/>
          <w:sz w:val="20"/>
        </w:rPr>
        <w:t>1</w:t>
      </w:r>
      <w:r>
        <w:rPr>
          <w:rFonts w:ascii="Calibri;Arial;sans-serif" w:hAnsi="Calibri;Arial;sans-serif"/>
          <w:b/>
          <w:caps w:val="false"/>
          <w:smallCaps w:val="false"/>
          <w:sz w:val="20"/>
        </w:rPr>
        <w:t xml:space="preserve"> Trading Plans</w:t>
      </w:r>
    </w:p>
    <w:p>
      <w:pPr>
        <w:pStyle w:val="TextBody"/>
        <w:bidi w:val="0"/>
        <w:spacing w:before="0" w:after="0"/>
        <w:ind w:left="280" w:right="0" w:hanging="0"/>
        <w:jc w:val="left"/>
        <w:rPr>
          <w:caps w:val="false"/>
          <w:smallCaps w:val="false"/>
        </w:rPr>
      </w:pPr>
      <w:r>
        <w:rPr>
          <w:caps w:val="false"/>
          <w:smallCaps w:val="false"/>
        </w:rPr>
        <w:t> </w:t>
      </w:r>
    </w:p>
    <w:p>
      <w:pPr>
        <w:pStyle w:val="TextBody"/>
        <w:bidi w:val="0"/>
        <w:spacing w:before="0" w:after="0"/>
        <w:ind w:left="2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 Trading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[44]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bookmarkStart w:id="20" w:name="exhibits"/>
      <w:bookmarkEnd w:id="20"/>
      <w:r>
        <w:rPr>
          <w:rFonts w:ascii="Calibri;Arial;sans-serif" w:hAnsi="Calibri;Arial;sans-serif"/>
          <w:b/>
          <w:caps w:val="false"/>
          <w:smallCaps w:val="false"/>
          <w:sz w:val="20"/>
        </w:rPr>
        <w:t>Item 6. Exhibits</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Eastman Kodak Company</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Index to Exhibits</w:t>
      </w:r>
    </w:p>
    <w:tbl>
      <w:tblPr>
        <w:tblW w:w="10205" w:type="dxa"/>
        <w:jc w:val="left"/>
        <w:tblInd w:w="0" w:type="dxa"/>
        <w:tblLayout w:type="fixed"/>
        <w:tblCellMar>
          <w:top w:w="0" w:type="dxa"/>
          <w:left w:w="0" w:type="dxa"/>
          <w:bottom w:w="0" w:type="dxa"/>
          <w:right w:w="0" w:type="dxa"/>
        </w:tblCellMar>
      </w:tblPr>
      <w:tblGrid>
        <w:gridCol w:w="725"/>
        <w:gridCol w:w="9480"/>
      </w:tblGrid>
      <w:tr>
        <w:trPr/>
        <w:tc>
          <w:tcPr>
            <w:tcW w:w="725"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Exhibit</w:t>
            </w:r>
          </w:p>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Number</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(3.1)</w:t>
            </w:r>
          </w:p>
        </w:tc>
        <w:tc>
          <w:tcPr>
            <w:tcW w:w="9480" w:type="dxa"/>
            <w:tcBorders/>
            <w:vAlign w:val="center"/>
          </w:tcPr>
          <w:p>
            <w:pPr>
              <w:pStyle w:val="TableContents"/>
              <w:bidi w:val="0"/>
              <w:spacing w:before="0" w:after="0"/>
              <w:ind w:left="0" w:right="0" w:hanging="0"/>
              <w:jc w:val="left"/>
              <w:rPr/>
            </w:pPr>
            <w:hyperlink r:id="rId2">
              <w:r>
                <w:rPr>
                  <w:rStyle w:val="InternetLink"/>
                  <w:rFonts w:ascii="Calibri;Arial;sans-serif" w:hAnsi="Calibri;Arial;sans-serif"/>
                  <w:caps w:val="false"/>
                  <w:smallCaps w:val="false"/>
                  <w:sz w:val="20"/>
                  <w:u w:val="single"/>
                </w:rPr>
                <w:t>Second Amended and Restated Certificate of Incorporation of Eastman Kodak Company (Incorporated by reference to Exhibit 4.1 of the Company’s Registration Statement on Form S-8 as filed on September 3, 2013).</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(3.2)</w:t>
            </w:r>
          </w:p>
        </w:tc>
        <w:tc>
          <w:tcPr>
            <w:tcW w:w="9480" w:type="dxa"/>
            <w:tcBorders/>
            <w:vAlign w:val="center"/>
          </w:tcPr>
          <w:p>
            <w:pPr>
              <w:pStyle w:val="TableContents"/>
              <w:bidi w:val="0"/>
              <w:spacing w:before="0" w:after="0"/>
              <w:ind w:left="0" w:right="0" w:hanging="0"/>
              <w:jc w:val="left"/>
              <w:rPr/>
            </w:pPr>
            <w:hyperlink r:id="rId3">
              <w:r>
                <w:rPr>
                  <w:rStyle w:val="InternetLink"/>
                  <w:rFonts w:ascii="Calibri;Arial;sans-serif" w:hAnsi="Calibri;Arial;sans-serif"/>
                  <w:caps w:val="false"/>
                  <w:smallCaps w:val="false"/>
                  <w:sz w:val="20"/>
                  <w:u w:val="single"/>
                </w:rPr>
                <w:t>Certificate of Amendment to the Second Amended and Restated Certificate of Incorporation of Eastman Kodak Company. (Incorporated by reference to Exhibit 3.1 of the Company’s Current Report on Form 8-K as filed on November 16, 2016).</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(3.3)</w:t>
            </w:r>
          </w:p>
        </w:tc>
        <w:tc>
          <w:tcPr>
            <w:tcW w:w="9480" w:type="dxa"/>
            <w:tcBorders/>
            <w:vAlign w:val="center"/>
          </w:tcPr>
          <w:p>
            <w:pPr>
              <w:pStyle w:val="TableContents"/>
              <w:bidi w:val="0"/>
              <w:spacing w:before="0" w:after="0"/>
              <w:ind w:left="0" w:right="0" w:hanging="0"/>
              <w:jc w:val="left"/>
              <w:rPr/>
            </w:pPr>
            <w:hyperlink r:id="rId4">
              <w:r>
                <w:rPr>
                  <w:rStyle w:val="InternetLink"/>
                  <w:rFonts w:ascii="Calibri;Arial;sans-serif" w:hAnsi="Calibri;Arial;sans-serif"/>
                  <w:caps w:val="false"/>
                  <w:smallCaps w:val="false"/>
                  <w:sz w:val="20"/>
                  <w:u w:val="single"/>
                </w:rPr>
                <w:t>Certificate of Amendment to the Second Amended and Restated Certificate of Incorporation of Eastman Kodak Company (Incorporated by reference to Exhibit (3.1) of the Company’s Current Report on Form 8-K as filed on September 12, 2019).</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(3.4)</w:t>
            </w:r>
          </w:p>
        </w:tc>
        <w:tc>
          <w:tcPr>
            <w:tcW w:w="9480" w:type="dxa"/>
            <w:tcBorders/>
            <w:vAlign w:val="center"/>
          </w:tcPr>
          <w:p>
            <w:pPr>
              <w:pStyle w:val="TableContents"/>
              <w:bidi w:val="0"/>
              <w:spacing w:before="0" w:after="0"/>
              <w:ind w:left="0" w:right="0" w:hanging="0"/>
              <w:jc w:val="left"/>
              <w:rPr/>
            </w:pPr>
            <w:hyperlink r:id="rId5">
              <w:r>
                <w:rPr>
                  <w:rStyle w:val="InternetLink"/>
                  <w:rFonts w:ascii="Calibri;Arial;sans-serif" w:hAnsi="Calibri;Arial;sans-serif"/>
                  <w:caps w:val="false"/>
                  <w:smallCaps w:val="false"/>
                  <w:sz w:val="20"/>
                  <w:u w:val="single"/>
                </w:rPr>
                <w:t>Certificate of Amendment to the Second Amended and Restated Certificate of Incorporation of Eastman Kodak Company (Incorporated by reference to Exhibit (3.2) of the Company’s Current Report on Form 8-K as filed on September 12, 2019).</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(3.5)</w:t>
            </w:r>
          </w:p>
        </w:tc>
        <w:tc>
          <w:tcPr>
            <w:tcW w:w="9480" w:type="dxa"/>
            <w:tcBorders/>
            <w:vAlign w:val="center"/>
          </w:tcPr>
          <w:p>
            <w:pPr>
              <w:pStyle w:val="TableContents"/>
              <w:bidi w:val="0"/>
              <w:spacing w:before="0" w:after="0"/>
              <w:ind w:left="0" w:right="0" w:hanging="0"/>
              <w:jc w:val="left"/>
              <w:rPr/>
            </w:pPr>
            <w:hyperlink r:id="rId6">
              <w:r>
                <w:rPr>
                  <w:rStyle w:val="InternetLink"/>
                  <w:rFonts w:ascii="Calibri;Arial;sans-serif" w:hAnsi="Calibri;Arial;sans-serif"/>
                  <w:caps w:val="false"/>
                  <w:smallCaps w:val="false"/>
                  <w:sz w:val="20"/>
                  <w:u w:val="single"/>
                </w:rPr>
                <w:t>Certificate of Amendment to the Second Amended and Restated Certificate of Incorporation of Eastman Kodak Company (Incorporated by reference to Exhibit 3.1 of the Company’s Current Report on Form 8-K as filed on December 29, 2020).</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(3.6)</w:t>
            </w:r>
          </w:p>
        </w:tc>
        <w:tc>
          <w:tcPr>
            <w:tcW w:w="9480" w:type="dxa"/>
            <w:tcBorders/>
            <w:vAlign w:val="center"/>
          </w:tcPr>
          <w:p>
            <w:pPr>
              <w:pStyle w:val="TableContents"/>
              <w:bidi w:val="0"/>
              <w:spacing w:before="0" w:after="0"/>
              <w:ind w:left="0" w:right="0" w:hanging="0"/>
              <w:jc w:val="left"/>
              <w:rPr/>
            </w:pPr>
            <w:hyperlink r:id="rId7">
              <w:r>
                <w:rPr>
                  <w:rStyle w:val="InternetLink"/>
                  <w:rFonts w:ascii="Calibri;Arial;sans-serif" w:hAnsi="Calibri;Arial;sans-serif"/>
                  <w:caps w:val="false"/>
                  <w:smallCaps w:val="false"/>
                  <w:sz w:val="20"/>
                  <w:u w:val="single"/>
                </w:rPr>
                <w:t>Certificate of Amendment to the Second Amended and Restated Certificate of Incorporation of Eastman Kodak Company (Incorporated by reference to Exhibit 3.1 of the Company’s Current Report on Form 8-K as filed on March 1, 2021).</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(3.7)</w:t>
            </w:r>
          </w:p>
        </w:tc>
        <w:tc>
          <w:tcPr>
            <w:tcW w:w="9480" w:type="dxa"/>
            <w:tcBorders/>
            <w:vAlign w:val="center"/>
          </w:tcPr>
          <w:p>
            <w:pPr>
              <w:pStyle w:val="TableContents"/>
              <w:bidi w:val="0"/>
              <w:spacing w:before="0" w:after="0"/>
              <w:ind w:left="0" w:right="0" w:hanging="0"/>
              <w:jc w:val="left"/>
              <w:rPr/>
            </w:pPr>
            <w:hyperlink r:id="rId8">
              <w:r>
                <w:rPr>
                  <w:rStyle w:val="InternetLink"/>
                  <w:rFonts w:ascii="Calibri;Arial;sans-serif" w:hAnsi="Calibri;Arial;sans-serif"/>
                  <w:caps w:val="false"/>
                  <w:smallCaps w:val="false"/>
                  <w:sz w:val="20"/>
                  <w:u w:val="single"/>
                </w:rPr>
                <w:t>Certificate of Amendment to the Second Amended and Restated Certificate of Incorporation of Eastman Kodak Company (Incorporated by reference to Exhibit 3.2 of the Company’s Current Report on Form 8-K as filed on March 1, 2021).</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(3.8)</w:t>
            </w:r>
          </w:p>
        </w:tc>
        <w:tc>
          <w:tcPr>
            <w:tcW w:w="9480" w:type="dxa"/>
            <w:tcBorders/>
            <w:vAlign w:val="center"/>
          </w:tcPr>
          <w:p>
            <w:pPr>
              <w:pStyle w:val="TableContents"/>
              <w:bidi w:val="0"/>
              <w:spacing w:before="0" w:after="0"/>
              <w:ind w:left="0" w:right="0" w:hanging="0"/>
              <w:jc w:val="left"/>
              <w:rPr/>
            </w:pPr>
            <w:hyperlink r:id="rId9">
              <w:r>
                <w:rPr>
                  <w:rStyle w:val="InternetLink"/>
                  <w:rFonts w:ascii="Calibri;Arial;sans-serif" w:hAnsi="Calibri;Arial;sans-serif"/>
                  <w:caps w:val="false"/>
                  <w:smallCaps w:val="false"/>
                  <w:sz w:val="20"/>
                  <w:u w:val="single"/>
                </w:rPr>
                <w:t>Fourth Amended and Restated By-Laws of Eastman Kodak Company (Incorporated by reference to Exhibit (3.5) of the Company’s Quarterly Report on Form 10-Q for the quarterly period ended March 31, 2020 as filed on May 12, 2020).</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7"/>
        <w:gridCol w:w="9708"/>
      </w:tblGrid>
      <w:tr>
        <w:trPr/>
        <w:tc>
          <w:tcPr>
            <w:tcW w:w="497"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(31.1)</w:t>
            </w:r>
          </w:p>
        </w:tc>
        <w:tc>
          <w:tcPr>
            <w:tcW w:w="9708" w:type="dxa"/>
            <w:tcBorders/>
            <w:vAlign w:val="center"/>
          </w:tcPr>
          <w:p>
            <w:pPr>
              <w:pStyle w:val="TableContents"/>
              <w:bidi w:val="0"/>
              <w:spacing w:before="0" w:after="0"/>
              <w:ind w:left="0" w:right="0" w:hanging="0"/>
              <w:jc w:val="left"/>
              <w:rPr/>
            </w:pPr>
            <w:hyperlink w:anchor="ex_715766.htm">
              <w:r>
                <w:rPr>
                  <w:rStyle w:val="InternetLink"/>
                  <w:rFonts w:ascii="Calibri;Arial;sans-serif" w:hAnsi="Calibri;Arial;sans-serif"/>
                  <w:caps w:val="false"/>
                  <w:smallCaps w:val="false"/>
                  <w:sz w:val="20"/>
                </w:rPr>
                <w:t>Certification signed by James V. Continenza, filed herewith.</w:t>
              </w:r>
            </w:hyperlink>
          </w:p>
        </w:tc>
      </w:tr>
      <w:tr>
        <w:trPr/>
        <w:tc>
          <w:tcPr>
            <w:tcW w:w="497" w:type="dxa"/>
            <w:tcBorders/>
            <w:vAlign w:val="center"/>
          </w:tcPr>
          <w:p>
            <w:pPr>
              <w:pStyle w:val="TableContents"/>
              <w:bidi w:val="0"/>
              <w:spacing w:before="0" w:after="283"/>
              <w:jc w:val="left"/>
              <w:rPr/>
            </w:pPr>
            <w:r>
              <w:rPr/>
              <w:t> </w:t>
            </w:r>
          </w:p>
        </w:tc>
        <w:tc>
          <w:tcPr>
            <w:tcW w:w="9708" w:type="dxa"/>
            <w:tcBorders/>
            <w:vAlign w:val="center"/>
          </w:tcPr>
          <w:p>
            <w:pPr>
              <w:pStyle w:val="TableContents"/>
              <w:bidi w:val="0"/>
              <w:spacing w:before="0" w:after="283"/>
              <w:jc w:val="left"/>
              <w:rPr/>
            </w:pPr>
            <w:r>
              <w:rPr/>
              <w:t> </w:t>
            </w:r>
          </w:p>
        </w:tc>
      </w:tr>
      <w:tr>
        <w:trPr/>
        <w:tc>
          <w:tcPr>
            <w:tcW w:w="497"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(31.2)</w:t>
            </w:r>
          </w:p>
        </w:tc>
        <w:tc>
          <w:tcPr>
            <w:tcW w:w="9708" w:type="dxa"/>
            <w:tcBorders/>
            <w:vAlign w:val="center"/>
          </w:tcPr>
          <w:p>
            <w:pPr>
              <w:pStyle w:val="TableContents"/>
              <w:bidi w:val="0"/>
              <w:spacing w:before="0" w:after="0"/>
              <w:ind w:left="0" w:right="0" w:hanging="0"/>
              <w:jc w:val="left"/>
              <w:rPr/>
            </w:pPr>
            <w:hyperlink w:anchor="ex_715767.htm">
              <w:r>
                <w:rPr>
                  <w:rStyle w:val="InternetLink"/>
                  <w:rFonts w:ascii="Calibri;Arial;sans-serif" w:hAnsi="Calibri;Arial;sans-serif"/>
                  <w:caps w:val="false"/>
                  <w:smallCaps w:val="false"/>
                  <w:sz w:val="20"/>
                </w:rPr>
                <w:t>Certification signed by David E. Bullwinkle, filed herewith.</w:t>
              </w:r>
            </w:hyperlink>
          </w:p>
        </w:tc>
      </w:tr>
      <w:tr>
        <w:trPr/>
        <w:tc>
          <w:tcPr>
            <w:tcW w:w="497" w:type="dxa"/>
            <w:tcBorders/>
            <w:vAlign w:val="center"/>
          </w:tcPr>
          <w:p>
            <w:pPr>
              <w:pStyle w:val="TableContents"/>
              <w:bidi w:val="0"/>
              <w:spacing w:before="0" w:after="283"/>
              <w:jc w:val="left"/>
              <w:rPr/>
            </w:pPr>
            <w:r>
              <w:rPr/>
              <w:t> </w:t>
            </w:r>
          </w:p>
        </w:tc>
        <w:tc>
          <w:tcPr>
            <w:tcW w:w="9708" w:type="dxa"/>
            <w:tcBorders/>
            <w:vAlign w:val="center"/>
          </w:tcPr>
          <w:p>
            <w:pPr>
              <w:pStyle w:val="TableContents"/>
              <w:bidi w:val="0"/>
              <w:spacing w:before="0" w:after="283"/>
              <w:jc w:val="left"/>
              <w:rPr/>
            </w:pPr>
            <w:r>
              <w:rPr/>
              <w:t> </w:t>
            </w:r>
          </w:p>
        </w:tc>
      </w:tr>
      <w:tr>
        <w:trPr/>
        <w:tc>
          <w:tcPr>
            <w:tcW w:w="497"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(32.1)</w:t>
            </w:r>
          </w:p>
        </w:tc>
        <w:tc>
          <w:tcPr>
            <w:tcW w:w="9708" w:type="dxa"/>
            <w:tcBorders/>
            <w:vAlign w:val="center"/>
          </w:tcPr>
          <w:p>
            <w:pPr>
              <w:pStyle w:val="TableContents"/>
              <w:bidi w:val="0"/>
              <w:spacing w:before="0" w:after="0"/>
              <w:ind w:left="0" w:right="0" w:hanging="0"/>
              <w:jc w:val="left"/>
              <w:rPr/>
            </w:pPr>
            <w:hyperlink w:anchor="ex_715768.htm">
              <w:r>
                <w:rPr>
                  <w:rStyle w:val="InternetLink"/>
                  <w:rFonts w:ascii="Calibri;Arial;sans-serif" w:hAnsi="Calibri;Arial;sans-serif"/>
                  <w:caps w:val="false"/>
                  <w:smallCaps w:val="false"/>
                  <w:sz w:val="20"/>
                </w:rPr>
                <w:t>Certification Pursuant to 18 U.S.C. Section 1350, as Adopted Pursuant to Section 906 of the Sarbanes-Oxley Act of 2002, signed by James V. Continenza, filed herewith.</w:t>
              </w:r>
            </w:hyperlink>
          </w:p>
        </w:tc>
      </w:tr>
      <w:tr>
        <w:trPr/>
        <w:tc>
          <w:tcPr>
            <w:tcW w:w="497" w:type="dxa"/>
            <w:tcBorders/>
            <w:vAlign w:val="center"/>
          </w:tcPr>
          <w:p>
            <w:pPr>
              <w:pStyle w:val="TableContents"/>
              <w:bidi w:val="0"/>
              <w:spacing w:before="0" w:after="283"/>
              <w:jc w:val="left"/>
              <w:rPr/>
            </w:pPr>
            <w:r>
              <w:rPr/>
              <w:t> </w:t>
            </w:r>
          </w:p>
        </w:tc>
        <w:tc>
          <w:tcPr>
            <w:tcW w:w="9708" w:type="dxa"/>
            <w:tcBorders/>
            <w:vAlign w:val="center"/>
          </w:tcPr>
          <w:p>
            <w:pPr>
              <w:pStyle w:val="TableContents"/>
              <w:bidi w:val="0"/>
              <w:spacing w:before="0" w:after="283"/>
              <w:jc w:val="left"/>
              <w:rPr/>
            </w:pPr>
            <w:r>
              <w:rPr/>
              <w:t> </w:t>
            </w:r>
          </w:p>
        </w:tc>
      </w:tr>
      <w:tr>
        <w:trPr/>
        <w:tc>
          <w:tcPr>
            <w:tcW w:w="497"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(32.2)</w:t>
            </w:r>
          </w:p>
        </w:tc>
        <w:tc>
          <w:tcPr>
            <w:tcW w:w="9708" w:type="dxa"/>
            <w:tcBorders/>
            <w:vAlign w:val="center"/>
          </w:tcPr>
          <w:p>
            <w:pPr>
              <w:pStyle w:val="TableContents"/>
              <w:bidi w:val="0"/>
              <w:spacing w:before="0" w:after="0"/>
              <w:ind w:left="0" w:right="0" w:hanging="0"/>
              <w:jc w:val="left"/>
              <w:rPr/>
            </w:pPr>
            <w:hyperlink w:anchor="ex_715769.htm">
              <w:r>
                <w:rPr>
                  <w:rStyle w:val="InternetLink"/>
                  <w:rFonts w:ascii="Calibri;Arial;sans-serif" w:hAnsi="Calibri;Arial;sans-serif"/>
                  <w:caps w:val="false"/>
                  <w:smallCaps w:val="false"/>
                  <w:sz w:val="20"/>
                </w:rPr>
                <w:t>Certification Pursuant to 18 U.S.C. Section 1350, as Adopted Pursuant to Section 906 of the Sarbanes-Oxley Act of 2002 signed by David E. Bullwinkle, filed herewith.</w:t>
              </w:r>
            </w:hyperlink>
          </w:p>
        </w:tc>
      </w:tr>
    </w:tbl>
    <w:p>
      <w:pPr>
        <w:pStyle w:val="TextBody"/>
        <w:bidi w:val="0"/>
        <w:spacing w:before="0" w:after="0"/>
        <w:ind w:left="0" w:right="0" w:hanging="0"/>
        <w:jc w:val="left"/>
        <w:rPr/>
      </w:pPr>
      <w:r>
        <w:rPr/>
        <w:t> </w:t>
      </w:r>
    </w:p>
    <w:tbl>
      <w:tblPr>
        <w:tblW w:w="7765" w:type="dxa"/>
        <w:jc w:val="left"/>
        <w:tblInd w:w="0" w:type="dxa"/>
        <w:tblLayout w:type="fixed"/>
        <w:tblCellMar>
          <w:top w:w="0" w:type="dxa"/>
          <w:left w:w="0" w:type="dxa"/>
          <w:bottom w:w="0" w:type="dxa"/>
          <w:right w:w="0" w:type="dxa"/>
        </w:tblCellMar>
      </w:tblPr>
      <w:tblGrid>
        <w:gridCol w:w="830"/>
        <w:gridCol w:w="6935"/>
      </w:tblGrid>
      <w:tr>
        <w:trPr/>
        <w:tc>
          <w:tcPr>
            <w:tcW w:w="83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(101.CAL)</w:t>
            </w:r>
          </w:p>
        </w:tc>
        <w:tc>
          <w:tcPr>
            <w:tcW w:w="69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Inline XBRL Taxonomy Extension Calculation Linkbase.</w:t>
            </w:r>
          </w:p>
        </w:tc>
      </w:tr>
      <w:tr>
        <w:trPr/>
        <w:tc>
          <w:tcPr>
            <w:tcW w:w="83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(101.INS)</w:t>
            </w:r>
          </w:p>
        </w:tc>
        <w:tc>
          <w:tcPr>
            <w:tcW w:w="69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Inline XBRL Instance Document.</w:t>
            </w:r>
          </w:p>
        </w:tc>
      </w:tr>
      <w:tr>
        <w:trPr/>
        <w:tc>
          <w:tcPr>
            <w:tcW w:w="83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(101.LAB)</w:t>
            </w:r>
          </w:p>
        </w:tc>
        <w:tc>
          <w:tcPr>
            <w:tcW w:w="69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Inline XBRL Taxonomy Extension Label Linkbase.</w:t>
            </w:r>
          </w:p>
        </w:tc>
      </w:tr>
      <w:tr>
        <w:trPr/>
        <w:tc>
          <w:tcPr>
            <w:tcW w:w="83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(101.PRE)</w:t>
            </w:r>
          </w:p>
        </w:tc>
        <w:tc>
          <w:tcPr>
            <w:tcW w:w="69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Inline XBRL Taxonomy Extension Presentation Linkbase.</w:t>
            </w:r>
          </w:p>
        </w:tc>
      </w:tr>
      <w:tr>
        <w:trPr/>
        <w:tc>
          <w:tcPr>
            <w:tcW w:w="83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(101.SCH)</w:t>
            </w:r>
          </w:p>
        </w:tc>
        <w:tc>
          <w:tcPr>
            <w:tcW w:w="69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Inline XBRL Taxonomy Extension Schema Linkbase.</w:t>
            </w:r>
          </w:p>
        </w:tc>
      </w:tr>
      <w:tr>
        <w:trPr/>
        <w:tc>
          <w:tcPr>
            <w:tcW w:w="83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(101.DEF)</w:t>
            </w:r>
          </w:p>
        </w:tc>
        <w:tc>
          <w:tcPr>
            <w:tcW w:w="69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Inline XBRL Taxonomy Extension Definition Linkbase</w:t>
            </w:r>
          </w:p>
        </w:tc>
      </w:tr>
      <w:tr>
        <w:trPr/>
        <w:tc>
          <w:tcPr>
            <w:tcW w:w="83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0"/>
              <w:ind w:left="360" w:right="0" w:hanging="360"/>
              <w:jc w:val="left"/>
              <w:rPr>
                <w:rFonts w:ascii="Calibri;Arial;sans-serif" w:hAnsi="Calibri;Arial;sans-serif"/>
                <w:caps w:val="false"/>
                <w:smallCaps w:val="false"/>
                <w:sz w:val="20"/>
              </w:rPr>
            </w:pPr>
            <w:r>
              <w:rPr>
                <w:rFonts w:ascii="Calibri;Arial;sans-serif" w:hAnsi="Calibri;Arial;sans-serif"/>
                <w:caps w:val="false"/>
                <w:smallCaps w:val="false"/>
                <w:sz w:val="20"/>
              </w:rPr>
              <w:t>(104)</w:t>
            </w:r>
          </w:p>
        </w:tc>
        <w:tc>
          <w:tcPr>
            <w:tcW w:w="69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Cover Page Interactive Data File (formatted in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Calibri;Arial;sans-serif" w:hAnsi="Calibri;Arial;sans-serif"/>
          <w:b/>
          <w:caps w:val="false"/>
          <w:smallCaps w:val="false"/>
          <w:sz w:val="20"/>
        </w:rPr>
      </w:pPr>
      <w:bookmarkStart w:id="21" w:name="sigs"/>
      <w:bookmarkEnd w:id="21"/>
      <w:r>
        <w:rPr>
          <w:rFonts w:ascii="Calibri;Arial;sans-serif" w:hAnsi="Calibri;Arial;sans-serif"/>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2165"/>
        <w:gridCol w:w="4220"/>
      </w:tblGrid>
      <w:tr>
        <w:trPr/>
        <w:tc>
          <w:tcPr>
            <w:tcW w:w="2165"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EASTMAN KODAK COMPANY</w:t>
            </w:r>
          </w:p>
        </w:tc>
      </w:tr>
      <w:tr>
        <w:trPr/>
        <w:tc>
          <w:tcPr>
            <w:tcW w:w="2165"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(Registrant)</w:t>
            </w:r>
          </w:p>
        </w:tc>
      </w:tr>
      <w:tr>
        <w:trPr/>
        <w:tc>
          <w:tcPr>
            <w:tcW w:w="2165"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ind w:left="0" w:right="0" w:hanging="0"/>
              <w:jc w:val="left"/>
              <w:rPr/>
            </w:pPr>
            <w:r>
              <w:rPr/>
              <w:t> </w:t>
            </w:r>
          </w:p>
        </w:tc>
        <w:tc>
          <w:tcPr>
            <w:tcW w:w="4220" w:type="dxa"/>
            <w:tcBorders/>
            <w:vAlign w:val="center"/>
          </w:tcPr>
          <w:p>
            <w:pPr>
              <w:pStyle w:val="TableContents"/>
              <w:bidi w:val="0"/>
              <w:spacing w:before="0" w:after="0"/>
              <w:ind w:left="0" w:right="0" w:hanging="0"/>
              <w:jc w:val="left"/>
              <w:rPr/>
            </w:pPr>
            <w:r>
              <w:rPr/>
              <w:t> </w:t>
            </w:r>
          </w:p>
        </w:tc>
      </w:tr>
      <w:tr>
        <w:trPr/>
        <w:tc>
          <w:tcPr>
            <w:tcW w:w="2165"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Date: November 12, 2024</w:t>
            </w:r>
          </w:p>
        </w:tc>
        <w:tc>
          <w:tcPr>
            <w:tcW w:w="4220" w:type="dxa"/>
            <w:tcBorders>
              <w:bottom w:val="single" w:sz="2" w:space="0" w:color="000000"/>
            </w:tcBorders>
            <w:tcMar>
              <w:bottom w:w="28" w:type="dxa"/>
            </w:tcM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 Richard T. Michaels</w:t>
            </w:r>
          </w:p>
        </w:tc>
      </w:tr>
      <w:tr>
        <w:trPr/>
        <w:tc>
          <w:tcPr>
            <w:tcW w:w="2165"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Richard T. Michaels</w:t>
            </w:r>
          </w:p>
        </w:tc>
      </w:tr>
      <w:tr>
        <w:trPr/>
        <w:tc>
          <w:tcPr>
            <w:tcW w:w="2165"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Chief Accounting Officer and Corporate Controller</w:t>
            </w:r>
          </w:p>
        </w:tc>
      </w:tr>
      <w:tr>
        <w:trPr/>
        <w:tc>
          <w:tcPr>
            <w:tcW w:w="2165"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(Chief Accounting Officer and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Calibri;Arial;sans-serif" w:hAnsi="Calibri;Arial;sans-serif"/>
          <w:sz w:val="20"/>
        </w:rPr>
      </w:pPr>
      <w:r>
        <w:rPr>
          <w:rFonts w:ascii="Calibri;Arial;sans-serif" w:hAnsi="Calibri;Arial;sans-serif"/>
          <w:sz w:val="20"/>
        </w:rPr>
        <w:t xml:space="preserve">[47] </w:t>
      </w:r>
    </w:p>
    <w:p>
      <w:pPr>
        <w:pStyle w:val="TextBody"/>
        <w:bidi w:val="0"/>
        <w:spacing w:before="0" w:after="283"/>
        <w:jc w:val="left"/>
        <w:rPr/>
      </w:pPr>
      <w:r>
        <w:rPr/>
        <w:t xml:space="preserve">  </w:t>
      </w:r>
    </w:p>
    <w:p>
      <w:pPr>
        <w:pStyle w:val="TextBody"/>
        <w:bidi w:val="0"/>
        <w:spacing w:before="0" w:after="0"/>
        <w:ind w:left="0" w:right="0" w:hanging="0"/>
        <w:jc w:val="right"/>
        <w:rPr>
          <w:rFonts w:ascii="Calibri;Arial;sans-serif" w:hAnsi="Calibri;Arial;sans-serif"/>
          <w:b/>
          <w:caps w:val="false"/>
          <w:smallCaps w:val="false"/>
          <w:sz w:val="20"/>
        </w:rPr>
      </w:pPr>
      <w:bookmarkStart w:id="22" w:name="ex_715766.htm"/>
      <w:bookmarkStart w:id="23" w:name="ksex_715766"/>
      <w:bookmarkEnd w:id="22"/>
      <w:bookmarkEnd w:id="23"/>
      <w:r>
        <w:rPr>
          <w:rFonts w:ascii="Calibri;Arial;sans-serif" w:hAnsi="Calibri;Arial;sans-serif"/>
          <w:b/>
          <w:caps w:val="false"/>
          <w:smallCaps w:val="false"/>
          <w:sz w:val="20"/>
        </w:rPr>
        <w:t>Exhibit (31.1)</w:t>
      </w:r>
      <w:r>
        <w:br w:type="page"/>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 James V. Continenza, certify that:</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185"/>
        <w:gridCol w:w="4790"/>
      </w:tblGrid>
      <w:tr>
        <w:trPr/>
        <w:tc>
          <w:tcPr>
            <w:tcW w:w="18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w:t>
            </w:r>
          </w:p>
        </w:tc>
        <w:tc>
          <w:tcPr>
            <w:tcW w:w="479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 have reviewed this Form 10-Q of Eastman Kodak Company;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w:t>
            </w:r>
          </w:p>
        </w:tc>
        <w:tc>
          <w:tcPr>
            <w:tcW w:w="10057"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w:t>
            </w:r>
          </w:p>
        </w:tc>
        <w:tc>
          <w:tcPr>
            <w:tcW w:w="10054"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4)</w:t>
            </w:r>
          </w:p>
        </w:tc>
        <w:tc>
          <w:tcPr>
            <w:tcW w:w="10058"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5)</w:t>
            </w:r>
          </w:p>
        </w:tc>
        <w:tc>
          <w:tcPr>
            <w:tcW w:w="1005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65" w:type="dxa"/>
        <w:jc w:val="left"/>
        <w:tblInd w:w="0" w:type="dxa"/>
        <w:tblLayout w:type="fixed"/>
        <w:tblCellMar>
          <w:top w:w="0" w:type="dxa"/>
          <w:left w:w="0" w:type="dxa"/>
          <w:bottom w:w="28" w:type="dxa"/>
          <w:right w:w="0" w:type="dxa"/>
        </w:tblCellMar>
      </w:tblPr>
      <w:tblGrid>
        <w:gridCol w:w="2105"/>
        <w:gridCol w:w="60"/>
      </w:tblGrid>
      <w:tr>
        <w:trPr/>
        <w:tc>
          <w:tcPr>
            <w:tcW w:w="2105" w:type="dxa"/>
            <w:tcBorders>
              <w:bottom w:val="single" w:sz="2" w:space="0" w:color="000000"/>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 James V. Continenza</w:t>
            </w:r>
          </w:p>
        </w:tc>
        <w:tc>
          <w:tcPr>
            <w:tcW w:w="60" w:type="dxa"/>
            <w:tcBorders/>
            <w:tcMar>
              <w:bottom w:w="0" w:type="dxa"/>
            </w:tcMar>
            <w:vAlign w:val="center"/>
          </w:tcPr>
          <w:p>
            <w:pPr>
              <w:pStyle w:val="TableContents"/>
              <w:bidi w:val="0"/>
              <w:spacing w:before="0" w:after="283"/>
              <w:jc w:val="left"/>
              <w:rPr/>
            </w:pPr>
            <w:r>
              <w:rPr/>
              <w:t> </w:t>
            </w:r>
          </w:p>
        </w:tc>
      </w:tr>
      <w:tr>
        <w:trPr/>
        <w:tc>
          <w:tcPr>
            <w:tcW w:w="2105" w:type="dxa"/>
            <w:tcBorders/>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James V. Continenza</w:t>
            </w:r>
          </w:p>
        </w:tc>
        <w:tc>
          <w:tcPr>
            <w:tcW w:w="60" w:type="dxa"/>
            <w:tcBorders/>
            <w:tcMar>
              <w:bottom w:w="0" w:type="dxa"/>
            </w:tcMar>
            <w:vAlign w:val="center"/>
          </w:tcPr>
          <w:p>
            <w:pPr>
              <w:pStyle w:val="TableContents"/>
              <w:bidi w:val="0"/>
              <w:spacing w:before="0" w:after="283"/>
              <w:jc w:val="left"/>
              <w:rPr/>
            </w:pPr>
            <w:r>
              <w:rPr/>
              <w:t> </w:t>
            </w:r>
          </w:p>
        </w:tc>
      </w:tr>
      <w:tr>
        <w:trPr/>
        <w:tc>
          <w:tcPr>
            <w:tcW w:w="2105" w:type="dxa"/>
            <w:tcBorders/>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Executive Chairman and</w:t>
            </w:r>
          </w:p>
        </w:tc>
        <w:tc>
          <w:tcPr>
            <w:tcW w:w="60" w:type="dxa"/>
            <w:tcBorders/>
            <w:tcMar>
              <w:bottom w:w="0" w:type="dxa"/>
            </w:tcMar>
            <w:vAlign w:val="center"/>
          </w:tcPr>
          <w:p>
            <w:pPr>
              <w:pStyle w:val="TableContents"/>
              <w:bidi w:val="0"/>
              <w:spacing w:before="0" w:after="283"/>
              <w:jc w:val="left"/>
              <w:rPr/>
            </w:pPr>
            <w:r>
              <w:rPr/>
              <w:t> </w:t>
            </w:r>
          </w:p>
        </w:tc>
      </w:tr>
      <w:tr>
        <w:trPr/>
        <w:tc>
          <w:tcPr>
            <w:tcW w:w="2105" w:type="dxa"/>
            <w:tcBorders/>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Chief Executive Officer</w:t>
            </w:r>
          </w:p>
        </w:tc>
        <w:tc>
          <w:tcPr>
            <w:tcW w:w="60" w:type="dxa"/>
            <w:tcBorders/>
            <w:tcMar>
              <w:bottom w:w="0" w:type="dxa"/>
            </w:tcMar>
            <w:vAlign w:val="center"/>
          </w:tcPr>
          <w:p>
            <w:pPr>
              <w:pStyle w:val="TableContents"/>
              <w:bidi w:val="0"/>
              <w:spacing w:before="0" w:after="283"/>
              <w:jc w:val="left"/>
              <w:rPr/>
            </w:pPr>
            <w:r>
              <w:rPr/>
              <w:t> </w:t>
            </w:r>
          </w:p>
        </w:tc>
      </w:tr>
      <w:tr>
        <w:trPr/>
        <w:tc>
          <w:tcPr>
            <w:tcW w:w="21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1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105" w:type="dxa"/>
            <w:tcBorders/>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 xml:space="preserve">Date:  </w:t>
            </w:r>
            <w:bookmarkStart w:id="24" w:name="led293237F20228261664228988848"/>
            <w:bookmarkEnd w:id="24"/>
            <w:r>
              <w:rPr>
                <w:rFonts w:ascii="Calibri;Arial;sans-serif" w:hAnsi="Calibri;Arial;sans-serif"/>
                <w:caps w:val="false"/>
                <w:smallCaps w:val="false"/>
                <w:sz w:val="20"/>
              </w:rPr>
              <w:t>November 12, 2024</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Calibri;Arial;sans-serif" w:hAnsi="Calibri;Arial;sans-serif"/>
          <w:b/>
          <w:caps w:val="false"/>
          <w:smallCaps w:val="false"/>
          <w:sz w:val="20"/>
        </w:rPr>
      </w:pPr>
      <w:bookmarkStart w:id="25" w:name="ex_715767.htm"/>
      <w:bookmarkStart w:id="26" w:name="ksex_715767"/>
      <w:bookmarkEnd w:id="25"/>
      <w:bookmarkEnd w:id="26"/>
      <w:r>
        <w:rPr>
          <w:rFonts w:ascii="Calibri;Arial;sans-serif" w:hAnsi="Calibri;Arial;sans-serif"/>
          <w:b/>
          <w:caps w:val="false"/>
          <w:smallCaps w:val="false"/>
          <w:sz w:val="20"/>
        </w:rPr>
        <w:t>Exhibit (31.2)</w:t>
      </w:r>
      <w:r>
        <w:br w:type="page"/>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 David E. Bullwinkle, certify that:</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185"/>
        <w:gridCol w:w="4790"/>
      </w:tblGrid>
      <w:tr>
        <w:trPr/>
        <w:tc>
          <w:tcPr>
            <w:tcW w:w="18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w:t>
            </w:r>
          </w:p>
        </w:tc>
        <w:tc>
          <w:tcPr>
            <w:tcW w:w="479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 have reviewed this Form 10-Q of Eastman Kodak Company;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w:t>
            </w:r>
          </w:p>
        </w:tc>
        <w:tc>
          <w:tcPr>
            <w:tcW w:w="10057"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w:t>
            </w:r>
          </w:p>
        </w:tc>
        <w:tc>
          <w:tcPr>
            <w:tcW w:w="10054"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4)</w:t>
            </w:r>
          </w:p>
        </w:tc>
        <w:tc>
          <w:tcPr>
            <w:tcW w:w="10058"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5)</w:t>
            </w:r>
          </w:p>
        </w:tc>
        <w:tc>
          <w:tcPr>
            <w:tcW w:w="1005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65" w:type="dxa"/>
        <w:jc w:val="left"/>
        <w:tblInd w:w="0" w:type="dxa"/>
        <w:tblLayout w:type="fixed"/>
        <w:tblCellMar>
          <w:top w:w="0" w:type="dxa"/>
          <w:left w:w="0" w:type="dxa"/>
          <w:bottom w:w="28" w:type="dxa"/>
          <w:right w:w="0" w:type="dxa"/>
        </w:tblCellMar>
      </w:tblPr>
      <w:tblGrid>
        <w:gridCol w:w="2105"/>
        <w:gridCol w:w="60"/>
      </w:tblGrid>
      <w:tr>
        <w:trPr/>
        <w:tc>
          <w:tcPr>
            <w:tcW w:w="2105" w:type="dxa"/>
            <w:tcBorders>
              <w:bottom w:val="single" w:sz="2" w:space="0" w:color="000000"/>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 David E. Bullwinkle</w:t>
            </w:r>
          </w:p>
        </w:tc>
        <w:tc>
          <w:tcPr>
            <w:tcW w:w="60" w:type="dxa"/>
            <w:tcBorders/>
            <w:tcMar>
              <w:bottom w:w="0" w:type="dxa"/>
            </w:tcMar>
            <w:vAlign w:val="center"/>
          </w:tcPr>
          <w:p>
            <w:pPr>
              <w:pStyle w:val="TableContents"/>
              <w:bidi w:val="0"/>
              <w:spacing w:before="0" w:after="283"/>
              <w:jc w:val="left"/>
              <w:rPr/>
            </w:pPr>
            <w:r>
              <w:rPr/>
              <w:t> </w:t>
            </w:r>
          </w:p>
        </w:tc>
      </w:tr>
      <w:tr>
        <w:trPr/>
        <w:tc>
          <w:tcPr>
            <w:tcW w:w="2105" w:type="dxa"/>
            <w:tcBorders/>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David E. Bullwinkle</w:t>
            </w:r>
          </w:p>
        </w:tc>
        <w:tc>
          <w:tcPr>
            <w:tcW w:w="60" w:type="dxa"/>
            <w:tcBorders/>
            <w:tcMar>
              <w:bottom w:w="0" w:type="dxa"/>
            </w:tcMar>
            <w:vAlign w:val="center"/>
          </w:tcPr>
          <w:p>
            <w:pPr>
              <w:pStyle w:val="TableContents"/>
              <w:bidi w:val="0"/>
              <w:spacing w:before="0" w:after="283"/>
              <w:jc w:val="left"/>
              <w:rPr/>
            </w:pPr>
            <w:r>
              <w:rPr/>
              <w:t> </w:t>
            </w:r>
          </w:p>
        </w:tc>
      </w:tr>
      <w:tr>
        <w:trPr/>
        <w:tc>
          <w:tcPr>
            <w:tcW w:w="2105" w:type="dxa"/>
            <w:tcBorders/>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pPr>
            <w:r>
              <w:rPr/>
              <w:t> </w:t>
            </w:r>
          </w:p>
        </w:tc>
      </w:tr>
      <w:tr>
        <w:trPr/>
        <w:tc>
          <w:tcPr>
            <w:tcW w:w="21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1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105" w:type="dxa"/>
            <w:tcBorders/>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 xml:space="preserve">Date:  </w:t>
            </w:r>
            <w:bookmarkStart w:id="27" w:name="led293237F20228271664312050973"/>
            <w:bookmarkEnd w:id="27"/>
            <w:r>
              <w:rPr>
                <w:rFonts w:ascii="Calibri;Arial;sans-serif" w:hAnsi="Calibri;Arial;sans-serif"/>
                <w:caps w:val="false"/>
                <w:smallCaps w:val="false"/>
                <w:sz w:val="20"/>
              </w:rPr>
              <w:t>November 12, 2024</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Calibri;Arial;sans-serif" w:hAnsi="Calibri;Arial;sans-serif"/>
          <w:b/>
          <w:caps w:val="false"/>
          <w:smallCaps w:val="false"/>
          <w:sz w:val="20"/>
        </w:rPr>
      </w:pPr>
      <w:bookmarkStart w:id="28" w:name="ex_715768.htm"/>
      <w:bookmarkStart w:id="29" w:name="ksex_715768"/>
      <w:bookmarkEnd w:id="28"/>
      <w:bookmarkEnd w:id="29"/>
      <w:r>
        <w:rPr>
          <w:rFonts w:ascii="Calibri;Arial;sans-serif" w:hAnsi="Calibri;Arial;sans-serif"/>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CERTIFICATION PURSUANT TO</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18 U.S.C. Section 1350,</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AS ADOPTED PURSUANT TO</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 xml:space="preserve">In connection with the Quarterly Report of Eastman Kodak Company (the "Company") on Form 10-Q for the period ended </w:t>
      </w:r>
      <w:bookmarkStart w:id="30" w:name="led293237F20228271664312073087"/>
      <w:bookmarkEnd w:id="30"/>
      <w:r>
        <w:rPr>
          <w:rFonts w:ascii="Calibri;Arial;sans-serif" w:hAnsi="Calibri;Arial;sans-serif"/>
          <w:caps w:val="false"/>
          <w:smallCaps w:val="false"/>
          <w:sz w:val="20"/>
        </w:rPr>
        <w:t>September 30, 2024, as filed with the Securities and Exchange Commission on the date hereof (the "Report"), I, James V. Continenza, Executive Chairman and Chief Executive Officer of the Company, certify, pursuant to 18 U.S.C. Section 1350, as adopted pursuant to Section 906 of the Sarbanes-Oxley Act of 2002, that to the best of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  The Report fully complies with the requirements of section 13(a) or 15(d) of the Securities Exchange Act of 1934; and</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35" w:type="dxa"/>
        <w:jc w:val="left"/>
        <w:tblInd w:w="0" w:type="dxa"/>
        <w:tblLayout w:type="fixed"/>
        <w:tblCellMar>
          <w:top w:w="0" w:type="dxa"/>
          <w:left w:w="0" w:type="dxa"/>
          <w:bottom w:w="0" w:type="dxa"/>
          <w:right w:w="0" w:type="dxa"/>
        </w:tblCellMar>
      </w:tblPr>
      <w:tblGrid>
        <w:gridCol w:w="2135"/>
      </w:tblGrid>
      <w:tr>
        <w:trPr/>
        <w:tc>
          <w:tcPr>
            <w:tcW w:w="2135" w:type="dxa"/>
            <w:tcBorders/>
            <w:vAlign w:val="center"/>
          </w:tcPr>
          <w:p>
            <w:pPr>
              <w:pStyle w:val="TableContents"/>
              <w:bidi w:val="0"/>
              <w:spacing w:before="0" w:after="283"/>
              <w:jc w:val="left"/>
              <w:rPr/>
            </w:pPr>
            <w:r>
              <w:rPr/>
              <w:t> </w:t>
            </w:r>
          </w:p>
        </w:tc>
      </w:tr>
      <w:tr>
        <w:trPr/>
        <w:tc>
          <w:tcPr>
            <w:tcW w:w="2135" w:type="dxa"/>
            <w:tcBorders>
              <w:bottom w:val="single" w:sz="2" w:space="0" w:color="000000"/>
            </w:tcBorders>
            <w:tcMar>
              <w:bottom w:w="28"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 James V. Continenza</w:t>
            </w:r>
          </w:p>
        </w:tc>
      </w:tr>
      <w:tr>
        <w:trPr/>
        <w:tc>
          <w:tcPr>
            <w:tcW w:w="21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James V. Continenza</w:t>
            </w:r>
          </w:p>
        </w:tc>
      </w:tr>
      <w:tr>
        <w:trPr/>
        <w:tc>
          <w:tcPr>
            <w:tcW w:w="21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Executive Chairman and</w:t>
            </w:r>
          </w:p>
        </w:tc>
      </w:tr>
      <w:tr>
        <w:trPr/>
        <w:tc>
          <w:tcPr>
            <w:tcW w:w="21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Chief Executive Officer</w:t>
            </w:r>
          </w:p>
        </w:tc>
      </w:tr>
      <w:tr>
        <w:trPr/>
        <w:tc>
          <w:tcPr>
            <w:tcW w:w="213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 xml:space="preserve">Date:  </w:t>
            </w:r>
            <w:bookmarkStart w:id="31" w:name="led293237F20228271664312082859"/>
            <w:bookmarkEnd w:id="31"/>
            <w:r>
              <w:rPr>
                <w:rFonts w:ascii="Calibri;Arial;sans-serif" w:hAnsi="Calibri;Arial;sans-serif"/>
                <w:caps w:val="false"/>
                <w:smallCaps w:val="false"/>
                <w:sz w:val="20"/>
              </w:rPr>
              <w:t>November 12,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Calibri;Arial;sans-serif" w:hAnsi="Calibri;Arial;sans-serif"/>
          <w:b/>
          <w:caps w:val="false"/>
          <w:smallCaps w:val="false"/>
          <w:sz w:val="20"/>
        </w:rPr>
      </w:pPr>
      <w:bookmarkStart w:id="32" w:name="ex_715769.htm"/>
      <w:bookmarkStart w:id="33" w:name="ksex_715769"/>
      <w:bookmarkEnd w:id="32"/>
      <w:bookmarkEnd w:id="33"/>
      <w:r>
        <w:rPr>
          <w:rFonts w:ascii="Calibri;Arial;sans-serif" w:hAnsi="Calibri;Arial;sans-serif"/>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CERTIFICATION PURSUANT TO</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18 U.S.C. Section 1350,</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AS ADOPTED PURSUANT TO</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 xml:space="preserve">In connection with the Quarterly Report of Eastman Kodak Company (the "Company") on Form 10-Q for the period ended </w:t>
      </w:r>
      <w:bookmarkStart w:id="34" w:name="led293237F20228271664312106691"/>
      <w:bookmarkEnd w:id="34"/>
      <w:r>
        <w:rPr>
          <w:rFonts w:ascii="Calibri;Arial;sans-serif" w:hAnsi="Calibri;Arial;sans-serif"/>
          <w:caps w:val="false"/>
          <w:smallCaps w:val="false"/>
          <w:sz w:val="20"/>
        </w:rPr>
        <w:t>September 30, 2024, as filed with the Securities and Exchange Commission on the date hereof (the "Report"), I, David E. Bullwinkle, Chief Financial Officer of the Company, certify, pursuant to 18 U.S.C. Section 1350, as adopted pursuant to Section 906 of the Sarbanes-Oxley Act of 2002, that to the best of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  The Report fully complies with the requirements of section 13(a) or 15(d) of the Securities Exchange Act of 1934; and</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35" w:type="dxa"/>
        <w:jc w:val="left"/>
        <w:tblInd w:w="0" w:type="dxa"/>
        <w:tblLayout w:type="fixed"/>
        <w:tblCellMar>
          <w:top w:w="0" w:type="dxa"/>
          <w:left w:w="0" w:type="dxa"/>
          <w:bottom w:w="28" w:type="dxa"/>
          <w:right w:w="0" w:type="dxa"/>
        </w:tblCellMar>
      </w:tblPr>
      <w:tblGrid>
        <w:gridCol w:w="2135"/>
      </w:tblGrid>
      <w:tr>
        <w:trPr/>
        <w:tc>
          <w:tcPr>
            <w:tcW w:w="2135" w:type="dxa"/>
            <w:tcBorders>
              <w:bottom w:val="single" w:sz="2" w:space="0" w:color="000000"/>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 David E. Bullwinkle</w:t>
            </w:r>
          </w:p>
        </w:tc>
      </w:tr>
      <w:tr>
        <w:trPr/>
        <w:tc>
          <w:tcPr>
            <w:tcW w:w="2135" w:type="dxa"/>
            <w:tcBorders/>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David E. Bullwinkle</w:t>
            </w:r>
          </w:p>
        </w:tc>
      </w:tr>
      <w:tr>
        <w:trPr/>
        <w:tc>
          <w:tcPr>
            <w:tcW w:w="2135" w:type="dxa"/>
            <w:tcBorders/>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Chief Financial Officer</w:t>
            </w:r>
          </w:p>
        </w:tc>
      </w:tr>
      <w:tr>
        <w:trPr/>
        <w:tc>
          <w:tcPr>
            <w:tcW w:w="2135" w:type="dxa"/>
            <w:tcBorders/>
            <w:tcMar>
              <w:bottom w:w="0" w:type="dxa"/>
            </w:tcMar>
            <w:vAlign w:val="center"/>
          </w:tcPr>
          <w:p>
            <w:pPr>
              <w:pStyle w:val="TableContents"/>
              <w:bidi w:val="0"/>
              <w:spacing w:before="0" w:after="283"/>
              <w:jc w:val="left"/>
              <w:rPr/>
            </w:pPr>
            <w:r>
              <w:rPr/>
              <w:t> </w:t>
            </w:r>
          </w:p>
        </w:tc>
      </w:tr>
      <w:tr>
        <w:trPr/>
        <w:tc>
          <w:tcPr>
            <w:tcW w:w="2135" w:type="dxa"/>
            <w:tcBorders/>
            <w:tcMar>
              <w:bottom w:w="0" w:type="dxa"/>
            </w:tcMar>
            <w:vAlign w:val="center"/>
          </w:tcPr>
          <w:p>
            <w:pPr>
              <w:pStyle w:val="TableContents"/>
              <w:bidi w:val="0"/>
              <w:spacing w:before="0" w:after="283"/>
              <w:jc w:val="left"/>
              <w:rPr/>
            </w:pPr>
            <w:r>
              <w:rPr/>
              <w:t> </w:t>
            </w:r>
          </w:p>
        </w:tc>
      </w:tr>
      <w:tr>
        <w:trPr/>
        <w:tc>
          <w:tcPr>
            <w:tcW w:w="2135" w:type="dxa"/>
            <w:tcBorders/>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 xml:space="preserve">Date:  </w:t>
            </w:r>
            <w:bookmarkStart w:id="35" w:name="led293237F20228271664312116962"/>
            <w:bookmarkEnd w:id="35"/>
            <w:r>
              <w:rPr>
                <w:rFonts w:ascii="Calibri;Arial;sans-serif" w:hAnsi="Calibri;Arial;sans-serif"/>
                <w:caps w:val="false"/>
                <w:smallCaps w:val="false"/>
                <w:sz w:val="20"/>
              </w:rPr>
              <w:t>November 12,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 w:name="Arial">
    <w:altName w:val="Helvetica"/>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31235/000119312513354928/d591063dex41.htm" TargetMode="External"/><Relationship Id="rId3" Type="http://schemas.openxmlformats.org/officeDocument/2006/relationships/hyperlink" Target="http://www.sec.gov/Archives/edgar/data/31235/000156459016029358/kodk-ex31_26.htm" TargetMode="External"/><Relationship Id="rId4" Type="http://schemas.openxmlformats.org/officeDocument/2006/relationships/hyperlink" Target="http://www.sec.gov/Archives/edgar/data/31235/000119312519243935/d803063dex31.htm" TargetMode="External"/><Relationship Id="rId5" Type="http://schemas.openxmlformats.org/officeDocument/2006/relationships/hyperlink" Target="http://www.sec.gov/Archives/edgar/data/31235/000119312519243935/d803063dex32.htm" TargetMode="External"/><Relationship Id="rId6" Type="http://schemas.openxmlformats.org/officeDocument/2006/relationships/hyperlink" Target="http://www.sec.gov/Archives/edgar/data/31235/000156459020058718/kodk-ex31_14.htm" TargetMode="External"/><Relationship Id="rId7" Type="http://schemas.openxmlformats.org/officeDocument/2006/relationships/hyperlink" Target="http://www.sec.gov/Archives/edgar/data/31235/000119312521062328/d468860dex31.htm" TargetMode="External"/><Relationship Id="rId8" Type="http://schemas.openxmlformats.org/officeDocument/2006/relationships/hyperlink" Target="http://www.sec.gov/Archives/edgar/data/31235/000119312521062328/d468860dex32.htm" TargetMode="External"/><Relationship Id="rId9" Type="http://schemas.openxmlformats.org/officeDocument/2006/relationships/hyperlink" Target="http://www.sec.gov/Archives/edgar/data/31235/000156459020024666/kodk-ex35_3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21774</Words>
  <Characters>117242</Characters>
  <CharactersWithSpaces>142761</CharactersWithSpaces>
  <Paragraphs>10322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