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2060" w:hanging="1469"/>
        <w:spacing w:after="0"/>
        <w:tabs>
          <w:tab w:leader="none" w:pos="20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3"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2040" w:hanging="1449"/>
        <w:spacing w:after="0"/>
        <w:tabs>
          <w:tab w:leader="none" w:pos="20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73"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540" w:type="dxa"/>
            <w:vAlign w:val="bottom"/>
          </w:tcPr>
          <w:p>
            <w:pPr>
              <w:jc w:val="center"/>
              <w:ind w:right="1539"/>
              <w:spacing w:after="0"/>
              <w:rPr>
                <w:sz w:val="20"/>
                <w:szCs w:val="20"/>
                <w:color w:val="auto"/>
              </w:rPr>
            </w:pPr>
            <w:r>
              <w:rPr>
                <w:rFonts w:ascii="Arial" w:cs="Arial" w:eastAsia="Arial" w:hAnsi="Arial"/>
                <w:sz w:val="18"/>
                <w:szCs w:val="18"/>
                <w:b w:val="1"/>
                <w:bCs w:val="1"/>
                <w:color w:val="auto"/>
                <w:w w:val="98"/>
              </w:rPr>
              <w:t>NEW JERSEY</w:t>
            </w:r>
          </w:p>
        </w:tc>
        <w:tc>
          <w:tcPr>
            <w:tcW w:w="2740" w:type="dxa"/>
            <w:vAlign w:val="bottom"/>
          </w:tcPr>
          <w:p>
            <w:pPr>
              <w:jc w:val="right"/>
              <w:ind w:right="41"/>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5540" w:type="dxa"/>
            <w:vAlign w:val="bottom"/>
          </w:tcPr>
          <w:p>
            <w:pPr>
              <w:jc w:val="center"/>
              <w:ind w:right="1539"/>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2740" w:type="dxa"/>
            <w:vAlign w:val="bottom"/>
          </w:tcPr>
          <w:p>
            <w:pPr>
              <w:jc w:val="center"/>
              <w:ind w:left="15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5540" w:type="dxa"/>
            <w:vAlign w:val="bottom"/>
          </w:tcPr>
          <w:p>
            <w:pPr>
              <w:jc w:val="center"/>
              <w:ind w:right="151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91"/>
        </w:trPr>
        <w:tc>
          <w:tcPr>
            <w:tcW w:w="554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49"/>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w:t>
            </w:r>
          </w:p>
        </w:tc>
        <w:tc>
          <w:tcPr>
            <w:tcW w:w="264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183"/>
        </w:trPr>
        <w:tc>
          <w:tcPr>
            <w:tcW w:w="2420" w:type="dxa"/>
            <w:vAlign w:val="bottom"/>
          </w:tcPr>
          <w:p>
            <w:pPr>
              <w:spacing w:after="0"/>
              <w:rPr>
                <w:sz w:val="15"/>
                <w:szCs w:val="15"/>
                <w:color w:val="auto"/>
              </w:rPr>
            </w:pPr>
          </w:p>
        </w:tc>
        <w:tc>
          <w:tcPr>
            <w:tcW w:w="3660" w:type="dxa"/>
            <w:vAlign w:val="bottom"/>
          </w:tcPr>
          <w:p>
            <w:pPr>
              <w:ind w:left="420"/>
              <w:spacing w:after="0" w:line="183" w:lineRule="exact"/>
              <w:rPr>
                <w:sz w:val="20"/>
                <w:szCs w:val="20"/>
                <w:color w:val="auto"/>
              </w:rPr>
            </w:pPr>
            <w:r>
              <w:rPr>
                <w:rFonts w:ascii="Arial" w:cs="Arial" w:eastAsia="Arial" w:hAnsi="Arial"/>
                <w:sz w:val="18"/>
                <w:szCs w:val="18"/>
                <w:color w:val="auto"/>
              </w:rPr>
              <w:t>company)</w:t>
            </w: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30"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720"/>
        <w:spacing w:after="0" w:line="3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 2018, the registrant had 42,654,527 shares of common stock, $0.01 par value per share, outstanding.</w:t>
      </w:r>
    </w:p>
    <w:p>
      <w:pPr>
        <w:spacing w:after="0" w:line="2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440" w:top="59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0" w:type="dxa"/>
            <w:vAlign w:val="bottom"/>
            <w:gridSpan w:val="6"/>
            <w:vMerge w:val="restart"/>
          </w:tcPr>
          <w:p>
            <w:pPr>
              <w:jc w:val="center"/>
              <w:ind w:right="2220"/>
              <w:spacing w:after="0"/>
              <w:rPr>
                <w:sz w:val="20"/>
                <w:szCs w:val="20"/>
                <w:color w:val="auto"/>
              </w:rPr>
            </w:pPr>
            <w:r>
              <w:rPr>
                <w:rFonts w:ascii="Arial" w:cs="Arial" w:eastAsia="Arial" w:hAnsi="Arial"/>
                <w:sz w:val="18"/>
                <w:szCs w:val="18"/>
                <w:b w:val="1"/>
                <w:bCs w:val="1"/>
                <w:color w:val="auto"/>
                <w:w w:val="95"/>
              </w:rPr>
              <w:t>Part I.—Financial Information</w:t>
            </w:r>
          </w:p>
        </w:tc>
        <w:tc>
          <w:tcPr>
            <w:tcW w:w="232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0" w:type="dxa"/>
            <w:vAlign w:val="bottom"/>
            <w:gridSpan w:val="6"/>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8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5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3220" w:type="dxa"/>
            <w:vAlign w:val="bottom"/>
            <w:gridSpan w:val="2"/>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4140" w:type="dxa"/>
            <w:vAlign w:val="bottom"/>
            <w:gridSpan w:val="4"/>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4600" w:type="dxa"/>
            <w:vAlign w:val="bottom"/>
            <w:gridSpan w:val="6"/>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2.</w:t>
            </w:r>
          </w:p>
        </w:tc>
        <w:tc>
          <w:tcPr>
            <w:tcW w:w="30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Financial Statements (Unaudited)</w:t>
              </w:r>
            </w:hyperlink>
          </w:p>
        </w:tc>
        <w:tc>
          <w:tcPr>
            <w:tcW w:w="5240" w:type="dxa"/>
            <w:vAlign w:val="bottom"/>
            <w:gridSpan w:val="8"/>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00" w:type="dxa"/>
            <w:vAlign w:val="bottom"/>
            <w:vMerge w:val="continue"/>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Liquidity and Capital Resources</w:t>
              </w:r>
            </w:hyperlink>
          </w:p>
        </w:tc>
        <w:tc>
          <w:tcPr>
            <w:tcW w:w="1860" w:type="dxa"/>
            <w:vAlign w:val="bottom"/>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continue"/>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3960" w:type="dxa"/>
            <w:vAlign w:val="bottom"/>
            <w:gridSpan w:val="3"/>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7"/>
              </w:rPr>
              <w:t>Part II. —Other Information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6980" w:type="dxa"/>
            <w:vAlign w:val="bottom"/>
            <w:gridSpan w:val="12"/>
          </w:tcPr>
          <w:p>
            <w:pPr>
              <w:spacing w:after="0"/>
              <w:rPr>
                <w:sz w:val="24"/>
                <w:szCs w:val="24"/>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2.</w:t>
            </w:r>
          </w:p>
        </w:tc>
        <w:tc>
          <w:tcPr>
            <w:tcW w:w="83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Securities and Use of Proceeds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4500" w:type="dxa"/>
            <w:vAlign w:val="bottom"/>
            <w:gridSpan w:val="5"/>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6.</w:t>
            </w:r>
          </w:p>
        </w:tc>
        <w:tc>
          <w:tcPr>
            <w:tcW w:w="83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tcPr>
          <w:p>
            <w:pPr>
              <w:spacing w:after="0"/>
              <w:rPr>
                <w:sz w:val="24"/>
                <w:szCs w:val="24"/>
                <w:color w:val="auto"/>
              </w:rPr>
            </w:pPr>
          </w:p>
        </w:tc>
        <w:tc>
          <w:tcPr>
            <w:tcW w:w="83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Index to Exhibits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40" w:type="dxa"/>
            <w:vAlign w:val="bottom"/>
            <w:tcBorders>
              <w:top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7080" w:type="dxa"/>
            <w:vAlign w:val="bottom"/>
            <w:gridSpan w:val="14"/>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939"/>
        </w:trPr>
        <w:tc>
          <w:tcPr>
            <w:tcW w:w="80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340" w:type="dxa"/>
            <w:vAlign w:val="bottom"/>
            <w:gridSpan w:val="13"/>
          </w:tcPr>
          <w:p>
            <w:pPr>
              <w:jc w:val="center"/>
              <w:ind w:left="387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Three Months Ended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b w:val="1"/>
                <w:bCs w:val="1"/>
                <w:color w:val="auto"/>
              </w:rPr>
              <w:t>March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Sales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9"/>
                <w:szCs w:val="19"/>
                <w:color w:val="auto"/>
              </w:rPr>
            </w:pP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4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Sales</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4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net</w:t>
            </w:r>
          </w:p>
        </w:tc>
        <w:tc>
          <w:tcPr>
            <w:tcW w:w="4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other charges (income), net and income taxes</w:t>
            </w:r>
          </w:p>
        </w:tc>
        <w:tc>
          <w:tcPr>
            <w:tcW w:w="48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480" w:type="dxa"/>
            <w:vAlign w:val="bottom"/>
          </w:tcPr>
          <w:p>
            <w:pPr>
              <w:spacing w:after="0"/>
              <w:rPr>
                <w:sz w:val="19"/>
                <w:szCs w:val="19"/>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(Loss) earnings from continuing operations before income</w:t>
            </w:r>
          </w:p>
        </w:tc>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taxes</w:t>
            </w:r>
          </w:p>
        </w:tc>
        <w:tc>
          <w:tcPr>
            <w:tcW w:w="48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earnings</w:t>
            </w: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Basic net (loss) earnings per share attributable to</w:t>
            </w:r>
          </w:p>
        </w:tc>
        <w:tc>
          <w:tcPr>
            <w:tcW w:w="4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(0.70)</w:t>
            </w: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 net (loss) earnings per share attributable to</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Number of common shares used in basic and diluted net</w:t>
            </w:r>
          </w:p>
        </w:tc>
        <w:tc>
          <w:tcPr>
            <w:tcW w:w="48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earnings per share</w:t>
            </w:r>
          </w:p>
        </w:tc>
        <w:tc>
          <w:tcPr>
            <w:tcW w:w="4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42.6</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 INCOME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9"/>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net of tax attributable to Eastman</w:t>
            </w:r>
          </w:p>
        </w:tc>
        <w:tc>
          <w:tcPr>
            <w:tcW w:w="11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Kodak Company</w:t>
            </w:r>
          </w:p>
        </w:tc>
        <w:tc>
          <w:tcPr>
            <w:tcW w:w="11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8"/>
                <w:szCs w:val="18"/>
                <w:color w:val="auto"/>
              </w:rPr>
              <w:t>COMPREHENSIVE (LOSS) INCOME, NET OF TAX ATTRIBUTABLE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40" w:type="dxa"/>
            <w:vAlign w:val="bottom"/>
          </w:tcPr>
          <w:p>
            <w:pPr>
              <w:ind w:left="100"/>
              <w:spacing w:after="0"/>
              <w:rPr>
                <w:sz w:val="20"/>
                <w:szCs w:val="20"/>
                <w:color w:val="auto"/>
              </w:rPr>
            </w:pPr>
            <w:r>
              <w:rPr>
                <w:rFonts w:ascii="Arial" w:cs="Arial" w:eastAsia="Arial" w:hAnsi="Arial"/>
                <w:sz w:val="18"/>
                <w:szCs w:val="18"/>
                <w:color w:val="auto"/>
              </w:rPr>
              <w:t>TO EASTMAN KODAK COMPANY</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$9 in each period</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$411 and $394,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6"/>
          </w:tcPr>
          <w:p>
            <w:pPr>
              <w:jc w:val="right"/>
              <w:ind w:right="1100"/>
              <w:spacing w:after="0"/>
              <w:rPr>
                <w:sz w:val="20"/>
                <w:szCs w:val="20"/>
                <w:color w:val="auto"/>
              </w:rPr>
            </w:pPr>
            <w:r>
              <w:rPr>
                <w:rFonts w:ascii="Arial" w:cs="Arial" w:eastAsia="Arial" w:hAnsi="Arial"/>
                <w:sz w:val="18"/>
                <w:szCs w:val="18"/>
                <w:b w:val="1"/>
                <w:bCs w:val="1"/>
                <w:color w:val="auto"/>
              </w:rPr>
              <w:t>Three Months Ending</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Prosper asset remeasurement</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restructuring costs and asset impairments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payables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sales of assets/businesses, net</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March 2017, the Financial Accounting Standards Board (“FASB”) issued Accounting Standards Update (“ASU”) 2017-07, Compensation—Retirements Benefits (Topic 715): Improving the Presentation of Net Periodic Pension Cost and Net Periodic Postretirement Benefit Cost. ASU 2017-07 requires entities to report the service cost component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ASU 2017-07 is effective for fiscal years, and interim periods within those years, beginning after December 15, 2017 (January 1, 2018 for Kodak). Kodak adopted ASU 2017-07 effective January 1, 2018, retrospectively for the presentation of the service cost and other cost components and prospectively for the application of the capitalization eligibility. The components of net benefit cost are shown in Note 14, “Retirement Plans and Other Postretirement Benefits”. The guidance impacted presentation in Kodak’s consolidated financial statements and the capitalization of costs to inventory. The presentation of the service cost component was consistent with the requirements of the new standard. The other components (which were presented within Cost of revenues, Selling and general administrative expenses and Research and development costs) are being presented separately on the face of the Consolidated Statement of Operations. The segment measure of profit and loss previously included only the service cost and amortization of prior service credits components of net periodic pension and postretirement benefit costs (refer to Note 20, “Segment Information”). Effective January 1, 2018, the segment measure of profit and loss only includes the service cost component of net periodic pension and postretirement benefit costs and prior periods have been reclassified to conform to this presentation.</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ASU 2017-05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recognized at the date of initial application. Kodak adopted ASU 2017-05 effective January 1, 2018 using the modified retrospective adoption approach. The application of this standard did not have a significant impact on Kodak’s consolidated financial statements.</w:t>
      </w:r>
    </w:p>
    <w:p>
      <w:pPr>
        <w:spacing w:after="0" w:line="2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is effective for Kodak beginning January 1, 2018, including interim periods within those fiscal years. Kodak adopted ASU 2016-01 effective January 1, 2018. The adoption of this guidance did not have a material impact on Kodak’s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60"/>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The new revenue standard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recognized at the date of initial application. Kodak adopted the provisions of the new standard effective January 1, 2018 using the modified retrospective method which allows companies to record a one-time adjustment to opening retained earnings for the cumulative effect the standard will have on open contracts at the time of adoption. Kodak derives revenue from various brand licensing arrangements, which may include upfront payments and/or sales based royalties subject to minimum annual guaranteed amounts. Kodak recorded a cumulative effect adjustment of approximately $10 million as a decrease to the opening balance of retained earnings related to these arrangements. With the exception of brand license revenue, Kodak did not identify any changes in the timing of revenue recognition that resulted in a material transition adjustment.</w:t>
      </w:r>
    </w:p>
    <w:p>
      <w:pPr>
        <w:spacing w:after="0" w:line="3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cumulative effect of the changes made to the Consolidated Statement of Financial Position for January 1, 2018 for the adoption of ASU 2014-09 were as follows. The net reduction in opening retained earnings primarily reflected the impact related to brand licensing revenues.</w:t>
      </w:r>
    </w:p>
    <w:p>
      <w:pPr>
        <w:spacing w:after="0" w:line="31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Adjustments Due to</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ASU 2014-09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on the Consolidated Statement of Operations and Consolidated Statement of Financial Position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0" w:type="dxa"/>
            <w:vAlign w:val="bottom"/>
            <w:gridSpan w:val="8"/>
          </w:tcPr>
          <w:p>
            <w:pPr>
              <w:jc w:val="right"/>
              <w:ind w:right="993"/>
              <w:spacing w:after="0"/>
              <w:rPr>
                <w:sz w:val="20"/>
                <w:szCs w:val="20"/>
                <w:color w:val="auto"/>
              </w:rPr>
            </w:pPr>
            <w:r>
              <w:rPr>
                <w:rFonts w:ascii="Arial" w:cs="Arial" w:eastAsia="Arial" w:hAnsi="Arial"/>
                <w:sz w:val="18"/>
                <w:szCs w:val="18"/>
                <w:b w:val="1"/>
                <w:bCs w:val="1"/>
                <w:color w:val="auto"/>
                <w:w w:val="93"/>
              </w:rPr>
              <w:t>Three Months Ended March 31, 2018</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Balances without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Adoption of</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8"/>
                <w:szCs w:val="18"/>
                <w:b w:val="1"/>
                <w:bCs w:val="1"/>
                <w:color w:val="auto"/>
                <w:w w:val="89"/>
              </w:rPr>
              <w:t>Effect of Change</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ind w:left="1720"/>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0"/>
                <w:szCs w:val="20"/>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As Reported</w:t>
            </w:r>
          </w:p>
        </w:tc>
        <w:tc>
          <w:tcPr>
            <w:tcW w:w="40" w:type="dxa"/>
            <w:vAlign w:val="bottom"/>
          </w:tcPr>
          <w:p>
            <w:pPr>
              <w:spacing w:after="0"/>
              <w:rPr>
                <w:sz w:val="20"/>
                <w:szCs w:val="20"/>
                <w:color w:val="auto"/>
              </w:rPr>
            </w:pP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ASU 2014-09</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center"/>
              <w:ind w:left="93"/>
              <w:spacing w:after="0"/>
              <w:rPr>
                <w:sz w:val="20"/>
                <w:szCs w:val="20"/>
                <w:color w:val="auto"/>
              </w:rPr>
            </w:pPr>
            <w:r>
              <w:rPr>
                <w:rFonts w:ascii="Arial" w:cs="Arial" w:eastAsia="Arial" w:hAnsi="Arial"/>
                <w:sz w:val="18"/>
                <w:szCs w:val="18"/>
                <w:b w:val="1"/>
                <w:bCs w:val="1"/>
                <w:color w:val="auto"/>
                <w:w w:val="94"/>
              </w:rPr>
              <w:t>Higher (Lower)</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Sales</w:t>
            </w:r>
          </w:p>
        </w:tc>
        <w:tc>
          <w:tcPr>
            <w:tcW w:w="1240" w:type="dxa"/>
            <w:vAlign w:val="bottom"/>
            <w:gridSpan w:val="2"/>
          </w:tcPr>
          <w:p>
            <w:pPr>
              <w:jc w:val="right"/>
              <w:ind w:right="103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285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9"/>
                <w:szCs w:val="19"/>
                <w:color w:val="auto"/>
              </w:rPr>
            </w:pPr>
          </w:p>
        </w:tc>
        <w:tc>
          <w:tcPr>
            <w:tcW w:w="1520" w:type="dxa"/>
            <w:vAlign w:val="bottom"/>
            <w:gridSpan w:val="2"/>
          </w:tcPr>
          <w:p>
            <w:pPr>
              <w:jc w:val="right"/>
              <w:ind w:right="1333"/>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1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17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w:t>
            </w:r>
          </w:p>
        </w:tc>
        <w:tc>
          <w:tcPr>
            <w:tcW w:w="80" w:type="dxa"/>
            <w:vAlign w:val="bottom"/>
            <w:gridSpan w:val="2"/>
          </w:tcPr>
          <w:p>
            <w:pPr>
              <w:spacing w:after="0"/>
              <w:rPr>
                <w:sz w:val="19"/>
                <w:szCs w:val="19"/>
                <w:color w:val="auto"/>
              </w:rPr>
            </w:pPr>
          </w:p>
        </w:tc>
        <w:tc>
          <w:tcPr>
            <w:tcW w:w="166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bottom w:val="single" w:sz="8" w:color="auto"/>
            </w:tcBorders>
          </w:tcPr>
          <w:p>
            <w:pPr>
              <w:jc w:val="right"/>
              <w:ind w:right="1333"/>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2018</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jc w:val="center"/>
              <w:ind w:left="230"/>
              <w:spacing w:after="0" w:line="205" w:lineRule="exact"/>
              <w:rPr>
                <w:sz w:val="20"/>
                <w:szCs w:val="20"/>
                <w:color w:val="auto"/>
              </w:rPr>
            </w:pPr>
            <w:r>
              <w:rPr>
                <w:rFonts w:ascii="Arial" w:cs="Arial" w:eastAsia="Arial" w:hAnsi="Arial"/>
                <w:sz w:val="18"/>
                <w:szCs w:val="18"/>
                <w:b w:val="1"/>
                <w:bCs w:val="1"/>
                <w:color w:val="auto"/>
                <w:w w:val="87"/>
              </w:rPr>
              <w:t>Balances without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Adoption of</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center"/>
              <w:ind w:left="73"/>
              <w:spacing w:after="0"/>
              <w:rPr>
                <w:sz w:val="20"/>
                <w:szCs w:val="20"/>
                <w:color w:val="auto"/>
              </w:rPr>
            </w:pPr>
            <w:r>
              <w:rPr>
                <w:rFonts w:ascii="Arial" w:cs="Arial" w:eastAsia="Arial" w:hAnsi="Arial"/>
                <w:sz w:val="18"/>
                <w:szCs w:val="18"/>
                <w:b w:val="1"/>
                <w:bCs w:val="1"/>
                <w:color w:val="auto"/>
                <w:w w:val="90"/>
              </w:rPr>
              <w:t>Effect of Change</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ind w:left="1720"/>
              <w:spacing w:after="0"/>
              <w:rPr>
                <w:sz w:val="20"/>
                <w:szCs w:val="20"/>
                <w:color w:val="auto"/>
              </w:rPr>
            </w:pPr>
            <w:r>
              <w:rPr>
                <w:rFonts w:ascii="Arial" w:cs="Arial" w:eastAsia="Arial" w:hAnsi="Arial"/>
                <w:sz w:val="18"/>
                <w:szCs w:val="18"/>
                <w:color w:val="auto"/>
              </w:rPr>
              <w:t>(in millions)</w:t>
            </w: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Reported</w:t>
            </w: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3"/>
              </w:rPr>
              <w:t>ASU 2014-09</w:t>
            </w: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b w:val="1"/>
                <w:bCs w:val="1"/>
                <w:color w:val="auto"/>
                <w:w w:val="94"/>
              </w:rPr>
              <w:t>Higher (Lower)</w:t>
            </w:r>
          </w:p>
        </w:tc>
        <w:tc>
          <w:tcPr>
            <w:tcW w:w="26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17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24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224</w:t>
            </w:r>
          </w:p>
        </w:tc>
        <w:tc>
          <w:tcPr>
            <w:tcW w:w="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5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333"/>
              <w:spacing w:after="0"/>
              <w:rPr>
                <w:sz w:val="20"/>
                <w:szCs w:val="20"/>
                <w:color w:val="auto"/>
              </w:rPr>
            </w:pPr>
            <w:r>
              <w:rPr>
                <w:rFonts w:ascii="Arial" w:cs="Arial" w:eastAsia="Arial" w:hAnsi="Arial"/>
                <w:sz w:val="18"/>
                <w:szCs w:val="18"/>
                <w:color w:val="auto"/>
                <w:w w:val="79"/>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207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(200)</w:t>
            </w:r>
          </w:p>
        </w:tc>
        <w:tc>
          <w:tcPr>
            <w:tcW w:w="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2018, the FASB issued ASU 2018-02, “Income Statement—Reporting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Early adoption is permitted and may be applied either in the period of adoption or retrospectively to each period (or periods) in which the effect of the change in the U.S. federal corporate income tax rate in the 2017 Tax Act is recognized. Kodak is currently evaluating the impact of this ASU.</w:t>
      </w:r>
    </w:p>
    <w:p>
      <w:pPr>
        <w:spacing w:after="0" w:line="21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plans to adopt the new standard on the effective date and is currently evaluating the impact of this ASU on its financial statements. Kodak anticipates that the adoption of the amended lease guidance will materially affect its Consolidated Statement of Financial Position and will require certain changes to its systems and processes.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Flows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Long-term restricted cash includes $6 million of security posted related to Brazilian legal contingencies and also includes $0 million and $6 million as of March 31, 2018 and December 31, 2017, respectively, supporting compliance with the Excess Availability threshold under the Amended and Restated Credit Agreement (the “Amended Credit Agreement”).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4: OTHER CURRENT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Customer rebates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5: OTHER LONG-TERM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 xml:space="preserve">Embedded conversion features derivative liability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Refer to Note 21, “Financial Instruments”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DEBT AND CAPITAL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capital leases and related maturities and interest rates were as follows at March 31, 2018 and December 31, 2017 (in millions):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12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3"/>
              </w:rPr>
              <w:t>Effective Interest Rate</w:t>
            </w: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Capital leases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Term note</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7.34%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6"/>
              </w:rPr>
              <w:t>Capital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September 3, 2013, the Company entered into (i) a Senior Secured First Lien Term Credit Agreement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loans made under the First Lien Term Credit Agreement become due on the earlier to occur of (i) the maturity date of September 3, 2019 or (ii) the acceleration of such loans following the occurrence of an event of default (as defined in the First Lien Term Credit Agreement). The Second Lien Term Credit Agreement was prepaid and terminated on November 15, 2016.</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46" w:lineRule="exact"/>
        <w:rPr>
          <w:sz w:val="20"/>
          <w:szCs w:val="20"/>
          <w:color w:val="auto"/>
        </w:rPr>
      </w:pPr>
    </w:p>
    <w:p>
      <w:pPr>
        <w:ind w:right="80" w:firstLine="8"/>
        <w:spacing w:after="0" w:line="252"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dispose of assets, (iv) 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First Lien Loans bear interest at the rate of LIBOR plus 6.25% per annum, with a LIBOR floor of 1% or Alternate Base Rate (as defined in the First Lien Term Credit Agreement) plus 5.25%.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Asset Based Revolving Credit Agreement are secured by: (i) a first lien on cash, accounts receivable, inventory, machinery and equipment (the “ABL Collateral”) and (ii) a second lien on the Term Collateral. The Company may voluntarily prepay the First Lien Loan.</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defined in the First Lien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During 2016 and 2017, Kodak prepaid $11 million of principal under the First Lien Term Credit Agreement. Under the terms of the First Lien Term Credit Agreement, the prepayments were applied first to the installment principal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100"/>
        <w:spacing w:after="0" w:line="277" w:lineRule="auto"/>
        <w:rPr>
          <w:sz w:val="20"/>
          <w:szCs w:val="20"/>
          <w:color w:val="auto"/>
        </w:rPr>
      </w:pPr>
      <w:r>
        <w:rPr>
          <w:rFonts w:ascii="Arial" w:cs="Arial" w:eastAsia="Arial" w:hAnsi="Arial"/>
          <w:sz w:val="18"/>
          <w:szCs w:val="18"/>
          <w:color w:val="auto"/>
        </w:rPr>
        <w:t>payments of $4 million due over the next twelve months, then ratably to the remaining scheduled payments. With the prepayments, Kodak does not owe any future scheduled principal payments until the maturity date of the loan.</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an annual basis, the Company will prepay on June 30 of the following fiscal year loans in an amount equal to a percentage of Excess Cash Flow (“ECF”) as defined in the First Lien Term Credit Agreement, provided no such prepayment is required if such prepayment would cause U.S. liquidity (as defined in the First Lien Term Credit Agreement) to be less than $100 million or the Secured Leverage ratio is less than 2.25 to 1.00. For the year ended December 31,</w:t>
      </w:r>
    </w:p>
    <w:p>
      <w:pPr>
        <w:ind w:right="80"/>
        <w:spacing w:after="0" w:line="261" w:lineRule="auto"/>
        <w:rPr>
          <w:sz w:val="20"/>
          <w:szCs w:val="20"/>
          <w:color w:val="auto"/>
        </w:rPr>
      </w:pPr>
      <w:r>
        <w:rPr>
          <w:rFonts w:ascii="Arial" w:cs="Arial" w:eastAsia="Arial" w:hAnsi="Arial"/>
          <w:sz w:val="18"/>
          <w:szCs w:val="18"/>
          <w:color w:val="auto"/>
        </w:rPr>
        <w:t>2017 ECF was a negative amount. Therefore, no prepayment of First Lien term debt was required. Any mandatory prepayments as described above shall be reduced by any mandatory prepayments of the First Lien Loan.</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First Lien Term Credit Agreement, the Company is required to maintain a Secured Leverage Ratio (as defined therein) not to exceed specified levels. The Secured Leverage Ratio under the First Lien Term Credit Agreement is tested at the end of each quarter based on the prior four quarters. The maximum Secured Leverage Ratio permitted under the First Lien Term Credit Agreement is 2.75:1. As of March 31, 2018 and December 31, 2017, Kodak was in compliance with all covenants under the First Lien Term Credit Agreement.</w:t>
      </w:r>
    </w:p>
    <w:p>
      <w:pPr>
        <w:spacing w:after="0" w:line="2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$2 million for the quarter ended March 31, 2018 and assets of $23 million as of March 31, 2018, which represent 0% and 1%, respectively, of Kodak’s consolidated sales for the quarter ended March 31, 2018 and consolidated assets as of March 31, 2018. Each of the capitalized but undefined terms has the meaning ascribed to such term in the Credit Agreements.</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 intends to conduct its operations in a manner that will result in continued compliance with the Credit Agreements;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 There is no assurance Kodak will be able to complete any non-operational transaction it may undertake to maintain compliance with covenants under the Credit Agreements or to refinance, or otherwise pay, the First Lien Loans on or before the maturity date of September 3, 2019 or the obligations under the ABL Credit Agreement on June 6, 2019 if the First Lien Loans are not refinanced or paid on or before such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and Restated Credit Agreement</w:t>
      </w:r>
    </w:p>
    <w:p>
      <w:pPr>
        <w:spacing w:after="0" w:line="2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Amended Credit Agreement has the meaning ascribed to such term in the Amended Credit Agreement.</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Lenders will make available asset-based revolving loans (the “ABL Loans”) and letters of credit in an aggregate amount of up to $150 million, subject to the Borrowing Base. The Company has issued approximately $79 million and $96 million of letters of credit under the Amended Credit Agreement as of March 31, 2018 and December 31, 2017, respectively. The Company had approximately $36 million and $20 million of Excess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Availability under the Amended Credit Agreement as of March 31, 2018 and December 31, 2017, respectively. Availability is subject to the borrowing base calculation, reserves and other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$14 million, as of March 31, 2018 (which $14 million decreases by $1 million per quarter) and (iv) Eligible Cash less (a) Rent and Charges Reserves, (b) Principal Outstanding and (c) Outstanding Letters of Credit.</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Amended Credit Agreement, Kodak is required to maintain a minimum Fixed Charge Coverage Ratio of 1.00 to 1.00 when Excess Availability is less than 12.5% of lender commitments. As of March 31, 2018 and December 31, 2017, 12.5% of lender commitments were $18.75 million.</w:t>
      </w:r>
    </w:p>
    <w:p>
      <w:pPr>
        <w:spacing w:after="0" w:line="15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March 31, 2018 and December 31, 2017, Kodak is not required to have a minimum Fixed Charges Coverage Ratio of 1.0 to 1.0. As of March 31, 2018 and December 31, 2017, Kodak was in compliance with all the covenants under the Amended Credit Agreement.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2018, the Company had outstanding letters of credit of $79 million issued under the Amended Credit Agreement, as well as bank guarantees and letters of credit of $4 million, surety bonds in the amount of $53 million, and restricted cash and deposits of $26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2018, the unreserved portion of these contingencies, inclusive of any related interest and penalties, for which there was at least a reasonable possibility that a loss may be incurred, amounted to approximately $24 million.</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March 31, 2018, Kodak has posted security composed of $6 million of pledged cash reported within Restricted cash in the Consolidated Statement of Financial Position and liens on certain Brazilian assets with a net book value of approximately $71 million. Generally, any encumbrances on the Brazilian assets would be removed to the extent the matter is resolved in Kodak's favor.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GUARANTEES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$7 million and the outstanding amount for those guarantees is $3 million.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Extended Warranty Arrangements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2017 to March 31, 2018, which is reflected in Other current liabilities in the accompanying Consolidated Statement of Financial Position, was as follows:</w:t>
      </w:r>
    </w:p>
    <w:p>
      <w:pPr>
        <w:spacing w:after="0" w:line="183"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2017</w:t>
            </w: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w w:val="94"/>
              </w:rPr>
              <w:t>Recognition of extended warranty and maintenance arrangement revenue</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 2018</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Deferred revenue on extended warranties as of March 31, 2018</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Revenue from services includes extended warranty, customer support and maintenance agreements, consulting, business process services, training and education.</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customers in an amount that reflects the consideration Kodak expects to be entitled to in exchange for those goods or services.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product sales (such as plates, film, inks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 based agreements is recognized as services are performed.</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Equipment is generally dependent on, and interrelated with, the underlying operating system (firm 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may be prepaid or paid over-time and range from three months to six years. For such arrangements, revenue is allocated to each performance obligation based on its relative standalone selling price. Standalone selling prices are based on the prices charged to customers or using expected cost-plus margin.</w:t>
      </w:r>
    </w:p>
    <w:p>
      <w:pPr>
        <w:spacing w:after="0" w:line="173"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For non-complex equipment installations and software sales (Prepress, Packaging and Prosper Components and Unified Workflow Solutions businesses)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Unified Workflow Solutions) revenue is deferred until receipt of customer acceptance and control has transferred to the buyer.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Software licenses are sold both in bundled equipment arrangements as discussed above or on a stand-alone basis (Unified Workflow Solutions business). Software licenses are generally perpetual and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service arrangements such as consulting or business process services (Kodak Technology Solutions business) where final acceptance by the customer is required, revenue is deferred until all acceptance criteria have been met and Kodak has a legal right to payment.</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licensing revenue is comprised of software licenses as discussed above, licenses to use functional intellectual property (patents and technical know-how) and licenses to use symbolic intellectual property (brand names and trademarks) (Consumer and Film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jc w:val="both"/>
        <w:ind w:right="400"/>
        <w:spacing w:after="0" w:line="264" w:lineRule="auto"/>
        <w:rPr>
          <w:sz w:val="20"/>
          <w:szCs w:val="20"/>
          <w:color w:val="auto"/>
        </w:rPr>
      </w:pPr>
      <w:r>
        <w:rPr>
          <w:rFonts w:ascii="Arial" w:cs="Arial" w:eastAsia="Arial" w:hAnsi="Arial"/>
          <w:sz w:val="18"/>
          <w:szCs w:val="18"/>
          <w:color w:val="auto"/>
        </w:rPr>
        <w:t>Deferred revenue is recorded when cash payments are received in advance of satisfying performance obligations such as deposits required in advance on equipment orders, prepaid service contracts or prepaid royalties on intellectual property arrangements. Interest expense is imputed for payments received greater than one year in advance of performance.</w:t>
      </w:r>
    </w:p>
    <w:p>
      <w:pPr>
        <w:spacing w:after="0" w:line="181" w:lineRule="exact"/>
        <w:rPr>
          <w:sz w:val="20"/>
          <w:szCs w:val="20"/>
          <w:color w:val="auto"/>
        </w:rPr>
      </w:pPr>
    </w:p>
    <w:p>
      <w:pPr>
        <w:jc w:val="both"/>
        <w:ind w:right="400"/>
        <w:spacing w:after="0" w:line="30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Kodak expenses sales commissions when incurred if the amortization period would be one year or less. These costs are recorded in Selling, general and administrative expenses. Kodak accrues the estimated cost of post-sale obligations, including basic product warranties, at the time of revenue recognition. Shipping and handling costs are accounted for as fulfillment costs and are included in cost of sales.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March 31, 2018, there was approximately $75 million of remaining performance obligations. Approximately 30% of the remaining performance obligations are expected to be recognized in 2018, and 2019, 20% in 2020 and 20%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Major product: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Materials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Enterprise</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Flexographic</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Software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 3D</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Print</w:t>
            </w:r>
          </w:p>
        </w:tc>
        <w:tc>
          <w:tcPr>
            <w:tcW w:w="2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Inkjet</w:t>
            </w:r>
          </w:p>
        </w:tc>
        <w:tc>
          <w:tcPr>
            <w:tcW w:w="2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Packaging</w:t>
            </w:r>
          </w:p>
        </w:tc>
        <w:tc>
          <w:tcPr>
            <w:tcW w:w="2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rPr>
              <w:t>&amp;</w:t>
            </w:r>
          </w:p>
        </w:tc>
        <w:tc>
          <w:tcPr>
            <w:tcW w:w="1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Consumer</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Technology</w:t>
            </w:r>
          </w:p>
        </w:tc>
        <w:tc>
          <w:tcPr>
            <w:tcW w:w="2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Solutions</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Solutions</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&amp; Film</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Solutions</w:t>
            </w:r>
          </w:p>
        </w:tc>
        <w:tc>
          <w:tcPr>
            <w:tcW w:w="2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ind w:left="1400"/>
              <w:spacing w:after="0"/>
              <w:rPr>
                <w:sz w:val="20"/>
                <w:szCs w:val="20"/>
                <w:color w:val="auto"/>
              </w:rPr>
            </w:pPr>
            <w:r>
              <w:rPr>
                <w:rFonts w:ascii="Arial" w:cs="Arial" w:eastAsia="Arial" w:hAnsi="Arial"/>
                <w:sz w:val="18"/>
                <w:szCs w:val="18"/>
                <w:color w:val="auto"/>
              </w:rPr>
              <w:t>Total Annuities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380" w:hanging="572"/>
        <w:spacing w:after="0" w:line="277"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80" w:right="460" w:hanging="572"/>
        <w:spacing w:after="0" w:line="277"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project-based document management and managed print services businesses, tenant rent and related property management services and licensing.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w w:val="96"/>
              </w:rPr>
              <w:t>Product Portfolio Summary: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0"/>
              </w:rPr>
              <w:t>Advanced</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Enterprise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Flexographic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Materials</w:t>
            </w: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Eastman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Print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Packaging</w:t>
            </w: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Software &amp;</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Consumer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and 3D</w:t>
            </w: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Solutions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w w:val="97"/>
              </w:rPr>
              <w:t>Solutions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&amp; Film</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Park</w:t>
            </w:r>
          </w:p>
        </w:tc>
        <w:tc>
          <w:tcPr>
            <w:tcW w:w="14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w w:val="98"/>
              </w:rPr>
              <w:t xml:space="preserve">Strategic other businesses </w:t>
            </w:r>
            <w:r>
              <w:rPr>
                <w:rFonts w:ascii="Arial" w:cs="Arial" w:eastAsia="Arial" w:hAnsi="Arial"/>
                <w:sz w:val="15"/>
                <w:szCs w:val="15"/>
                <w:color w:val="auto"/>
                <w:w w:val="9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Growth engines consist of Sonora, PROSPER, FLEXCEL NX, Software and Solutions, AM3D and brand licensing.</w:t>
      </w:r>
    </w:p>
    <w:p>
      <w:pPr>
        <w:spacing w:after="0" w:line="252" w:lineRule="exact"/>
        <w:rPr>
          <w:rFonts w:ascii="Arial" w:cs="Arial" w:eastAsia="Arial" w:hAnsi="Arial"/>
          <w:sz w:val="15"/>
          <w:szCs w:val="15"/>
          <w:color w:val="auto"/>
        </w:rPr>
      </w:pPr>
    </w:p>
    <w:p>
      <w:pPr>
        <w:ind w:left="580" w:right="260" w:hanging="572"/>
        <w:spacing w:after="0" w:line="264"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Strategic Other Businesses include plates, Computer to Plate (“CTP”) and related service, and Nexpress and related toner business in the Print Systems segment, non-FLEXCEL NX in the Flexographic Packaging segment, Motion Picture and Industrial Film and Chemicals in the Consumer and Film segment, Eastman Business Park and intellectual property licensing.</w:t>
      </w:r>
    </w:p>
    <w:p>
      <w:pPr>
        <w:spacing w:after="0" w:line="208" w:lineRule="exact"/>
        <w:rPr>
          <w:rFonts w:ascii="Arial" w:cs="Arial" w:eastAsia="Arial" w:hAnsi="Arial"/>
          <w:sz w:val="15"/>
          <w:szCs w:val="15"/>
          <w:color w:val="auto"/>
        </w:rPr>
      </w:pPr>
    </w:p>
    <w:p>
      <w:pPr>
        <w:ind w:left="580" w:right="20" w:hanging="572"/>
        <w:spacing w:after="0" w:line="264"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These product families consist of Consumer Inkjet in the Consumer and Film segment, Versamark in the Enterprise Inkjet Systems segment and Digimaster in the Print Systems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Geography:</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2"/>
              </w:rPr>
              <w:t>March 31, 2018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Enterprise</w:t>
            </w:r>
          </w:p>
        </w:tc>
        <w:tc>
          <w:tcPr>
            <w:tcW w:w="1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Flexographic</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Print</w:t>
            </w: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rPr>
              <w:t>Inkjet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Packaging</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Software &amp;</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3"/>
              </w:rPr>
              <w:t>Consumer &amp;</w:t>
            </w: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Systems</w:t>
            </w:r>
          </w:p>
        </w:tc>
        <w:tc>
          <w:tcPr>
            <w:tcW w:w="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Solutions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Solutions</w:t>
            </w: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Film</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8"/>
                <w:szCs w:val="18"/>
                <w:color w:val="auto"/>
              </w:rPr>
              <w:t>Europe, Middle East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and Africa</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March 31, 2018 and December 31, 2017 were $2 million and $3 million, respectively, and are reported in Other current assets and Trade receivables, respectively,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March 31, 2018 and December 31, 2017 were $46 million and $37 million, respectively, of which $38 million and $37 million, respectively, are reported in Other current liabilities and $8 million and $0 million, respectively, are reported in Other long-term liabilities in the Consolidated Statement of Financial Position.</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recognized for the three-month period ended March 31, 2018 that was included in the contract liability balance at the beginning of the year was $25 million, and primarily represented revenue from prepaid service contracts and equipment revenue recognition. Contract liabilities as of March 31, 2018 include $23 million of cash payments received during the three-month period ended March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OTHER OPERATING EXPENSE (INCOME), NET</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2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 xml:space="preserve">Prosper asset remeasurement </w:t>
            </w:r>
            <w:r>
              <w:rPr>
                <w:rFonts w:ascii="Arial" w:cs="Arial" w:eastAsia="Arial" w:hAnsi="Arial"/>
                <w:sz w:val="15"/>
                <w:szCs w:val="15"/>
                <w:color w:val="auto"/>
              </w:rPr>
              <w:t>(1)</w:t>
            </w:r>
          </w:p>
        </w:tc>
        <w:tc>
          <w:tcPr>
            <w:tcW w:w="22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w:t>
            </w:r>
          </w:p>
        </w:tc>
        <w:tc>
          <w:tcPr>
            <w:tcW w:w="2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right="40" w:hanging="572"/>
        <w:spacing w:after="0" w:line="246"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8"/>
          <w:szCs w:val="18"/>
          <w:color w:val="auto"/>
        </w:rPr>
        <w:t>In the first quarter of 2017, Kodak reduced the carrying value of Prosper fixed assets ($8 million) and intangible assets ($4 million) to the amount that would have been recorded had the Prosper assets been continuously classified as held and used.</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OTHER CHARGES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540" w:type="dxa"/>
            <w:vAlign w:val="bottom"/>
            <w:gridSpan w:val="2"/>
          </w:tcPr>
          <w:p>
            <w:pPr>
              <w:ind w:left="78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 xml:space="preserve">Change in fair value of embedded conversion features derivative liability </w:t>
            </w:r>
            <w:r>
              <w:rPr>
                <w:rFonts w:ascii="Arial" w:cs="Arial" w:eastAsia="Arial" w:hAnsi="Arial"/>
                <w:sz w:val="15"/>
                <w:szCs w:val="15"/>
                <w:color w:val="auto"/>
                <w:w w:val="95"/>
              </w:rPr>
              <w:t>(1)</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65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Refer to Note 21, “Financial Instruments”.</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December 22, 2017, President Trump signed into law tax legislation known as the 2017 Tax Act. The 2017 Tax Act changed many aspects of U.S. corporate income taxation and included a reduction of the corporate income tax rate from 35% to 21%, the implementation of a territorial tax system and the imposition of a tax on deemed repatriated earnings of foreign subsidiaries.</w:t>
      </w:r>
    </w:p>
    <w:p>
      <w:pPr>
        <w:spacing w:after="0" w:line="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January 1, 2018, the 2017 Tax Act also includes a provision to tax global intangible low-taxed income (“GILTI”) of foreign subsidiaries, a base erosion anti-abuse tax (“BEAT”) measure that taxes certain payments between a U.S. corporation and its subsidiaries and a foreign derived intangible income (“FDII”) deduction which would reduce U.S. taxable income. Kodak provided the applicable provisional tax impacts in its consolidated financial statements for the quarter ended March 31, 2018 which were fully offset by Kodak’s U.S. valuation allowance resulting in no net tax provision for the quarter.</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Given the complexity of the GILTI provisions, Kodak is still evaluating the effects and has not yet determined its accounting policy. For the quarter ended March 31, 2018, Kodak is still evaluating the GILTI provisions and the analysis of future taxable income that is subject to GILTI. Therefore, Kodak has included GILTI related to current year operations only in its estimated annual effective tax rate and has not provided additional GILTI on deferred items. The impact was fully offset by Kodak’s U.S. valuation allowance, resulting in no net tax provision for the quarter.</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Staff Accounting Bulletin No. 118, Income Tax Accounting Implications of the Tax Cuts and Jobs Act, (“SAB 118”) addresses the application of U.S. GAAP in situations when a registrant does not have the necessary information available, prepared, or analyzed (including computations) in reasonable detail to complete the accounting for certain income tax effects of the 2017 Tax Act. Kodak has recognized the provisional tax impacts to the extent needed and included these amounts in its consolidated financial statements for the quarter ended March 31, 2018. The ultimate impact may materially differ from these provisional amounts as a result of additional analysis, changes in interpretations and assumptions Kodak has made, additional regulatory guidance that may be issued, actions Kodak may take as a result of the 2017 Tax Act and other factors. The accounting is expected to be complete when the 2017 U.S. corporate income tax return is filed in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Kodak’s income tax provision (benefit) and effective tax rate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 operations before</w:t>
            </w:r>
          </w:p>
        </w:tc>
        <w:tc>
          <w:tcPr>
            <w:tcW w:w="8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Effective tax rate</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(Benefit) provision for income taxes @ U.S. statutory tax rate</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March 31, 2018,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187" w:lineRule="exact"/>
        <w:rPr>
          <w:sz w:val="20"/>
          <w:szCs w:val="20"/>
          <w:color w:val="auto"/>
        </w:rPr>
      </w:pPr>
    </w:p>
    <w:p>
      <w:pPr>
        <w:jc w:val="both"/>
        <w:ind w:right="220"/>
        <w:spacing w:after="0" w:line="329" w:lineRule="auto"/>
        <w:rPr>
          <w:sz w:val="20"/>
          <w:szCs w:val="20"/>
          <w:color w:val="auto"/>
        </w:rPr>
      </w:pPr>
      <w:r>
        <w:rPr>
          <w:rFonts w:ascii="Arial" w:cs="Arial" w:eastAsia="Arial" w:hAnsi="Arial"/>
          <w:sz w:val="16"/>
          <w:szCs w:val="16"/>
          <w:color w:val="auto"/>
        </w:rPr>
        <w:t>For the three months ended March 31, 2017, the difference between Kodak’s recorded provision and the provision that would result from applying the U.S. statutory rate of 35.0% is primarily attributable to: (1) the impact related to existing valuation allowances associated with changes in net deferred tax assets from current earnings and losses, (2) a provision associated with foreign withholding taxes on undistributed earnings and (3) changes in audit reserves.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LIABILITIES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months of 2018 were initiated to reduce Kodak’s cost structure as part of its commitment to drive sustainable profitability and included various targeted reductions in manufacturing, service, sales, and other administrative functions.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 Activity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Exit</w:t>
            </w: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24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Balance as of March 31, 2018</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34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the $2 million of charges were reported as Restructuring costs and other.</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severance costs for the three months ended March 31, 2018 related to the elimination of approximately 35 positions including approximately 10 manufacturing/service positions and 25 administrative and sales positions. These positions were located primarily outside of the United States and 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Non-U.S.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pension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net pension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2017 the special termination benefits charges were incurred as a result of Kodak’s restructuring actions.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CONVERTIBLE SERIES A PREFERRED STOCK</w:t>
      </w:r>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The Company has classified the Series A Preferred Stock as temporary equity in the Consolidated Statement of Financial Position. Kodak allocated $43 million of the net proceeds received to a derivative liability based on the aggregate fair value of the embedded conversion features on the date of issuance which reduced the net carrying value of the Series A Preferred Stock (see Note 21,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 The holders of Series A Preferred Stock are entitled to cumulative dividends payable quarterly in cash at a rate of 5.50% per annum. All dividends owed on the Series A Preferred Stock have been declared and paid when due. As of March 31, 2018,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14"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color w:val="auto"/>
        </w:rPr>
        <w:t>A reconciliation of the amounts used to calculate basic and diluted earnings per share for the three months ended March 31, 2018 and 2017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Net (loss) earnings attributable to Eastman Kodak Company</w:t>
            </w:r>
          </w:p>
        </w:tc>
        <w:tc>
          <w:tcPr>
            <w:tcW w:w="16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6"/>
              </w:rPr>
              <w:t>Less: Series A convertible preferred stock cash dividend</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w w:val="91"/>
              </w:rPr>
              <w:t>Less: Series A convertible preferred stock deemed dividend</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gridSpan w:val="2"/>
          </w:tcPr>
          <w:p>
            <w:pPr>
              <w:ind w:left="1140"/>
              <w:spacing w:after="0"/>
              <w:rPr>
                <w:sz w:val="20"/>
                <w:szCs w:val="20"/>
                <w:color w:val="auto"/>
              </w:rPr>
            </w:pPr>
            <w:r>
              <w:rPr>
                <w:rFonts w:ascii="Arial" w:cs="Arial" w:eastAsia="Arial" w:hAnsi="Arial"/>
                <w:sz w:val="18"/>
                <w:szCs w:val="18"/>
                <w:color w:val="auto"/>
                <w:w w:val="98"/>
              </w:rPr>
              <w:t>Net (loss) earnings available to common shareholders -</w:t>
            </w:r>
          </w:p>
        </w:tc>
        <w:tc>
          <w:tcPr>
            <w:tcW w:w="1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9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80" w:type="dxa"/>
            <w:vAlign w:val="bottom"/>
            <w:vMerge w:val="restart"/>
          </w:tcPr>
          <w:p>
            <w:pPr>
              <w:jc w:val="right"/>
              <w:ind w:right="1250"/>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tbl>
      <w:tblPr>
        <w:tblLayout w:type="fixed"/>
        <w:tblInd w:w="1140" w:type="dxa"/>
        <w:tblCellMar>
          <w:top w:w="0" w:type="dxa"/>
          <w:left w:w="0" w:type="dxa"/>
          <w:bottom w:w="0" w:type="dxa"/>
          <w:right w:w="0" w:type="dxa"/>
        </w:tblCellMar>
      </w:tblP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(in millions of shares)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Unvested restricted stock units</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Employee stock options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net loss from continuing operations available to common shareholders for the three months ending March 31, 2018, Kodak calculated diluted earnings per share using weighted-average basic shares outstanding for those periods. If Kodak reported earnings from continuing operations available to common shareholders for the three months ending March 31, 2018, the calculation of diluted earnings per share would have included the assumed conversion of 0.3 million of unvested restricted stock units.</w:t>
      </w:r>
    </w:p>
    <w:p>
      <w:pPr>
        <w:spacing w:after="0" w:line="2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computation of diluted earnings per share for the three months ended March 31, 2018 and March 31, 2017 also excluded the impact of (1) the assumed conversion of 2.0 million shares of Series A convertible preferred shares, (2) the assumed conversion of net share settled warrants to purchase 1.8 million shares of common stock at an exercise price of $14.93, (3) the assumed conversion of net share settled warrants to purchase 1.8 million shares of common stock at an exercise price of $16.12 and (4) the assumed conversion of 5.0 million and 1.8 million, respectively, outstanding employee stock options because the effects would have been anti-dilutive.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March 31, 2018 and December 31, 2017, there were 42.6 million shares of common stock outstanding and 2.0 million shares of Series A preferred stock issued and outstanding. Treasury stock consisted of approximately 0.6 million shares at both March 31, 2018 and December 31, 2017.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adjustments: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Amortization of prior service credit</w:t>
            </w:r>
          </w:p>
        </w:tc>
        <w:tc>
          <w:tcPr>
            <w:tcW w:w="2000" w:type="dxa"/>
            <w:vAlign w:val="bottom"/>
            <w:gridSpan w:val="2"/>
          </w:tcPr>
          <w:p>
            <w:pPr>
              <w:jc w:val="right"/>
              <w:ind w:right="305"/>
              <w:spacing w:after="0"/>
              <w:rPr>
                <w:sz w:val="20"/>
                <w:szCs w:val="20"/>
                <w:color w:val="auto"/>
              </w:rPr>
            </w:pPr>
            <w:r>
              <w:rPr>
                <w:rFonts w:ascii="Arial" w:cs="Arial" w:eastAsia="Arial" w:hAnsi="Arial"/>
                <w:sz w:val="15"/>
                <w:szCs w:val="15"/>
                <w:color w:val="auto"/>
              </w:rPr>
              <w:t>(a)</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actuarial (gains) losses</w:t>
            </w:r>
          </w:p>
        </w:tc>
        <w:tc>
          <w:tcPr>
            <w:tcW w:w="2000" w:type="dxa"/>
            <w:vAlign w:val="bottom"/>
            <w:gridSpan w:val="2"/>
            <w:shd w:val="clear" w:color="auto" w:fill="CFF0FC"/>
          </w:tcPr>
          <w:p>
            <w:pPr>
              <w:jc w:val="right"/>
              <w:ind w:right="305"/>
              <w:spacing w:after="0"/>
              <w:rPr>
                <w:sz w:val="20"/>
                <w:szCs w:val="20"/>
                <w:color w:val="auto"/>
              </w:rPr>
            </w:pPr>
            <w:r>
              <w:rPr>
                <w:rFonts w:ascii="Arial" w:cs="Arial" w:eastAsia="Arial" w:hAnsi="Arial"/>
                <w:sz w:val="15"/>
                <w:szCs w:val="15"/>
                <w:color w:val="auto"/>
              </w:rPr>
              <w:t>(a)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Recognition of losses due to settlements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reclassification adjustments</w:t>
            </w:r>
          </w:p>
        </w:tc>
        <w:tc>
          <w:tcPr>
            <w:tcW w:w="1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r>
      <w:tr>
        <w:trPr>
          <w:trHeight w:val="195"/>
        </w:trPr>
        <w:tc>
          <w:tcPr>
            <w:tcW w:w="5380" w:type="dxa"/>
            <w:vAlign w:val="bottom"/>
          </w:tcPr>
          <w:p>
            <w:pPr>
              <w:spacing w:after="0" w:line="195" w:lineRule="exact"/>
              <w:rPr>
                <w:sz w:val="20"/>
                <w:szCs w:val="20"/>
                <w:color w:val="auto"/>
              </w:rPr>
            </w:pPr>
            <w:r>
              <w:rPr>
                <w:rFonts w:ascii="Arial" w:cs="Arial" w:eastAsia="Arial" w:hAnsi="Arial"/>
                <w:sz w:val="18"/>
                <w:szCs w:val="18"/>
                <w:color w:val="auto"/>
              </w:rPr>
              <w:t>Pension and other postretirement benefit plan changes,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20: SEGMENT INFORMATION</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Kodak has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r>
        <w:rPr>
          <w:rFonts w:ascii="Arial" w:cs="Arial" w:eastAsia="Arial" w:hAnsi="Arial"/>
          <w:sz w:val="18"/>
          <w:szCs w:val="18"/>
          <w:color w:val="auto"/>
        </w:rPr>
        <w:t>: The Flexographic Packaging segment is comprised of the Packaging line of business.</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Unified Workflow Solutions and Kodak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8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Industrial Film and Chemicals, Motion Picture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Products (which includes Consumer Inkjet Solutions).</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2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Consolidated total</w:t>
            </w:r>
          </w:p>
        </w:tc>
        <w:tc>
          <w:tcPr>
            <w:tcW w:w="28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20" w:type="dxa"/>
            <w:vAlign w:val="bottom"/>
            <w:vMerge w:val="restart"/>
          </w:tcPr>
          <w:p>
            <w:pPr>
              <w:jc w:val="right"/>
              <w:ind w:right="1710"/>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Segment Operational EBITDA and Consolidated (Loss) Earnings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1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5"/>
                <w:szCs w:val="15"/>
                <w:color w:val="auto"/>
              </w:rPr>
              <w:t>(3)</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(3)</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(3)</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Consolidated (loss) earnings from continuing operations before</w:t>
            </w:r>
          </w:p>
        </w:tc>
        <w:tc>
          <w:tcPr>
            <w:tcW w:w="1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220" w:hanging="512"/>
        <w:spacing w:after="0" w:line="277" w:lineRule="auto"/>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above table, Operational EBITDA represents the (loss) earnings from continuing operations excluding the provision for income taxes; non-service cost components of pension and OPEB income; depreciation and amortization expense; restructuring costs; stock-based compensation expense; consulting and other costs; idle costs; other operating expense, net (unless otherwise indicated); goodwill impairment losses; interest expense; and other (charges) income, net.</w:t>
      </w:r>
    </w:p>
    <w:p>
      <w:pPr>
        <w:spacing w:after="0" w:line="188"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13"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During the first quarter of 2018 the segment measure was changed to exclude amortization of prior service costs and credits which, due to the adoption of ASU 2017-17, are no longer reported in the same line item as other compensation costs arising from services rendered during the period. Refer to the Recently Adopted Accounting Pronouncements section of Note 1, “Basis of Presentation and Recent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FINANCIAL INSTRUMENTS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March 31, 2018 and December 31, 2017 was approximately $647 million and $534 million, respectively. The majority of the contracts of this type held by Kodak as of March 31, 2018 and December 31, 2017 are denominated in Swiss francs and euros.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6"/>
                <w:szCs w:val="16"/>
                <w:color w:val="auto"/>
              </w:rPr>
              <w:t>(in millions)</w:t>
            </w:r>
          </w:p>
        </w:tc>
        <w:tc>
          <w:tcPr>
            <w:tcW w:w="16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derivatives not designated as hedging</w:t>
            </w:r>
          </w:p>
        </w:tc>
        <w:tc>
          <w:tcPr>
            <w:tcW w:w="16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270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FF0FC"/>
          </w:tcPr>
          <w:p>
            <w:pPr>
              <w:jc w:val="right"/>
              <w:ind w:right="10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months ended March 31, 2018.</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of a default under the Company’s Senior Secured First Lien Term Credit Agreement,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discussed in Note 15,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is in a liability position at March 31, 2018 and in an asset position at December 31, 2017, and is reported in Other long-term liabilities and Other long-term assets, respectively, in the Consolidated Statement of Financial Position. The derivative is being accounted for at fair value with changes in fair value being reported in Other charges (income), net in the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The gross fair value of forward contracts in an asset position as of March 31, 2018 and December 31, 2017 was $10 million and $7 million, respectively. The gross fair value of forward contracts in a liability position as of March 31, 2018 and December 31, 2017 was not material.</w:t>
      </w:r>
    </w:p>
    <w:p>
      <w:pPr>
        <w:spacing w:after="0" w:line="191"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three months ended March 31, 2018.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line="264" w:lineRule="auto"/>
        <w:rPr>
          <w:sz w:val="20"/>
          <w:szCs w:val="20"/>
          <w:color w:val="auto"/>
        </w:rPr>
      </w:pPr>
      <w:r>
        <w:rPr>
          <w:rFonts w:ascii="Arial" w:cs="Arial" w:eastAsia="Arial" w:hAnsi="Arial"/>
          <w:sz w:val="18"/>
          <w:szCs w:val="18"/>
          <w:color w:val="auto"/>
        </w:rPr>
        <w:t>The fair value of the embedded conversion features derivative is calculated using unobservable inputs (Level 3 fair measurements). The value of the Optional Conversion and Mandatory Conversion is calculated using a binomial lattice model. The following table presents the key inputs in the determination of the fair value of the Optional Conversion and Mandatory Conversion at March 31, 2018 and December 31, 2017:</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(asset) ($ millions)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58.22%</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22.31%</w:t>
            </w: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Unless events occur which would alter the likelihood of a fundamental change or reorganization event, the value of the Fundamental Change and Reorganization Conversion reflects the value as of the issuance date, amortized for the passage of time. The Fundamental Change and Reorganization Conversion value exceeded the value of the Optional Conversion and Mandatory Conversion values at December 31, 2017 resulting in the derivative being reported as an asset.</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$377 million and $348 million at March 31, 2018 and December 31,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cash and cash equivalents and restricted cash approximate their fair values.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2017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spacing w:after="0" w:line="7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or otherwise monetize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developing products for the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was flat compared to the prior year quarter, including the favorable impact of currency ($20 million) in the current year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90" w:lineRule="exact"/>
        <w:rPr>
          <w:rFonts w:ascii="Arial" w:cs="Arial" w:eastAsia="Arial" w:hAnsi="Arial"/>
          <w:sz w:val="18"/>
          <w:szCs w:val="18"/>
          <w:color w:val="auto"/>
        </w:rPr>
      </w:pPr>
    </w:p>
    <w:p>
      <w:pPr>
        <w:ind w:left="1040" w:right="120" w:hanging="519"/>
        <w:spacing w:after="0" w:line="246"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product investment in the following growth engines - Sonora, Ultrastream, FLEXCEL NX Systems and Plates, Advanced Materials and 3D Printing and Software and Services;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market leadership position and cash flows associated with Print Systems;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90" w:lineRule="exact"/>
        <w:rPr>
          <w:sz w:val="20"/>
          <w:szCs w:val="20"/>
          <w:color w:val="auto"/>
        </w:rPr>
      </w:pPr>
    </w:p>
    <w:p>
      <w:pPr>
        <w:ind w:left="1040" w:right="20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Print Systems’ revenues accounted for approximately 61% of Kodak’s revenues for the three months ended March 31, 2018. Print Systems’ revenues improved $3 million (1%) compared with the prior year quarter, including the favorable impact of currency ($14 million). Segment earnings declined $8 million (67%) compared with the prior year quarter, driven by increased materials cost (aluminum).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50" w:lineRule="exact"/>
        <w:rPr>
          <w:rFonts w:ascii="Arial" w:cs="Arial" w:eastAsia="Arial" w:hAnsi="Arial"/>
          <w:sz w:val="17"/>
          <w:szCs w:val="17"/>
          <w:color w:val="auto"/>
        </w:rPr>
      </w:pPr>
    </w:p>
    <w:p>
      <w:pPr>
        <w:ind w:left="1040" w:hanging="519"/>
        <w:spacing w:after="0" w:line="242"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 Enterprise Inkjet Systems’ revenue decreased $6 million (16%), driven by declines in Versamark, but the segment earnings were flat compared with the prior year quarter through cost control.</w:t>
      </w:r>
    </w:p>
    <w:p>
      <w:pPr>
        <w:spacing w:after="0" w:line="148" w:lineRule="exact"/>
        <w:rPr>
          <w:rFonts w:ascii="Arial" w:cs="Arial" w:eastAsia="Arial" w:hAnsi="Arial"/>
          <w:sz w:val="17"/>
          <w:szCs w:val="17"/>
          <w:color w:val="auto"/>
        </w:rPr>
      </w:pPr>
    </w:p>
    <w:p>
      <w:pPr>
        <w:ind w:left="1040" w:right="260" w:hanging="519"/>
        <w:spacing w:after="0" w:line="266"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Within the Flexographic Packaging segment, growth in the installed base of FLEXCEL NX System computer-to-plate (CtP) imaging and related equipment is expected to drive continued growth of FLEXCEL NX printing consumables. The Other Packaging Business includes packaging printing products and services that are in mature stages in their product life cycles. Flexographic Packaging revenue and segment earnings increased $4 million (12%) and $1 million (17%), respectively, compared with the prior year first three months.</w:t>
      </w:r>
    </w:p>
    <w:p>
      <w:pPr>
        <w:spacing w:after="0" w:line="129" w:lineRule="exact"/>
        <w:rPr>
          <w:rFonts w:ascii="Arial" w:cs="Arial" w:eastAsia="Arial" w:hAnsi="Arial"/>
          <w:sz w:val="16"/>
          <w:szCs w:val="16"/>
          <w:color w:val="auto"/>
        </w:rPr>
      </w:pPr>
    </w:p>
    <w:p>
      <w:pPr>
        <w:ind w:left="1040" w:right="8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document management and managed print services businesses and Kodakit. The contributions these business initiatives make to earnings are expected to grow with a modest amount of additional investment. Software and Solutions’ revenue declined $1 million compared to the prior year quarter, primarily reflecting Unified Workflow Solutions volume declines. Sales in Kodak Technology Solutions are project-based and can vary from year to year depending on the nature and number of projects in existence that year.</w:t>
      </w:r>
    </w:p>
    <w:p>
      <w:pPr>
        <w:spacing w:after="0" w:line="150" w:lineRule="exact"/>
        <w:rPr>
          <w:rFonts w:ascii="Arial" w:cs="Arial" w:eastAsia="Arial" w:hAnsi="Arial"/>
          <w:sz w:val="17"/>
          <w:szCs w:val="17"/>
          <w:color w:val="auto"/>
        </w:rPr>
      </w:pPr>
    </w:p>
    <w:p>
      <w:pPr>
        <w:jc w:val="both"/>
        <w:ind w:left="1040" w:right="20" w:hanging="519"/>
        <w:spacing w:after="0" w:line="23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and Film’s revenue declined $1 million (2%) compared with the prior year first three months. The segment loss increased $2 million compared with the prior year quarter, driven by the declining installed base of consumer inkjet printers. Kodak plans to continue to promote the use of film to utilize as much film manufacturing capacity as possible.</w:t>
      </w:r>
    </w:p>
    <w:p>
      <w:pPr>
        <w:spacing w:after="0" w:line="67" w:lineRule="exact"/>
        <w:rPr>
          <w:rFonts w:ascii="Arial" w:cs="Arial" w:eastAsia="Arial" w:hAnsi="Arial"/>
          <w:sz w:val="18"/>
          <w:szCs w:val="18"/>
          <w:color w:val="auto"/>
        </w:rPr>
      </w:pPr>
    </w:p>
    <w:p>
      <w:pPr>
        <w:ind w:left="1040" w:right="240" w:hanging="519"/>
        <w:spacing w:after="0" w:line="24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(“EBP”), which helps cost absorption for both Kodak operations and tenants at EBP.</w:t>
      </w:r>
    </w:p>
    <w:p>
      <w:pPr>
        <w:spacing w:after="0" w:line="61" w:lineRule="exact"/>
        <w:rPr>
          <w:rFonts w:ascii="Arial" w:cs="Arial" w:eastAsia="Arial" w:hAnsi="Arial"/>
          <w:sz w:val="18"/>
          <w:szCs w:val="18"/>
          <w:color w:val="auto"/>
        </w:rPr>
      </w:pPr>
    </w:p>
    <w:p>
      <w:pPr>
        <w:ind w:left="1040" w:right="240" w:hanging="519"/>
        <w:spacing w:after="0" w:line="24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61" w:lineRule="exact"/>
        <w:rPr>
          <w:rFonts w:ascii="Arial" w:cs="Arial" w:eastAsia="Arial" w:hAnsi="Arial"/>
          <w:sz w:val="18"/>
          <w:szCs w:val="18"/>
          <w:color w:val="auto"/>
        </w:rPr>
      </w:pPr>
    </w:p>
    <w:p>
      <w:pPr>
        <w:ind w:left="1040" w:right="120" w:hanging="519"/>
        <w:spacing w:after="0" w:line="24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Kodak has seven reportable segments: Print Systems, Enterprise Inkjet Systems, Flexographic Packaging, Software and Solutions, Consumer and Film,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20"/>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040" w:hanging="519"/>
        <w:spacing w:after="0" w:line="286"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Digital offset plates, which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040" w:right="16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040" w:right="4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right="40" w:hanging="376"/>
        <w:spacing w:after="0" w:line="272"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w:t>
      </w:r>
    </w:p>
    <w:p>
      <w:pPr>
        <w:spacing w:after="0" w:line="204" w:lineRule="exact"/>
        <w:rPr>
          <w:rFonts w:ascii="Arial" w:cs="Arial" w:eastAsia="Arial" w:hAnsi="Arial"/>
          <w:sz w:val="17"/>
          <w:szCs w:val="17"/>
          <w:color w:val="auto"/>
        </w:rPr>
      </w:pPr>
    </w:p>
    <w:p>
      <w:pPr>
        <w:ind w:left="1140" w:right="140" w:hanging="376"/>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focus of the Prosper business is on developing the next generation platform, Ultrastream, with solutions that place writing systems in original equipment manufacturers as well as direct sale press products that widens its reach into applications for packaging and décor and expands the substrate range to include plastics. Product development is currently in the stage of shipping evaluation kits to potential partners with commercialization expected in 2019.</w:t>
      </w:r>
    </w:p>
    <w:p>
      <w:pPr>
        <w:spacing w:after="0" w:line="186" w:lineRule="exact"/>
        <w:rPr>
          <w:rFonts w:ascii="Arial" w:cs="Arial" w:eastAsia="Arial" w:hAnsi="Arial"/>
          <w:sz w:val="18"/>
          <w:szCs w:val="18"/>
          <w:color w:val="auto"/>
        </w:rPr>
      </w:pPr>
    </w:p>
    <w:p>
      <w:pPr>
        <w:ind w:left="1140" w:right="80" w:hanging="376"/>
        <w:spacing w:after="0" w:line="264"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520" w:hanging="376"/>
        <w:spacing w:after="0" w:line="312"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Flexographic Packaging</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Flexographic Packaging segment consists of flexographic imaging equipment, printing plates, consumables and related services, which enable graphic customization of a wide variety of packaging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FLEXCEL NX</w:t>
      </w:r>
      <w:r>
        <w:rPr>
          <w:rFonts w:ascii="Arial" w:cs="Arial" w:eastAsia="Arial" w:hAnsi="Arial"/>
          <w:sz w:val="18"/>
          <w:szCs w:val="18"/>
          <w:color w:val="auto"/>
        </w:rPr>
        <w:t>:</w:t>
      </w:r>
    </w:p>
    <w:p>
      <w:pPr>
        <w:spacing w:after="0" w:line="117" w:lineRule="exact"/>
        <w:rPr>
          <w:sz w:val="20"/>
          <w:szCs w:val="20"/>
          <w:color w:val="auto"/>
        </w:rPr>
      </w:pPr>
    </w:p>
    <w:p>
      <w:pPr>
        <w:ind w:left="1140" w:right="180" w:hanging="376"/>
        <w:spacing w:after="0" w:line="342"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Packaging Business:</w:t>
      </w:r>
    </w:p>
    <w:p>
      <w:pPr>
        <w:spacing w:after="0" w:line="252" w:lineRule="exact"/>
        <w:rPr>
          <w:sz w:val="20"/>
          <w:szCs w:val="20"/>
          <w:color w:val="auto"/>
        </w:rPr>
      </w:pPr>
    </w:p>
    <w:p>
      <w:pPr>
        <w:ind w:left="1140" w:right="160" w:hanging="376"/>
        <w:spacing w:after="0" w:line="259"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are equipment service and the legacy APPROVAL proofing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document management and managed print services businesses and Kodakit.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Unified Workflow Solutions:</w:t>
      </w:r>
    </w:p>
    <w:p>
      <w:pPr>
        <w:spacing w:after="0" w:line="225" w:lineRule="exact"/>
        <w:rPr>
          <w:sz w:val="20"/>
          <w:szCs w:val="20"/>
          <w:color w:val="auto"/>
        </w:rPr>
      </w:pPr>
    </w:p>
    <w:p>
      <w:pPr>
        <w:ind w:left="1140" w:hanging="376"/>
        <w:spacing w:after="0" w:line="25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Unified Workflow Solutions business includes digital front-end controllers which manage the delivery of personalized content to digital presses while controlling color and print consistency.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Technology Solutions:</w:t>
      </w:r>
    </w:p>
    <w:p>
      <w:pPr>
        <w:spacing w:after="0" w:line="252" w:lineRule="exact"/>
        <w:rPr>
          <w:sz w:val="20"/>
          <w:szCs w:val="20"/>
          <w:color w:val="auto"/>
        </w:rPr>
      </w:pPr>
    </w:p>
    <w:p>
      <w:pPr>
        <w:ind w:left="1140" w:right="300" w:hanging="376"/>
        <w:spacing w:after="0" w:line="279"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 sectors.</w:t>
      </w:r>
    </w:p>
    <w:p>
      <w:pPr>
        <w:spacing w:after="0" w:line="198"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Consumer and Film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Consumer and Film segment is comprised of three lines of business: Consumer Products, Industrial Film and Chemicals, and Motion Picture.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jc w:val="both"/>
        <w:ind w:left="1140" w:right="80" w:hanging="376"/>
        <w:spacing w:after="0" w:line="256"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Kodak developed consumer products, including the Super 8 camera.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80" w:hanging="376"/>
        <w:spacing w:after="0" w:line="258"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 Inks and Dispersions.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60" w:hanging="376"/>
        <w:spacing w:after="0" w:line="258"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higher-level of investment has been required. Advanced Materials and 3D Printing Technology significantly reduced the level of this investment in the fourth quarter of 2017, concentrating on opportunities that are commercialized or nearly commercialized with identified markets and customers.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Advanced Materials and 3D Printing Technology segment will also pursue partnership opportunities to commercialize materials and printed electronics technologies. These partnerships may include non-recurring engineering payments for Kodak efforts to further develop such technologies into products. Further, Advanced Materials and 3D Printing Technology segment provides a wide range of analytical services and non-recurring engineering services to external clients at market rates for such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Materials:</w:t>
      </w:r>
    </w:p>
    <w:p>
      <w:pPr>
        <w:spacing w:after="0" w:line="225" w:lineRule="exact"/>
        <w:rPr>
          <w:sz w:val="20"/>
          <w:szCs w:val="20"/>
          <w:color w:val="auto"/>
        </w:rPr>
      </w:pPr>
    </w:p>
    <w:p>
      <w:pPr>
        <w:ind w:left="1140" w:hanging="376"/>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right="20" w:hanging="376"/>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3D Printing concentrates on partnerships and/or licensing opportunities in printed electronics (micro 3D printing) and materials production for macro 3D printing companies.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Licensing:</w:t>
      </w:r>
    </w:p>
    <w:p>
      <w:pPr>
        <w:spacing w:after="0" w:line="117" w:lineRule="exact"/>
        <w:rPr>
          <w:sz w:val="20"/>
          <w:szCs w:val="20"/>
          <w:color w:val="auto"/>
        </w:rPr>
      </w:pPr>
    </w:p>
    <w:p>
      <w:pPr>
        <w:ind w:left="1140" w:right="140" w:hanging="376"/>
        <w:spacing w:after="0" w:line="286"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40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1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r>
      <w:tr>
        <w:trPr>
          <w:trHeight w:val="20"/>
        </w:trPr>
        <w:tc>
          <w:tcPr>
            <w:tcW w:w="7660" w:type="dxa"/>
            <w:vAlign w:val="bottom"/>
            <w:gridSpan w:val="3"/>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83"/>
        </w:trPr>
        <w:tc>
          <w:tcPr>
            <w:tcW w:w="92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Segment Operational EBITDA and Consolidated (Loss) Earnings from Continuing Operations Before Income Taxes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40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5"/>
                <w:szCs w:val="15"/>
                <w:color w:val="auto"/>
              </w:rPr>
              <w:t>(3)</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(3)</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(3)</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(loss) earnings from continuing operations before</w:t>
            </w:r>
          </w:p>
        </w:tc>
        <w:tc>
          <w:tcPr>
            <w:tcW w:w="1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8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160" w:hanging="512"/>
        <w:spacing w:after="0" w:line="277" w:lineRule="auto"/>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EBITDA”). Operational EBITDA represents the (loss) earnings from continuing operations excluding the provision for income taxes; non-service cost components of pension and OPEB income; depreciation and amortization expense; restructuring costs; stock-based compensation expense; consulting and other costs; idle costs; other operating expense, net (unless otherwise indicated); goodwill impairment losses; interest expense; and other (charges) income, net.</w:t>
      </w:r>
    </w:p>
    <w:p>
      <w:pPr>
        <w:spacing w:after="0" w:line="19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During the first quarter of 2018 the segment measure was changed to exclude amortization of prior service costs and credits, which, due to the adoption of ASU 2017-17 are no longer reported in the same line items as other compensation costs arising from services rendered during the period. Refer to the Recently Adopted Accounting Pronouncements section of Note 1, “Basis of Presentation and Recent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3"/>
              </w:rPr>
              <w:t>Three Months Ended March 31,</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right"/>
              <w:ind w:right="765"/>
              <w:spacing w:after="0" w:line="205" w:lineRule="exact"/>
              <w:rPr>
                <w:sz w:val="20"/>
                <w:szCs w:val="20"/>
                <w:color w:val="auto"/>
              </w:rPr>
            </w:pPr>
            <w:r>
              <w:rPr>
                <w:rFonts w:ascii="Arial" w:cs="Arial" w:eastAsia="Arial" w:hAnsi="Arial"/>
                <w:sz w:val="18"/>
                <w:szCs w:val="18"/>
                <w:b w:val="1"/>
                <w:bCs w:val="1"/>
                <w:color w:val="auto"/>
              </w:rPr>
              <w:t>% of</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765"/>
              <w:spacing w:after="0"/>
              <w:rPr>
                <w:sz w:val="20"/>
                <w:szCs w:val="20"/>
                <w:color w:val="auto"/>
              </w:rPr>
            </w:pPr>
            <w:r>
              <w:rPr>
                <w:rFonts w:ascii="Arial" w:cs="Arial" w:eastAsia="Arial" w:hAnsi="Arial"/>
                <w:sz w:val="18"/>
                <w:szCs w:val="18"/>
                <w:b w:val="1"/>
                <w:bCs w:val="1"/>
                <w:color w:val="auto"/>
              </w:rPr>
              <w:t>Sales</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 Change</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(Loss) earnings from continuing</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Arial" w:cs="Arial" w:eastAsia="Arial" w:hAnsi="Arial"/>
                <w:sz w:val="18"/>
                <w:szCs w:val="18"/>
                <w:color w:val="auto"/>
              </w:rPr>
              <w:t>operations before interest expense,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Arial" w:cs="Arial" w:eastAsia="Arial" w:hAnsi="Arial"/>
                <w:sz w:val="18"/>
                <w:szCs w:val="18"/>
                <w:color w:val="auto"/>
              </w:rPr>
              <w:t>other (income) charges, net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(Loss) earnings from continuing</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(Loss) earnings from continuing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the three months ended March 31, 2018 revenues were unchanged compared with the same period in 2017. Volume and pricing declines within Print Systems ($11 million), and volume declines within Enterprise Inkjet Systems ($7 million), Consumer and Film ($3 million) and Software and Solutions ($2 million) were offset by favorable foreign currency of $20 million and volume improvements in Flexographic Packaging ($2 million). See segment discussions for additional details.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decrease in gross profit for the three months ended March 31, 2018 of approximately $8 million compared with the same period in 2017 reflected volume declines within Enterprise Inkjet Systems ($4 million) and Consumer and Film ($2 million), higher aluminum costs and pricing declines within Print Systems ($8 million and $3 million, respectively), partially offset by reduced inventory write-offs due to restructuring ($6 million) and favorable foreign currency of $4 million. See segment discussions for additional details.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Consolidated SG&amp;A decreased $2 million for the three months ended March 31, 2018 primarily due to lower investment in segment selling and marketing activities ($3 million) driven by a lower investment in Enterprise Inkjet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Consolidated R&amp;D expenses decreased $5 million for the three months ended March 31, 2018 primarily due to the reduced level of investment in Advanced Materials and 3D Printing ($4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increase in Print Systems revenues for the three months ended March 31, 2018 of approximately $3 million reflected favorable foreign currency of $14 million. The favorable impact of currency was partially offset by lower pricing and volume declines in Prepress Solutions (each $4 million) driven by competitive pressures in the industry and declines in plates, respectively. Also offsetting the positive impact of foreign currency was lower volume in Electrophotographic Printing Solutions ($4 million) due to declines in consumables and service and lower equipment placements.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decrease in Print Systems Operational EBITDA for the three months ended March 31, 2018 of approximately $8 million reflected lower pricing in Prepress Solutions ($4 million) and higher aluminum costs ($8 million) and the unfavorable impact of currency ($2 million) partially offset by manufacturing cost improvements in Prepress plates ($2 million) and lower SG&amp;A costs ($3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decrease in Enterprise Inkjet Systems revenues for the three months ended March 31, 2018 of approximately $6 million primarily reflected lower volume of VERSAMARK service and consumables ($4 million) due to declines in the installed base of VERSAMARK systems and lower volume of VERSAMARK system placements ($3 million) primarily due to the placement of used equipment in the prior year quarter. The unfavorable impacts were partially offset by the favorable impact of currency ($2 million). Volume improvements in PROSPER annuities ($1 million) were offset by lower volume of PROSPER components ($1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Enterprise Inkjet Systems Operational EBITDA for the three months ended March 31, 2018 was unchanged compared to the prior year quarter primarily reflecting the lower volume of VERSAMARK service, consumables and equipment placements ($3 million) and PROSPER components ($1 million) offset by a lower level of investment in marketing, advertising and sales activities and R&amp;D activities (each $2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 SEGMENT</w:t>
      </w:r>
    </w:p>
    <w:p>
      <w:pPr>
        <w:spacing w:after="0" w:line="185"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increase in Flexographic Packaging revenues for the three months ended March 31, 2018 of approximately $4 million primarily reflected volume improvements in FLEXCEL NX consumables ($3 million) due to a larger installed base of FLEXCEL NX systems and the favorable impact of currency ($2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improvement in Flexographic Packaging Operational EBITDA of approximately $1 million was primarily driven by volume improvements in FLEXCEL NX consumables ($2 million) partially offset by increased investment in product development, marketing and sales activities ($1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SOFTWARE AND SOLUTIONS SEGMENT</w:t>
            </w:r>
          </w:p>
        </w:tc>
        <w:tc>
          <w:tcPr>
            <w:tcW w:w="280" w:type="dxa"/>
            <w:vAlign w:val="bottom"/>
          </w:tcPr>
          <w:p>
            <w:pPr>
              <w:spacing w:after="0"/>
              <w:rPr>
                <w:sz w:val="20"/>
                <w:szCs w:val="20"/>
                <w:color w:val="auto"/>
              </w:rPr>
            </w:pPr>
          </w:p>
        </w:tc>
        <w:tc>
          <w:tcPr>
            <w:tcW w:w="32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7"/>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decline in Software and Solutions revenues for the three months ended March 31, 2018 of approximately $1 million was primarily due to lower volume in United Workflow Solutions ($2 million) partially offset by the favorable impact of currency ($1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Software and Solutions Operational EBITDA for the three months ended March 31, 2018 was unchanged compared to the prior year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CONSUMER AND FILM SEGMENT</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84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vMerge w:val="continue"/>
            <w:shd w:val="clear" w:color="auto" w:fill="CFF0FC"/>
          </w:tcPr>
          <w:p>
            <w:pPr>
              <w:spacing w:after="0"/>
              <w:rPr>
                <w:sz w:val="19"/>
                <w:szCs w:val="19"/>
                <w:color w:val="auto"/>
              </w:rPr>
            </w:pPr>
          </w:p>
        </w:tc>
        <w:tc>
          <w:tcPr>
            <w:tcW w:w="18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1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decline in Consumer and Film revenues for the three months ended March 31, 2018 of approximately $1 million was primarily due to volume declines in Consumer Inkjet Systems ($4 million) driven by lower sales of ink to the existing installed base of printers and lower volume in Industrial Film and Chemicals ($1 million) partially offset by higher volume in Entertainment Films, higher brand licensing revenue (due to the modified retrospective adoption approach of ASU 2014-09) and the favorable impact of currency (each $1 million).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decrease in Consumer and Film Operational EBITDA for the three months ended March 31, 2018 of approximately $2 million reflected volume declines in Consumer Inkjet Systems ($3 million) driven by lower sales of ink to the existing installed base of printers and unfavorable manufacturing costs in Industrial Film and Chemicals ($2 million) partially offset by higher brand licensing revenue, the favorable impact of currency and lower SG&amp;A (each $1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ADVANCED MATERIALS AND 3D PRINTING TECHNOLOGY SEGMENT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8"/>
                <w:szCs w:val="18"/>
                <w:b w:val="1"/>
                <w:bCs w:val="1"/>
                <w:color w:val="auto"/>
              </w:rPr>
              <w:t>Three Months Ended March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Advanced Materials and 3D Printing Technology Operational EBITDA improved by approximately $4 million, primarily due to the reduced level of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Eastman Business Park revenue and Operational EBITDA did not change compared to the prior year quarter.</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tenant that represented approximately thirty percent of segment revenues, for both the three months ended March 31, 2018 and the year ended December 31, 2017 notified Kodak that it does not plan to renew its lease upon expiration in the third quarter of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Kodak recorded $2 million of charges for the three months ended March 31, 2018, which were reported as Restructuring costs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Kodak made cash payments related to restructuring of approximately $4 million during the three months ended March 31, 2018.</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restructuring actions implemented in the first three months of 2018 are expected to generate future annual cash savings of approximately $3 million. These savings are expected to reduce future annual SG&amp;A expenses. Kodak began realizing a portion of these savings in the first three months, and expects the majority of the annual savings to be in effect by the end of 2018 as actions are completed.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234"/>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00" w:lineRule="exact"/>
        <w:rPr>
          <w:sz w:val="20"/>
          <w:szCs w:val="20"/>
          <w:color w:val="auto"/>
        </w:rPr>
      </w:pP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80" w:type="dxa"/>
            <w:vAlign w:val="bottom"/>
            <w:gridSpan w:val="4"/>
          </w:tcPr>
          <w:p>
            <w:pPr>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Change</w:t>
            </w:r>
          </w:p>
        </w:tc>
      </w:tr>
      <w:tr>
        <w:trPr>
          <w:trHeight w:val="203"/>
        </w:trPr>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3"/>
        </w:trPr>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gridSpan w:val="4"/>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operating activities improved $26 million for the three months ended March 31, 2018 as compared with the corresponding period in 2017 driven by lower inventory builds and less cash usage to satisfy accounts payable and other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investing activities increased $6 million for the three months ended March 31, 2018 as compared with the corresponding period in 2017 primarily due to higher payments for capital additions and a lack of proceeds from sales of assets in the current year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increased $1 million in the three months ended March 31, 2018 as compared with the corresponding period in 2017 due to a lower dividend payment made to the holders of Series A Preferred Stock in the prior year as the dividend reflected the partial quarter the Series A Preferred Stock was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Available liquidity includes cash balances and the unused portion of the Amended Credit Agreement. The Amended Credit Agreement had $36 million of net availability as of March 31, 2018. The amount of available liquidity is subject to fluctuations and includes cash balances held by various entities worldwide. At March 31, 2018 and December 31, 2017 approximately $142 million and $172 million, respectively, of cash and cash equivalents were held within the U.S. and approximately $171 million and $172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March 31, 2018, outstanding inter-company loans to the U.S. were $357 million which includes short-term intercompany loans of $59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In China, where approximately $106 million of cash and cash equivalents was held as of March 31, 2018, there are limitations related to net asset balances that may impact the ability to make cash available to other jurisdictions in the world. Under the terms of the Senior Secured First Lien Term Credit Agreement (the “Term Credit Agreement”) and the Amended Credit Agreement, the Company is permitted to invest up to $100 million in subsidiaries and joint ventures that are not party to these loan agreements.</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34" w:name="page35"/>
    <w:bookmarkEnd w:id="34"/>
    <w:p>
      <w:pPr>
        <w:ind w:right="120"/>
        <w:spacing w:after="0" w:line="264" w:lineRule="auto"/>
        <w:rPr>
          <w:sz w:val="20"/>
          <w:szCs w:val="20"/>
          <w:color w:val="auto"/>
        </w:rPr>
      </w:pPr>
      <w:r>
        <w:rPr>
          <w:rFonts w:ascii="Arial" w:cs="Arial" w:eastAsia="Arial" w:hAnsi="Arial"/>
          <w:sz w:val="18"/>
          <w:szCs w:val="18"/>
          <w:color w:val="auto"/>
        </w:rPr>
        <w:t>As of March 31, 2018 and December 31, 2017, Kodak had funded $0 million and $6 million, respectively, to the Eligible Cash account held with the Amended and Restated Credit Agreement Administrative Agent which was classified as Restricted cash in the Consolidated Statement of Financial Position, supporting the Excess Availability amount.</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Amended Credit Agreement, if Excess Availability ($36 million at March 31, 2018) falls below 12.5% of lender commitments ($18.75 million at March 31, 2018), Kodak would be required to be in compliance with the minimum Fixed Charge Coverage Ratio (the only financial covenant in the Amended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Amended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March 31, 2018, Kodak is not required to have a minimum Fixed Charge Coverage Ratio of 1.0 to</w:t>
      </w:r>
    </w:p>
    <w:p>
      <w:pPr>
        <w:spacing w:after="0" w:line="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1.0. As of March 31, 2018, Kodak is in compliance with all covenants under the Amended Credit Agreement. If Kodak was required to have a Fixed Charge Coverage Ratio of 1.0 to 1.0 (as defined in the Amended Credit agreement) Fixed Charges exceeded EBITDA by approximately $7 million.</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Term Credit Agreement, Kodak is required to maintain a Secured Leverage Ratio (the only financial covenant in the Term Credit Agreement) not to exceed 2.75 to 1. The Secured Leverage Ratio is tested at the end of each quarter based on the prior four quarters and is generally determined by dividing secured debt, net of U.S. cash and cash equivalents, by consolidated EBITDA, as calculated under the Term Credit Agreement. As of March 31, 2018, Kodak’s EBITDA, as calculated under the Term Credit Agreement, exceeded the EBITDA necessary to satisfy the covenant ratio by approximately $25 million.</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terms of the Amended Credit and Term Credit Agreements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$2 million for the quarter ended March 31, 2018 and assets of $23 million as of March 31, 2018, which represent 0% and 1%, respectively, of Kodak’s consolidated sales for the quarter ended March 31, 2018 and consolidated assets as of March 31, 2018. The designation of these subsidiaries as Unrestricted Subsidiaries increased the amount by which the Company’s EBITDA, as calculated under the Term Credit Agreement and the Amended Credit Agreement, exceeds the amount of EBITDA needed to satisfy the Net Secured Leverage Ratio covenant of 2.75 to 1.0 by $22 and the Fixed Charge Coverage Ratio of 1.0 to 1.0 by $16. Each of the capitalized but undefined terms has the meaning ascribed to such term in the Credit Agreements.</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205"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Kodak made net contributions (funded plans) or paid benefits (unfunded plans) totaling approximately $3 million to its defined benefit pension and postretirement benefit plans in the first three months of 2018. For the balance of 2018, the forecasted contribution (funded plans) and benefit payment (unfunded plans) requirements for its pension and postretirement plans are approximately $19 million.</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flow from investing activities included $10 million of capital expenditures for the three months ended March 31, 2018. Kodak expects approximately $30 million to $40 million of total capital expenditures for 2018.</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mid-2019 and will initially focus on supplying FLEXCEL NX Plates to customers in the United States, Canada and Latin America. Kodak invested approximately $7 million in 2017 and approximately $3 million in the first three months of 2018. The investment for the full year 2018 is expected to be approximately $7 million and the total investment for the project is expected to be approximately $15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340"/>
        <w:spacing w:after="0" w:line="279" w:lineRule="auto"/>
        <w:rPr>
          <w:sz w:val="20"/>
          <w:szCs w:val="20"/>
          <w:color w:val="auto"/>
        </w:rPr>
      </w:pPr>
      <w:r>
        <w:rPr>
          <w:rFonts w:ascii="Arial" w:cs="Arial" w:eastAsia="Arial" w:hAnsi="Arial"/>
          <w:sz w:val="17"/>
          <w:szCs w:val="17"/>
          <w:color w:val="auto"/>
        </w:rPr>
        <w:t>Kodak believes that its liquidity position is adequate to fund its operating and investing needs for the next year and to provide the flexibility to respond as necessary to any changes in the business environment. The loans made under the Term Credit Agreement become due on the earlier to occur of (i) the maturity date of September 3, 2019 or (ii) an acceleration of such loans following the occurrence of an event of default (as defined in the Term Credit Agreement). Kodak intends to refinance the loans under the Term Credit Agreement before their maturity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March 31, 2018 and December 31, 2017, the fair value of open forward contracts would have decreased by $12 million and $21 million, respectively. Such changes in fair value would be substantially offset by the revaluation or settlement of the underlying positions hedged.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Kodak’s Senior Secured First Lien Term Credit Agreement and Amended Credit Agreement are in variable-rate instruments, the Senior Secured First Lien Term Credit Agreement with an interest rate floor. At March 31, 2018 the three-month LIBOR rate was approximately 2.31%. At December 31, 2017 the one-month LIBOR rate was approximately 1.56%. When LIBOR rates rise above the 1% floor, interest expense increases approximately $4 million per annum for each 1% of LIBOR above the floor ($395 million face amount of debt times 1% at March 31, 2018).</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2018 was not significant to Kodak.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March 31, 2018, Kodak maintained accruals of approximately $11 million for claims aggregating approximately $207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2017 Form 10-K. The Risk Factors remain applicable from the 2017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320" w:hanging="512"/>
        <w:spacing w:after="0" w:line="407" w:lineRule="auto"/>
        <w:tabs>
          <w:tab w:leader="none" w:pos="51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March 31, 2018 </w:t>
      </w:r>
      <w:r>
        <w:rPr>
          <w:rFonts w:ascii="Arial" w:cs="Arial" w:eastAsia="Arial" w:hAnsi="Arial"/>
          <w:sz w:val="18"/>
          <w:szCs w:val="18"/>
          <w:color w:val="auto"/>
        </w:rPr>
        <w:t>Not Applicable</w:t>
      </w:r>
    </w:p>
    <w:p>
      <w:pPr>
        <w:spacing w:after="0" w:line="162" w:lineRule="exact"/>
        <w:rPr>
          <w:rFonts w:ascii="Arial" w:cs="Arial" w:eastAsia="Arial" w:hAnsi="Arial"/>
          <w:sz w:val="18"/>
          <w:szCs w:val="18"/>
          <w:b w:val="1"/>
          <w:bCs w:val="1"/>
          <w:color w:val="auto"/>
        </w:rPr>
      </w:pPr>
    </w:p>
    <w:p>
      <w:pPr>
        <w:ind w:left="520" w:right="4900" w:hanging="512"/>
        <w:spacing w:after="0" w:line="407" w:lineRule="auto"/>
        <w:tabs>
          <w:tab w:leader="none" w:pos="51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March 31, 2018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 through 31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40" w:hanging="512"/>
        <w:spacing w:after="0" w:line="277"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560" w:right="4920" w:hanging="5174"/>
        <w:spacing w:after="0" w:line="528"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 required as part of this report are listed in the index appearing below.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120" w:type="dxa"/>
            <w:vAlign w:val="bottom"/>
            <w:gridSpan w:val="7"/>
          </w:tcPr>
          <w:p>
            <w:pPr>
              <w:jc w:val="center"/>
              <w:ind w:right="284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0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6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w w:val="91"/>
              </w:rPr>
              <w:t>Index to Exhibits</w:t>
            </w:r>
          </w:p>
        </w:tc>
      </w:tr>
      <w:tr>
        <w:trPr>
          <w:trHeight w:val="465"/>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8620" w:type="dxa"/>
            <w:vAlign w:val="bottom"/>
            <w:gridSpan w:val="8"/>
          </w:tcPr>
          <w:p>
            <w:pPr>
              <w:spacing w:after="0"/>
              <w:rPr>
                <w:sz w:val="20"/>
                <w:szCs w:val="20"/>
                <w:color w:val="auto"/>
              </w:rPr>
            </w:pPr>
            <w:r>
              <w:rPr>
                <w:rFonts w:ascii="Arial" w:cs="Arial" w:eastAsia="Arial" w:hAnsi="Arial"/>
                <w:sz w:val="22"/>
                <w:szCs w:val="22"/>
                <w:color w:val="auto"/>
                <w:w w:val="99"/>
              </w:rPr>
              <w:t>Second Amended and Restated Certificate of Incorporation of Eastman Kodak Company</w:t>
            </w:r>
          </w:p>
        </w:tc>
      </w:tr>
      <w:tr>
        <w:trPr>
          <w:trHeight w:val="243"/>
        </w:trPr>
        <w:tc>
          <w:tcPr>
            <w:tcW w:w="1080" w:type="dxa"/>
            <w:vAlign w:val="bottom"/>
          </w:tcPr>
          <w:p>
            <w:pPr>
              <w:spacing w:after="0"/>
              <w:rPr>
                <w:sz w:val="21"/>
                <w:szCs w:val="21"/>
                <w:color w:val="auto"/>
              </w:rPr>
            </w:pPr>
          </w:p>
        </w:tc>
        <w:tc>
          <w:tcPr>
            <w:tcW w:w="8620" w:type="dxa"/>
            <w:vAlign w:val="bottom"/>
            <w:gridSpan w:val="8"/>
          </w:tcPr>
          <w:p>
            <w:pPr>
              <w:spacing w:after="0" w:line="243" w:lineRule="exact"/>
              <w:rPr>
                <w:sz w:val="20"/>
                <w:szCs w:val="20"/>
                <w:color w:val="auto"/>
              </w:rPr>
            </w:pPr>
            <w:r>
              <w:rPr>
                <w:rFonts w:ascii="Arial" w:cs="Arial" w:eastAsia="Arial" w:hAnsi="Arial"/>
                <w:sz w:val="22"/>
                <w:szCs w:val="22"/>
                <w:color w:val="auto"/>
                <w:w w:val="89"/>
              </w:rPr>
              <w:t>(Incorporated by reference to Exhibit 4.1 of the Company’s Registration Statement on Form S-8 as</w:t>
            </w:r>
          </w:p>
        </w:tc>
      </w:tr>
      <w:tr>
        <w:trPr>
          <w:trHeight w:val="275"/>
        </w:trPr>
        <w:tc>
          <w:tcPr>
            <w:tcW w:w="1080" w:type="dxa"/>
            <w:vAlign w:val="bottom"/>
          </w:tcPr>
          <w:p>
            <w:pPr>
              <w:spacing w:after="0"/>
              <w:rPr>
                <w:sz w:val="23"/>
                <w:szCs w:val="23"/>
                <w:color w:val="auto"/>
              </w:rPr>
            </w:pPr>
          </w:p>
        </w:tc>
        <w:tc>
          <w:tcPr>
            <w:tcW w:w="8620" w:type="dxa"/>
            <w:vAlign w:val="bottom"/>
            <w:gridSpan w:val="8"/>
          </w:tcPr>
          <w:p>
            <w:pPr>
              <w:spacing w:after="0"/>
              <w:rPr>
                <w:sz w:val="20"/>
                <w:szCs w:val="20"/>
                <w:color w:val="auto"/>
              </w:rPr>
            </w:pPr>
            <w:r>
              <w:rPr>
                <w:rFonts w:ascii="Arial" w:cs="Arial" w:eastAsia="Arial" w:hAnsi="Arial"/>
                <w:sz w:val="22"/>
                <w:szCs w:val="22"/>
                <w:color w:val="auto"/>
              </w:rPr>
              <w:t>filed on September 3, 2013).</w:t>
            </w:r>
          </w:p>
        </w:tc>
      </w:tr>
      <w:tr>
        <w:trPr>
          <w:trHeight w:val="698"/>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gridSpan w:val="8"/>
          </w:tcPr>
          <w:p>
            <w:pPr>
              <w:spacing w:after="0"/>
              <w:rPr>
                <w:sz w:val="20"/>
                <w:szCs w:val="20"/>
                <w:color w:val="auto"/>
              </w:rPr>
            </w:pPr>
            <w:r>
              <w:rPr>
                <w:rFonts w:ascii="Arial" w:cs="Arial" w:eastAsia="Arial" w:hAnsi="Arial"/>
                <w:sz w:val="22"/>
                <w:szCs w:val="22"/>
                <w:color w:val="auto"/>
                <w:w w:val="93"/>
              </w:rPr>
              <w:t>Certificate of Amendment to the Second Amended and Restated Certificate of Incorporation of</w:t>
            </w:r>
          </w:p>
        </w:tc>
      </w:tr>
      <w:tr>
        <w:trPr>
          <w:trHeight w:val="243"/>
        </w:trPr>
        <w:tc>
          <w:tcPr>
            <w:tcW w:w="1080" w:type="dxa"/>
            <w:vAlign w:val="bottom"/>
          </w:tcPr>
          <w:p>
            <w:pPr>
              <w:spacing w:after="0"/>
              <w:rPr>
                <w:sz w:val="21"/>
                <w:szCs w:val="21"/>
                <w:color w:val="auto"/>
              </w:rPr>
            </w:pPr>
          </w:p>
        </w:tc>
        <w:tc>
          <w:tcPr>
            <w:tcW w:w="8620" w:type="dxa"/>
            <w:vAlign w:val="bottom"/>
            <w:gridSpan w:val="8"/>
          </w:tcPr>
          <w:p>
            <w:pPr>
              <w:spacing w:after="0" w:line="243" w:lineRule="exact"/>
              <w:rPr>
                <w:sz w:val="20"/>
                <w:szCs w:val="20"/>
                <w:color w:val="auto"/>
              </w:rPr>
            </w:pPr>
            <w:r>
              <w:rPr>
                <w:rFonts w:ascii="Arial" w:cs="Arial" w:eastAsia="Arial" w:hAnsi="Arial"/>
                <w:sz w:val="22"/>
                <w:szCs w:val="22"/>
                <w:color w:val="auto"/>
                <w:w w:val="89"/>
              </w:rPr>
              <w:t>Eastman Kodak Company (Incorporated by refer reference to Exhibit 3.1 of the Company’s Current</w:t>
            </w:r>
          </w:p>
        </w:tc>
      </w:tr>
      <w:tr>
        <w:trPr>
          <w:trHeight w:val="275"/>
        </w:trPr>
        <w:tc>
          <w:tcPr>
            <w:tcW w:w="1080" w:type="dxa"/>
            <w:vAlign w:val="bottom"/>
          </w:tcPr>
          <w:p>
            <w:pPr>
              <w:spacing w:after="0"/>
              <w:rPr>
                <w:sz w:val="23"/>
                <w:szCs w:val="23"/>
                <w:color w:val="auto"/>
              </w:rPr>
            </w:pPr>
          </w:p>
        </w:tc>
        <w:tc>
          <w:tcPr>
            <w:tcW w:w="8620" w:type="dxa"/>
            <w:vAlign w:val="bottom"/>
            <w:gridSpan w:val="8"/>
          </w:tcPr>
          <w:p>
            <w:pPr>
              <w:spacing w:after="0"/>
              <w:rPr>
                <w:sz w:val="20"/>
                <w:szCs w:val="20"/>
                <w:color w:val="auto"/>
              </w:rPr>
            </w:pPr>
            <w:r>
              <w:rPr>
                <w:rFonts w:ascii="Arial" w:cs="Arial" w:eastAsia="Arial" w:hAnsi="Arial"/>
                <w:sz w:val="22"/>
                <w:szCs w:val="22"/>
                <w:color w:val="auto"/>
              </w:rPr>
              <w:t>Report on Form 8-K as filed November 16, 2016).</w:t>
            </w:r>
          </w:p>
        </w:tc>
      </w:tr>
      <w:tr>
        <w:trPr>
          <w:trHeight w:val="698"/>
        </w:trPr>
        <w:tc>
          <w:tcPr>
            <w:tcW w:w="1080" w:type="dxa"/>
            <w:vAlign w:val="bottom"/>
          </w:tcPr>
          <w:p>
            <w:pPr>
              <w:spacing w:after="0"/>
              <w:rPr>
                <w:sz w:val="20"/>
                <w:szCs w:val="20"/>
                <w:color w:val="auto"/>
              </w:rPr>
            </w:pPr>
            <w:r>
              <w:rPr>
                <w:rFonts w:ascii="Arial" w:cs="Arial" w:eastAsia="Arial" w:hAnsi="Arial"/>
                <w:sz w:val="18"/>
                <w:szCs w:val="18"/>
                <w:color w:val="auto"/>
              </w:rPr>
              <w:t>(3.3)</w:t>
            </w:r>
          </w:p>
        </w:tc>
        <w:tc>
          <w:tcPr>
            <w:tcW w:w="8620" w:type="dxa"/>
            <w:vAlign w:val="bottom"/>
            <w:gridSpan w:val="8"/>
          </w:tcPr>
          <w:p>
            <w:pPr>
              <w:spacing w:after="0"/>
              <w:rPr>
                <w:sz w:val="20"/>
                <w:szCs w:val="20"/>
                <w:color w:val="auto"/>
              </w:rPr>
            </w:pPr>
            <w:r>
              <w:rPr>
                <w:rFonts w:ascii="Arial" w:cs="Arial" w:eastAsia="Arial" w:hAnsi="Arial"/>
                <w:sz w:val="22"/>
                <w:szCs w:val="22"/>
                <w:color w:val="auto"/>
                <w:w w:val="88"/>
              </w:rPr>
              <w:t>Fourth Amended and Restated By-Laws of Eastman Kodak Company (Incorporated by reference to</w:t>
            </w:r>
          </w:p>
        </w:tc>
      </w:tr>
      <w:tr>
        <w:trPr>
          <w:trHeight w:val="275"/>
        </w:trPr>
        <w:tc>
          <w:tcPr>
            <w:tcW w:w="1080" w:type="dxa"/>
            <w:vAlign w:val="bottom"/>
          </w:tcPr>
          <w:p>
            <w:pPr>
              <w:spacing w:after="0"/>
              <w:rPr>
                <w:sz w:val="23"/>
                <w:szCs w:val="23"/>
                <w:color w:val="auto"/>
              </w:rPr>
            </w:pPr>
          </w:p>
        </w:tc>
        <w:tc>
          <w:tcPr>
            <w:tcW w:w="8620" w:type="dxa"/>
            <w:vAlign w:val="bottom"/>
            <w:gridSpan w:val="8"/>
          </w:tcPr>
          <w:p>
            <w:pPr>
              <w:spacing w:after="0"/>
              <w:rPr>
                <w:sz w:val="20"/>
                <w:szCs w:val="20"/>
                <w:color w:val="auto"/>
              </w:rPr>
            </w:pPr>
            <w:r>
              <w:rPr>
                <w:rFonts w:ascii="Arial" w:cs="Arial" w:eastAsia="Arial" w:hAnsi="Arial"/>
                <w:sz w:val="22"/>
                <w:szCs w:val="22"/>
                <w:color w:val="auto"/>
              </w:rPr>
              <w:t>Exhibit 3.1 of the Company’s Current Report on Form 8-K as filed on May 25, 2017).</w:t>
            </w:r>
          </w:p>
        </w:tc>
      </w:tr>
      <w:tr>
        <w:trPr>
          <w:trHeight w:val="652"/>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8620" w:type="dxa"/>
            <w:vAlign w:val="bottom"/>
            <w:gridSpan w:val="8"/>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Eastman Kodak Company Administrative Guide for the 2018 Performance Period under the Executive Compensation</w:t>
              </w:r>
            </w:hyperlink>
          </w:p>
        </w:tc>
      </w:tr>
      <w:tr>
        <w:trPr>
          <w:trHeight w:val="196"/>
        </w:trPr>
        <w:tc>
          <w:tcPr>
            <w:tcW w:w="108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for Excellence and Leadership Plan, filed herewith.</w:t>
              </w:r>
            </w:hyperlink>
          </w:p>
        </w:tc>
        <w:tc>
          <w:tcPr>
            <w:tcW w:w="4760" w:type="dxa"/>
            <w:vAlign w:val="bottom"/>
            <w:tcBorders>
              <w:top w:val="single" w:sz="8" w:color="0000EE"/>
            </w:tcBorders>
            <w:gridSpan w:val="5"/>
          </w:tcPr>
          <w:p>
            <w:pPr>
              <w:spacing w:after="0"/>
              <w:rPr>
                <w:sz w:val="17"/>
                <w:szCs w:val="17"/>
                <w:color w:val="auto"/>
              </w:rPr>
            </w:pPr>
          </w:p>
        </w:tc>
        <w:tc>
          <w:tcPr>
            <w:tcW w:w="160" w:type="dxa"/>
            <w:vAlign w:val="bottom"/>
          </w:tcPr>
          <w:p>
            <w:pPr>
              <w:spacing w:after="0"/>
              <w:rPr>
                <w:sz w:val="17"/>
                <w:szCs w:val="17"/>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40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signed by Jeffrey J. Clarke, filed herewith.</w:t>
              </w:r>
            </w:hyperlink>
          </w:p>
        </w:tc>
        <w:tc>
          <w:tcPr>
            <w:tcW w:w="4600" w:type="dxa"/>
            <w:vAlign w:val="bottom"/>
            <w:gridSpan w:val="4"/>
          </w:tcPr>
          <w:p>
            <w:pPr>
              <w:spacing w:after="0"/>
              <w:rPr>
                <w:sz w:val="24"/>
                <w:szCs w:val="24"/>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62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signed by David E. Bullwinkle, filed herewith</w:t>
              </w:r>
            </w:hyperlink>
            <w:r>
              <w:rPr>
                <w:rFonts w:ascii="Arial" w:cs="Arial" w:eastAsia="Arial" w:hAnsi="Arial"/>
                <w:sz w:val="18"/>
                <w:szCs w:val="18"/>
                <w:color w:val="000000"/>
              </w:rPr>
              <w:t>.</w:t>
            </w:r>
          </w:p>
        </w:tc>
      </w:tr>
      <w:tr>
        <w:trPr>
          <w:trHeight w:val="20"/>
        </w:trPr>
        <w:tc>
          <w:tcPr>
            <w:tcW w:w="10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620" w:type="dxa"/>
            <w:vAlign w:val="bottom"/>
            <w:gridSpan w:val="8"/>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Certification Pursuant to 18 U.S.C. Section 1350, as Adopted Pursuant to Section 906 of the Sarbanes-Oxley Act of</w:t>
              </w:r>
            </w:hyperlink>
          </w:p>
        </w:tc>
      </w:tr>
      <w:tr>
        <w:trPr>
          <w:trHeight w:val="196"/>
        </w:trPr>
        <w:tc>
          <w:tcPr>
            <w:tcW w:w="1080" w:type="dxa"/>
            <w:vAlign w:val="bottom"/>
          </w:tcPr>
          <w:p>
            <w:pPr>
              <w:spacing w:after="0"/>
              <w:rPr>
                <w:sz w:val="17"/>
                <w:szCs w:val="17"/>
                <w:color w:val="auto"/>
              </w:rPr>
            </w:pPr>
          </w:p>
        </w:tc>
        <w:tc>
          <w:tcPr>
            <w:tcW w:w="8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2002, signed by Jeffrey J. Clarke, filed herewith.</w:t>
              </w:r>
            </w:hyperlink>
          </w:p>
        </w:tc>
        <w:tc>
          <w:tcPr>
            <w:tcW w:w="30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620" w:type="dxa"/>
            <w:vAlign w:val="bottom"/>
            <w:gridSpan w:val="8"/>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Certification Pursuant to 18 U.S.C. Section 1350, as Adopted Pursuant to Section 906 of the Sarbanes-Oxley Act of</w:t>
              </w:r>
            </w:hyperlink>
          </w:p>
        </w:tc>
      </w:tr>
      <w:tr>
        <w:trPr>
          <w:trHeight w:val="196"/>
        </w:trPr>
        <w:tc>
          <w:tcPr>
            <w:tcW w:w="1080" w:type="dxa"/>
            <w:vAlign w:val="bottom"/>
          </w:tcPr>
          <w:p>
            <w:pPr>
              <w:spacing w:after="0"/>
              <w:rPr>
                <w:sz w:val="17"/>
                <w:szCs w:val="17"/>
                <w:color w:val="auto"/>
              </w:rPr>
            </w:pPr>
          </w:p>
        </w:tc>
        <w:tc>
          <w:tcPr>
            <w:tcW w:w="8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2002 signed by David E. Bullwinkle, filed herewith.</w:t>
              </w:r>
            </w:hyperlink>
          </w:p>
        </w:tc>
        <w:tc>
          <w:tcPr>
            <w:tcW w:w="300" w:type="dxa"/>
            <w:vAlign w:val="bottom"/>
            <w:gridSpan w:val="2"/>
          </w:tcPr>
          <w:p>
            <w:pPr>
              <w:spacing w:after="0"/>
              <w:rPr>
                <w:sz w:val="17"/>
                <w:szCs w:val="17"/>
                <w:color w:val="auto"/>
              </w:rPr>
            </w:pPr>
          </w:p>
        </w:tc>
      </w:tr>
      <w:tr>
        <w:trPr>
          <w:trHeight w:val="48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37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4"/>
              </w:rPr>
              <w:t>XBRL Taxonomy Extension Calculation Linkbase.</w:t>
            </w:r>
          </w:p>
        </w:tc>
        <w:tc>
          <w:tcPr>
            <w:tcW w:w="4860" w:type="dxa"/>
            <w:vAlign w:val="bottom"/>
            <w:gridSpan w:val="5"/>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8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8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8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8620" w:type="dxa"/>
            <w:vAlign w:val="bottom"/>
            <w:gridSpan w:val="8"/>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8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8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May 10, 2018</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jc w:val="center"/>
        <w:spacing w:after="0" w:line="225" w:lineRule="auto"/>
        <w:rPr>
          <w:sz w:val="20"/>
          <w:szCs w:val="20"/>
          <w:color w:val="auto"/>
        </w:rPr>
      </w:pPr>
      <w:r>
        <w:rPr>
          <w:rFonts w:ascii="Arial" w:cs="Arial" w:eastAsia="Arial" w:hAnsi="Arial"/>
          <w:sz w:val="20"/>
          <w:szCs w:val="20"/>
          <w:b w:val="1"/>
          <w:bCs w:val="1"/>
          <w:color w:val="auto"/>
        </w:rPr>
        <w:t>Administrative Guide for the 2018 Performance Period</w:t>
      </w:r>
    </w:p>
    <w:p>
      <w:pPr>
        <w:jc w:val="center"/>
        <w:spacing w:after="0" w:line="226" w:lineRule="auto"/>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Executive Compensation for Excellence and Leadership (EXCEL) Plan</w:t>
      </w:r>
    </w:p>
    <w:p>
      <w:pPr>
        <w:spacing w:after="0" w:line="394"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9"/>
          <w:szCs w:val="19"/>
          <w:b w:val="1"/>
          <w:bCs w:val="1"/>
          <w:color w:val="auto"/>
        </w:rPr>
        <w:t>INTRODUCTION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Background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Under Article 4 of the Executive Compensation for Excellence and Leadership Plan (the “Plan”), the Executive Compensation Committee (the “Committee”) has exclusive responsibility to control, operate, manage and administer the Plan in accordance with its terms.</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Purpose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Administrative Guide governs the Committee’s grant of Awards for the Plan’s 2018 Performance Period. Unless otherwise noted in this Administrative Guide or determined by the Committee, the terms of the Plan shall apply to Awards granted under the Plan.</w:t>
      </w:r>
    </w:p>
    <w:p>
      <w:pPr>
        <w:spacing w:after="0" w:line="173"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Any defined term used in this Administrative Guide, other than those specifically defined in this Administrative Guide, will have the same meaning as that given to it under the terms of the Plan.</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Form 10-K Filing Date</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“Form 10-K Filing Date” means the date that the Company files with the Securities and Exchange Commission its Form 10-K for the period ending December 31, 2018.</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Performance Gates</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“Performance Gate” means a performance condition which must be achieved for performance against the Plan’s Performance Goal(s) to be considered. Failure to achieve a Performance Gate prevents the funding of any Award Pool regardless of performance against the Performance Goal(s).</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Performance Goal(s)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Definitions of the Performance Goal(s) are listed in Appendix A.</w:t>
      </w:r>
    </w:p>
    <w:p>
      <w:pPr>
        <w:spacing w:after="0" w:line="17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Performance Period</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“Performance Period” means the 2018 Performance Period that coincides with Kodak’s 2018 fiscal year.</w:t>
      </w:r>
    </w:p>
    <w:p>
      <w:pPr>
        <w:spacing w:after="0" w:line="178"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9"/>
          <w:szCs w:val="19"/>
          <w:b w:val="1"/>
          <w:bCs w:val="1"/>
          <w:color w:val="auto"/>
        </w:rPr>
        <w:t>ELIGIBILITY</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Only Executives who are Officers under Section 16 of the Exchange Act shall be Participants in the Plan under this Administrative Guide for the 2018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Awards will be calculated using the base salary and target EXCEL percentage as of December 31 of the Performance Period.</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Unless the Committee provides otherwise, an Executive who becomes a Participant due to a job change or promotion during the Performance Period will become a Participant effective on the date of his or her appointment to the new job and will be eligible for a pro-rata Award based on the number of days of participation in EXCEL during the Performance Period.</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amount of any pro-rata Award under the Plan as referenced above will be calculated by multiplying the earned Award by a percentage, the numerator of which is the number of days in the Performance Period during which the executive is a Participant in EXCEL and the denominator of which is 365 days.</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Designation of an executive as a Participant for the 2018 Performance Period will not in any manner entitle the Participant to receive payment of an Award for the 2018 Performance Period. The determination as to whether such Participant becomes entitled to payment of an Award for the 2018 Performance Period will be decided solely in accordance with the terms of this Administrative Guide and the Plan.</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Subject to applicable local laws, regulations and processes, to be eligible for and to receive an Award, all eligible Participants must have signed an Employee Agreement in a form acceptable to the Chief Human Resources Officer, Eastman Kodak Company. Any Participant who fails to sign such an Employee Agreement on or prior to the Award Payment Date(s) will not receive an Award.</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9"/>
          <w:szCs w:val="19"/>
          <w:b w:val="1"/>
          <w:bCs w:val="1"/>
          <w:color w:val="auto"/>
        </w:rPr>
        <w:t>AWARD DESCRIPTION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Terms of Awards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Any Award under the Plan granted by the Committee pursuant to this Administrative Guide will be subject to the terms, conditions, restrictions and limitations contained in this Administrative Guide as well as those contained in the Plan.</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Form of Awards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Any Awards payable for the 2018 Performance Period will be paid on the Award Payment Date(s) determined by the Company, in cash, Common Stock or other property, or any combination thereof, as determined by the Committee. To the extent an Award is paid in Common Stock, such Common Stock will be issued under the Eastman Kodak Company 2013 Omnibus Incentive Compensation Plan (or any applicable successor plan thereto).</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9"/>
          <w:szCs w:val="19"/>
          <w:b w:val="1"/>
          <w:bCs w:val="1"/>
          <w:color w:val="auto"/>
        </w:rPr>
        <w:t>AWARD DETERMINATION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Calculation of Award Pool</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Provided that the Performance Gate(s) have been achieved, the percentage derived from the Performance Goal(s) will be multiplied by the aggregate Target Award to determine the Award Pool for the 2018 Performance Period.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5.2 Performance Goal(s) and Performance Gate(s)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Goal(s) and Performance Gate(s) for the 2018 Performance Period are attached in Appendix A.</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Results between the dollar amounts for the Performance Goal(s) shown will be interpolated to derive a Performance Percentage for the Performance Period. The Performance Goal(s) are subject to a maximum payout limit of 200% for any Participant.</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Allocation of Award Pool to Participants</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Subject to the Committee’s authority to exercise Negative Discretion with regard to the amount of the Award Pool allocated to any Participant for the 2018 Performance Period, each Participant will be allocated an Award no greater than the lesser of: (i) 10% of the Award Pool; or (ii) 500% of his or her annual base salary on December 31, 2017 (or if the Executive was not employed by the Company on such date, 500% of his or her base salary upon hire following December 31, 2017); or (iii) $5,000,000.</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Solely for purposes of this Section 5.3, the “Award Pool” will be determined by using the definition of “Aggregate Target Award” as set forth in this Section 5.3.</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 purposes of this Section 5.3, “Aggregate Target Award” means the sum of the Target Award amounts on April 3, 2018 for all Participants eligible to participate in the Plan on April 3, 2018.</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Certification</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Following the completion of the Performance Period, the Committee shall meet to review and certify in writing whether, and to what extent, the Performance Goal(s) and Performance Gate(s) for the Performance Period have been achieved. If the Committee certifies that the Performance Gate(s) and minimum Performance Goal(s) have been achieved, it shall also calculate and certify in writing the Applicable Performance Percentage. By applying the Performance Formula, the Committee shall then determine and certify the total allocation that has been earned for the Performance Period. The Committee may, through the use of discretion, increase or reduce the amount that would otherwise be certified by application of the Performance Formula, if, in its sole judgment, such increase or reduction is appropriate.</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Award Offset</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If a Participant is entitled to the payment of a Supplemental Award pursuant to the Administrative Guide for Supplemental Awards for the 2018 Performance Period under the Plan, then the amount of the Award payable to the Participant for the 2018 Performance Period pursuant to this Administrative Guide shall be reduced, but not below zero, by the amount of the Supplemental Award payable to such Participant.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2" w:name="page43"/>
    <w:bookmarkEnd w:id="42"/>
    <w:p>
      <w:pPr>
        <w:spacing w:after="0"/>
        <w:tabs>
          <w:tab w:leader="none" w:pos="172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9"/>
          <w:szCs w:val="19"/>
          <w:b w:val="1"/>
          <w:bCs w:val="1"/>
          <w:color w:val="auto"/>
        </w:rPr>
        <w:t>PAYMENT OF AWARDS</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Continued Employment</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Except as otherwise provided by this Article 6, to be eligible to be considered for an Award for the 2018 Performance Period, a Participant must be actively employed by the Company on the Form 10-K Filing Date.</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Termination During the Performance Period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In the event a Participant’s employment is terminated during the 2018 Performance Period, whether by the Company or the Participant, for any reason (including, but not limited to the Participant’s death or Disability) other than as part of a divestiture by the Company,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2018 Performance Period.</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If the termination during the 2018 Performance Period is part of a divestiture by the Company, the Participant will be eligible to be considered for a pro-rata Award paid by the Company based on the number of days of participation in the Plan during the Performance Period before the date of the divestiture only if the successor company has not agreed to accept liability for the Award. The amount of any pro-rata Award will be calculated as described in Article 3 above.</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Termination After Performance Period and Prior to Form 10-K Filing Date</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 xml:space="preserve">In the event that a Participant is terminated by the Company for Cause after the end of the Performance Period, but before the Form 10-K Filing Date,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Performance Period.</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the event that a Participant is terminated by the Company after the end of the Performance Period and prior to the Form 10-K Filing Date for any reason other than Cause, the Participant will be eligible to be considered for an Award for the Performance Period, based on certification by the Committee as set forth in Section 5.4 and subsequent management discretion with respect to the Participant’s performance in the Performance Period. If the termination is part of a divestiture by the Company, the Participant will be eligible to be considered for an Award paid by the Company only if the successor company has not agreed to accept liability for the Award.</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In the event that a Participant voluntarily terminates his or her employment with the Company after the end of the Performance Period and prior to the Form 10-K Filing Date for any reason other than the death or Disability of the Participant,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Performance Period.</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the event of the death or Disability of a Participant after the end of the Performance Period and prior to the Form 10-K Filing Date, the Participant will be eligible to be considered for an Award for the Performance Period, based on certification by the Committee as set forth in Section 5.4 and subject to subsequent management discretion with respect to the Participant’s performance in the Performance Period.</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Forfeiture</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If, at any time, a Participant breaches his or her Employee Agreement or performs any act or engages in any activity which the CEO, in the case of all Participants other than the CEO, or the</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3" w:name="page44"/>
    <w:bookmarkEnd w:id="43"/>
    <w:p>
      <w:pPr>
        <w:jc w:val="both"/>
        <w:spacing w:after="0" w:line="236" w:lineRule="auto"/>
        <w:rPr>
          <w:sz w:val="20"/>
          <w:szCs w:val="20"/>
          <w:color w:val="auto"/>
        </w:rPr>
      </w:pPr>
      <w:r>
        <w:rPr>
          <w:rFonts w:ascii="Arial" w:cs="Arial" w:eastAsia="Arial" w:hAnsi="Arial"/>
          <w:sz w:val="20"/>
          <w:szCs w:val="20"/>
          <w:color w:val="auto"/>
        </w:rPr>
        <w:t>Committee, in the case of the CEO, determines is inimical to the best interests of Kodak, the Participant will forfeit all of his or her Awards under the Plan or its Administrative Guides.</w:t>
      </w:r>
    </w:p>
    <w:p>
      <w:pPr>
        <w:spacing w:after="0" w:line="172"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9"/>
          <w:szCs w:val="19"/>
          <w:b w:val="1"/>
          <w:bCs w:val="1"/>
          <w:color w:val="auto"/>
        </w:rPr>
        <w:t>ADMINISTRATION</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Administrative Guide shall be administered by the Committee. The Committee is authorized to interpret, construe and implement the Administrative Guide, to prescribe, amend and rescind rules and regulations relating to it, and to make all other determinations necessary, appropriate or advisable for its administration. Any determination by the Committee in carrying out, administering or construing this Administrative Guide will be final and binding for all purposes and upon all interested persons and their heirs, successors, and personal representatives.</w:t>
      </w:r>
    </w:p>
    <w:p>
      <w:pPr>
        <w:spacing w:after="0" w:line="175"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9"/>
          <w:szCs w:val="19"/>
          <w:b w:val="1"/>
          <w:bCs w:val="1"/>
          <w:color w:val="auto"/>
        </w:rPr>
        <w:t>MISCELLANEOUS</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Termination/Amendment</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Committee may amend, suspend or terminate this Administrative Guide in whole or in part at any time and for any reason, with or without prior notice. In addition, the Committee, or any person to whom the Committee has delegated the requisite authority, may, at any time and from time to time, amend this Administrative Guide in any manner and for any reason.</w:t>
      </w:r>
    </w:p>
    <w:p>
      <w:pPr>
        <w:spacing w:after="0" w:line="17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Section 409A Compliance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Section 10.9 of the Plan, the Awards described in this Administrative Guide for the Performance Period are intended to comply with Section 409A of the Code to the extent such arrangements are subject to that law, and the Plan and this Administrative Guide shall be interpreted and administered accordingly.</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Participant’s Rights Unsecured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amounts payable under the Plan pursuant to this Administrative Guide will be unfunded, and the right of any Participant or his or her estate to receive payment under this Administrative Guide will be an unsecured claim against the general assets of the Company.</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No Guarantee of Tax Consequences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 person connected with the Plan or this Administrative Guide in any capacity, including, but not limited to, the Company and its directors, officers, agents and employees makes any representation, commitment, or guarantee that any tax treatment, including, but not limited to, federal, state and local income, estate and gift tax treatment, will be applicable with respect to amounts deferred under the Plan or this Administrative Guide, or paid to or for the benefit of a Participant under the Plan or this Administrative Guide, or that such tax treatment will apply to or be available to a Participant on account of participation in the Plan pursuant to this Administrative Guide.</w:t>
      </w:r>
    </w:p>
    <w:p>
      <w:pPr>
        <w:spacing w:after="0" w:line="185" w:lineRule="exact"/>
        <w:rPr>
          <w:sz w:val="20"/>
          <w:szCs w:val="20"/>
          <w:color w:val="auto"/>
        </w:rPr>
      </w:pPr>
    </w:p>
    <w:p>
      <w:pPr>
        <w:ind w:left="5900" w:hanging="735"/>
        <w:spacing w:after="0"/>
        <w:tabs>
          <w:tab w:leader="none" w:pos="5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44" w:name="page45"/>
    <w:bookmarkEnd w:id="44"/>
    <w:p>
      <w:pPr>
        <w:jc w:val="center"/>
        <w:ind w:right="320"/>
        <w:spacing w:after="0"/>
        <w:rPr>
          <w:sz w:val="20"/>
          <w:szCs w:val="20"/>
          <w:color w:val="auto"/>
        </w:rPr>
      </w:pPr>
      <w:r>
        <w:rPr>
          <w:rFonts w:ascii="Arial" w:cs="Arial" w:eastAsia="Arial" w:hAnsi="Arial"/>
          <w:sz w:val="20"/>
          <w:szCs w:val="20"/>
          <w:b w:val="1"/>
          <w:bCs w:val="1"/>
          <w:color w:val="auto"/>
        </w:rPr>
        <w:t>APPENDIX A</w:t>
      </w:r>
    </w:p>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CONFIDENTIAL - DO NOT DISTRIBUTE</w:t>
      </w:r>
    </w:p>
    <w:p>
      <w:pPr>
        <w:spacing w:after="0" w:line="226" w:lineRule="exact"/>
        <w:rPr>
          <w:sz w:val="20"/>
          <w:szCs w:val="20"/>
          <w:color w:val="auto"/>
        </w:rPr>
      </w:pPr>
    </w:p>
    <w:p>
      <w:pPr>
        <w:ind w:left="440" w:hanging="440"/>
        <w:spacing w:after="0"/>
        <w:tabs>
          <w:tab w:leader="none" w:pos="4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Definitions of Performance Goal(s):</w:t>
      </w:r>
    </w:p>
    <w:p>
      <w:pPr>
        <w:spacing w:after="0" w:line="216" w:lineRule="exact"/>
        <w:rPr>
          <w:sz w:val="20"/>
          <w:szCs w:val="20"/>
          <w:color w:val="auto"/>
        </w:rPr>
      </w:pPr>
    </w:p>
    <w:p>
      <w:pPr>
        <w:ind w:left="1320" w:hanging="442"/>
        <w:spacing w:after="0" w:line="226" w:lineRule="auto"/>
        <w:tabs>
          <w:tab w:leader="none" w:pos="1320" w:val="left"/>
        </w:tabs>
        <w:numPr>
          <w:ilvl w:val="1"/>
          <w:numId w:val="33"/>
        </w:numPr>
        <w:rPr>
          <w:rFonts w:ascii="Courier New" w:cs="Courier New" w:eastAsia="Courier New" w:hAnsi="Courier New"/>
          <w:sz w:val="20"/>
          <w:szCs w:val="20"/>
          <w:color w:val="auto"/>
        </w:rPr>
      </w:pPr>
      <w:r>
        <w:rPr>
          <w:rFonts w:ascii="Arial" w:cs="Arial" w:eastAsia="Arial" w:hAnsi="Arial"/>
          <w:sz w:val="20"/>
          <w:szCs w:val="20"/>
          <w:color w:val="auto"/>
        </w:rPr>
        <w:t>Operational EBITDA: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manufacturing costs originally planned to be absorbed by silver halide touch screen production; other operating expense, net (unless otherwise indicated); interest expense; other charges, net and reorganization items, net.</w:t>
      </w:r>
    </w:p>
    <w:p>
      <w:pPr>
        <w:spacing w:after="0" w:line="196" w:lineRule="exact"/>
        <w:rPr>
          <w:rFonts w:ascii="Courier New" w:cs="Courier New" w:eastAsia="Courier New" w:hAnsi="Courier New"/>
          <w:sz w:val="20"/>
          <w:szCs w:val="20"/>
          <w:color w:val="auto"/>
        </w:rPr>
      </w:pPr>
    </w:p>
    <w:p>
      <w:pPr>
        <w:ind w:left="440" w:hanging="440"/>
        <w:spacing w:after="0"/>
        <w:tabs>
          <w:tab w:leader="none" w:pos="4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Performance Gate(s):</w:t>
      </w:r>
    </w:p>
    <w:p>
      <w:pPr>
        <w:spacing w:after="0" w:line="205" w:lineRule="exact"/>
        <w:rPr>
          <w:rFonts w:ascii="Arial" w:cs="Arial" w:eastAsia="Arial" w:hAnsi="Arial"/>
          <w:sz w:val="20"/>
          <w:szCs w:val="20"/>
          <w:color w:val="auto"/>
        </w:rPr>
      </w:pPr>
    </w:p>
    <w:p>
      <w:pPr>
        <w:ind w:left="1320" w:hanging="442"/>
        <w:spacing w:after="0"/>
        <w:tabs>
          <w:tab w:leader="none" w:pos="1320" w:val="left"/>
        </w:tabs>
        <w:numPr>
          <w:ilvl w:val="1"/>
          <w:numId w:val="33"/>
        </w:numPr>
        <w:rPr>
          <w:rFonts w:ascii="Courier New" w:cs="Courier New" w:eastAsia="Courier New" w:hAnsi="Courier New"/>
          <w:sz w:val="20"/>
          <w:szCs w:val="20"/>
          <w:color w:val="auto"/>
        </w:rPr>
      </w:pPr>
      <w:r>
        <w:rPr>
          <w:rFonts w:ascii="Arial" w:cs="Arial" w:eastAsia="Arial" w:hAnsi="Arial"/>
          <w:sz w:val="20"/>
          <w:szCs w:val="20"/>
          <w:color w:val="auto"/>
        </w:rPr>
        <w:t>Compliance with covenants</w:t>
      </w:r>
    </w:p>
    <w:p>
      <w:pPr>
        <w:spacing w:after="0" w:line="184" w:lineRule="exact"/>
        <w:rPr>
          <w:rFonts w:ascii="Courier New" w:cs="Courier New" w:eastAsia="Courier New" w:hAnsi="Courier New"/>
          <w:sz w:val="20"/>
          <w:szCs w:val="20"/>
          <w:color w:val="auto"/>
        </w:rPr>
      </w:pPr>
    </w:p>
    <w:p>
      <w:pPr>
        <w:ind w:left="1320" w:hanging="442"/>
        <w:spacing w:after="0"/>
        <w:tabs>
          <w:tab w:leader="none" w:pos="1320" w:val="left"/>
        </w:tabs>
        <w:numPr>
          <w:ilvl w:val="1"/>
          <w:numId w:val="33"/>
        </w:numPr>
        <w:rPr>
          <w:rFonts w:ascii="Courier New" w:cs="Courier New" w:eastAsia="Courier New" w:hAnsi="Courier New"/>
          <w:sz w:val="20"/>
          <w:szCs w:val="20"/>
          <w:color w:val="auto"/>
        </w:rPr>
      </w:pPr>
      <w:r>
        <w:rPr>
          <w:rFonts w:ascii="Arial" w:cs="Arial" w:eastAsia="Arial" w:hAnsi="Arial"/>
          <w:sz w:val="20"/>
          <w:szCs w:val="20"/>
          <w:color w:val="auto"/>
        </w:rPr>
        <w:t>Breakeven cash before debt pay down, including cash from asset sales</w:t>
      </w:r>
    </w:p>
    <w:p>
      <w:pPr>
        <w:spacing w:after="0" w:line="184" w:lineRule="exact"/>
        <w:rPr>
          <w:rFonts w:ascii="Courier New" w:cs="Courier New" w:eastAsia="Courier New" w:hAnsi="Courier New"/>
          <w:sz w:val="20"/>
          <w:szCs w:val="20"/>
          <w:color w:val="auto"/>
        </w:rPr>
      </w:pPr>
    </w:p>
    <w:p>
      <w:pPr>
        <w:ind w:left="1320" w:hanging="442"/>
        <w:spacing w:after="0"/>
        <w:tabs>
          <w:tab w:leader="none" w:pos="1320" w:val="left"/>
        </w:tabs>
        <w:numPr>
          <w:ilvl w:val="1"/>
          <w:numId w:val="33"/>
        </w:numPr>
        <w:rPr>
          <w:rFonts w:ascii="Courier New" w:cs="Courier New" w:eastAsia="Courier New" w:hAnsi="Courier New"/>
          <w:sz w:val="20"/>
          <w:szCs w:val="20"/>
          <w:color w:val="auto"/>
        </w:rPr>
      </w:pPr>
      <w:r>
        <w:rPr>
          <w:rFonts w:ascii="Arial" w:cs="Arial" w:eastAsia="Arial" w:hAnsi="Arial"/>
          <w:sz w:val="20"/>
          <w:szCs w:val="20"/>
          <w:color w:val="auto"/>
        </w:rPr>
        <w:t>Company operational EBITDA of at least $65M (after bonus accrual)</w:t>
      </w:r>
    </w:p>
    <w:p>
      <w:pPr>
        <w:spacing w:after="0" w:line="194" w:lineRule="exact"/>
        <w:rPr>
          <w:rFonts w:ascii="Courier New" w:cs="Courier New" w:eastAsia="Courier New" w:hAnsi="Courier New"/>
          <w:sz w:val="20"/>
          <w:szCs w:val="20"/>
          <w:color w:val="auto"/>
        </w:rPr>
      </w:pPr>
    </w:p>
    <w:p>
      <w:pPr>
        <w:ind w:left="440" w:hanging="440"/>
        <w:spacing w:after="0"/>
        <w:tabs>
          <w:tab w:leader="none" w:pos="4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Performance Goal Matrices (as presented to the Committee on April 3, 2018).</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0"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680" w:top="544"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22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80" w:right="340" w:firstLine="4"/>
        <w:spacing w:after="0" w:line="308" w:lineRule="auto"/>
        <w:tabs>
          <w:tab w:leader="none" w:pos="700" w:val="left"/>
        </w:tabs>
        <w:numPr>
          <w:ilvl w:val="2"/>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80" w:right="80" w:firstLine="4"/>
        <w:spacing w:after="0" w:line="277" w:lineRule="auto"/>
        <w:tabs>
          <w:tab w:leader="none" w:pos="71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0580"/>
          </w:cols>
          <w:pgMar w:left="620" w:top="121" w:right="6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2018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ectPr>
          <w:pgSz w:w="11900" w:h="16838" w:orient="portrait"/>
          <w:cols w:equalWidth="0" w:num="1">
            <w:col w:w="10840"/>
          </w:cols>
          <w:pgMar w:left="240" w:top="337" w:right="8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2018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600" w:hanging="236"/>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Roman"/>
      <w:start w:val="3"/>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lvl w:ilvl="1">
      <w:lvlJc w:val="left"/>
      <w:lvlText w:val="o"/>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2019-12-28T22:03:41Z</dcterms:created>
  <dcterms:modified xsi:type="dcterms:W3CDTF">2019-12-28T22:03:41Z</dcterms:modified>
</cp:coreProperties>
</file>