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106"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123190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9" w:lineRule="exact"/>
        <w:rPr>
          <w:sz w:val="24"/>
          <w:szCs w:val="24"/>
          <w:color w:val="auto"/>
        </w:rPr>
      </w:pPr>
    </w:p>
    <w:p>
      <w:pPr>
        <w:ind w:left="1820" w:hanging="844"/>
        <w:spacing w:after="0"/>
        <w:tabs>
          <w:tab w:leader="none" w:pos="18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quarterly period ended March 31, 2021</w:t>
      </w:r>
    </w:p>
    <w:p>
      <w:pPr>
        <w:jc w:val="center"/>
        <w:ind w:right="80"/>
        <w:spacing w:after="0" w:line="203"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1800" w:hanging="840"/>
        <w:spacing w:after="0"/>
        <w:tabs>
          <w:tab w:leader="none" w:pos="180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43" w:lineRule="exact"/>
        <w:rPr>
          <w:sz w:val="24"/>
          <w:szCs w:val="24"/>
          <w:color w:val="auto"/>
        </w:rPr>
      </w:pPr>
    </w:p>
    <w:p>
      <w:pPr>
        <w:ind w:left="3640"/>
        <w:spacing w:after="0"/>
        <w:tabs>
          <w:tab w:leader="none" w:pos="6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3792220</wp:posOffset>
            </wp:positionH>
            <wp:positionV relativeFrom="paragraph">
              <wp:posOffset>-7620</wp:posOffset>
            </wp:positionV>
            <wp:extent cx="780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2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Commission File Number 1-00087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128905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EASTMAN KODAK COMPANY</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63"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640" w:type="dxa"/>
            <w:vAlign w:val="bottom"/>
          </w:tcPr>
          <w:p>
            <w:pPr>
              <w:jc w:val="center"/>
              <w:ind w:left="199"/>
              <w:spacing w:after="0"/>
              <w:rPr>
                <w:sz w:val="20"/>
                <w:szCs w:val="20"/>
                <w:color w:val="auto"/>
              </w:rPr>
            </w:pPr>
            <w:r>
              <w:rPr>
                <w:rFonts w:ascii="Arial" w:cs="Arial" w:eastAsia="Arial" w:hAnsi="Arial"/>
                <w:sz w:val="18"/>
                <w:szCs w:val="18"/>
                <w:b w:val="1"/>
                <w:bCs w:val="1"/>
                <w:color w:val="auto"/>
                <w:w w:val="98"/>
              </w:rPr>
              <w:t>NEW JERSEY</w:t>
            </w:r>
          </w:p>
        </w:tc>
        <w:tc>
          <w:tcPr>
            <w:tcW w:w="2240" w:type="dxa"/>
            <w:vAlign w:val="bottom"/>
            <w:tcBorders>
              <w:top w:val="single" w:sz="8" w:color="auto"/>
            </w:tcBorders>
          </w:tcPr>
          <w:p>
            <w:pPr>
              <w:spacing w:after="0"/>
              <w:rPr>
                <w:sz w:val="20"/>
                <w:szCs w:val="20"/>
                <w:color w:val="auto"/>
              </w:rPr>
            </w:pPr>
          </w:p>
        </w:tc>
        <w:tc>
          <w:tcPr>
            <w:tcW w:w="2800" w:type="dxa"/>
            <w:vAlign w:val="bottom"/>
          </w:tcPr>
          <w:p>
            <w:pPr>
              <w:jc w:val="right"/>
              <w:ind w:right="539"/>
              <w:spacing w:after="0"/>
              <w:rPr>
                <w:sz w:val="20"/>
                <w:szCs w:val="20"/>
                <w:color w:val="auto"/>
              </w:rPr>
            </w:pPr>
            <w:r>
              <w:rPr>
                <w:rFonts w:ascii="Arial" w:cs="Arial" w:eastAsia="Arial" w:hAnsi="Arial"/>
                <w:sz w:val="18"/>
                <w:szCs w:val="18"/>
                <w:b w:val="1"/>
                <w:bCs w:val="1"/>
                <w:color w:val="auto"/>
              </w:rPr>
              <w:t>16-0417150</w:t>
            </w:r>
          </w:p>
        </w:tc>
      </w:tr>
      <w:tr>
        <w:trPr>
          <w:trHeight w:val="186"/>
        </w:trPr>
        <w:tc>
          <w:tcPr>
            <w:tcW w:w="588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00" w:type="dxa"/>
            <w:vAlign w:val="bottom"/>
          </w:tcPr>
          <w:p>
            <w:pPr>
              <w:jc w:val="center"/>
              <w:ind w:left="61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23"/>
        </w:trPr>
        <w:tc>
          <w:tcPr>
            <w:tcW w:w="588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800" w:type="dxa"/>
            <w:vAlign w:val="bottom"/>
          </w:tcPr>
          <w:p>
            <w:pPr>
              <w:jc w:val="right"/>
              <w:ind w:right="739"/>
              <w:spacing w:after="0"/>
              <w:rPr>
                <w:sz w:val="20"/>
                <w:szCs w:val="20"/>
                <w:color w:val="auto"/>
              </w:rPr>
            </w:pPr>
            <w:r>
              <w:rPr>
                <w:rFonts w:ascii="Arial" w:cs="Arial" w:eastAsia="Arial" w:hAnsi="Arial"/>
                <w:sz w:val="18"/>
                <w:szCs w:val="18"/>
                <w:b w:val="1"/>
                <w:bCs w:val="1"/>
                <w:color w:val="auto"/>
              </w:rPr>
              <w:t>14650</w:t>
            </w:r>
          </w:p>
        </w:tc>
      </w:tr>
      <w:tr>
        <w:trPr>
          <w:trHeight w:val="190"/>
        </w:trPr>
        <w:tc>
          <w:tcPr>
            <w:tcW w:w="588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jc w:val="center"/>
              <w:ind w:left="619"/>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128905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5"/>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10"/>
        </w:trPr>
        <w:tc>
          <w:tcPr>
            <w:tcW w:w="4620" w:type="dxa"/>
            <w:vAlign w:val="bottom"/>
            <w:gridSpan w:val="5"/>
          </w:tcPr>
          <w:p>
            <w:pPr>
              <w:jc w:val="center"/>
              <w:ind w:right="1280"/>
              <w:spacing w:after="0"/>
              <w:rPr>
                <w:sz w:val="20"/>
                <w:szCs w:val="20"/>
                <w:color w:val="auto"/>
              </w:rPr>
            </w:pPr>
            <w:r>
              <w:rPr>
                <w:rFonts w:ascii="Arial" w:cs="Arial" w:eastAsia="Arial" w:hAnsi="Arial"/>
                <w:sz w:val="18"/>
                <w:szCs w:val="18"/>
                <w:color w:val="auto"/>
                <w:w w:val="90"/>
              </w:rPr>
              <w:t>Title of each class</w:t>
            </w:r>
          </w:p>
        </w:tc>
        <w:tc>
          <w:tcPr>
            <w:tcW w:w="210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Trading Symbol(s)</w:t>
            </w:r>
          </w:p>
        </w:tc>
        <w:tc>
          <w:tcPr>
            <w:tcW w:w="3920" w:type="dxa"/>
            <w:vAlign w:val="bottom"/>
            <w:gridSpan w:val="2"/>
          </w:tcPr>
          <w:p>
            <w:pPr>
              <w:jc w:val="center"/>
              <w:ind w:left="650"/>
              <w:spacing w:after="0"/>
              <w:rPr>
                <w:sz w:val="20"/>
                <w:szCs w:val="20"/>
                <w:color w:val="auto"/>
              </w:rPr>
            </w:pPr>
            <w:r>
              <w:rPr>
                <w:rFonts w:ascii="Arial" w:cs="Arial" w:eastAsia="Arial" w:hAnsi="Arial"/>
                <w:sz w:val="18"/>
                <w:szCs w:val="18"/>
                <w:color w:val="auto"/>
                <w:w w:val="89"/>
              </w:rPr>
              <w:t>Name of each exchange on which registered</w:t>
            </w:r>
          </w:p>
        </w:tc>
      </w:tr>
      <w:tr>
        <w:trPr>
          <w:trHeight w:val="439"/>
        </w:trPr>
        <w:tc>
          <w:tcPr>
            <w:tcW w:w="10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3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r>
      <w:tr>
        <w:trPr>
          <w:trHeight w:val="237"/>
        </w:trPr>
        <w:tc>
          <w:tcPr>
            <w:tcW w:w="4620" w:type="dxa"/>
            <w:vAlign w:val="bottom"/>
            <w:gridSpan w:val="5"/>
          </w:tcPr>
          <w:p>
            <w:pPr>
              <w:jc w:val="center"/>
              <w:ind w:right="1300"/>
              <w:spacing w:after="0"/>
              <w:rPr>
                <w:sz w:val="20"/>
                <w:szCs w:val="20"/>
                <w:color w:val="auto"/>
              </w:rPr>
            </w:pPr>
            <w:r>
              <w:rPr>
                <w:rFonts w:ascii="Arial" w:cs="Arial" w:eastAsia="Arial" w:hAnsi="Arial"/>
                <w:sz w:val="18"/>
                <w:szCs w:val="18"/>
                <w:color w:val="auto"/>
                <w:w w:val="89"/>
              </w:rPr>
              <w:t>Common stock, par value $0.01 per share</w:t>
            </w:r>
          </w:p>
        </w:tc>
        <w:tc>
          <w:tcPr>
            <w:tcW w:w="2100" w:type="dxa"/>
            <w:vAlign w:val="bottom"/>
            <w:gridSpan w:val="2"/>
          </w:tcPr>
          <w:p>
            <w:pPr>
              <w:jc w:val="center"/>
              <w:ind w:right="740"/>
              <w:spacing w:after="0"/>
              <w:rPr>
                <w:sz w:val="20"/>
                <w:szCs w:val="20"/>
                <w:color w:val="auto"/>
              </w:rPr>
            </w:pPr>
            <w:r>
              <w:rPr>
                <w:rFonts w:ascii="Arial" w:cs="Arial" w:eastAsia="Arial" w:hAnsi="Arial"/>
                <w:sz w:val="18"/>
                <w:szCs w:val="18"/>
                <w:color w:val="auto"/>
              </w:rPr>
              <w:t>KODK</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69"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See the definitions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01" w:lineRule="exact"/>
        <w:rPr>
          <w:sz w:val="24"/>
          <w:szCs w:val="24"/>
          <w:color w:val="auto"/>
        </w:rPr>
      </w:pPr>
    </w:p>
    <w:p>
      <w:pPr>
        <w:ind w:right="22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1520"/>
        <w:spacing w:after="0" w:line="28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3, 2021, the registrant had 78,503,476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43180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520" w:top="616"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Part I.—Financial Information</w:t>
            </w:r>
          </w:p>
        </w:tc>
        <w:tc>
          <w:tcPr>
            <w:tcW w:w="1700" w:type="dxa"/>
            <w:vAlign w:val="bottom"/>
          </w:tcPr>
          <w:p>
            <w:pPr>
              <w:ind w:left="14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1"/>
        </w:trPr>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40" w:type="dxa"/>
            <w:vAlign w:val="bottom"/>
            <w:gridSpan w:val="5"/>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520" w:type="dxa"/>
            <w:vAlign w:val="bottom"/>
            <w:tcBorders>
              <w:bottom w:val="single" w:sz="8" w:color="0000EE"/>
            </w:tcBorders>
          </w:tcPr>
          <w:p>
            <w:pPr>
              <w:ind w:left="2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340" w:type="dxa"/>
            <w:vAlign w:val="bottom"/>
            <w:gridSpan w:val="10"/>
          </w:tcPr>
          <w:p>
            <w:pPr>
              <w:spacing w:after="0"/>
              <w:rPr>
                <w:sz w:val="24"/>
                <w:szCs w:val="24"/>
                <w:color w:val="auto"/>
              </w:rPr>
            </w:pPr>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23"/>
        </w:trPr>
        <w:tc>
          <w:tcPr>
            <w:tcW w:w="7860" w:type="dxa"/>
            <w:vAlign w:val="bottom"/>
            <w:gridSpan w:val="11"/>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Borders>
              <w:bottom w:val="single" w:sz="8" w:color="0000EE"/>
            </w:tcBorders>
            <w:gridSpan w:val="9"/>
          </w:tcPr>
          <w:p>
            <w:pPr>
              <w:ind w:left="20"/>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Comprehensive (Loss) Income (Unaudited)</w:t>
              </w:r>
            </w:hyperlink>
          </w:p>
        </w:tc>
        <w:tc>
          <w:tcPr>
            <w:tcW w:w="2760" w:type="dxa"/>
            <w:vAlign w:val="bottom"/>
            <w:gridSpan w:val="2"/>
          </w:tcPr>
          <w:p>
            <w:pPr>
              <w:spacing w:after="0"/>
              <w:rPr>
                <w:sz w:val="19"/>
                <w:szCs w:val="19"/>
                <w:color w:val="auto"/>
              </w:rPr>
            </w:pPr>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23"/>
        </w:trPr>
        <w:tc>
          <w:tcPr>
            <w:tcW w:w="7860" w:type="dxa"/>
            <w:vAlign w:val="bottom"/>
            <w:gridSpan w:val="11"/>
          </w:tcPr>
          <w:p>
            <w:pPr>
              <w:ind w:left="20"/>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Financial Position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3"/>
        </w:trPr>
        <w:tc>
          <w:tcPr>
            <w:tcW w:w="4180" w:type="dxa"/>
            <w:vAlign w:val="bottom"/>
            <w:tcBorders>
              <w:top w:val="single" w:sz="8" w:color="0000EE"/>
            </w:tcBorders>
            <w:gridSpan w:val="8"/>
          </w:tcPr>
          <w:p>
            <w:pPr>
              <w:ind w:left="20"/>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w:t>
              </w:r>
            </w:hyperlink>
          </w:p>
        </w:tc>
        <w:tc>
          <w:tcPr>
            <w:tcW w:w="3680" w:type="dxa"/>
            <w:vAlign w:val="bottom"/>
            <w:gridSpan w:val="3"/>
          </w:tcPr>
          <w:p>
            <w:pPr>
              <w:spacing w:after="0"/>
              <w:rPr>
                <w:sz w:val="19"/>
                <w:szCs w:val="19"/>
                <w:color w:val="auto"/>
              </w:rPr>
            </w:pPr>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gridSpan w:val="11"/>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 of Equity (Deficit) (Unaudited)</w:t>
              </w:r>
            </w:hyperlink>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3"/>
        </w:trPr>
        <w:tc>
          <w:tcPr>
            <w:tcW w:w="308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Financial Statements (Unaudited)</w:t>
              </w:r>
            </w:hyperlink>
          </w:p>
        </w:tc>
        <w:tc>
          <w:tcPr>
            <w:tcW w:w="940" w:type="dxa"/>
            <w:vAlign w:val="bottom"/>
            <w:tcBorders>
              <w:top w:val="single" w:sz="8" w:color="0000EE"/>
            </w:tcBorders>
            <w:gridSpan w:val="3"/>
          </w:tcPr>
          <w:p>
            <w:pPr>
              <w:spacing w:after="0"/>
              <w:rPr>
                <w:sz w:val="19"/>
                <w:szCs w:val="19"/>
                <w:color w:val="auto"/>
              </w:rPr>
            </w:pPr>
          </w:p>
        </w:tc>
        <w:tc>
          <w:tcPr>
            <w:tcW w:w="3840" w:type="dxa"/>
            <w:vAlign w:val="bottom"/>
            <w:gridSpan w:val="4"/>
          </w:tcPr>
          <w:p>
            <w:pPr>
              <w:spacing w:after="0"/>
              <w:rPr>
                <w:sz w:val="19"/>
                <w:szCs w:val="19"/>
                <w:color w:val="auto"/>
              </w:rPr>
            </w:pPr>
          </w:p>
        </w:tc>
        <w:tc>
          <w:tcPr>
            <w:tcW w:w="1700" w:type="dxa"/>
            <w:vAlign w:val="bottom"/>
          </w:tcPr>
          <w:p>
            <w:pPr>
              <w:jc w:val="center"/>
              <w:ind w:left="1452"/>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3"/>
        </w:trPr>
        <w:tc>
          <w:tcPr>
            <w:tcW w:w="7860" w:type="dxa"/>
            <w:vAlign w:val="bottom"/>
            <w:gridSpan w:val="11"/>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700" w:type="dxa"/>
            <w:vAlign w:val="bottom"/>
          </w:tcPr>
          <w:p>
            <w:pPr>
              <w:jc w:val="center"/>
              <w:ind w:left="1432"/>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23"/>
        </w:trPr>
        <w:tc>
          <w:tcPr>
            <w:tcW w:w="234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Liquidity and Capital Resources</w:t>
              </w:r>
            </w:hyperlink>
          </w:p>
        </w:tc>
        <w:tc>
          <w:tcPr>
            <w:tcW w:w="4120" w:type="dxa"/>
            <w:vAlign w:val="bottom"/>
            <w:tcBorders>
              <w:top w:val="single" w:sz="8" w:color="0000EE"/>
            </w:tcBorders>
            <w:gridSpan w:val="7"/>
          </w:tcPr>
          <w:p>
            <w:pPr>
              <w:spacing w:after="0"/>
              <w:rPr>
                <w:sz w:val="19"/>
                <w:szCs w:val="19"/>
                <w:color w:val="auto"/>
              </w:rPr>
            </w:pPr>
          </w:p>
        </w:tc>
        <w:tc>
          <w:tcPr>
            <w:tcW w:w="1400" w:type="dxa"/>
            <w:vAlign w:val="bottom"/>
          </w:tcPr>
          <w:p>
            <w:pPr>
              <w:spacing w:after="0"/>
              <w:rPr>
                <w:sz w:val="19"/>
                <w:szCs w:val="19"/>
                <w:color w:val="auto"/>
              </w:rPr>
            </w:pPr>
          </w:p>
        </w:tc>
        <w:tc>
          <w:tcPr>
            <w:tcW w:w="1700" w:type="dxa"/>
            <w:vAlign w:val="bottom"/>
          </w:tcPr>
          <w:p>
            <w:pPr>
              <w:jc w:val="center"/>
              <w:ind w:left="1432"/>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0000EE"/>
            </w:tcBorders>
            <w:gridSpan w:val="2"/>
          </w:tcPr>
          <w:p>
            <w:pPr>
              <w:ind w:left="20"/>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Controls and Procedures</w:t>
              </w:r>
            </w:hyperlink>
          </w:p>
        </w:tc>
        <w:tc>
          <w:tcPr>
            <w:tcW w:w="6080" w:type="dxa"/>
            <w:vAlign w:val="bottom"/>
            <w:gridSpan w:val="9"/>
          </w:tcPr>
          <w:p>
            <w:pPr>
              <w:spacing w:after="0"/>
              <w:rPr>
                <w:sz w:val="19"/>
                <w:szCs w:val="19"/>
                <w:color w:val="auto"/>
              </w:rPr>
            </w:pPr>
          </w:p>
        </w:tc>
        <w:tc>
          <w:tcPr>
            <w:tcW w:w="1700" w:type="dxa"/>
            <w:vAlign w:val="bottom"/>
          </w:tcPr>
          <w:p>
            <w:pPr>
              <w:jc w:val="center"/>
              <w:ind w:left="1432"/>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ectPr>
          <w:pgSz w:w="11900" w:h="16838" w:orient="portrait"/>
          <w:cols w:equalWidth="0" w:num="2">
            <w:col w:w="520" w:space="180"/>
            <w:col w:w="10560"/>
          </w:cols>
          <w:pgMar w:left="320" w:top="121" w:right="31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4580" w:type="dxa"/>
            <w:vAlign w:val="bottom"/>
            <w:gridSpan w:val="7"/>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40</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9"/>
                <w:szCs w:val="19"/>
                <w:color w:val="auto"/>
              </w:rPr>
            </w:pPr>
          </w:p>
        </w:tc>
        <w:tc>
          <w:tcPr>
            <w:tcW w:w="3240" w:type="dxa"/>
            <w:vAlign w:val="bottom"/>
            <w:gridSpan w:val="2"/>
          </w:tcPr>
          <w:p>
            <w:pPr>
              <w:spacing w:after="0"/>
              <w:rPr>
                <w:sz w:val="19"/>
                <w:szCs w:val="19"/>
                <w:color w:val="auto"/>
              </w:rPr>
            </w:pPr>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40</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ind w:left="2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220" w:type="dxa"/>
            <w:vAlign w:val="bottom"/>
          </w:tcPr>
          <w:p>
            <w:pPr>
              <w:spacing w:after="0"/>
              <w:rPr>
                <w:sz w:val="19"/>
                <w:szCs w:val="19"/>
                <w:color w:val="auto"/>
              </w:rPr>
            </w:pPr>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40</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4580" w:type="dxa"/>
            <w:vAlign w:val="bottom"/>
            <w:gridSpan w:val="7"/>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41</w:t>
            </w: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466"/>
        </w:trPr>
        <w:tc>
          <w:tcPr>
            <w:tcW w:w="700" w:type="dxa"/>
            <w:vAlign w:val="bottom"/>
          </w:tcPr>
          <w:p>
            <w:pPr>
              <w:spacing w:after="0"/>
              <w:rPr>
                <w:sz w:val="24"/>
                <w:szCs w:val="24"/>
                <w:color w:val="auto"/>
              </w:rPr>
            </w:pPr>
          </w:p>
        </w:tc>
        <w:tc>
          <w:tcPr>
            <w:tcW w:w="4580" w:type="dxa"/>
            <w:vAlign w:val="bottom"/>
            <w:gridSpan w:val="7"/>
          </w:tcPr>
          <w:p>
            <w:pPr>
              <w:ind w:left="20"/>
              <w:spacing w:after="0"/>
              <w:rPr>
                <w:rFonts w:ascii="Arial" w:cs="Arial" w:eastAsia="Arial" w:hAnsi="Arial"/>
                <w:sz w:val="18"/>
                <w:szCs w:val="18"/>
                <w:color w:val="0000EE"/>
              </w:rPr>
            </w:pPr>
            <w:hyperlink w:anchor="page41">
              <w:r>
                <w:rPr>
                  <w:rFonts w:ascii="Arial" w:cs="Arial" w:eastAsia="Arial" w:hAnsi="Arial"/>
                  <w:sz w:val="18"/>
                  <w:szCs w:val="18"/>
                  <w:color w:val="0000EE"/>
                </w:rPr>
                <w:t>Index to Exhibits</w:t>
              </w:r>
            </w:hyperlink>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41</w:t>
            </w:r>
          </w:p>
        </w:tc>
      </w:tr>
      <w:tr>
        <w:trPr>
          <w:trHeight w:val="223"/>
        </w:trPr>
        <w:tc>
          <w:tcPr>
            <w:tcW w:w="700" w:type="dxa"/>
            <w:vAlign w:val="bottom"/>
          </w:tcPr>
          <w:p>
            <w:pPr>
              <w:spacing w:after="0"/>
              <w:rPr>
                <w:sz w:val="19"/>
                <w:szCs w:val="19"/>
                <w:color w:val="auto"/>
              </w:rPr>
            </w:pPr>
          </w:p>
        </w:tc>
        <w:tc>
          <w:tcPr>
            <w:tcW w:w="1240" w:type="dxa"/>
            <w:vAlign w:val="bottom"/>
            <w:tcBorders>
              <w:top w:val="single" w:sz="8" w:color="0000EE"/>
            </w:tcBorders>
            <w:gridSpan w:val="4"/>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3340" w:type="dxa"/>
            <w:vAlign w:val="bottom"/>
            <w:gridSpan w:val="3"/>
          </w:tcPr>
          <w:p>
            <w:pPr>
              <w:spacing w:after="0"/>
              <w:rPr>
                <w:sz w:val="19"/>
                <w:szCs w:val="19"/>
                <w:color w:val="auto"/>
              </w:rPr>
            </w:pPr>
          </w:p>
        </w:tc>
        <w:tc>
          <w:tcPr>
            <w:tcW w:w="5980" w:type="dxa"/>
            <w:vAlign w:val="bottom"/>
          </w:tcPr>
          <w:p>
            <w:pPr>
              <w:jc w:val="right"/>
              <w:ind w:right="910"/>
              <w:spacing w:after="0"/>
              <w:rPr>
                <w:sz w:val="20"/>
                <w:szCs w:val="20"/>
                <w:color w:val="auto"/>
              </w:rPr>
            </w:pPr>
            <w:r>
              <w:rPr>
                <w:rFonts w:ascii="Arial" w:cs="Arial" w:eastAsia="Arial" w:hAnsi="Arial"/>
                <w:sz w:val="18"/>
                <w:szCs w:val="18"/>
                <w:color w:val="auto"/>
              </w:rPr>
              <w:t>44</w:t>
            </w:r>
          </w:p>
        </w:tc>
      </w:tr>
      <w:tr>
        <w:trPr>
          <w:trHeight w:val="939"/>
        </w:trPr>
        <w:tc>
          <w:tcPr>
            <w:tcW w:w="7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tcPr>
          <w:p>
            <w:pPr>
              <w:jc w:val="right"/>
              <w:ind w:right="5450"/>
              <w:spacing w:after="0"/>
              <w:rPr>
                <w:sz w:val="20"/>
                <w:szCs w:val="20"/>
                <w:color w:val="auto"/>
              </w:rPr>
            </w:pPr>
            <w:r>
              <w:rPr>
                <w:rFonts w:ascii="Arial" w:cs="Arial" w:eastAsia="Arial" w:hAnsi="Arial"/>
                <w:sz w:val="18"/>
                <w:szCs w:val="18"/>
                <w:color w:val="auto"/>
              </w:rPr>
              <w:t>[2]</w:t>
            </w:r>
          </w:p>
        </w:tc>
      </w:tr>
      <w:tr>
        <w:trPr>
          <w:trHeight w:val="115"/>
        </w:trPr>
        <w:tc>
          <w:tcPr>
            <w:tcW w:w="7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40" w:type="dxa"/>
            <w:vAlign w:val="bottom"/>
            <w:gridSpan w:val="3"/>
            <w:vMerge w:val="restart"/>
          </w:tcPr>
          <w:p>
            <w:pPr>
              <w:jc w:val="right"/>
              <w:ind w:right="27"/>
              <w:spacing w:after="0"/>
              <w:rPr>
                <w:sz w:val="20"/>
                <w:szCs w:val="20"/>
                <w:color w:val="auto"/>
              </w:rPr>
            </w:pPr>
            <w:r>
              <w:rPr>
                <w:rFonts w:ascii="Arial" w:cs="Arial" w:eastAsia="Arial" w:hAnsi="Arial"/>
                <w:sz w:val="18"/>
                <w:szCs w:val="18"/>
                <w:b w:val="1"/>
                <w:bCs w:val="1"/>
                <w:color w:val="auto"/>
                <w:w w:val="96"/>
              </w:rPr>
              <w:t>Three Months Ended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8"/>
                <w:szCs w:val="18"/>
                <w:b w:val="1"/>
                <w:bCs w:val="1"/>
                <w:color w:val="auto"/>
              </w:rPr>
              <w:t>March 31,</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Sales</w:t>
            </w:r>
          </w:p>
        </w:tc>
        <w:tc>
          <w:tcPr>
            <w:tcW w:w="268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9"/>
                <w:szCs w:val="19"/>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138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13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Sales</w:t>
            </w: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138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13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1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Loss from operations before interest expense, pension</w:t>
            </w:r>
          </w:p>
        </w:tc>
        <w:tc>
          <w:tcPr>
            <w:tcW w:w="13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income excluding service cost component, other</w:t>
            </w: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income, net and income taxes</w:t>
            </w:r>
          </w:p>
        </w:tc>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Earnings from operations before income taxes</w:t>
            </w:r>
          </w:p>
        </w:tc>
        <w:tc>
          <w:tcPr>
            <w:tcW w:w="138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FF0FC"/>
            </w:tcBorders>
          </w:tcPr>
          <w:p>
            <w:pPr>
              <w:spacing w:after="0"/>
              <w:rPr>
                <w:sz w:val="22"/>
                <w:szCs w:val="22"/>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Basic net income (loss) per share attributable to</w:t>
            </w: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268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23"/>
                <w:szCs w:val="23"/>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196"/>
        </w:trPr>
        <w:tc>
          <w:tcPr>
            <w:tcW w:w="52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Diluted net income (loss) per share attributable to</w:t>
            </w:r>
          </w:p>
        </w:tc>
        <w:tc>
          <w:tcPr>
            <w:tcW w:w="138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Eastman Kodak Company common shareholders</w:t>
            </w:r>
          </w:p>
        </w:tc>
        <w:tc>
          <w:tcPr>
            <w:tcW w:w="2680" w:type="dxa"/>
            <w:vAlign w:val="bottom"/>
            <w:gridSpan w:val="2"/>
            <w:shd w:val="clear" w:color="auto" w:fill="CFF0FC"/>
          </w:tcPr>
          <w:p>
            <w:pPr>
              <w:jc w:val="right"/>
              <w:ind w:right="1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Number of common shares used in basic and diluted</w:t>
            </w:r>
          </w:p>
        </w:tc>
        <w:tc>
          <w:tcPr>
            <w:tcW w:w="1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 (loss) per share</w:t>
            </w:r>
          </w:p>
        </w:tc>
        <w:tc>
          <w:tcPr>
            <w:tcW w:w="1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Basic</w:t>
            </w: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77.8</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60" w:type="dxa"/>
            <w:vAlign w:val="bottom"/>
            <w:gridSpan w:val="5"/>
          </w:tcPr>
          <w:p>
            <w:pPr>
              <w:jc w:val="right"/>
              <w:ind w:right="429"/>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49"/>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9"/>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100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15"/>
        </w:trPr>
        <w:tc>
          <w:tcPr>
            <w:tcW w:w="612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of tax</w:t>
            </w:r>
          </w:p>
        </w:tc>
        <w:tc>
          <w:tcPr>
            <w:tcW w:w="146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20"/>
                <w:szCs w:val="20"/>
                <w:color w:val="auto"/>
              </w:rPr>
            </w:pP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4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14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0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401</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$9 and $10, respectively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assets held for sale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$431 and $430,</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trade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Redeemable, convertible preferred stock, no par value, $100 per share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liquidation preference</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income</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w w:val="98"/>
              </w:rPr>
              <w:t>Change in fair value of embedded derivatives in the Series A, Series B and Series C</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380"/>
              <w:spacing w:after="0"/>
              <w:rPr>
                <w:sz w:val="20"/>
                <w:szCs w:val="20"/>
                <w:color w:val="auto"/>
              </w:rPr>
            </w:pPr>
            <w:r>
              <w:rPr>
                <w:rFonts w:ascii="Arial" w:cs="Arial" w:eastAsia="Arial" w:hAnsi="Arial"/>
                <w:sz w:val="18"/>
                <w:szCs w:val="18"/>
                <w:color w:val="auto"/>
              </w:rPr>
              <w:t>Preferred Stock and Convertible Notes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sales of assets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Asset impairments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receivables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trade payables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adjustments</w:t>
            </w:r>
          </w:p>
        </w:tc>
        <w:tc>
          <w:tcPr>
            <w:tcW w:w="6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Net proceeds from sales of assets/businesses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return on equity investment</w:t>
            </w:r>
          </w:p>
        </w:tc>
        <w:tc>
          <w:tcPr>
            <w:tcW w:w="6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Net proceeds from Term Loan Credit Agreement</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Convertible Notes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Net proceeds from Series C Preferred Stock</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common stock</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Repurchase of Series A Preferred Stock</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Preferred stock cash dividend payments</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purchases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b w:val="1"/>
                <w:bCs w:val="1"/>
                <w:color w:val="auto"/>
                <w:w w:val="93"/>
              </w:rPr>
              <w:t>Three-Month Period Ending March 31, 2021</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3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7"/>
                <w:szCs w:val="17"/>
                <w:b w:val="1"/>
                <w:bCs w:val="1"/>
                <w:color w:val="auto"/>
                <w:w w:val="93"/>
              </w:rPr>
              <w:t>Eastman Kodak Company Common Shareholders</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43"/>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Redeemable</w:t>
            </w:r>
          </w:p>
        </w:tc>
      </w:tr>
      <w:tr>
        <w:trPr>
          <w:trHeight w:val="149"/>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Paid in</w:t>
            </w:r>
          </w:p>
        </w:tc>
        <w:tc>
          <w:tcPr>
            <w:tcW w:w="80" w:type="dxa"/>
            <w:vAlign w:val="bottom"/>
          </w:tcPr>
          <w:p>
            <w:pPr>
              <w:spacing w:after="0"/>
              <w:rPr>
                <w:sz w:val="12"/>
                <w:szCs w:val="12"/>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Accumulated</w:t>
            </w:r>
          </w:p>
        </w:tc>
        <w:tc>
          <w:tcPr>
            <w:tcW w:w="11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Comprehensive</w:t>
            </w:r>
          </w:p>
        </w:tc>
        <w:tc>
          <w:tcPr>
            <w:tcW w:w="12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Treasury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Convertible</w:t>
            </w:r>
          </w:p>
        </w:tc>
      </w:tr>
      <w:tr>
        <w:trPr>
          <w:trHeight w:val="161"/>
        </w:trPr>
        <w:tc>
          <w:tcPr>
            <w:tcW w:w="38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Stock</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2"/>
              </w:rPr>
              <w:t>Loss</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Stock</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20" w:type="dxa"/>
            <w:vAlign w:val="bottom"/>
            <w:tcBorders>
              <w:bottom w:val="single" w:sz="8" w:color="CFF0FC"/>
            </w:tcBorders>
          </w:tcPr>
          <w:p>
            <w:pPr>
              <w:spacing w:after="0"/>
              <w:rPr>
                <w:sz w:val="14"/>
                <w:szCs w:val="14"/>
                <w:color w:val="auto"/>
              </w:rPr>
            </w:pPr>
          </w:p>
        </w:tc>
      </w:tr>
      <w:tr>
        <w:trPr>
          <w:trHeight w:val="209"/>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December 31, 2020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(9)</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 (net of tax):</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7"/>
                <w:szCs w:val="17"/>
                <w:color w:val="auto"/>
              </w:rPr>
              <w:t>Currency translation adjustments</w:t>
            </w: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8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Pension and other postretirement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8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liability adjustments</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7"/>
                <w:szCs w:val="17"/>
                <w:color w:val="auto"/>
              </w:rPr>
              <w:t>Repurchase of Series A preferred stock</w:t>
            </w: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Exchange of Series A preferred stock</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(92)</w:t>
            </w:r>
          </w:p>
        </w:tc>
      </w:tr>
      <w:tr>
        <w:trPr>
          <w:trHeight w:val="198"/>
        </w:trPr>
        <w:tc>
          <w:tcPr>
            <w:tcW w:w="3880" w:type="dxa"/>
            <w:vAlign w:val="bottom"/>
          </w:tcPr>
          <w:p>
            <w:pPr>
              <w:spacing w:after="0"/>
              <w:rPr>
                <w:sz w:val="20"/>
                <w:szCs w:val="20"/>
                <w:color w:val="auto"/>
              </w:rPr>
            </w:pPr>
            <w:r>
              <w:rPr>
                <w:rFonts w:ascii="Arial" w:cs="Arial" w:eastAsia="Arial" w:hAnsi="Arial"/>
                <w:sz w:val="17"/>
                <w:szCs w:val="17"/>
                <w:color w:val="auto"/>
              </w:rPr>
              <w:t>Expiration of Series A preferred stock embedded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3880" w:type="dxa"/>
            <w:vAlign w:val="bottom"/>
          </w:tcPr>
          <w:p>
            <w:pPr>
              <w:ind w:left="140"/>
              <w:spacing w:after="0"/>
              <w:rPr>
                <w:sz w:val="20"/>
                <w:szCs w:val="20"/>
                <w:color w:val="auto"/>
              </w:rPr>
            </w:pPr>
            <w:r>
              <w:rPr>
                <w:rFonts w:ascii="Arial" w:cs="Arial" w:eastAsia="Arial" w:hAnsi="Arial"/>
                <w:sz w:val="17"/>
                <w:szCs w:val="17"/>
                <w:color w:val="auto"/>
              </w:rPr>
              <w:t>derivative</w:t>
            </w: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0"/>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Issuance of convertible, redeemable Series B</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8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preferred stock, net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(95)</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FF0FC"/>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7"/>
                <w:szCs w:val="17"/>
                <w:color w:val="auto"/>
              </w:rPr>
              <w:t>Issuance of common stock</w:t>
            </w: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Issuance of convertible, redeemable Series C</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8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preferred stock, net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FF0FC"/>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7"/>
                <w:szCs w:val="17"/>
                <w:color w:val="auto"/>
              </w:rPr>
              <w:t>Preferred stock cash dividends</w:t>
            </w: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deemed dividends</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7"/>
                <w:szCs w:val="17"/>
                <w:color w:val="auto"/>
              </w:rPr>
              <w:t>Series C Preferred stock in-kind dividends</w:t>
            </w: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Purchase of treasury stock </w:t>
            </w:r>
            <w:r>
              <w:rPr>
                <w:rFonts w:ascii="Arial" w:cs="Arial" w:eastAsia="Arial" w:hAnsi="Arial"/>
                <w:sz w:val="14"/>
                <w:szCs w:val="14"/>
                <w:color w:val="auto"/>
              </w:rPr>
              <w:t>(1)</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38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9"/>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Equity (deficit) as of March 31, 2021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20" w:right="4900" w:hanging="5148"/>
        <w:spacing w:after="0" w:line="790" w:lineRule="auto"/>
        <w:tabs>
          <w:tab w:leader="none" w:pos="738"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Represents purchases of common stock to satisfy tax withholding obligations.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 (cont’d)</w:t>
      </w:r>
    </w:p>
    <w:p>
      <w:pPr>
        <w:spacing w:after="0" w:line="271"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Three-Month Period Ending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18415</wp:posOffset>
            </wp:positionV>
            <wp:extent cx="5048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Eastman Kodak Company Common Shareholders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20"/>
              <w:spacing w:after="0" w:line="147" w:lineRule="exact"/>
              <w:rPr>
                <w:sz w:val="20"/>
                <w:szCs w:val="20"/>
                <w:color w:val="auto"/>
              </w:rPr>
            </w:pPr>
            <w:r>
              <w:rPr>
                <w:rFonts w:ascii="Arial" w:cs="Arial" w:eastAsia="Arial" w:hAnsi="Arial"/>
                <w:sz w:val="13"/>
                <w:szCs w:val="13"/>
                <w:b w:val="1"/>
                <w:bCs w:val="1"/>
                <w:color w:val="auto"/>
                <w:w w:val="93"/>
              </w:rPr>
              <w:t>Accumulated</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Redeemable</w:t>
            </w:r>
          </w:p>
        </w:tc>
      </w:tr>
      <w:tr>
        <w:trPr>
          <w:trHeight w:val="148"/>
        </w:trPr>
        <w:tc>
          <w:tcPr>
            <w:tcW w:w="3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Paid in</w:t>
            </w:r>
          </w:p>
        </w:tc>
        <w:tc>
          <w:tcPr>
            <w:tcW w:w="100" w:type="dxa"/>
            <w:vAlign w:val="bottom"/>
          </w:tcPr>
          <w:p>
            <w:pPr>
              <w:spacing w:after="0"/>
              <w:rPr>
                <w:sz w:val="12"/>
                <w:szCs w:val="1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0"/>
              </w:rPr>
              <w:t>Accumulated</w:t>
            </w:r>
          </w:p>
        </w:tc>
        <w:tc>
          <w:tcPr>
            <w:tcW w:w="11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2"/>
                <w:szCs w:val="12"/>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Treasury</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Convertible</w:t>
            </w:r>
          </w:p>
        </w:tc>
      </w:tr>
      <w:tr>
        <w:trPr>
          <w:trHeight w:val="161"/>
        </w:trPr>
        <w:tc>
          <w:tcPr>
            <w:tcW w:w="31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Stock</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96"/>
              </w:rPr>
              <w:t>Capital</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85"/>
              </w:rPr>
              <w:t>Loss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Stock</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20" w:type="dxa"/>
            <w:vAlign w:val="bottom"/>
            <w:tcBorders>
              <w:bottom w:val="single" w:sz="8" w:color="CFF0FC"/>
            </w:tcBorders>
          </w:tcPr>
          <w:p>
            <w:pPr>
              <w:spacing w:after="0"/>
              <w:rPr>
                <w:sz w:val="14"/>
                <w:szCs w:val="14"/>
                <w:color w:val="auto"/>
              </w:rPr>
            </w:pPr>
          </w:p>
        </w:tc>
      </w:tr>
      <w:tr>
        <w:trPr>
          <w:trHeight w:val="209"/>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December 31, 2019</w:t>
            </w:r>
          </w:p>
        </w:tc>
        <w:tc>
          <w:tcPr>
            <w:tcW w:w="760" w:type="dxa"/>
            <w:vAlign w:val="bottom"/>
            <w:shd w:val="clear" w:color="auto" w:fill="CFF0FC"/>
          </w:tcPr>
          <w:p>
            <w:pPr>
              <w:jc w:val="right"/>
              <w:ind w:right="584"/>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7"/>
                <w:szCs w:val="17"/>
                <w:color w:val="auto"/>
              </w:rPr>
              <w:t>Net loss</w:t>
            </w:r>
          </w:p>
        </w:tc>
        <w:tc>
          <w:tcPr>
            <w:tcW w:w="76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w w:val="97"/>
              </w:rPr>
              <w:t>Other comprehensive (loss) income (net of</w:t>
            </w: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tax):</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3160" w:type="dxa"/>
            <w:vAlign w:val="bottom"/>
          </w:tcPr>
          <w:p>
            <w:pPr>
              <w:ind w:left="140"/>
              <w:spacing w:after="0"/>
              <w:rPr>
                <w:sz w:val="20"/>
                <w:szCs w:val="20"/>
                <w:color w:val="auto"/>
              </w:rPr>
            </w:pPr>
            <w:r>
              <w:rPr>
                <w:rFonts w:ascii="Arial" w:cs="Arial" w:eastAsia="Arial" w:hAnsi="Arial"/>
                <w:sz w:val="17"/>
                <w:szCs w:val="17"/>
                <w:color w:val="auto"/>
              </w:rPr>
              <w:t>Currency translation adjustments</w:t>
            </w:r>
          </w:p>
        </w:tc>
        <w:tc>
          <w:tcPr>
            <w:tcW w:w="76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1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Pension and other postretirement</w:t>
            </w: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1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liability adjustments</w:t>
            </w:r>
          </w:p>
        </w:tc>
        <w:tc>
          <w:tcPr>
            <w:tcW w:w="7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3160" w:type="dxa"/>
            <w:vAlign w:val="bottom"/>
          </w:tcPr>
          <w:p>
            <w:pPr>
              <w:spacing w:after="0"/>
              <w:rPr>
                <w:sz w:val="20"/>
                <w:szCs w:val="20"/>
                <w:color w:val="auto"/>
              </w:rPr>
            </w:pPr>
            <w:r>
              <w:rPr>
                <w:rFonts w:ascii="Arial" w:cs="Arial" w:eastAsia="Arial" w:hAnsi="Arial"/>
                <w:sz w:val="17"/>
                <w:szCs w:val="17"/>
                <w:color w:val="auto"/>
              </w:rPr>
              <w:t>Series A preferred stock cash dividends</w:t>
            </w:r>
          </w:p>
        </w:tc>
        <w:tc>
          <w:tcPr>
            <w:tcW w:w="76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1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7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76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2"/>
        </w:trPr>
        <w:tc>
          <w:tcPr>
            <w:tcW w:w="3160" w:type="dxa"/>
            <w:vAlign w:val="bottom"/>
            <w:tcBorders>
              <w:top w:val="single" w:sz="8" w:color="CFF0FC"/>
            </w:tcBorders>
            <w:shd w:val="clear" w:color="auto" w:fill="CFF0FC"/>
          </w:tcPr>
          <w:p>
            <w:pPr>
              <w:spacing w:after="0" w:line="192" w:lineRule="exact"/>
              <w:rPr>
                <w:sz w:val="20"/>
                <w:szCs w:val="20"/>
                <w:color w:val="auto"/>
              </w:rPr>
            </w:pPr>
            <w:r>
              <w:rPr>
                <w:rFonts w:ascii="Arial" w:cs="Arial" w:eastAsia="Arial" w:hAnsi="Arial"/>
                <w:sz w:val="17"/>
                <w:szCs w:val="17"/>
                <w:color w:val="auto"/>
              </w:rPr>
              <w:t>Equity (deficit) as of March 31,</w:t>
            </w: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18"/>
        </w:trPr>
        <w:tc>
          <w:tcPr>
            <w:tcW w:w="31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2020</w:t>
            </w:r>
          </w:p>
        </w:tc>
        <w:tc>
          <w:tcPr>
            <w:tcW w:w="760" w:type="dxa"/>
            <w:vAlign w:val="bottom"/>
            <w:shd w:val="clear" w:color="auto" w:fill="CFF0FC"/>
          </w:tcPr>
          <w:p>
            <w:pPr>
              <w:jc w:val="right"/>
              <w:ind w:right="584"/>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(426)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120" w:type="dxa"/>
            <w:vAlign w:val="bottom"/>
            <w:shd w:val="clear" w:color="auto" w:fill="CFF0FC"/>
          </w:tcPr>
          <w:p>
            <w:pPr>
              <w:spacing w:after="0"/>
              <w:rPr>
                <w:sz w:val="18"/>
                <w:szCs w:val="18"/>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2020 (the “2020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in the disaggregated revenue information for the Advanced Materials and Chemicals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Debt—Debt with Conversion and Other Options (Subtopic 470-20) and Derivatives and Hedging—Contracts in Entity’s Own Equity (Subtopic 815-40): Accounting for Convertible Instruments and Contracts in an Entity’s Own Equity, which simplifies accounting for convertible instruments.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EPS calculation in certain circumstances. The ASU is effective for smaller reporting companies for fiscal years, and interim periods within those fiscal years, beginning after December 15, 2023, (January 1, 2024 for Kodak). Early adoption is permitted for all entities for fiscal years beginning after December 15, 2020. The ASU allows entities to use either a modified retrospective or full retrospective transition method. Kodak adopted this ASU on January 1, 2021 using the modified retrospective method, under which companies apply the guidance to all financial instruments that are outstanding as of the beginning of the year of adoption with the cumulative effect recognized as an adjustment to the opening balance of retained earnings. The adoption of this standard had no impact on Kodak’s financial statements.</w:t>
      </w:r>
    </w:p>
    <w:p>
      <w:pPr>
        <w:spacing w:after="0" w:line="20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2020 (January 1, 2021 for Kodak). Kodak adopted this ASU prospectively on January 1, 2021 and it did not have any impact on Kodak’s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(as amended by ASUs 2018-19, 2019-04, 2019-05, 2019-10, 2019-11, 2020-02 and 2020-03)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smaller reporting companies for fiscal years, and interim periods within those fiscal years, beginning after December 15, 2022, (January 1, 2023 for Kodak). Early adoption is permitted. Kodak is currently evaluating the impact of this ASU.</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Restricted cash reported in Other current assets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8"/>
                <w:szCs w:val="18"/>
                <w:color w:val="auto"/>
              </w:rPr>
              <w:t>Total cash, cash equivalents and restricted cash shown in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the Statement of Cash Flows</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Restricted cash reported in Other current assets on the Consolidated Statement of Financial Position primarily represents amounts that support hedging activities.</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Restricted cash includes $49 million as of March 31, 2021 representing the cash collateral required to be posted by the Company under the Letter of Credit Facility (“L/C Cash Collateral”). Restricted cash included $35 million as of December 31, 2020, supporting compliance with the Excess Availability threshold under the ABL Credit Agreement, as defined therein (Refer to Note 5, “Debt and Finance Leases” for information on the Restricted cash supporting the L/C Cash Collateral and the Excess Availability threshold). In addition, Restricted cash as of March 31, 2021 and December 31, 2020 includes an escrow of $15 million and $12 million, respectively, in China to secure various ongoing obligations under the agreements for the strategic relationship with Lucky HuaGuang Graphics Co. Ltd. Restricted cash also included $3 million and $4 million of security posted related to Brazilian legal contingencies as of March 31, 2021 and December 31, 2020,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82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Work in process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OTHER LONG-TERM ASSETS</w:t>
            </w: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82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w:t>
            </w:r>
          </w:p>
        </w:tc>
        <w:tc>
          <w:tcPr>
            <w:tcW w:w="14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Estimated workers' compensation recoveries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Other component above consists of other miscellaneous long-term assets that, individually, were less than 5% of the total assets component within the Consolidated Statement of Financial Position as of the end of the preceding year, and therefore have been aggregated in accordance with Regulation S-X.</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w w:val="99"/>
              </w:rPr>
              <w:t>NOTE 5: DEBT AND FINANCE LEASES</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80" w:type="dxa"/>
            <w:vAlign w:val="bottom"/>
            <w:gridSpan w:val="8"/>
          </w:tcPr>
          <w:p>
            <w:pPr>
              <w:spacing w:after="0"/>
              <w:rPr>
                <w:sz w:val="20"/>
                <w:szCs w:val="20"/>
                <w:color w:val="auto"/>
              </w:rPr>
            </w:pPr>
            <w:r>
              <w:rPr>
                <w:rFonts w:ascii="Arial" w:cs="Arial" w:eastAsia="Arial" w:hAnsi="Arial"/>
                <w:sz w:val="18"/>
                <w:szCs w:val="18"/>
                <w:color w:val="auto"/>
                <w:w w:val="89"/>
              </w:rPr>
              <w:t>Debt and finance leases and related maturities and interest rates were as follows at March 31, 2021 and December 31, 2020:</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6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63"/>
        </w:trPr>
        <w:tc>
          <w:tcPr>
            <w:tcW w:w="3320" w:type="dxa"/>
            <w:vAlign w:val="bottom"/>
          </w:tcPr>
          <w:p>
            <w:pPr>
              <w:spacing w:after="0"/>
              <w:rPr>
                <w:sz w:val="5"/>
                <w:szCs w:val="5"/>
                <w:color w:val="auto"/>
              </w:rPr>
            </w:pPr>
          </w:p>
        </w:tc>
        <w:tc>
          <w:tcPr>
            <w:tcW w:w="1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Type</w:t>
            </w:r>
          </w:p>
        </w:tc>
        <w:tc>
          <w:tcPr>
            <w:tcW w:w="16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1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4"/>
                <w:szCs w:val="14"/>
                <w:color w:val="auto"/>
              </w:rPr>
              <w:t>(in millions)</w:t>
            </w:r>
          </w:p>
        </w:tc>
        <w:tc>
          <w:tcPr>
            <w:tcW w:w="176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Interest Rate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RED-Rochester,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11.46%</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Finance leases</w:t>
            </w:r>
          </w:p>
        </w:tc>
        <w:tc>
          <w:tcPr>
            <w:tcW w:w="16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Various</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Non-current portion:</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Term note</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13.96%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3"/>
              </w:rPr>
              <w:t>Convertible debt</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2026</w:t>
            </w: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17.09%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RED-Rochester,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11.46%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Finance leases</w:t>
            </w:r>
          </w:p>
        </w:tc>
        <w:tc>
          <w:tcPr>
            <w:tcW w:w="16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Various</w:t>
            </w:r>
          </w:p>
        </w:tc>
        <w:tc>
          <w:tcPr>
            <w:tcW w:w="1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FF0FC"/>
            </w:tcBorders>
          </w:tcPr>
          <w:p>
            <w:pPr>
              <w:spacing w:after="0"/>
              <w:rPr>
                <w:sz w:val="19"/>
                <w:szCs w:val="19"/>
                <w:color w:val="auto"/>
              </w:rPr>
            </w:pPr>
          </w:p>
        </w:tc>
        <w:tc>
          <w:tcPr>
            <w:tcW w:w="176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91"/>
              </w:rPr>
              <w:t>Other debt</w:t>
            </w:r>
          </w:p>
        </w:tc>
        <w:tc>
          <w:tcPr>
            <w:tcW w:w="160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8"/>
              </w:rPr>
              <w:t>Various</w:t>
            </w:r>
          </w:p>
        </w:tc>
        <w:tc>
          <w:tcPr>
            <w:tcW w:w="18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Various</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w w:val="97"/>
              </w:rPr>
              <w:t>Annual maturities of debt and finance leases outstanding at March 31, 2021 were as follows: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Carrying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Maturity</w:t>
            </w:r>
          </w:p>
        </w:tc>
      </w:tr>
      <w:tr>
        <w:trPr>
          <w:trHeight w:val="230"/>
        </w:trPr>
        <w:tc>
          <w:tcPr>
            <w:tcW w:w="11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r>
      <w:tr>
        <w:trPr>
          <w:trHeight w:val="237"/>
        </w:trPr>
        <w:tc>
          <w:tcPr>
            <w:tcW w:w="7180" w:type="dxa"/>
            <w:vAlign w:val="bottom"/>
            <w:gridSpan w:val="2"/>
          </w:tcPr>
          <w:p>
            <w:pPr>
              <w:ind w:left="1140"/>
              <w:spacing w:after="0"/>
              <w:rPr>
                <w:sz w:val="20"/>
                <w:szCs w:val="20"/>
                <w:color w:val="auto"/>
              </w:rPr>
            </w:pPr>
            <w:r>
              <w:rPr>
                <w:rFonts w:ascii="Arial" w:cs="Arial" w:eastAsia="Arial" w:hAnsi="Arial"/>
                <w:sz w:val="18"/>
                <w:szCs w:val="18"/>
                <w:color w:val="auto"/>
              </w:rPr>
              <w:t>Q2 -Q4 2021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5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FF0FC"/>
          </w:tcPr>
          <w:p>
            <w:pPr>
              <w:spacing w:after="0"/>
              <w:rPr>
                <w:sz w:val="21"/>
                <w:szCs w:val="21"/>
                <w:color w:val="auto"/>
              </w:rPr>
            </w:pPr>
          </w:p>
        </w:tc>
      </w:tr>
      <w:tr>
        <w:trPr>
          <w:trHeight w:val="237"/>
        </w:trPr>
        <w:tc>
          <w:tcPr>
            <w:tcW w:w="71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Credit Agreement</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February 26, 2021, the Company entered into a Credit Agreement (the “Term Loan Credit Agreement”) with certain funds affiliated with Kennedy Lewis Investment Management LLC (“KLIM”) as lenders (the “Term Loan Lenders”) and Alter Domus (US) LLC, as administrative agent. Pursuant to the Term Loan Credit Agreement, the Term Loan Lenders provided the Company with (i) an initial term loan in the amount of $225 million, which was drawn in full on the same date, and (ii) a commitment to provide delayed draw term loans in an aggregate principal amount of up to $50 million on or before February 26, 2023 (collectively, the “Term Loans”). Net proceeds from the Term Loan Credit Agreement were $215 million ($225 million aggregate principal less $10 million in debt transaction costs). The Term Loans have a five-year maturity and are non-amortizing.</w:t>
      </w:r>
    </w:p>
    <w:p>
      <w:pPr>
        <w:spacing w:after="0" w:line="2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Term Loans bear interest at a rate of 8.5% per annum payable quarterly in cash and 4.0% per annum Paid-In-Kind interest (“PIK”) or in cash quarterly, at the Company’s option, for an aggregate interest rate of 12.5% per annum. The Company expects to elect the 4.0% per annum in PIK which will be added to the carrying value of the debt through the term and interest expense will be recorded using the effective interest method. The Term Loans are guaranteed by the Company and certain of its domestic subsidiaries (the “Subsidiary Guarantors”), and are secured by (i) a first priority lien on substantially all assets of the Company and the Subsidiary Guarantors (subject to certain exceptions) not constituting ABL Priority Collateral or L/C Cash Collateral (see below for definitions of ABL Priority Collateral and L/C Cash Collateral), including 100% of the stock of material U.S. subsidiaries and 65% of the stock of material foreign subsidiaries (the “Term Loan Priority Collateral”) and (ii) a third priority lien on the ABL Priority Collateral and L/C Cash Collateral. The Term Loan Credit Agreement limits, among other things, the ability of the Company and its Restricted Subsidiaries (as defined in the Term Loan Credit Agreement) to (i) incur indebtedness, (ii) incur or create liens, (iii) dispose of assets, (iv) make restricted payments and (v) make investments, and also contains customary affirmative covenants including delivery of certain of the Company’s financial statements set forth therein. The Term Loan Credit Agreement does not include a financial maintenance covenant</w:t>
      </w:r>
      <w:r>
        <w:rPr>
          <w:rFonts w:ascii="Arial" w:cs="Arial" w:eastAsia="Arial" w:hAnsi="Arial"/>
          <w:sz w:val="17"/>
          <w:szCs w:val="17"/>
          <w:b w:val="1"/>
          <w:bCs w:val="1"/>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Board Rights Agreement</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February 26, 2021, in connection with the execution of the Term Loan Credit Agreement, the Company entered into a letter agreement with KLIM (the “Board Rights Agreement”). Pursuant to the Board Rights Agreement, the Company’s Board of Directors (“Board”) appointed an individual designated by KLIM as a member of the Board effective April 1, 2021. The individual appointed has been nominated for reelection at the next annual meeting on May 19, 2021. KLIM also has the right to nominate one (1) director at each annual or special meeting of the Company’s shareholders until the third anniversary of the execution of the Board Rights Agreement or until KLIM ceases to hold at least 50% of the original principal amount of the Term Loans and commitments under the Term Loan Credit Agreement, whichever is earlier.</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Until KLIM ceases to hold at least 50% of the original principal amount of the Term Loans and commitments under the Term Loan Credit Agreement, at any time that KLIM’s designated director is not serving on the Board, KLIM will have the right to designate a non-voting observer to the Board. Such observer will have the right to attend meetings of the Board and, under certain circumstances, committees and subcommittees of the Board and to receive information and materials made available to the Board, in each case, subject to certain restrictions and exceptions.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February 26, 2021, the Company and the Term Loan Lenders (the “Buyers”), entered into a Securities Purchase Agreement (the</w:t>
      </w:r>
    </w:p>
    <w:p>
      <w:pPr>
        <w:spacing w:after="0" w:line="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“Securities Purchase Agreement”) pursuant to which the Company sold to the Buyers (i) an aggregate of 1,000,000 shares (the “Purchased Shares”) of the Company’s common stock (“Common Stock”) for a purchase price of $10.00 in cash per share for an aggregate purchase price of $10 million and (ii) $25 million aggregate principal amount of the Company’s newly issued 5.0% unsecured convertible promissory notes due May 28, 2026 (the “Convertible Notes”) in a private placement transaction. The issuance and sale of the Purchased Shares and Convertible Notes were consummated on February 26,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Convertible Notes bear interest at a rate of 5.0% per annum, which will be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PIK. Therefore, PIK will be added to the carrying value of the debt through the term and interest expense will be recorded using the effective interest method. The maturity date of the Convertible Notes is May 28, 2026.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Buyers will have the right to elect at any time to convert the Convertible Notes into shares of Common Stock at an initial conversion rate equal to 100 shares of Common Stock per each $1,000 principal amount of the Convertible Notes (based on an initial conversion price equal to $10.00 per share of Common Stock). The conversion rate and conversion price will be subject to certain customary anti-dilution adjustments.</w:t>
      </w:r>
    </w:p>
    <w:p>
      <w:pPr>
        <w:spacing w:after="0" w:line="20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If the closing price of the Common Stock equals or exceeds $14.50 (subject to adjustment in the same manner as the conversion price) for 45 trading days within any period of 60 consecutive trading days, the Company will have the right to cause the mandatory conversion of the Convertible Notes into shares of Common Stock.</w:t>
      </w:r>
    </w:p>
    <w:p>
      <w:pPr>
        <w:spacing w:after="0" w:line="21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the event of certain fundamental transactions, the Buyers will have the right, within a period of 30 days following the occurrence of such transaction (“Holder Fundamental Transaction Election Period”), to elect to either require prepayment of the Convertible Notes at par plus accrued and unpaid interest or convert all or a portion of the Convertible Notes into shares of Common Stock at the conversion rate then in effect plus any additional shares based on the price per share of Common Stock in connection with the fundamental transaction, or to receive the shares of a successor entity, if 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23"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Convertible Notes were considered more akin to a debt-type instrument and the economic characteristics and risks of the embedded conversion features are not considered clearly and closely related to the Convertible Notes. Accordingly, these embedded features were bifurcated from the Convertible Notes and separately accounted for on a combined basis at fair value as a single derivative liability. Kodak allocated $12 million of the net proceeds received to a derivative liability based on the aggregate fair value of the embedded features on the date of issuance which reduced the net carrying value of the Convertible Notes. The derivative is being accounted for at fair value with subsequent changes in the fair value being reported as part of Other income, net in the Consolidated Statement of Operations. The fair value of the Convertible Notes embedded derivative as of March 31, 2021 was a liability of $11 million and is included in Other long-term liabilities in the accompanying Consolidated Statement of Financial Position. Refer to Note 20, “Financial Instruments” for information on the valuation of the derivative.</w:t>
      </w:r>
    </w:p>
    <w:p>
      <w:pPr>
        <w:spacing w:after="0" w:line="172"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carrying value of the Convertible Notes as of March 31, 2021 and at the time of issuance was $13 million ($25 million aggregate gross proceeds less $12 million allocated to the derivative liability). The estimated fair value of the Convertible Notes as of March 31, 2021 was $24 million (Level 3). The carrying value is being accreted to the aggregate principal amount using the effective interest method from the date of issuance through the maturity date.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Securities Registration Rights Agreement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26, 2021, the Company and the Buyers entered into a Registration Rights Agreement (the “Securities Registration Rights Agreement”) providing the Buyers with registration rights in respect of the Purchased Shares and the Common Stock issuable upon conversion of the Convertible Notes. The Securities Registration Rights Agreement contains other customary terms and conditions, including certain customary indemnification obligations; however, the Securities Registration Rights Agreement does not obligate the Company to facilitate an underwritten offering of the registered Common Stock by the Buyers.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ABL Credit Agreement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26, 2021, the Company and the Subsidiary Guarantors entered into an amendment to the Amended and Restated Credit Agreement, dated as of May 26, 2016, among the Company, the Subsidiary Guarantors, the lenders party thereto, Bank of America, N.A., as agent (the “Agent”), and Bank of America, N.A. and JPMorgan Chase Bank, N.A., as arrangers (the “ABL Credit Agreement” and, as amended by the Amended ABL Credit Agreement, the “Amended ABL Credit Agreement”), with the Agent and the Required Lenders. Each of the capitalized and undefined terms have the meaning ascribed to such term in the ABL Credit Agreement.</w:t>
      </w:r>
    </w:p>
    <w:p>
      <w:pPr>
        <w:spacing w:after="0" w:line="21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Amended ABL Credit Agreement amends the ABL Credit Agreement to, among other things, (i) extend the maturity date to February 26, 2024 or the date that is 90 days prior to the earliest scheduled maturity date or mandatory redemption date of any of the Company’s Term Loan Credit Agreement, Convertible Notes, Series B Preferred Stock, Series C Preferred Stock or any refinancings of any of the foregoing and (ii) decrease the aggregate amount of commitments from $110 million to $90 million. Commitments under the Amended ABL Credit Agreement continue to be able to be used in the form of revolving loans or letters of credit. The Company had issued approximately $42 million letters of credit under the Amended ABL Credit Agreement as of March 31, 2021 and $90 million letters of credit under the ABL Credit Agreement as of December 31, 2020.</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revolving loans bear interest at the rate of LIBOR plus 3.50%-4.00% per annum (subject to provisions providing for a replacement benchmark rate upon the discontinuation of LIBOR) or a floating Base Rate (as defined in the Amended ABL Credit Agreement) plus 2.50%-3.00% per annum, based on Excess Availability (as defined in the Amended ABL Credit Agreement). The Company will pay an unused line fee of 37.5-50 basis points per annum, depending on whether the unused portion of the maximum amount available is less than or equal to 50% or greater than 50%, respectively. The Company will pay a letter of credit fee of 3.50%-4.00% per annum, based on Excess Availability, on issued and outstanding letters of credit, in addition to a fronting fee of 25 basis points on such letters of credit.</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Obligations under the Amended ABL Credit Agreement continue to be secured by: (i) a first priority lien on assets of the Company and the Subsidiary Guarantors constituting cash (other than L/C Cash Collateral, as defined below), accounts receivable, inventory, machinery and equipment and certain other assets (the “ABL Priority Collateral”) and (ii) a second priority lien on substantially all assets of the Company and the Subsidiary Guarantors (subject to certain exceptions) other than the ABL Priority Collateral, including the L/C cash collateral and 100% of the stock of material U.S. subsidiaries and 65% of the stock of material foreign subsidiaries.</w:t>
      </w:r>
    </w:p>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Amended ABL Credit Agreement continues to limit, among other things, the ability of the Company and its Restricted Subsidiaries (as defined in the Amended ABL Credit Agreement) to (i) incur indebtedness, (ii) incur or create liens, (iii) dispose of assets, (iv) make restricted payments and (v) make investments. The Amended ABL Credit Agreement leaves in place customary affirmative covenants, including delivery of certain of the Company’s financial statements set forth therein.</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the Amended ABL Credit Agreement the Company is required to maintain Minimum Liquidity of at least $80 million, which is tested at the end of each quarter. Minimum Liquidity was $284 million at March 31, 2021. If Minimum Liquidity falls below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Amended ABL Credit Agreement the Company is required to maintain Excess Availability above 12.5% of lender commitments ($11.25 million and $13.75 million as of March 31, 2021 and December 31, 2020, respectively), which is tested at the end of each month. Excess Availability was $41 million and $20 million as of March 31, 2021 and December 31, 2020,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 If Excess Availability falls below 12.5% of lender commitments, Kodak may, in addition to the requirement to be in compliance with the minimum Fixed Charge Coverage Ratio, become subject to cash dominion control. Since Excess Availability was greater than 12.5% of lender commitments at March 31, 2021 and December 31, 2020, Kodak is not required to have a minimum Fixed Charge Coverage Ratio of 1.0 to 1.0. The Amended ABL Credit Agreement also removed Eligible Cash from the Borrowing Base. Therefore, amounts funded into the Eligible Cash account will no longer increase Excess Availability for purposes of compliance reporting. As of December 31, 2020, to maintain Excess Availability of greater than 12.5% of lender commitments, Kodak funded $35 million to the Eligible Cash account held with the ABL Credit Agreement Administrative Agent, which was classified as Restricted Cash in the Consolidated Statement of Financial Position.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ind w:right="200"/>
        <w:spacing w:after="0" w:line="259" w:lineRule="auto"/>
        <w:rPr>
          <w:sz w:val="20"/>
          <w:szCs w:val="20"/>
          <w:color w:val="auto"/>
        </w:rPr>
      </w:pPr>
      <w:r>
        <w:rPr>
          <w:rFonts w:ascii="Arial" w:cs="Arial" w:eastAsia="Arial" w:hAnsi="Arial"/>
          <w:sz w:val="18"/>
          <w:szCs w:val="18"/>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Facility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February 26, 2021, the Company and the Subsidiary Guarantors entered into a Letter of Credit Facility Agreement (the “L/C Facility Agreement”, and together with the Term Loan Credit Agreement and the Amended ABL Credit Agreement the “Credit Agreements”)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term of the L/C Facility Agreement is three years, subject to the same automatic springing maturity as the Amended ABL Credit Agreement. The Company had issued approximately $48 million letters of credit under the L/C Facility Agreement as of March 31, 2021. The current balance on deposit in the L/C Cash Collateral account is approximately $49 million, of which $14 million was deposited into the L/C Cash Collateral account from proceeds of the financing transactions described herein and the remainder of which was cash collateral previously used to secure letters of credit under the ABL Credit Agreement. The L/C Facility Agreement has the same requirement to maintain Minimum Liquidity of $80 million as is contained in the Amended ABL Credit Agreement.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NOTE 6: REDEEMABLE, CONVERTIBLE PREFERRED STOCK</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300" w:type="dxa"/>
            <w:vAlign w:val="bottom"/>
            <w:gridSpan w:val="2"/>
          </w:tcPr>
          <w:p>
            <w:pPr>
              <w:spacing w:after="0"/>
              <w:rPr>
                <w:sz w:val="20"/>
                <w:szCs w:val="20"/>
                <w:color w:val="auto"/>
              </w:rPr>
            </w:pPr>
            <w:r>
              <w:rPr>
                <w:rFonts w:ascii="Arial" w:cs="Arial" w:eastAsia="Arial" w:hAnsi="Arial"/>
                <w:sz w:val="18"/>
                <w:szCs w:val="18"/>
                <w:color w:val="auto"/>
                <w:w w:val="92"/>
              </w:rPr>
              <w:t>Redeemable convertible preferred stock was as follows at March 31, 2021 and December 31, 2020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114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Series C preferred stock</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November 15, 2016, the Company issued 2,000,000 shares of Series A Preferred Stock for an aggregate purchase price of $200 million, or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classified the Series A Preferred Stock as temporary equity in the Consolidated Statement of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and Exchange Agreement</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February 26, 2021 the Company entered into a Series A Preferred Stock Repurchase and Exchange Agreement (the “Repurchase and Exchange Agreement”) with Southeastern and the Purchasers. The Company repurchased one million shares of the Series A Preferred Stock under the terms of the Repurchase and Exchange Agreement for $100,641,667, representing the liquidation value of the Series A Preferred Stock plus accrued and unpaid dividends. In addition, the Company and the Purchasers agreed to exchange the remaining one million shares of Series A Preferred Stock held by the Purchasers for shares of the Company’s newly created 4.0% Series B Convertible Preferred Stock, no par value (the “Series B Preferred Stock”) on a one-for-one basis plus accrued and unpaid dividends of $641,667. The exchange of shares of Series A Preferred Stock for shares of Series B Preferred Stock is a noncash financing activity.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Kodak allocated $43 million of the net proceeds from the issuance of the Series A Stock to a derivative liability based on the aggregate fair value of the embedded conversion features on the date of issuance, which reduced the net carrying value of the Series A Preferred Stock (see Note 20, “Financial Instruments”). The carrying value of the Series A Preferred Stock at the time of issuance, $155 million ($200 million aggregate gross proceeds less $43 million allocated to the derivative liability and $2 million in transaction costs), was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Extinguishment of Series A Preferred Stock</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carrying value, including the fair value of the embedded derivative liability, of the Series A Preferred Stock prior to extinguishment approximated $203 million. Upon repurchase and exchange of the Series A Preferred Stock, Kodak recorded $8 million as a deemed dividend to Additional paid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right="100"/>
        <w:spacing w:after="0" w:line="277" w:lineRule="auto"/>
        <w:rPr>
          <w:sz w:val="20"/>
          <w:szCs w:val="20"/>
          <w:color w:val="auto"/>
        </w:rPr>
      </w:pPr>
      <w:r>
        <w:rPr>
          <w:rFonts w:ascii="Arial" w:cs="Arial" w:eastAsia="Arial" w:hAnsi="Arial"/>
          <w:sz w:val="18"/>
          <w:szCs w:val="18"/>
          <w:color w:val="auto"/>
        </w:rPr>
        <w:t>capital in the Consolidated Statement of Financial Position, representing the difference between the fair value of consideration transferred and the carrying value of the Series A Preferred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Series A Preferred Stock were entitled to cumulative dividends payable quarterly in cash at a rate of 5.50% per annum.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 of the Series B Preferred Stock at the time of issuance approximated $95 million. The Company has classified the Series B Preferred Stock as temporary equity in the Consolidated Statement of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Series B Preferred Stock which became effective upon filing. The Series B Preferred Stock ranks senior to the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 The Company declared the quarterly cash dividends for the first quarter of 2021 in March 2021, which were paid in April 2021. Holders of Series B Preferred Stock will have certain limited special approval rights, including with respect to the issuance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senior equity securities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will be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2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Company concluded that the Series B Preferred Stock is considered more akin to a debt-type instrument and that the economic characteristics and risks of the conversion option upon a fundamental change by the holder was not considered clearly and closely related to the Series B Preferred</w:t>
      </w:r>
    </w:p>
    <w:p>
      <w:pPr>
        <w:ind w:right="160"/>
        <w:spacing w:after="0" w:line="290" w:lineRule="auto"/>
        <w:rPr>
          <w:sz w:val="20"/>
          <w:szCs w:val="20"/>
          <w:color w:val="auto"/>
        </w:rPr>
      </w:pPr>
      <w:r>
        <w:rPr>
          <w:rFonts w:ascii="Arial" w:cs="Arial" w:eastAsia="Arial" w:hAnsi="Arial"/>
          <w:sz w:val="16"/>
          <w:szCs w:val="16"/>
          <w:color w:val="auto"/>
        </w:rPr>
        <w:t>Stock. Accordingly, this embedded conversion feature was bifurcated from the Series B Preferred Stock and separately accounted for at fair value as a derivative. The Company allocated $1 million to the derivative liability based on the aggregate fair value of the embedded conversion feature on the date of issuance which reduced the original carrying value of the Series B Preferred Stock. The derivative is being accounted for at fair value with subsequent changes in the fair value being reported as part of Other income, net in the Consolidated Statement of Operations. The fair value of the Series B Preferred Stock embedded derivative as of March 31, 2021 was a liability of $1 million and is included in Other long-term liabilities in the accompanying Consolidated Statement of Financial Position. Refer to Note 20, “Financial Instruments” for information on the valuation of the derivative.</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carrying value of the Series B Preferred Stock at the time of issuance, $93 million ($95 million fair value of Series B Preferred Stock on February 26, 2021 less $1 million allocated to the derivative liability and $1 million of transaction costs)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Features</w:t>
      </w:r>
    </w:p>
    <w:p>
      <w:pPr>
        <w:spacing w:after="0" w:line="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If any shares of Series B Preferred Stock have not been converted prior to May 28, 2026 (the “Redemption Date”), the Company is required to redeem such shares at $100 per share plus the amount of accrued and unpaid dividends. As the Company concluded that the Series B Preferred Stock is considered more akin to a debt-type instrument, the redemption feature is considered to be clearly and closely related to the host contract and therefore was not required to be separated from the Series B Preferred Stock.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Stock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w:t>
      </w:r>
    </w:p>
    <w:p>
      <w:pPr>
        <w:ind w:right="180"/>
        <w:spacing w:after="0" w:line="252" w:lineRule="auto"/>
        <w:rPr>
          <w:sz w:val="20"/>
          <w:szCs w:val="20"/>
          <w:color w:val="auto"/>
        </w:rPr>
      </w:pPr>
      <w:r>
        <w:rPr>
          <w:rFonts w:ascii="Arial" w:cs="Arial" w:eastAsia="Arial" w:hAnsi="Arial"/>
          <w:sz w:val="18"/>
          <w:szCs w:val="18"/>
          <w:color w:val="auto"/>
        </w:rPr>
        <w:t>“Series C Preferred Stock”), for a purchase price of $100 per share, representing $100 million of gross proceeds to the Company. The initial issuance and sale of 750,000 shares ($75 million gross proceeds) closed on February 26, 2021, and the final issuance and sale of the remaining 250,000 shares ($25 million gross proceeds) closed on March 30, 2021 after expiration of the waiting period under the Hart-Scott-Rodino Antitrust Improvements Act. The Investor is a fund managed by Grand Oaks Capital. The Company intends to use the proceeds from the sale of the Series C Preferred Stock for general corporate purposes including the funding of growth initiatives. The Company has classified the Series C Preferred Stock as temporary equity in the Consolidated Statement of Financial 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On February 25, 2021, the Company filed with the Department of Treasury of the State of New Jersey a Certificate of Amendment to the Second Amended and Restated Certificate of Incorporation of the Company (the “Series C Certificate of Designations”) which established the designation, number of shares, rights, preferences and limitations of the Series C Preferred Stock and became effective upon filing. The Series C Preferred Stock ranks senior to the Common Stock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B Preferred Stock with respect to dividend rights and rights on liquidation, winding-up and dissolution. The Series C Preferred Stock has an initial liquidation preference of $100 per share, and holders of Series C Preferred Stock will be entitled to cumulative dividends payable quarterly “in-kind” in the form of additional shares of Series C Preferred Stock at a rate of 5.0% per annum. If dividends on the Series C Preferred Stock are not declared and paid for any given fiscal quarter, the liquidation preference is automatically increased by the amount of such unpaid dividends. Holders of the Series C Preferred Stock will also be entitled to participate in any dividends paid on the Common Stock (other than stock dividends) on an as-converted basis, with such dividends on any shares of the Series C Preferred Stock being payable upon conversion of such shares of Series C Preferred Stock to Common Stock. The Company declared the quarterly “in-kind” dividend for the first quarter of 2021 in March 2021 and issued additional shares of Series C Preferred Stock in April 2021.</w:t>
      </w:r>
    </w:p>
    <w:p>
      <w:pPr>
        <w:spacing w:after="0" w:line="21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Holders of Series C Preferred Stock are entitled to vote together with the holders of the Common Stock as a single class, in each case, on an as-converted basis, except where a separate class vote is required by law. Holders of Series C Preferred Stock will have certain limited special approval rights, including with respect to the issuance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senior equity securities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share of Series C Preferred Stock is convertible, at the option of each holder at any time, into shares of Common Stock at the initial conversion price of $10 per share of Common Stock. The initial conversion price and the corresponding conversion rate will be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spacing w:after="0" w:line="20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Company will have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2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Company concluded that the Series C Preferred Stock is considered more akin to a debt-type instrument and that the economic characteristics and risks of the conversion option upon a fundamental change by the holder is not considered clearly and closely related to the Series C Preferred</w:t>
      </w:r>
    </w:p>
    <w:p>
      <w:pPr>
        <w:ind w:right="20"/>
        <w:spacing w:after="0" w:line="290" w:lineRule="auto"/>
        <w:rPr>
          <w:sz w:val="20"/>
          <w:szCs w:val="20"/>
          <w:color w:val="auto"/>
        </w:rPr>
      </w:pPr>
      <w:r>
        <w:rPr>
          <w:rFonts w:ascii="Arial" w:cs="Arial" w:eastAsia="Arial" w:hAnsi="Arial"/>
          <w:sz w:val="16"/>
          <w:szCs w:val="16"/>
          <w:color w:val="auto"/>
        </w:rPr>
        <w:t>Stock. Accordingly, this embedded conversion feature was bifurcated from the Series C Preferred Stock and separately accounted for as a derivative. The Company allocated $2 million of the net proceeds received to the derivative liability based on the aggregate fair value of the embedded conversion features on the dates of issuance which reduced the original carrying value of the Series C Preferred Stock. The derivative is being accounted for at fair value with subsequent changes in the fair value being reported as part of Other income, net in the Consolidated Statement of Operations. The fair value of the Series C Preferred Stock derivative as of March 31, 2021 was a liability of $2 million and is included in Other long-term liabilities in the accompanying Consolidated Statement of Financial Position. Refer to Note 20, “Financial Instruments” for information on the valuation of the derivative.</w:t>
      </w:r>
    </w:p>
    <w:p>
      <w:pPr>
        <w:spacing w:after="0" w:line="19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carrying value of the Series C Preferred Stock at the time of issuance, $97 million ($100 million aggregate gross proceeds less $2 million allocated to the derivative liability and $1 million in transaction costs) is being accreted to the mandatory redemption amount using the effective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interest method to Additional paid in capital in the Consolidated Statement of Financial Position as a deemed dividend from the date of issuance through the mandatory redemption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Features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any shares of Series C Preferred Stock have not been converted prior to the Redemption Date, the Company is required to redeem such shares at $100 per share plus the amount of accrued and unpaid dividends thereon; provided that the holders of the Series C Preferred Stock have the right to extend such redemption date by up to two years. As the Company concluded that the Series C Preferred Stock is considered more akin to a debt-type instrument, the redemption feature is considered to be clearly and closely related to the host contract and therefore was not required to be separated from the Series C Preferred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Registration Rights Agreement</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February 26, 2021, the Company and the Investor entered into a Registration Rights Agreement (the “Series C Registration Rights Agreement”) which provides the Investor with customary registration rights in respect of the shares of Common Stock issuable upon conversion of the Series C Preferred Stock. The Series C Registration Rights Agreement contains other customary terms and conditions, including certain customary indemnification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Income recognized on operating lease arrangements for the three months ended March 31, 2021 and 2020 is presented below. Income recognized for sales-type lease arrangements is $1 million and $0 million for three months ended March 31, 2021 and 2020,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millions)</w:t>
      </w:r>
    </w:p>
    <w:p>
      <w:pPr>
        <w:spacing w:after="0" w:line="4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Lease income - operating leases:</w:t>
      </w:r>
    </w:p>
    <w:p>
      <w:pPr>
        <w:spacing w:after="0" w:line="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Lease income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Sublease income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Variable lease income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Total lease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Three Months Ended</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479"/>
        </w:trPr>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-813435</wp:posOffset>
            </wp:positionV>
            <wp:extent cx="570039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-496570</wp:posOffset>
            </wp:positionV>
            <wp:extent cx="57003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-187960</wp:posOffset>
            </wp:positionV>
            <wp:extent cx="570039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12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March 31, 2021, the Company had outstanding letters of credit of $42 million and $48 million issued under the Amended ABL Credit Agreement and the L/C Facility Agreement, respectively, as well as bank guarantees and letters of credit of $</w:t>
      </w:r>
      <w:r>
        <w:rPr>
          <w:rFonts w:ascii="Arial" w:cs="Arial" w:eastAsia="Arial" w:hAnsi="Arial"/>
          <w:sz w:val="18"/>
          <w:szCs w:val="18"/>
          <w:color w:val="auto"/>
          <w:highlight w:val="yellow"/>
        </w:rPr>
        <w:t>2</w:t>
      </w:r>
      <w:r>
        <w:rPr>
          <w:rFonts w:ascii="Arial" w:cs="Arial" w:eastAsia="Arial" w:hAnsi="Arial"/>
          <w:sz w:val="18"/>
          <w:szCs w:val="18"/>
          <w:color w:val="auto"/>
        </w:rPr>
        <w:t xml:space="preserve"> million, surety bonds in the amount of $29 million, and restricted cash of $76 million, primarily related to cash collateral for the outstanding letters of credit under the L/C Facility Agreement, to ensure payment of possible casualty and workers’ compensation claims, legal contingencies, hedging activities, environmental liabilities, rental payments and to support various customs, tax and trade activities.</w:t>
      </w:r>
    </w:p>
    <w:p>
      <w:pPr>
        <w:spacing w:after="0" w:line="2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2021, the unreserved portion of these contingencies, inclusive of any related interest and penalties, for which there was at least a reasonable possibility that a loss may be incurred, amounted to approximately $4 million.</w:t>
      </w:r>
    </w:p>
    <w:p>
      <w:pPr>
        <w:spacing w:after="0" w:line="20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assessments in Brazil, local regulations may require Kodak’s Brazilian operations to post security for a portion of the amounts in dispute. As of March 31, 2021, Kodak’s Brazilian operations have posted security composed of $3 million of pledged cash reported within Restricted cash in the Consolidated Statement of Financial Position and liens on certain Brazilian assets with a net book value of approximately $39 million. Generally, any encumbrances on the Brazilian assets would be removed to the extent the matter is resolved in Kodak's favor.</w:t>
      </w:r>
    </w:p>
    <w:p>
      <w:pPr>
        <w:spacing w:after="0" w:line="198"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spacing w:after="0" w:line="17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jc w:val="both"/>
        <w:ind w:right="140"/>
        <w:spacing w:after="0" w:line="311" w:lineRule="auto"/>
        <w:rPr>
          <w:sz w:val="20"/>
          <w:szCs w:val="20"/>
          <w:color w:val="auto"/>
        </w:rPr>
      </w:pPr>
      <w:r>
        <w:rPr>
          <w:rFonts w:ascii="Arial" w:cs="Arial" w:eastAsia="Arial" w:hAnsi="Arial"/>
          <w:sz w:val="16"/>
          <w:szCs w:val="16"/>
          <w:color w:val="auto"/>
        </w:rPr>
        <w:t>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Since the filing of the Securities Class Actions, procedural activities have been ongoing relating to the determination of venue and lead plaintiff.</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to the Securities Class Actions, on December 29, 2020 Robert Garfield commenced a class action lawsuit against the Company and each of the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 (the “Fiduciary Class Action”). The Company filed a motion to dismiss the Fiduciary Class Action on April 13, 2021.</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also received three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The Company has responded to and engaged in discussions concerning these requests, and its response and discussions may serve as the basis for the requestors to bring shareholder derivative lawsuits (any such lawsuits, collectively with the Fiduciary Class Action, the “Fiduciary Matters”).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DFC Announcement has also prompted investigations by several congressional committees, the SEC and the New York Attorney General’s office.</w:t>
      </w:r>
    </w:p>
    <w:p>
      <w:pPr>
        <w:spacing w:after="0" w:line="2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Attorney General of the State of New York has threatened to file a lawsuit against the Company and its Chief Executive Officer alleging violations of New York State’s Martin Act in connection with the Chief Executive Officer’s purchase of 46,737 shares of the Company’s common stock on June 23, 2020 (the “Threatened Claim”). This purchase was made by the Chief Executive Officer during an ‘open window’ period and in compliance with the Company’s insider trading policy, including pre-approval by its general counsel. The Chief Executive Officer has never sold any Kodak shares. The Company considers the Threatened Claim to be unsupported by law or fact and intends to vigorously defend itself against the Threatened Claim should it be filed.</w:t>
      </w:r>
    </w:p>
    <w:p>
      <w:pPr>
        <w:spacing w:after="0" w:line="21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Securities Class Actions, Fiduciary Matters and investigations by several congressional committees, the SEC and the New York Attorney General’s office pertaining to the DFC Announcement remain ongoing. The Company intends to vigorously defend itself against the Securities Class Actions and Fiduciary Matters and is cooperating in the investigations related to the DFC Announcement.</w:t>
      </w:r>
    </w:p>
    <w:p>
      <w:pPr>
        <w:spacing w:after="0" w:line="21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settlement of certain of the Company’s historical environmental liabilities at Eastman Business Park, a more than 1,200-</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2020 to March 31, 2021, which is reflected in Other current liabilities in the accompanying Consolidated Statement of Financial Position, was as follows:</w:t>
      </w:r>
    </w:p>
    <w:p>
      <w:pPr>
        <w:spacing w:after="0" w:line="229"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550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2020</w:t>
            </w:r>
          </w:p>
        </w:tc>
        <w:tc>
          <w:tcPr>
            <w:tcW w:w="480" w:type="dxa"/>
            <w:vAlign w:val="bottom"/>
            <w:gridSpan w:val="2"/>
            <w:shd w:val="clear" w:color="auto" w:fill="CFF0FC"/>
          </w:tcPr>
          <w:p>
            <w:pPr>
              <w:jc w:val="right"/>
              <w:ind w:right="34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New extended warranty and maintenance arrangements deferred</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1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Recognition of extended warranty and maintenance arrangement</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Deferred revenue on extended warranties as of March 31, 2021</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Traditional</w:t>
            </w:r>
          </w:p>
        </w:tc>
        <w:tc>
          <w:tcPr>
            <w:tcW w:w="2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2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3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20"/>
                <w:szCs w:val="20"/>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Equipment &amp; software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8"/>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93"/>
              </w:rPr>
              <w:t>March 31, 2020</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Advanced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Traditional</w:t>
            </w:r>
          </w:p>
        </w:tc>
        <w:tc>
          <w:tcPr>
            <w:tcW w:w="2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Digital</w:t>
            </w: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Materials and</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6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Chemicals</w:t>
            </w:r>
          </w:p>
        </w:tc>
        <w:tc>
          <w:tcPr>
            <w:tcW w:w="3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Brand</w:t>
            </w:r>
          </w:p>
        </w:tc>
        <w:tc>
          <w:tcPr>
            <w:tcW w:w="2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Plates, inks and other consumables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Equipment &amp; software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60" w:right="220" w:hanging="552"/>
        <w:spacing w:after="0" w:line="277"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60" w:right="240" w:hanging="552"/>
        <w:spacing w:after="0" w:line="277"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Product Portfolio Summary: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right"/>
              <w:ind w:right="277"/>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jc w:val="right"/>
              <w:ind w:right="497"/>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left="117"/>
              <w:spacing w:after="0"/>
              <w:rPr>
                <w:sz w:val="20"/>
                <w:szCs w:val="20"/>
                <w:color w:val="auto"/>
              </w:rPr>
            </w:pPr>
            <w:r>
              <w:rPr>
                <w:rFonts w:ascii="Arial" w:cs="Arial" w:eastAsia="Arial" w:hAnsi="Arial"/>
                <w:sz w:val="18"/>
                <w:szCs w:val="18"/>
                <w:b w:val="1"/>
                <w:bCs w:val="1"/>
                <w:color w:val="auto"/>
                <w:w w:val="90"/>
              </w:rPr>
              <w:t>Advanced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Printing</w:t>
            </w:r>
          </w:p>
        </w:tc>
        <w:tc>
          <w:tcPr>
            <w:tcW w:w="980" w:type="dxa"/>
            <w:vAlign w:val="bottom"/>
          </w:tcPr>
          <w:p>
            <w:pPr>
              <w:jc w:val="center"/>
              <w:ind w:left="97"/>
              <w:spacing w:after="0"/>
              <w:rPr>
                <w:sz w:val="20"/>
                <w:szCs w:val="20"/>
                <w:color w:val="auto"/>
              </w:rPr>
            </w:pPr>
            <w:r>
              <w:rPr>
                <w:rFonts w:ascii="Arial" w:cs="Arial" w:eastAsia="Arial" w:hAnsi="Arial"/>
                <w:sz w:val="18"/>
                <w:szCs w:val="18"/>
                <w:b w:val="1"/>
                <w:bCs w:val="1"/>
                <w:color w:val="auto"/>
                <w:w w:val="88"/>
              </w:rPr>
              <w:t>Chemicals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1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March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Digital</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Materials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Chemicals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ind w:left="580" w:right="440" w:hanging="572"/>
        <w:spacing w:after="0" w:line="289" w:lineRule="auto"/>
        <w:tabs>
          <w:tab w:leader="none" w:pos="580" w:val="left"/>
        </w:tabs>
        <w:numPr>
          <w:ilvl w:val="0"/>
          <w:numId w:val="5"/>
        </w:numPr>
        <w:rPr>
          <w:rFonts w:ascii="Arial" w:cs="Arial" w:eastAsia="Arial" w:hAnsi="Arial"/>
          <w:sz w:val="13"/>
          <w:szCs w:val="13"/>
          <w:color w:val="auto"/>
        </w:rPr>
      </w:pPr>
      <w:r>
        <w:rPr>
          <w:rFonts w:ascii="Arial" w:cs="Arial" w:eastAsia="Arial" w:hAnsi="Arial"/>
          <w:sz w:val="16"/>
          <w:szCs w:val="16"/>
          <w:color w:val="auto"/>
        </w:rPr>
        <w:t>Growth engines consist of Sonora in the Traditional Printing segment, PROSPER and Software in the Digital Printing segment, and Advanced Materials and Functional Printing in the Advanced Materials and Chemicals segment, excluding intellectual property (IP) licensing.</w:t>
      </w:r>
    </w:p>
    <w:p>
      <w:pPr>
        <w:spacing w:after="0" w:line="83" w:lineRule="exact"/>
        <w:rPr>
          <w:rFonts w:ascii="Arial" w:cs="Arial" w:eastAsia="Arial" w:hAnsi="Arial"/>
          <w:sz w:val="13"/>
          <w:szCs w:val="13"/>
          <w:color w:val="auto"/>
        </w:rPr>
      </w:pPr>
    </w:p>
    <w:p>
      <w:pPr>
        <w:ind w:left="580" w:right="60" w:hanging="572"/>
        <w:spacing w:after="0" w:line="224"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Strategic other businesses include plates in the Traditional Printing segment; Computer to Plate (“CTP”) equipment and related service and Nexpress and related toner business in the Digital Printing segment and Motion Picture and Industrial Film and Chemicals (including external inks) and IP licensing in the Advanced Materials and Chemicals segment and the Brand segment.</w:t>
      </w:r>
    </w:p>
    <w:p>
      <w:pPr>
        <w:spacing w:after="0" w:line="122" w:lineRule="exact"/>
        <w:rPr>
          <w:rFonts w:ascii="Arial" w:cs="Arial" w:eastAsia="Arial" w:hAnsi="Arial"/>
          <w:sz w:val="15"/>
          <w:szCs w:val="15"/>
          <w:color w:val="auto"/>
        </w:rPr>
      </w:pPr>
    </w:p>
    <w:p>
      <w:pPr>
        <w:ind w:left="580" w:right="20" w:hanging="572"/>
        <w:spacing w:after="0" w:line="237"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7"/>
          <w:szCs w:val="17"/>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Kodak Services for Business in the Advanced Materials and Chemicals segment and Versamark and Digimaster in the Digital Printing segment.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Geography </w:t>
      </w:r>
      <w:r>
        <w:rPr>
          <w:rFonts w:ascii="Arial" w:cs="Arial" w:eastAsia="Arial" w:hAnsi="Arial"/>
          <w:sz w:val="15"/>
          <w:szCs w:val="15"/>
          <w:b w:val="1"/>
          <w:bCs w:val="1"/>
          <w:color w:val="auto"/>
        </w:rPr>
        <w:t>(1):</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March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Digital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w w:val="99"/>
              </w:rPr>
              <w:t>[20]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0" w:name="page21"/>
    <w:bookmarkEnd w:id="20"/>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Traditional</w:t>
            </w:r>
          </w:p>
        </w:tc>
        <w:tc>
          <w:tcPr>
            <w:tcW w:w="180" w:type="dxa"/>
            <w:vAlign w:val="bottom"/>
          </w:tcPr>
          <w:p>
            <w:pPr>
              <w:spacing w:after="0"/>
              <w:rPr>
                <w:sz w:val="18"/>
                <w:szCs w:val="18"/>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Digital</w:t>
            </w: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Materials and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Chemicals</w:t>
            </w: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Brand</w:t>
            </w: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All Other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8"/>
          <w:szCs w:val="18"/>
          <w:color w:val="auto"/>
        </w:rPr>
        <w:t>Sales are reported in the geographic area in which they originate.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March 31, 2021 and December 31, 2020 were $1 million and $2 million, respectively,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March 31, 2021 and December 31, 2020 were $57 million and $64 million, respectively, of which $41 million and $47 million are reported in Other current liabilities, respectively, and $16 million and $17 million, respectively, are reported in Other long-term liabilities in the Consolidated Statement of Financial Position.</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Revenue recognized for the three months ended March 31, 2021 and 2020 that was included in the contract liability balance at the beginning of the year was $25 million and $26 million, respectively, and primarily represented revenue from prepaid service contracts and equipment revenue recognition. Contract liabilities as of both March 31, 2021 and 2020 included $19 million of cash payments received during the three months ended March 31, 2021 and 2020.</w:t>
      </w:r>
    </w:p>
    <w:p>
      <w:pPr>
        <w:spacing w:after="0" w:line="214" w:lineRule="exact"/>
        <w:rPr>
          <w:sz w:val="20"/>
          <w:szCs w:val="20"/>
          <w:color w:val="auto"/>
        </w:rPr>
      </w:pPr>
    </w:p>
    <w:p>
      <w:pPr>
        <w:jc w:val="both"/>
        <w:ind w:right="300"/>
        <w:spacing w:after="0" w:line="296" w:lineRule="auto"/>
        <w:rPr>
          <w:sz w:val="20"/>
          <w:szCs w:val="20"/>
          <w:color w:val="auto"/>
        </w:rPr>
      </w:pPr>
      <w:r>
        <w:rPr>
          <w:rFonts w:ascii="Arial" w:cs="Arial" w:eastAsia="Arial" w:hAnsi="Arial"/>
          <w:sz w:val="16"/>
          <w:szCs w:val="16"/>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March 31, 2021, there was approximately $70 million of unrecognized revenue from unsatisfied performance obligations. Approximately 25% of the revenue from unsatisfied performance obligations is expected to be recognized in the remainder of 2021, 25% in 2022, 20% in 2023 and 30%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OPERATING INCOME, NET</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15"/>
                <w:szCs w:val="15"/>
                <w:color w:val="auto"/>
              </w:rPr>
              <w:t>(1)</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(2)</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Transition services agreement income</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580" w:hanging="452"/>
        <w:spacing w:after="0"/>
        <w:tabs>
          <w:tab w:leader="none" w:pos="158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 March 2020 Kodak sold a property in the U.S.</w:t>
      </w:r>
    </w:p>
    <w:p>
      <w:pPr>
        <w:spacing w:after="0" w:line="252" w:lineRule="exact"/>
        <w:rPr>
          <w:rFonts w:ascii="Arial" w:cs="Arial" w:eastAsia="Arial" w:hAnsi="Arial"/>
          <w:sz w:val="15"/>
          <w:szCs w:val="15"/>
          <w:color w:val="auto"/>
        </w:rPr>
      </w:pPr>
    </w:p>
    <w:p>
      <w:pPr>
        <w:ind w:left="1580" w:hanging="452"/>
        <w:spacing w:after="0"/>
        <w:tabs>
          <w:tab w:leader="none" w:pos="158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 the first quarter of 2020 Kodak recorded a pre-tax impairment charge of the Kodak trade name.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t>NOTE 12: OTHER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Change in fair value of embedded conversion features</w:t>
            </w:r>
          </w:p>
        </w:tc>
        <w:tc>
          <w:tcPr>
            <w:tcW w:w="10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Loss on foreign exchange transactions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Other</w:t>
            </w:r>
          </w:p>
        </w:tc>
        <w:tc>
          <w:tcPr>
            <w:tcW w:w="44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1560" w:type="dxa"/>
            <w:vAlign w:val="bottom"/>
            <w:gridSpan w:val="2"/>
          </w:tcPr>
          <w:p>
            <w:pPr>
              <w:ind w:left="1140"/>
              <w:spacing w:after="0"/>
              <w:rPr>
                <w:sz w:val="20"/>
                <w:szCs w:val="20"/>
                <w:color w:val="auto"/>
              </w:rPr>
            </w:pPr>
            <w:r>
              <w:rPr>
                <w:rFonts w:ascii="Arial" w:cs="Arial" w:eastAsia="Arial" w:hAnsi="Arial"/>
                <w:sz w:val="18"/>
                <w:szCs w:val="18"/>
                <w:color w:val="auto"/>
                <w:w w:val="99"/>
              </w:rPr>
              <w:t>Total</w:t>
            </w:r>
          </w:p>
        </w:tc>
        <w:tc>
          <w:tcPr>
            <w:tcW w:w="4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ind w:left="1080"/>
              <w:spacing w:after="0"/>
              <w:rPr>
                <w:sz w:val="20"/>
                <w:szCs w:val="20"/>
                <w:color w:val="auto"/>
              </w:rPr>
            </w:pPr>
            <w:r>
              <w:rPr>
                <w:rFonts w:ascii="Arial" w:cs="Arial" w:eastAsia="Arial" w:hAnsi="Arial"/>
                <w:sz w:val="15"/>
                <w:szCs w:val="15"/>
                <w:color w:val="auto"/>
              </w:rPr>
              <w:t>(1)</w:t>
            </w:r>
          </w:p>
        </w:tc>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Refer to Note 20, “Financial Instruments”.</w:t>
            </w: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60" w:type="dxa"/>
            <w:vAlign w:val="bottom"/>
            <w:gridSpan w:val="2"/>
            <w:vMerge w:val="continue"/>
          </w:tcPr>
          <w:p>
            <w:pPr>
              <w:spacing w:after="0"/>
              <w:rPr>
                <w:sz w:val="24"/>
                <w:szCs w:val="24"/>
                <w:color w:val="auto"/>
              </w:rPr>
            </w:pPr>
          </w:p>
        </w:tc>
        <w:tc>
          <w:tcPr>
            <w:tcW w:w="44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NOTE 13: INCOME TAXES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40" w:type="dxa"/>
            <w:vAlign w:val="bottom"/>
            <w:gridSpan w:val="3"/>
          </w:tcPr>
          <w:p>
            <w:pPr>
              <w:spacing w:after="0"/>
              <w:rPr>
                <w:sz w:val="20"/>
                <w:szCs w:val="20"/>
                <w:color w:val="auto"/>
              </w:rPr>
            </w:pPr>
            <w:r>
              <w:rPr>
                <w:rFonts w:ascii="Arial" w:cs="Arial" w:eastAsia="Arial" w:hAnsi="Arial"/>
                <w:sz w:val="18"/>
                <w:szCs w:val="18"/>
                <w:color w:val="auto"/>
              </w:rPr>
              <w:t>Kodak’s income tax provision and effective tax rate were as follows: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Earnings from operations before income taxes</w:t>
            </w:r>
          </w:p>
        </w:tc>
        <w:tc>
          <w:tcPr>
            <w:tcW w:w="1100" w:type="dxa"/>
            <w:vAlign w:val="bottom"/>
            <w:tcBorders>
              <w:top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 at U.S. statutory tax rate</w:t>
            </w:r>
          </w:p>
        </w:tc>
        <w:tc>
          <w:tcPr>
            <w:tcW w:w="10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1100" w:type="dxa"/>
            <w:vAlign w:val="bottom"/>
            <w:tcBorders>
              <w:bottom w:val="single" w:sz="8" w:color="CFF0FC"/>
            </w:tcBorders>
            <w:gridSpan w:val="2"/>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CFF0FC"/>
            </w:tcBorders>
            <w:gridSpan w:val="2"/>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March 31, 2021, the difference between Kodak’s effective tax rate and the U.S. statutory rate of 21.0% is primarily attributable to: (1) the impact related to existing valuation allowances associated with changes in net deferred tax assets from current earnings,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21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During the quarter ended March 31,2021, Kodak agreed to terms with a taxing authority outside the U.S. and settled open tax audits for years through 2014. For these years, Kodak originally recorded liabilities for unrecognized tax positions totaling $3 million (plus interest of approximately $4 million), which were substantially offset by pre-paid assets.</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For the three months ended March 31, 2020, the difference between Kodak’s effective tax rate and the U.S. statutory rate of 21.0% is primarily attributable to: (1) the impact related to existing valuation allowances associated with changes in net deferred tax assets from current earnings and (2) the results from operations in jurisdictions outside the U.S.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Kodak considers the scheduled reversal of deferred tax liabilities and assets, available taxes in carryback periods, tax planning strategies and projected future taxable income in making this assessment.</w:t>
      </w:r>
    </w:p>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21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Additionally, on February 21, 2020, Kodak agreed to terms with the IRS and settled the federal audit for calendar years 2013 and 2014. For these years, Kodak originally recorded a federal unrecognized tax position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540" w:type="dxa"/>
            <w:vAlign w:val="bottom"/>
            <w:gridSpan w:val="7"/>
          </w:tcPr>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8960" w:type="dxa"/>
            <w:vAlign w:val="bottom"/>
            <w:gridSpan w:val="11"/>
          </w:tcPr>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3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3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color w:val="auto"/>
              </w:rPr>
              <w:t>(in millions)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Non-U.S.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U.S.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Non-U.S.</w:t>
            </w:r>
          </w:p>
        </w:tc>
        <w:tc>
          <w:tcPr>
            <w:tcW w:w="120" w:type="dxa"/>
            <w:vAlign w:val="bottom"/>
          </w:tcPr>
          <w:p>
            <w:pPr>
              <w:spacing w:after="0"/>
              <w:rPr>
                <w:sz w:val="19"/>
                <w:szCs w:val="19"/>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8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Service cost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8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8"/>
                <w:szCs w:val="18"/>
                <w:color w:val="auto"/>
              </w:rPr>
              <w:t>Net pension (income) expense before</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special termination benefits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3580" w:type="dxa"/>
            <w:vAlign w:val="bottom"/>
          </w:tcPr>
          <w:p>
            <w:pPr>
              <w:spacing w:after="0"/>
              <w:rPr>
                <w:sz w:val="20"/>
                <w:szCs w:val="20"/>
                <w:color w:val="auto"/>
              </w:rPr>
            </w:pPr>
            <w:r>
              <w:rPr>
                <w:rFonts w:ascii="Arial" w:cs="Arial" w:eastAsia="Arial" w:hAnsi="Arial"/>
                <w:sz w:val="18"/>
                <w:szCs w:val="18"/>
                <w:color w:val="auto"/>
              </w:rPr>
              <w:t>Total net pension (income)</w:t>
            </w:r>
          </w:p>
        </w:tc>
        <w:tc>
          <w:tcPr>
            <w:tcW w:w="8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expense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three months ending March 31, 2020 the special termination benefits were incurred as a result of Kodak’s restructuring actions and have been included in Restructuring costs and other in the Consolidated Statement of Operations for that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Basic earnings per share computations are based on the weighted-average number of shares of common stock outstanding during the period. Diluted earnings per share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amounts used to calculate basic and diluted earnings per share for the three months ended March 31, 2021 and 2020 follows: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center"/>
              <w:ind w:left="750"/>
              <w:spacing w:after="0"/>
              <w:rPr>
                <w:sz w:val="20"/>
                <w:szCs w:val="20"/>
                <w:color w:val="auto"/>
              </w:rPr>
            </w:pPr>
            <w:r>
              <w:rPr>
                <w:rFonts w:ascii="Arial" w:cs="Arial" w:eastAsia="Arial" w:hAnsi="Arial"/>
                <w:sz w:val="18"/>
                <w:szCs w:val="18"/>
                <w:b w:val="1"/>
                <w:bCs w:val="1"/>
                <w:color w:val="auto"/>
                <w:w w:val="93"/>
              </w:rPr>
              <w:t>March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Less: Preferred stock cash dividends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Preferred stock deemed dividends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Less: Preferred stock in-kind dividend</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Plus: Expiration of Series A preferred stock embedded derivative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 basic and diluted</w:t>
            </w:r>
          </w:p>
        </w:tc>
        <w:tc>
          <w:tcPr>
            <w:tcW w:w="12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(in millions of shares)</w:t>
            </w: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7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Employee stock options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Unvested restricted stock units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computation of diluted earnings per share for the three months ended March 31, 2021 excluded the impact of (1) the assumed conversion of 1.0 million shares of Series B Preferred Stock, (2) the assumed conversion of 1.0 million shares of Series C Preferred Stock, (3) the assumed exercise of 3.2 million of outstanding employee stock options, (4) the assumed conversion of $25 million of Convertible Notes issued in 2021 and (5) the assumed vesting of 0.3 million unvested restricted stock units because the effects would have been anti-dilutive.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right="60"/>
        <w:spacing w:after="0" w:line="286" w:lineRule="auto"/>
        <w:rPr>
          <w:sz w:val="20"/>
          <w:szCs w:val="20"/>
          <w:color w:val="auto"/>
        </w:rPr>
      </w:pPr>
      <w:r>
        <w:rPr>
          <w:rFonts w:ascii="Arial" w:cs="Arial" w:eastAsia="Arial" w:hAnsi="Arial"/>
          <w:sz w:val="17"/>
          <w:szCs w:val="17"/>
          <w:color w:val="auto"/>
        </w:rPr>
        <w:t>As a result of the net loss available to common shareholders for the three months ended March 31, 2020, Kodak calculated diluted earnings per share using weighted-average basic shares outstanding. If Kodak reported income available to common shareholders for the three months ended March 31, 2020, the calculation of diluted earnings per share would have included the assumed vesting of 0.3 million unvested restricted stock units.</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computation of diluted earnings per share for the three months ended March 31, 2020 also excluded the impact of (1) the assumed conversion of 2.0 million shares of Series A Preferred Stock, (2) the assumed exercise of 6.8 million outstanding employee stock options and (3) the assumed conversion of $100 million of Convertible Notes issued in 2019 because the effects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STOCK-BASED COMPENSATION</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February 26, 2021 James V. Continenza, Executive Chairman and Chief Executive Officer of Kodak, and the Company entered into an Executive Chairman and CEO Agreement (the “New Employment Agreement”). The New Employment Agreement is effective for a three-year period beginning on February 26, 2021. Pursuant to the New Employment Agreement, Mr. Continenza will not have the right to exercise any stock options granted to him in February 2019 or July 2020 to the extent that, after giving effect to the issuance of the Company’s common stock resulting from such exercise, Mr. Continenza (together with his affiliates and any person acting as a group), would beneficially own more than 4.99% of the then issued and outstanding shares of Common Stock (the “Beneficial Ownership Limitation”). The Beneficial Ownership Limitation shall cease and be of no further force and effect upon a Change of Control (as such term is defined in the Company’s Amended and Restated 2013 Omnibus Incentive Plan). The restrictions on the exercisability of previous stock option awards is a modification of the original awards. As the February 2019 and July 2020 stock options were fully vested prior to the modification date and there was no incremental value provided in the modification, no additional compensation expense was recognized. Also pursuant to the New Employment Agreement, Mr. Continenza was granted 200,000 fully vested restricted stock units. The Company recognized $2 million of stock-based compensation expense associated with the grant of restricted stock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25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Company has 560 million shares of authorized stock, consisting of: (i) 500 million shares of common stock, par value $0.01 per share and (ii) 60 million shares of preferred stock, no par value, issuable in one or more series.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March 31, 2021 and December 31, 2020, there were 78.5 million and 77.2 million shares of common stock outstanding, respectively. In the three months ended March 31, 2021 the Company issued 1.0 million shares of common stock pursuant to the Securities Purchase Agreement. Refer to Note 5, “Debt and Finance Leases” for information on the Securities Purchase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Preferred stock issued and outstanding as of March 31, 2021 consisted of 1.0 million shares of Series B Preferred Stock and 1.0 million shares of Series C Preferred Stock. Preferred stock issued and outstanding as of December 31, 2020 consisted of 2.0 million shares of Series A Preferred Stock. Refer to Note 6, “Redeemable, Convertible Preferred Stock” for information on the changes in preferred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Treasury stock consisted of approximately 0.8 million shares and 0.7 million shares as of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18: 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income (loss),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 gain</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Tax Provision</w:t>
            </w:r>
          </w:p>
        </w:tc>
        <w:tc>
          <w:tcPr>
            <w:tcW w:w="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 gain, net of tax</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5"/>
                <w:szCs w:val="15"/>
                <w:color w:val="auto"/>
              </w:rPr>
              <w:t>(a)</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29"/>
        </w:trPr>
        <w:tc>
          <w:tcPr>
            <w:tcW w:w="6060" w:type="dxa"/>
            <w:vAlign w:val="bottom"/>
          </w:tcPr>
          <w:p>
            <w:pPr>
              <w:ind w:left="480"/>
              <w:spacing w:after="0"/>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15"/>
                <w:szCs w:val="15"/>
                <w:color w:val="auto"/>
              </w:rPr>
              <w:t>(a)</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29"/>
        </w:trPr>
        <w:tc>
          <w:tcPr>
            <w:tcW w:w="6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Recognition of losses (gains) due to curtailments and settlements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6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9"/>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6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8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0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8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0"/>
        </w:trPr>
        <w:tc>
          <w:tcPr>
            <w:tcW w:w="6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920" w:hanging="359"/>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A description of Kodak’s reportable segments follows.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r>
        <w:rPr>
          <w:rFonts w:ascii="Arial" w:cs="Arial" w:eastAsia="Arial" w:hAnsi="Arial"/>
          <w:sz w:val="18"/>
          <w:szCs w:val="18"/>
          <w:color w:val="auto"/>
        </w:rPr>
        <w:t>: The Traditional Printing segment is comprised of Prepress Solutions.</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Digital Printing</w:t>
      </w:r>
      <w:r>
        <w:rPr>
          <w:rFonts w:ascii="Arial" w:cs="Arial" w:eastAsia="Arial" w:hAnsi="Arial"/>
          <w:sz w:val="18"/>
          <w:szCs w:val="18"/>
          <w:color w:val="auto"/>
        </w:rPr>
        <w:t>: The Digital Printing segment is comprised of four lines of business: the Electrophotographic Printing Solutions business, the Prosper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the Versamark business and the Kodak Software business.</w:t>
      </w:r>
    </w:p>
    <w:p>
      <w:pPr>
        <w:spacing w:after="0" w:line="18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Advanced Materials and Chemicals: </w:t>
      </w:r>
      <w:r>
        <w:rPr>
          <w:rFonts w:ascii="Arial" w:cs="Arial" w:eastAsia="Arial" w:hAnsi="Arial"/>
          <w:sz w:val="18"/>
          <w:szCs w:val="18"/>
          <w:color w:val="auto"/>
        </w:rPr>
        <w:t>The Advanced Materials and Chemicals segment is comprised of four lines of business: Industrial Film and</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Chemicals, Motion Picture, Advanced Materials and Functional Printing and Kodak Services for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w:t>
      </w:r>
      <w:r>
        <w:rPr>
          <w:rFonts w:ascii="Arial" w:cs="Arial" w:eastAsia="Arial" w:hAnsi="Arial"/>
          <w:sz w:val="16"/>
          <w:szCs w:val="16"/>
          <w:color w:val="auto"/>
        </w:rPr>
        <w:t>: All Other is comprised of the operations of the Eastman Business Park, a more than 1,200-acre technology center and industrial complex.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Digital Printing</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Brand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Consolidated 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121" w:right="69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Segment Operational EBITDA and Consolidated Income from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5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Digital Printing</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29"/>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Brand</w:t>
            </w:r>
          </w:p>
        </w:tc>
        <w:tc>
          <w:tcPr>
            <w:tcW w:w="15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of reportable segments</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All Other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Other operating income, net, excluding income from</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 xml:space="preserve">transition services agreement </w:t>
            </w:r>
            <w:r>
              <w:rPr>
                <w:rFonts w:ascii="Arial" w:cs="Arial" w:eastAsia="Arial" w:hAnsi="Arial"/>
                <w:sz w:val="15"/>
                <w:szCs w:val="15"/>
                <w:color w:val="auto"/>
              </w:rPr>
              <w:t>(3)</w:t>
            </w: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income net </w:t>
            </w:r>
            <w:r>
              <w:rPr>
                <w:rFonts w:ascii="Arial" w:cs="Arial" w:eastAsia="Arial" w:hAnsi="Arial"/>
                <w:sz w:val="15"/>
                <w:szCs w:val="15"/>
                <w:color w:val="auto"/>
              </w:rPr>
              <w:t>(4)</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09"/>
        </w:trPr>
        <w:tc>
          <w:tcPr>
            <w:tcW w:w="5420" w:type="dxa"/>
            <w:vAlign w:val="bottom"/>
          </w:tcPr>
          <w:p>
            <w:pPr>
              <w:spacing w:after="0"/>
              <w:rPr>
                <w:sz w:val="20"/>
                <w:szCs w:val="20"/>
                <w:color w:val="auto"/>
              </w:rPr>
            </w:pPr>
            <w:r>
              <w:rPr>
                <w:rFonts w:ascii="Arial" w:cs="Arial" w:eastAsia="Arial" w:hAnsi="Arial"/>
                <w:sz w:val="18"/>
                <w:szCs w:val="18"/>
                <w:color w:val="auto"/>
              </w:rPr>
              <w:t>Consolidated income from operations before</w:t>
            </w:r>
          </w:p>
        </w:tc>
        <w:tc>
          <w:tcPr>
            <w:tcW w:w="1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18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940" w:right="440" w:hanging="365"/>
        <w:spacing w:after="0" w:line="277" w:lineRule="auto"/>
        <w:tabs>
          <w:tab w:leader="none" w:pos="940" w:val="left"/>
        </w:tabs>
        <w:numPr>
          <w:ilvl w:val="0"/>
          <w:numId w:val="9"/>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 and investigations.</w:t>
      </w:r>
    </w:p>
    <w:p>
      <w:pPr>
        <w:spacing w:after="0" w:line="62" w:lineRule="exact"/>
        <w:rPr>
          <w:rFonts w:ascii="Arial" w:cs="Arial" w:eastAsia="Arial" w:hAnsi="Arial"/>
          <w:sz w:val="15"/>
          <w:szCs w:val="15"/>
          <w:color w:val="auto"/>
        </w:rPr>
      </w:pPr>
    </w:p>
    <w:p>
      <w:pPr>
        <w:ind w:left="940" w:right="80" w:hanging="365"/>
        <w:spacing w:after="0" w:line="277" w:lineRule="auto"/>
        <w:tabs>
          <w:tab w:leader="none" w:pos="940" w:val="left"/>
        </w:tabs>
        <w:numPr>
          <w:ilvl w:val="0"/>
          <w:numId w:val="9"/>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62" w:lineRule="exact"/>
        <w:rPr>
          <w:rFonts w:ascii="Arial" w:cs="Arial" w:eastAsia="Arial" w:hAnsi="Arial"/>
          <w:sz w:val="15"/>
          <w:szCs w:val="15"/>
          <w:color w:val="auto"/>
        </w:rPr>
      </w:pPr>
    </w:p>
    <w:p>
      <w:pPr>
        <w:ind w:left="940" w:right="200" w:hanging="365"/>
        <w:spacing w:after="0" w:line="259" w:lineRule="auto"/>
        <w:tabs>
          <w:tab w:leader="none" w:pos="940" w:val="left"/>
        </w:tabs>
        <w:numPr>
          <w:ilvl w:val="0"/>
          <w:numId w:val="9"/>
        </w:numPr>
        <w:rPr>
          <w:rFonts w:ascii="Arial" w:cs="Arial" w:eastAsia="Arial" w:hAnsi="Arial"/>
          <w:sz w:val="15"/>
          <w:szCs w:val="15"/>
          <w:color w:val="auto"/>
        </w:rPr>
      </w:pPr>
      <w:r>
        <w:rPr>
          <w:rFonts w:ascii="Arial" w:cs="Arial" w:eastAsia="Arial" w:hAnsi="Arial"/>
          <w:sz w:val="18"/>
          <w:szCs w:val="18"/>
          <w:color w:val="auto"/>
        </w:rPr>
        <w:t>$0 million and $2 million of income from the transition services agreement with the purchaser of Kodak’s Flexographic Packaging Business was recognized in the three months ended March 31, 2021 and 2020.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78" w:lineRule="exact"/>
        <w:rPr>
          <w:rFonts w:ascii="Arial" w:cs="Arial" w:eastAsia="Arial" w:hAnsi="Arial"/>
          <w:sz w:val="15"/>
          <w:szCs w:val="15"/>
          <w:color w:val="auto"/>
        </w:rPr>
      </w:pPr>
    </w:p>
    <w:p>
      <w:pPr>
        <w:ind w:left="940" w:hanging="365"/>
        <w:spacing w:after="0"/>
        <w:tabs>
          <w:tab w:leader="none" w:pos="940" w:val="left"/>
        </w:tabs>
        <w:numPr>
          <w:ilvl w:val="0"/>
          <w:numId w:val="9"/>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w:t>
      </w:r>
    </w:p>
    <w:p>
      <w:pPr>
        <w:spacing w:after="0" w:line="24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demonstrated in the above table, Operational EBITDA represents the earnings (loss) from operations excluding the provision for income taxes; non-service cost components of pension and other postemployment benefits (“OPEB”) income; depreciation and amortization expense; restructuring costs; stock-based compensation expense; consulting and other costs; idle costs; other operating income, net (unless otherwise indicated); interest expense and other income, net.</w:t>
      </w:r>
    </w:p>
    <w:p>
      <w:pPr>
        <w:spacing w:after="0" w:line="214"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FINANCIAL INSTRUMENTS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21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Kodak’s foreign currency forward contracts are not designated as hedges and are marked to market through net income (loss) at the same time that the exposed assets and liabilities are remeasured through net income (loss) (both in Other income, net in the Consolidated Statement of Operations). The notional amount of such contracts open at March 31, 2021 and December 31, 2020 was approximately $331 million and $361</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right="340"/>
        <w:spacing w:after="0" w:line="277" w:lineRule="auto"/>
        <w:rPr>
          <w:sz w:val="20"/>
          <w:szCs w:val="20"/>
          <w:color w:val="auto"/>
        </w:rPr>
      </w:pPr>
      <w:r>
        <w:rPr>
          <w:rFonts w:ascii="Arial" w:cs="Arial" w:eastAsia="Arial" w:hAnsi="Arial"/>
          <w:sz w:val="18"/>
          <w:szCs w:val="18"/>
          <w:color w:val="auto"/>
        </w:rPr>
        <w:t>million, respectively. The majority of the contracts of this type held by Kodak as of March 31, 2021 and December 31, 2020 are denominated in euros, Chinese renminbi and Japanese yen.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72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3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0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loss (gain) from derivatives not designated as hedging</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236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months ended March 31, 2021.</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in Note 5, “Debt and Finance Leases”, the Company concluded that the Convertible Notes are considered more akin to a debt-type instrument and that the economic characteristics and risks of the embedded conversion features, are not considered clearly and closely related to the Convertible Notes. The embedded conversion features not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Accordingly, these embedded conversion features were bifurcated from the Convertible Notes and separately accounted for on a combined basis as a single derivative asset or liability. The derivative was in a liability position at March 31, 2021 and was reported in Other long-term liabilities in the Consolidated Statement of Financial Position. The derivative is being accounted for at fair value with changes in fair value reported in Other income, net in the Consolidated Statement of Operations.</w:t>
      </w:r>
    </w:p>
    <w:p>
      <w:pPr>
        <w:spacing w:after="0" w:line="2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discussed in Note 6, “Redeemable, Convertible, Preferred Stock”, the Company concluded that the Series B Preferred Stock and the Series C Preferred Stock are considered more akin to a debt-type instrument and that the economic characteristics and risks of the conversion in the event of a Fundamental Change is not considered clearly and closely related to the Series B and Series C Preferred Stock. Accordingly, this embedded conversion feature was bifurcated from both the Series B and Series C Preferred Stock and both are separately accounted for as a single derivative asset or liability. Both derivatives were in a liability position at March 31, 2021 and were reported in Other long-term liabilities in the Consolidated Statement of Financial Position. The derivatives are being accounted for at fair value with changes in fair value reported in Other income, net in the Consolidated Statement of Operations.</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discussed in Note 6, “Redeemable, Convertible, Preferred Stock”, the Company concluded that the Series A Preferred Stock was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embedded conversion features were revalued as of February 26, 2021 when the Company repurchased one million of the Series A Preferred Stock and exchanged the remaining one million shares of Series A Preferred Stock for Series B Preferred Stock. The revaluation as of February 26, 2021 resulted in the recognition of $2 million of net expense which was reported in Other income, net in the Consolidated Statement of Operations. With the repurchase and exchange of the shares of the Series A Preferred Stock the embedded conversion features derivative liability expired. The derivative was in a liability position at December 31, 2020 and was reported in Other long-term liabilities in the Consolidated Statement of Financial Position. The derivative was being accounted for at fair value with changes in fair value being reported in Other income, net in the Consolidated Statement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March 31, 2021 and December 31, 2020 was $0 million and $1 million, respectively. The gross fair value of foreign currency forward contracts in a liability position as of March 31, 2021 and December 31, 2020 was $2 million and $0 million, respectively.</w:t>
      </w:r>
    </w:p>
    <w:p>
      <w:pPr>
        <w:spacing w:after="0" w:line="21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three months ended March 31, 2021.</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both"/>
        <w:ind w:right="220"/>
        <w:spacing w:after="0" w:line="263" w:lineRule="auto"/>
        <w:rPr>
          <w:sz w:val="20"/>
          <w:szCs w:val="20"/>
          <w:color w:val="auto"/>
        </w:rPr>
      </w:pPr>
      <w:r>
        <w:rPr>
          <w:rFonts w:ascii="Arial" w:cs="Arial" w:eastAsia="Arial" w:hAnsi="Arial"/>
          <w:sz w:val="18"/>
          <w:szCs w:val="18"/>
          <w:color w:val="auto"/>
        </w:rPr>
        <w:t>The fair value of the embedded conversion features derivatives was calculated using unobservable inputs (Level 3 fair measurements). The value of the embedded derivatives associated with the Convertible Notes and Series A, Series B and Series C Preferred Stock were calculated using a binomial lattice model.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key inputs in the determination of fair value for the embedded conversion features: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8"/>
          </w:tcPr>
          <w:p>
            <w:pPr>
              <w:jc w:val="right"/>
              <w:spacing w:after="0"/>
              <w:rPr>
                <w:sz w:val="20"/>
                <w:szCs w:val="20"/>
                <w:color w:val="auto"/>
              </w:rPr>
            </w:pPr>
            <w:r>
              <w:rPr>
                <w:rFonts w:ascii="Arial" w:cs="Arial" w:eastAsia="Arial" w:hAnsi="Arial"/>
                <w:sz w:val="18"/>
                <w:szCs w:val="18"/>
                <w:b w:val="1"/>
                <w:bCs w:val="1"/>
                <w:color w:val="auto"/>
                <w:w w:val="99"/>
              </w:rPr>
              <w:t>Valuation Date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February 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5"/>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(Inception)</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3"/>
              </w:rPr>
              <w:t>Total value of embedded derivative liability ($ millions)</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52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0.80%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Convertible Notes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44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0"/>
          </w:tcPr>
          <w:p>
            <w:pPr>
              <w:jc w:val="right"/>
              <w:ind w:right="940"/>
              <w:spacing w:after="0"/>
              <w:rPr>
                <w:sz w:val="20"/>
                <w:szCs w:val="20"/>
                <w:color w:val="auto"/>
              </w:rPr>
            </w:pPr>
            <w:r>
              <w:rPr>
                <w:rFonts w:ascii="Arial" w:cs="Arial" w:eastAsia="Arial" w:hAnsi="Arial"/>
                <w:sz w:val="18"/>
                <w:szCs w:val="18"/>
                <w:b w:val="1"/>
                <w:bCs w:val="1"/>
                <w:color w:val="auto"/>
              </w:rPr>
              <w:t>Valuation Date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February 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3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9"/>
              </w:rPr>
              <w:t>(Inception)</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Total value of embedded derivative liability ($ millions)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spacing w:after="0"/>
              <w:rPr>
                <w:sz w:val="19"/>
                <w:szCs w:val="19"/>
                <w:color w:val="auto"/>
              </w:rPr>
            </w:pPr>
          </w:p>
        </w:tc>
        <w:tc>
          <w:tcPr>
            <w:tcW w:w="420" w:type="dxa"/>
            <w:vAlign w:val="bottom"/>
            <w:shd w:val="clear" w:color="auto" w:fill="CFF0FC"/>
          </w:tcPr>
          <w:p>
            <w:pPr>
              <w:jc w:val="right"/>
              <w:ind w:right="254"/>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54"/>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0.80%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4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8"/>
          </w:tcPr>
          <w:p>
            <w:pPr>
              <w:jc w:val="right"/>
              <w:ind w:right="70"/>
              <w:spacing w:after="0"/>
              <w:rPr>
                <w:sz w:val="20"/>
                <w:szCs w:val="20"/>
                <w:color w:val="auto"/>
              </w:rPr>
            </w:pPr>
            <w:r>
              <w:rPr>
                <w:rFonts w:ascii="Arial" w:cs="Arial" w:eastAsia="Arial" w:hAnsi="Arial"/>
                <w:sz w:val="18"/>
                <w:szCs w:val="18"/>
                <w:b w:val="1"/>
                <w:bCs w:val="1"/>
                <w:color w:val="auto"/>
              </w:rPr>
              <w:t>Valuation Date</w:t>
            </w:r>
          </w:p>
        </w:tc>
        <w:tc>
          <w:tcPr>
            <w:tcW w:w="140" w:type="dxa"/>
            <w:vAlign w:val="bottom"/>
          </w:tcPr>
          <w:p>
            <w:pPr>
              <w:spacing w:after="0"/>
              <w:rPr>
                <w:sz w:val="24"/>
                <w:szCs w:val="24"/>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3"/>
              </w:rPr>
              <w:t>February</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93"/>
              </w:rPr>
              <w:t>March 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26,</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(Inception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92"/>
              </w:rPr>
              <w:t>(Inception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06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94"/>
              </w:rPr>
              <w:t>- Final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Initial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88"/>
              </w:rPr>
              <w:t>Sale)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Sale)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3"/>
              </w:rPr>
              <w:t>Total value of embedded derivative liability ($ millions)</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3"/>
            <w:shd w:val="clear" w:color="auto" w:fill="CFF0FC"/>
          </w:tcPr>
          <w:p>
            <w:pPr>
              <w:jc w:val="right"/>
              <w:ind w:right="114"/>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2"/>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14"/>
              <w:spacing w:after="0"/>
              <w:rPr>
                <w:sz w:val="20"/>
                <w:szCs w:val="20"/>
                <w:color w:val="auto"/>
              </w:rPr>
            </w:pPr>
            <w:r>
              <w:rPr>
                <w:rFonts w:ascii="Arial" w:cs="Arial" w:eastAsia="Arial" w:hAnsi="Arial"/>
                <w:sz w:val="18"/>
                <w:szCs w:val="18"/>
                <w:color w:val="auto"/>
              </w:rPr>
              <w:t>7.87</w:t>
            </w:r>
          </w:p>
        </w:tc>
        <w:tc>
          <w:tcPr>
            <w:tcW w:w="66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1"/>
              </w:rPr>
              <w:t>8.05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ind w:left="580"/>
              <w:spacing w:after="0"/>
              <w:rPr>
                <w:sz w:val="20"/>
                <w:szCs w:val="20"/>
                <w:color w:val="auto"/>
              </w:rPr>
            </w:pPr>
            <w:r>
              <w:rPr>
                <w:rFonts w:ascii="Arial" w:cs="Arial" w:eastAsia="Arial" w:hAnsi="Arial"/>
                <w:sz w:val="18"/>
                <w:szCs w:val="18"/>
                <w:color w:val="auto"/>
                <w:w w:val="94"/>
              </w:rPr>
              <w:t>70.00%</w:t>
            </w:r>
          </w:p>
        </w:tc>
        <w:tc>
          <w:tcPr>
            <w:tcW w:w="118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93"/>
              </w:rPr>
              <w:t>0.94%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0.80%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ind w:left="580"/>
              <w:spacing w:after="0"/>
              <w:rPr>
                <w:sz w:val="20"/>
                <w:szCs w:val="20"/>
                <w:color w:val="auto"/>
              </w:rPr>
            </w:pPr>
            <w:r>
              <w:rPr>
                <w:rFonts w:ascii="Arial" w:cs="Arial" w:eastAsia="Arial" w:hAnsi="Arial"/>
                <w:sz w:val="18"/>
                <w:szCs w:val="18"/>
                <w:color w:val="auto"/>
                <w:w w:val="94"/>
              </w:rPr>
              <w:t>21.75%</w:t>
            </w:r>
          </w:p>
        </w:tc>
        <w:tc>
          <w:tcPr>
            <w:tcW w:w="118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44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8"/>
            <w:vMerge w:val="restart"/>
          </w:tcPr>
          <w:p>
            <w:pPr>
              <w:jc w:val="right"/>
              <w:spacing w:after="0"/>
              <w:rPr>
                <w:sz w:val="20"/>
                <w:szCs w:val="20"/>
                <w:color w:val="auto"/>
              </w:rPr>
            </w:pPr>
            <w:r>
              <w:rPr>
                <w:rFonts w:ascii="Arial" w:cs="Arial" w:eastAsia="Arial" w:hAnsi="Arial"/>
                <w:sz w:val="18"/>
                <w:szCs w:val="18"/>
                <w:b w:val="1"/>
                <w:bCs w:val="1"/>
                <w:color w:val="auto"/>
                <w:w w:val="99"/>
              </w:rPr>
              <w:t>Valuation Date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8"/>
            <w:vMerge w:val="continue"/>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rPr>
              <w:t>February 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5"/>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3"/>
              </w:rPr>
              <w:t>Total value of embedded derivative liability ($ millions)</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52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133.44%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28" w:name="page29"/>
    <w:bookmarkEnd w:id="28"/>
    <w:p>
      <w:pPr>
        <w:ind w:right="40"/>
        <w:spacing w:after="0" w:line="296" w:lineRule="auto"/>
        <w:rPr>
          <w:sz w:val="20"/>
          <w:szCs w:val="20"/>
          <w:color w:val="auto"/>
        </w:rPr>
      </w:pPr>
      <w:r>
        <w:rPr>
          <w:rFonts w:ascii="Arial" w:cs="Arial" w:eastAsia="Arial" w:hAnsi="Arial"/>
          <w:sz w:val="16"/>
          <w:szCs w:val="16"/>
          <w:color w:val="auto"/>
        </w:rPr>
        <w:t>The Fundamental Change values at issuance were calculated as the difference between the total value of the Convertible Notes, Series B or Series C Preferred Stock, as applicable, and the sum of the net present value of the cash flows if the Convertible Notes are repaid at their maturity date or Series B and Series C Preferred Stock is redeemed on their redemption date and the values of the other embedded derivatives. The Fundamental Change values reduce the value of the embedded conversion features derivative liability. Other than events that alter the likelihood of a fundamental change or reorganization event, the value of the Fundamental Change reflects the value as of the issuance date, amortized for the passage of time.</w:t>
      </w:r>
    </w:p>
    <w:p>
      <w:pPr>
        <w:spacing w:after="0" w:line="16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$283 million and $17 million at March 31, 2021 and December 31, 2020, respectively.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of cash and cash equivalents, restricted cash and the current portion of long-term debt approximate their fair values at both March 31, 2021 and December 31, 2020.</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2020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spacing w:after="0" w:line="64"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fund continued investments, capital needs and restructuring payments and service its debt and Series B Preferred Stock and Series C Preferred Stock;</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global economic environment or medical epidemics such as the COVID-19 pandemic, including the restrictions and other actions implemented to fight the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investigations, litigations and claims arising out of the circumstances surrounding the DFC Announcement;</w:t>
      </w:r>
    </w:p>
    <w:p>
      <w:pPr>
        <w:spacing w:after="0" w:line="117" w:lineRule="exact"/>
        <w:rPr>
          <w:rFonts w:ascii="Arial" w:cs="Arial" w:eastAsia="Arial" w:hAnsi="Arial"/>
          <w:sz w:val="18"/>
          <w:szCs w:val="18"/>
          <w:color w:val="auto"/>
        </w:rPr>
      </w:pPr>
    </w:p>
    <w:p>
      <w:pPr>
        <w:ind w:left="1000" w:right="2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 the ability to address supply chain disruptions and continue to obtain raw materials and components available from single or limited sources of supply, which may be adversely affected by the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interest rates and tariff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00" w:right="6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Continued sufficient availability of borrowings and letters of credit under the Amended ABL Credit Agreement and L/C Facility Agreement, Kodak’s ability to obtain additional financing if and as needed and Kodak’s ability to provide or facilitate financing for its customers;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impact of cyber-attacks and other data security incidents that disrupt Kodak’s operations; and</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Kodak’s ability to effect strategic transactions such as acquisitions, strategic alliances, divestitures and similar transactions, or to achieve the benefits sought to be achieved from such strategic transactions.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Kodak is a global technology company focused on print,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ind w:right="520"/>
        <w:spacing w:after="0" w:line="277" w:lineRule="auto"/>
        <w:rPr>
          <w:sz w:val="20"/>
          <w:szCs w:val="20"/>
          <w:color w:val="auto"/>
        </w:rPr>
      </w:pPr>
      <w:r>
        <w:rPr>
          <w:rFonts w:ascii="Arial" w:cs="Arial" w:eastAsia="Arial" w:hAnsi="Arial"/>
          <w:sz w:val="18"/>
          <w:szCs w:val="18"/>
          <w:color w:val="auto"/>
        </w:rPr>
        <w:t>Kodak’s broad portfolio of superior products, responsive support and world-class research and development (“R&amp;D”) make Kodak solutions a smart investment for customers looking to improve their profitability and drive growth.</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Revenue decreased $2 million when compared to the prior year quarter, (1%), including the favorable impact of currency ($9 million) in the current year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film industry and segments within the print industry face competition from digital substitution. Kodak’s strategy is to:</w:t>
      </w:r>
    </w:p>
    <w:p>
      <w:pPr>
        <w:spacing w:after="0" w:line="252" w:lineRule="exact"/>
        <w:rPr>
          <w:sz w:val="20"/>
          <w:szCs w:val="20"/>
          <w:color w:val="auto"/>
        </w:rPr>
      </w:pPr>
    </w:p>
    <w:p>
      <w:pPr>
        <w:ind w:left="1000" w:right="180" w:hanging="371"/>
        <w:spacing w:after="0" w:line="308"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173" w:lineRule="exact"/>
        <w:rPr>
          <w:rFonts w:ascii="Arial" w:cs="Arial" w:eastAsia="Arial" w:hAnsi="Arial"/>
          <w:sz w:val="17"/>
          <w:szCs w:val="17"/>
          <w:color w:val="auto"/>
        </w:rPr>
      </w:pPr>
    </w:p>
    <w:p>
      <w:pPr>
        <w:ind w:left="1000" w:hanging="37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revenues through a focus on customers across Kodak’s print divisions, increasing overall share;</w:t>
      </w:r>
    </w:p>
    <w:p>
      <w:pPr>
        <w:spacing w:after="0" w:line="252" w:lineRule="exact"/>
        <w:rPr>
          <w:rFonts w:ascii="Arial" w:cs="Arial" w:eastAsia="Arial" w:hAnsi="Arial"/>
          <w:sz w:val="18"/>
          <w:szCs w:val="18"/>
          <w:color w:val="auto"/>
        </w:rPr>
      </w:pPr>
    </w:p>
    <w:p>
      <w:pPr>
        <w:ind w:left="1000" w:hanging="37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Promote the use of film and expand the applications of Kodak’s film and chemicals to best utilize the existing infrastructure; and</w:t>
      </w:r>
    </w:p>
    <w:p>
      <w:pPr>
        <w:spacing w:after="0" w:line="238" w:lineRule="exact"/>
        <w:rPr>
          <w:rFonts w:ascii="Arial" w:cs="Arial" w:eastAsia="Arial" w:hAnsi="Arial"/>
          <w:sz w:val="18"/>
          <w:szCs w:val="18"/>
          <w:color w:val="auto"/>
        </w:rPr>
      </w:pPr>
    </w:p>
    <w:p>
      <w:pPr>
        <w:ind w:left="980" w:hanging="351"/>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239" w:lineRule="exact"/>
        <w:rPr>
          <w:sz w:val="20"/>
          <w:szCs w:val="20"/>
          <w:color w:val="auto"/>
        </w:rPr>
      </w:pPr>
    </w:p>
    <w:p>
      <w:pPr>
        <w:ind w:left="1000" w:hanging="371"/>
        <w:spacing w:after="0" w:line="293"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COVID-19 pandemic continues to impact current quarter sales. While Kodak has experienced some recovery of customer demand and volumes during the current quarter, the ultimate impact of the COVID-19 pandemic on Kodak’s operations and financial performance remains uncertain and will depend on the duration of the pandemic as well as other factors. Kodak continued to work closely with government and health officials in the jurisdictions where it operates to protect employees world-wide, with particular measures in place for those working in plants and distribution facilities. The manufacturing facilities have generally been operating at below normal capacity during the pandemic to date. However, none of Kodak’s manufacturing facilities were ordered to close by governmental authorities.</w:t>
      </w:r>
    </w:p>
    <w:p>
      <w:pPr>
        <w:spacing w:after="0" w:line="150" w:lineRule="exact"/>
        <w:rPr>
          <w:rFonts w:ascii="Arial" w:cs="Arial" w:eastAsia="Arial" w:hAnsi="Arial"/>
          <w:sz w:val="16"/>
          <w:szCs w:val="16"/>
          <w:color w:val="auto"/>
        </w:rPr>
      </w:pPr>
    </w:p>
    <w:p>
      <w:pPr>
        <w:ind w:left="1000" w:hanging="371"/>
        <w:spacing w:after="0" w:line="236"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Traditional Printing’s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and cost reductions are expected to mitigate the impact of revenue declines and higher raw material costs on earnings. To further mitigate the impact of higher aluminum, energy and packaging costs, Kodak announced surcharges on purchases of plates in April 2021. The surcharges will be effective in the second quarter of 2021 and will be periodically reviewed and adjusted accordingly. Traditional Printing revenues accounted for approximately 56% of Kodak’s revenues for the three months ended March 31, 2021. Traditional Printing’s revenues decreased $6 million (4%) compared with the prior year quarter. Segment earnings improved $4 million (400%) compared to the prior year quarter, reflecting operating cost reductions</w:t>
      </w:r>
      <w:r>
        <w:rPr>
          <w:rFonts w:ascii="Arial" w:cs="Arial" w:eastAsia="Arial" w:hAnsi="Arial"/>
          <w:sz w:val="18"/>
          <w:szCs w:val="18"/>
          <w:color w:val="auto"/>
        </w:rPr>
        <w:t>.</w:t>
      </w:r>
    </w:p>
    <w:p>
      <w:pPr>
        <w:spacing w:after="0" w:line="220" w:lineRule="exact"/>
        <w:rPr>
          <w:rFonts w:ascii="Arial" w:cs="Arial" w:eastAsia="Arial" w:hAnsi="Arial"/>
          <w:sz w:val="17"/>
          <w:szCs w:val="17"/>
          <w:color w:val="auto"/>
        </w:rPr>
      </w:pPr>
    </w:p>
    <w:p>
      <w:pPr>
        <w:ind w:left="1020" w:right="120"/>
        <w:spacing w:after="0" w:line="257" w:lineRule="auto"/>
        <w:rPr>
          <w:rFonts w:ascii="Arial" w:cs="Arial" w:eastAsia="Arial" w:hAnsi="Arial"/>
          <w:sz w:val="17"/>
          <w:szCs w:val="17"/>
          <w:color w:val="auto"/>
        </w:rPr>
      </w:pPr>
      <w:r>
        <w:rPr>
          <w:rFonts w:ascii="Arial" w:cs="Arial" w:eastAsia="Arial" w:hAnsi="Arial"/>
          <w:sz w:val="18"/>
          <w:szCs w:val="18"/>
          <w:color w:val="auto"/>
        </w:rPr>
        <w:t>Many of the segment’s customers around the globe continued to operate during the COVID-19 pandemic but at decreased volumes. The Traditional Printing segment was impacted by supply chain disruptions and travel restrictions and manufacturing volumes were reduced, primarily in 2020, in response to the decline in customer demand for the segment’s products. The segment has seen some recovery of volumes starting in the later part of 2020 and continued improvement in customer demand in the first quarter of 2021; however, the duration and extent of demand declines remains unclear.</w:t>
      </w:r>
    </w:p>
    <w:p>
      <w:pPr>
        <w:spacing w:after="0" w:line="147" w:lineRule="exact"/>
        <w:rPr>
          <w:rFonts w:ascii="Arial" w:cs="Arial" w:eastAsia="Arial" w:hAnsi="Arial"/>
          <w:sz w:val="17"/>
          <w:szCs w:val="17"/>
          <w:color w:val="auto"/>
        </w:rPr>
      </w:pPr>
    </w:p>
    <w:p>
      <w:pPr>
        <w:ind w:left="1000" w:right="20" w:hanging="371"/>
        <w:spacing w:after="0" w:line="22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Digital Printing, the legacy VERSAMARK business is expected to continue to decline as a percentage of the segment’s total revenue as the PROSPER business grows. The PROSPER Inkjet Systems business is expected to continue to build profitability, excluding the negative impacts during the COVID-19 pandemic. Investment in the next generation technology, Ultrastream, is focused on the ability to place Ultrastream writing systems in original equipment manufacturers and hybrid applications. Digital Printing’s revenues declined slightly compared with the prior year quarter, $1 million (2%). Despite the revenue declines, the segment operations broke even, an improvement of $2 million (100%) compared to the prior year quarter.</w:t>
      </w:r>
    </w:p>
    <w:p>
      <w:pPr>
        <w:spacing w:after="0" w:line="161" w:lineRule="exact"/>
        <w:rPr>
          <w:rFonts w:ascii="Arial" w:cs="Arial" w:eastAsia="Arial" w:hAnsi="Arial"/>
          <w:sz w:val="18"/>
          <w:szCs w:val="18"/>
          <w:color w:val="auto"/>
        </w:rPr>
      </w:pPr>
    </w:p>
    <w:p>
      <w:pPr>
        <w:ind w:left="1020" w:right="140"/>
        <w:spacing w:after="0" w:line="257" w:lineRule="auto"/>
        <w:rPr>
          <w:rFonts w:ascii="Arial" w:cs="Arial" w:eastAsia="Arial" w:hAnsi="Arial"/>
          <w:sz w:val="18"/>
          <w:szCs w:val="18"/>
          <w:color w:val="auto"/>
        </w:rPr>
      </w:pPr>
      <w:r>
        <w:rPr>
          <w:rFonts w:ascii="Arial" w:cs="Arial" w:eastAsia="Arial" w:hAnsi="Arial"/>
          <w:sz w:val="18"/>
          <w:szCs w:val="18"/>
          <w:color w:val="auto"/>
        </w:rPr>
        <w:t>Many of the Digital Printing segment customers around the globe continued to operate during the COVID-19 pandemic but at decreased volumes. The Digital Printing segment was impacted by supply chain disruptions and travel restrictions and manufacturing volumes were reduced, primarily in 2020, in response to the decline in customer demand for the segment’s products. The segment has seen some recovery of volumes starting in the later part of 2020 and continued improvement in customer demand in the first quarter of 2021; however, the duration and extent of demand declines remains unclear.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1000" w:right="220" w:hanging="371"/>
        <w:spacing w:after="0" w:line="23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Advanced Materials and Chemicals revenues increased $4 million (10%) compared with the prior year quarter. The segment loss improved $5 million (56%) compared to the prior year quarter. Kodak plans to continue promoting the use of film and chemicals to utilize as much manufacturing capacity as possible.</w:t>
      </w:r>
    </w:p>
    <w:p>
      <w:pPr>
        <w:spacing w:after="0" w:line="161" w:lineRule="exact"/>
        <w:rPr>
          <w:sz w:val="20"/>
          <w:szCs w:val="20"/>
          <w:color w:val="auto"/>
        </w:rPr>
      </w:pPr>
    </w:p>
    <w:p>
      <w:pPr>
        <w:ind w:left="1040" w:right="60"/>
        <w:spacing w:after="0" w:line="255" w:lineRule="auto"/>
        <w:rPr>
          <w:sz w:val="20"/>
          <w:szCs w:val="20"/>
          <w:color w:val="auto"/>
        </w:rPr>
      </w:pPr>
      <w:r>
        <w:rPr>
          <w:rFonts w:ascii="Arial" w:cs="Arial" w:eastAsia="Arial" w:hAnsi="Arial"/>
          <w:sz w:val="18"/>
          <w:szCs w:val="18"/>
          <w:color w:val="auto"/>
        </w:rPr>
        <w:t>Advanced Materials and Chemicals experienced adverse impacts from the COVID-19 pandemic in 2020, most notably in Motion Picture where the industry was heavily impacted and productions in affected regions were suspended. Each of the segment’s product lines was impacted by lowered demand and travel restrictions. While there is continued risk and the ultimate duration and extent of the COVID-19 pandemic remains unclear, the segment has seen a recovery of customer demand starting in the later part of 2020 for Motion Picture film and other Advanced Materials and Chemicals product lines, which continued in the first quarter of 2021 with volume improvements compared with the prior year quarter.</w:t>
      </w:r>
    </w:p>
    <w:p>
      <w:pPr>
        <w:spacing w:after="0" w:line="206" w:lineRule="exact"/>
        <w:rPr>
          <w:sz w:val="20"/>
          <w:szCs w:val="20"/>
          <w:color w:val="auto"/>
        </w:rPr>
      </w:pPr>
    </w:p>
    <w:p>
      <w:pPr>
        <w:ind w:left="1020" w:right="120" w:hanging="364"/>
        <w:spacing w:after="0" w:line="239" w:lineRule="auto"/>
        <w:tabs>
          <w:tab w:leader="none" w:pos="10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Kodak is working to organically expand its key starting materials (“KSM”) production at Eastman Business Park in Rochester, New York while exploring alternatives to obtain necessary Current Good Manufacturing Practices (“cGMP”) and FDA certification to make regulated KSMs and active pharmaceutical ingredients (“APIs”) and otherwise utilize its assets and technology in the healthcare space. Depending on its assessment of the business opportunity and availability of capital, Kodak may also explore alternative means to further expand its chemical manufacturing operations for purposes of producing materials to support the healthcare industry. A portion of the capital raised by the Company on February 26, 2021 is being used to fund these exploratory activities and may be used to fund expansion opportunities that the Company considers attractive.</w:t>
      </w:r>
    </w:p>
    <w:p>
      <w:pPr>
        <w:spacing w:after="0" w:line="149" w:lineRule="exact"/>
        <w:rPr>
          <w:rFonts w:ascii="Arial" w:cs="Arial" w:eastAsia="Arial" w:hAnsi="Arial"/>
          <w:sz w:val="17"/>
          <w:szCs w:val="17"/>
          <w:color w:val="auto"/>
        </w:rPr>
      </w:pPr>
    </w:p>
    <w:p>
      <w:pPr>
        <w:ind w:left="1000" w:right="300" w:hanging="371"/>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Eastman Business Park.</w:t>
      </w:r>
    </w:p>
    <w:p>
      <w:pPr>
        <w:spacing w:after="0" w:line="142" w:lineRule="exact"/>
        <w:rPr>
          <w:rFonts w:ascii="Arial" w:cs="Arial" w:eastAsia="Arial" w:hAnsi="Arial"/>
          <w:sz w:val="18"/>
          <w:szCs w:val="18"/>
          <w:color w:val="auto"/>
        </w:rPr>
      </w:pPr>
    </w:p>
    <w:p>
      <w:pPr>
        <w:ind w:left="1000" w:right="120" w:hanging="371"/>
        <w:spacing w:after="0" w:line="24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56"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The balance of Kodak’s operations, which do not meet the criteria of a reportable segment, are reported in All Other and primarily represent the Eastman Business Park operations. Refer to the 2020 Form 10-K for a description of the Company’s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3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Digital Printing</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3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Brand</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3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3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0" w:type="dxa"/>
            <w:vAlign w:val="bottom"/>
            <w:vMerge w:val="restart"/>
          </w:tcPr>
          <w:p>
            <w:pPr>
              <w:jc w:val="right"/>
              <w:ind w:right="1630"/>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Segment Operational EBITDA and Consolidated Income from Operations Before Income Taxes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Digital Printing</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Brand</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 excluding income</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from transition services agreement </w:t>
            </w:r>
            <w:r>
              <w:rPr>
                <w:rFonts w:ascii="Arial" w:cs="Arial" w:eastAsia="Arial" w:hAnsi="Arial"/>
                <w:sz w:val="15"/>
                <w:szCs w:val="15"/>
                <w:color w:val="auto"/>
              </w:rPr>
              <w:t>(3)</w:t>
            </w: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 xml:space="preserve">Other income, net </w:t>
            </w:r>
            <w:r>
              <w:rPr>
                <w:rFonts w:ascii="Arial" w:cs="Arial" w:eastAsia="Arial" w:hAnsi="Arial"/>
                <w:sz w:val="15"/>
                <w:szCs w:val="15"/>
                <w:color w:val="auto"/>
              </w:rPr>
              <w:t>(4)</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09"/>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income from operations before</w:t>
            </w:r>
          </w:p>
        </w:tc>
        <w:tc>
          <w:tcPr>
            <w:tcW w:w="1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4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0"/>
                <w:szCs w:val="20"/>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10" w:lineRule="exact"/>
        <w:rPr>
          <w:sz w:val="20"/>
          <w:szCs w:val="20"/>
          <w:color w:val="auto"/>
        </w:rPr>
      </w:pPr>
    </w:p>
    <w:p>
      <w:pPr>
        <w:ind w:left="500" w:right="820" w:hanging="492"/>
        <w:spacing w:after="0" w:line="277"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 and investigations.</w:t>
      </w:r>
    </w:p>
    <w:p>
      <w:pPr>
        <w:spacing w:after="0" w:line="62" w:lineRule="exact"/>
        <w:rPr>
          <w:rFonts w:ascii="Arial" w:cs="Arial" w:eastAsia="Arial" w:hAnsi="Arial"/>
          <w:sz w:val="15"/>
          <w:szCs w:val="15"/>
          <w:color w:val="auto"/>
        </w:rPr>
      </w:pPr>
    </w:p>
    <w:p>
      <w:pPr>
        <w:ind w:left="500" w:right="460" w:hanging="492"/>
        <w:spacing w:after="0" w:line="277"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62" w:lineRule="exact"/>
        <w:rPr>
          <w:rFonts w:ascii="Arial" w:cs="Arial" w:eastAsia="Arial" w:hAnsi="Arial"/>
          <w:sz w:val="15"/>
          <w:szCs w:val="15"/>
          <w:color w:val="auto"/>
        </w:rPr>
      </w:pPr>
    </w:p>
    <w:p>
      <w:pPr>
        <w:ind w:left="560" w:right="20" w:hanging="552"/>
        <w:spacing w:after="0" w:line="259" w:lineRule="auto"/>
        <w:tabs>
          <w:tab w:leader="none" w:pos="5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$0 million and $2 million of income from the transition services agreement with the purchaser of Kodak’s Flexographic Packaging Business was recognized in the three months ended March 31, 2021 and 2020, respectively.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78" w:lineRule="exact"/>
        <w:rPr>
          <w:rFonts w:ascii="Arial" w:cs="Arial" w:eastAsia="Arial" w:hAnsi="Arial"/>
          <w:sz w:val="15"/>
          <w:szCs w:val="15"/>
          <w:color w:val="auto"/>
        </w:rPr>
      </w:pPr>
    </w:p>
    <w:p>
      <w:pPr>
        <w:ind w:left="560" w:hanging="552"/>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Operational EBITDA represents the earnings (loss) from operations excluding the provision for income taxes; non-service cost components of pension and OPEB income; depreciation and amortization expense; restructuring costs; stock-based compensation expense; consulting and other costs; idle costs; other operating income, net (unless otherwise indicated); interest expense and other income, net.</w:t>
      </w:r>
    </w:p>
    <w:p>
      <w:pPr>
        <w:spacing w:after="0" w:line="19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2021 COMPARED WITH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w w:val="92"/>
              </w:rPr>
              <w:t>Three Months Ended March 31,</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ind w:left="220"/>
              <w:spacing w:after="0" w:line="205" w:lineRule="exact"/>
              <w:rPr>
                <w:sz w:val="20"/>
                <w:szCs w:val="20"/>
                <w:color w:val="auto"/>
              </w:rPr>
            </w:pPr>
            <w:r>
              <w:rPr>
                <w:rFonts w:ascii="Arial" w:cs="Arial" w:eastAsia="Arial" w:hAnsi="Arial"/>
                <w:sz w:val="18"/>
                <w:szCs w:val="18"/>
                <w:b w:val="1"/>
                <w:bCs w:val="1"/>
                <w:color w:val="auto"/>
              </w:rPr>
              <w:t>% of</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ind w:left="220"/>
              <w:spacing w:after="0" w:line="205" w:lineRule="exact"/>
              <w:rPr>
                <w:sz w:val="20"/>
                <w:szCs w:val="20"/>
                <w:color w:val="auto"/>
              </w:rPr>
            </w:pPr>
            <w:r>
              <w:rPr>
                <w:rFonts w:ascii="Arial" w:cs="Arial" w:eastAsia="Arial" w:hAnsi="Arial"/>
                <w:sz w:val="18"/>
                <w:szCs w:val="18"/>
                <w:b w:val="1"/>
                <w:bCs w:val="1"/>
                <w:color w:val="auto"/>
              </w:rPr>
              <w:t>% of</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Sales</w:t>
            </w:r>
          </w:p>
        </w:tc>
        <w:tc>
          <w:tcPr>
            <w:tcW w:w="3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Sales</w:t>
            </w:r>
          </w:p>
        </w:tc>
        <w:tc>
          <w:tcPr>
            <w:tcW w:w="3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Borders>
              <w:bottom w:val="single" w:sz="8" w:color="CFF0FC"/>
            </w:tcBorders>
          </w:tcPr>
          <w:p>
            <w:pPr>
              <w:spacing w:after="0"/>
              <w:rPr>
                <w:sz w:val="20"/>
                <w:szCs w:val="20"/>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48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Loss from operations before interest expense,</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pension income excluding service cost component,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other income, net and income taxes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Earnings from operations before income</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taxes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For the three months ended March 31, 2021 revenues declined $2 million compared with the same period in 2020, driven by volume declines and unfavorable pricing and product mix within Traditional Printing ($10 million and $3 million, respectively) and Digital Printing ($2 million and $1 million, respectively). The revenue declines were offset by improved volume, pricing and product mix in Advanced Materials and Chemicals (each $2 million) and favorable foreign currency ($9 million). See segment discussions for additional details.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Gross profit for the three months ended March 31, 2021 improved approximately $4 million compared with the same period in 2020 reflecting improved costs ($5 million), favorable pricing and product mix in Advanced Materials and Chemicals ($2 million) and lower depreciation and amortization expenses ($2 million) partially offset by volume declines and unfavorable pricing and product mix in Traditional Printing (each $2 million) and Digital Printing (each $1 million). See segment discussions for additional details.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Consolidated SG&amp;A decreased $2 million in the three-month period ended March 31, 2021, driven by lower investment in segment selling and marketing activities due to cost reduction efforts ($6 million) as well as higher bad debt expense in the prior year period primarily due to increased collection risk related to the COVID-19 pandemic ($3 million). The decrease was partially offset by an increase of $5 million in consulting and project costs with the internal and external investigations that started in the third quarter of 2020 as well as a $2 million increase in stock-based compensation expense primarily attributable to the equity awards granted to the Company’s Executive Chairman and Chief Executive Officer in the current quarter.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R&amp;D expenses decreased $1 million for the quarter ended March 31, 2021 primarily due to cost reduction efforts.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change in Other income, net was primarily driven by the embedded conversion features derivative liability associated with the Convertible Notes in 2020. Refer to Note 12, “Other Income, Net” and Note 20,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change in Provision for income taxes was driven by the $167 million provision associated with the establishment of a valuation allowance on deferred tax assets outside the U.S. in 2020. Refer to Note 13, “Income Taxes”.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TRADITIONAL PRINTING SEGMENT</w:t>
            </w: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4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4"/>
              </w:rPr>
              <w:t>Three Months Ended March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7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6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The decrease in Traditional Printing revenues for the three months ended March 31, 2021 of approximately $6 million reflected volume and pricing declines ($9 million and $2 million, respectively) in Prepress Solutions consumables, volume declines in Prepress Solutions service ($2 million) and unfavorable product mix in Prepress systems ($1 million), partially offset by improved volume in Prepress systems ($1 million) and favorable foreign currency ($7 million). The volume declines were partially driven by COVID-19 pandemic related declines in customer demand.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Traditional Printing Operational EBITDA for the three months ended March 31, 2021 improved $4 million reflecting lower manufacturing costs ($5 million) primarily due to headcount reductions and other cost savings measures and lower sales and marketing expenses ($4 million) due to cost reduction efforts as well as higher bad debt expense in the prior year period primarily due to increased collection risk related to the COVID-19 pandemic ($2 million). The cost improvements were partially offset by volume and pricing declines ($1 million and $2 million, respectively) in Prepress Solutions consumables and unfavorable foreign currency ($1 million).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DIGITAL PRINTING SEGMENT</w:t>
            </w:r>
          </w:p>
        </w:tc>
        <w:tc>
          <w:tcPr>
            <w:tcW w:w="2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4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4"/>
              </w:rPr>
              <w:t>Three Months Ended March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0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Borders>
              <w:bottom w:val="single" w:sz="8" w:color="CFF0FC"/>
            </w:tcBorders>
          </w:tcPr>
          <w:p>
            <w:pPr>
              <w:spacing w:after="0"/>
              <w:rPr>
                <w:sz w:val="19"/>
                <w:szCs w:val="19"/>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9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decline in Digital Printing revenues for the three months ended March 31, 2021 of approximately $1 million primarily reflected volume declines in Electrophotographic Printing Solutions consumables and service ($4 million) in part due to the decline in customer demand with the COVID-19 pandemic, pricing declines in Electrophotographic Printing Solutions equipment ($2 million) and volume and pricing declines in Prosper components ($2 million and $1 million, respectively). The declines were partially offset by volume improvements in Electrophotographic Printing Solutions equipment ($4 million), favorable product mix in Prosper systems ($1 million) and favorable foreign currency ($2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Digital Printing Operational EBITDA for the three months ended March 31, 2021 improved $2 million reflecting improved volume in Electrophotographic Printing Solutions equipment ($2 million), lower sales and marketing expenses ($2 million), improved pricing and lower costs in Software and favorable foreign currency (each $1 million) partially offset by pricing declines in Electrophotographic Printing Solutions equipment ($2 million), volume and pricing declines in Prosper components and volume declines in Software (each $1 million).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ADVANCED MATERIALS AND CHEMICALS SEGMENT</w:t>
            </w: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2"/>
        </w:trPr>
        <w:tc>
          <w:tcPr>
            <w:tcW w:w="5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w w:val="94"/>
              </w:rPr>
              <w:t>Three Months Ended March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6"/>
                <w:szCs w:val="16"/>
                <w:color w:val="auto"/>
              </w:rPr>
              <w:t>(in millions)</w:t>
            </w:r>
          </w:p>
        </w:tc>
        <w:tc>
          <w:tcPr>
            <w:tcW w:w="10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r>
      <w:tr>
        <w:trPr>
          <w:trHeight w:val="223"/>
        </w:trPr>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9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Advanced Materials and Chemicals revenues for the three months ended March 31, 2021 improved $4 million primarily from volume and pricing improvements in Industrial Film and Chemicals ($4 million and $1 million, respectively). Partially offsetting these impacts was volume declines in Consumer Inkjet Solutions ($1 million) as the final build of inventory was sold in the second quarter of 2020. Additionally, the prior year period included revenues from KSB ($1 million) which was sold in December 2020.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Advanced Materials and Chemicals Operational EBITDA improved $5 million for the three months ended March 31, 2021 reflecting favorable volume and pricing in Industrial Film and Chemicals (each $1 million), and lower selling and administrative and R&amp;D expenses (each $1 million). Favorable costs in film manufacturing ($2 million) were offset by startup costs associated with the anticipated ramp up of a new coating services line ($2 million).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BRAND SEGMENT</w:t>
            </w: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4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4"/>
              </w:rPr>
              <w:t>Three Months Ended March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6"/>
                <w:szCs w:val="16"/>
                <w:color w:val="auto"/>
              </w:rPr>
              <w:t>(in millions)</w:t>
            </w:r>
          </w:p>
        </w:tc>
        <w:tc>
          <w:tcPr>
            <w:tcW w:w="2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9"/>
                <w:szCs w:val="19"/>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34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 revenues and EBITDA for the three months ended March 31, 2021 remained flat compared to the prior year quarter.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Kodak recorded $1 million of charges for the three months ended March 31, 2021 in Restructuring costs and other in the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Kodak made cash payments related to restructuring of approximately $4 million during the three months ended March 31, 2021.</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restructuring actions implemented in the first three months of 2021 are expected to generate future annual cash savings of approximately $2 million. These savings are expected to reduce future annual Cost of revenues and SG&amp;A expenses by $1 million each. Kodak began realizing a portion of these savings in the first three months of 2021 and expects the majority of the annual savings to be in effect by the end of the third quarter of 2021 as actions are completed.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financing transactions entered into during the first quarter of 2021 provided additional liquidity to the Company to fund on-going operations and obligations, and to invest in growth opportunities in Kodak’s core businesses of print, advanced materials and chemicals as well as corporate infrastructure investments expected to contribute to improvements in cash flow. Kodak’s plans to return to sustainable positive cash flow include growing revenues profitably, reducing operating expenses, continuing to simplify the organizational structure, generating cash from selling and leasing underutilized assets and implementing ways to reduce cash collateral needs.</w:t>
      </w:r>
    </w:p>
    <w:p>
      <w:pPr>
        <w:spacing w:after="0" w:line="21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Kodak’s products are sold and serviced in numerous countries across the globe with more than half of sales generated outside the U.S. Current global economic conditions remain highly volatile due to the on-going COVID-19 pandemic. The conversion of accounts receivable to cash is taking longer and collection risk remains high. To mitigate the economic impacts of the pandemic Kodak reduced operating costs, largely beginning in the second quarter of 2020, through the use of temporary furloughs and pay reductions and adjusted manufacturing volumes to meet changing expectations around production requirements. The furloughs and pay-cuts largely ended in January 2021. While manufacturing volumes have improved for certain businesses the economic uncertainty surrounding the COVID-19 pandemic represents an additional element of complexity in Kodak’s plans to return to sustainable positive cash flow. The Company continues to take advantage of any available government incentives around the world in response to the COVID-19 pandemic such as employee-related tax deferrals or holidays, wage subsidies and loan programs including those under the U.S. CARES Act, although the Company has not yet been able to take advantage of any loan programs and may not qualify for any loans under the programs created under the U.S. CARES Act. Many of the available government incentives for which the Company qualifies are in the form of deferrals of payments that will be required to be paid in the future.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ind w:left="1700"/>
              <w:spacing w:after="0"/>
              <w:rPr>
                <w:sz w:val="20"/>
                <w:szCs w:val="20"/>
                <w:color w:val="auto"/>
              </w:rPr>
            </w:pPr>
            <w:r>
              <w:rPr>
                <w:rFonts w:ascii="Arial" w:cs="Arial" w:eastAsia="Arial" w:hAnsi="Arial"/>
                <w:sz w:val="16"/>
                <w:szCs w:val="16"/>
                <w:color w:val="auto"/>
              </w:rPr>
              <w:t>(in millions)</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Cash, cash equivalents and restricted cash</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60" w:type="dxa"/>
            <w:vAlign w:val="bottom"/>
            <w:vMerge w:val="restart"/>
          </w:tcPr>
          <w:p>
            <w:pPr>
              <w:jc w:val="right"/>
              <w:ind w:right="1190"/>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Cash Flow Activity</w:t>
      </w:r>
    </w:p>
    <w:p>
      <w:pPr>
        <w:spacing w:after="0" w:line="200" w:lineRule="exact"/>
        <w:rPr>
          <w:sz w:val="20"/>
          <w:szCs w:val="20"/>
          <w:color w:val="auto"/>
        </w:rPr>
      </w:pP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407"/>
              <w:spacing w:after="0"/>
              <w:rPr>
                <w:sz w:val="20"/>
                <w:szCs w:val="20"/>
                <w:color w:val="auto"/>
              </w:rPr>
            </w:pPr>
            <w:r>
              <w:rPr>
                <w:rFonts w:ascii="Arial" w:cs="Arial" w:eastAsia="Arial" w:hAnsi="Arial"/>
                <w:sz w:val="18"/>
                <w:szCs w:val="18"/>
                <w:b w:val="1"/>
                <w:bCs w:val="1"/>
                <w:color w:val="auto"/>
                <w:w w:val="96"/>
              </w:rPr>
              <w:t>March 31,</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Year-Over-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gridSpan w:val="4"/>
          </w:tcPr>
          <w:p>
            <w:pPr>
              <w:spacing w:after="0"/>
              <w:rPr>
                <w:sz w:val="20"/>
                <w:szCs w:val="20"/>
                <w:color w:val="auto"/>
              </w:rPr>
            </w:pPr>
            <w:r>
              <w:rPr>
                <w:rFonts w:ascii="Arial" w:cs="Arial" w:eastAsia="Arial" w:hAnsi="Arial"/>
                <w:sz w:val="16"/>
                <w:szCs w:val="16"/>
                <w:color w:val="auto"/>
              </w:rPr>
              <w:t>(in millions)</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Year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Net cash used in operating activities</w:t>
            </w:r>
          </w:p>
        </w:tc>
        <w:tc>
          <w:tcPr>
            <w:tcW w:w="24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gridSpan w:val="2"/>
          </w:tcPr>
          <w:p>
            <w:pPr>
              <w:jc w:val="right"/>
              <w:ind w:right="558"/>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(16)</w:t>
            </w:r>
          </w:p>
        </w:tc>
        <w:tc>
          <w:tcPr>
            <w:tcW w:w="840" w:type="dxa"/>
            <w:vAlign w:val="bottom"/>
            <w:tcBorders>
              <w:top w:val="single" w:sz="8" w:color="CFF0FC"/>
            </w:tcBorders>
            <w:gridSpan w:val="2"/>
          </w:tcPr>
          <w:p>
            <w:pPr>
              <w:jc w:val="right"/>
              <w:ind w:right="60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Net cash used in investing activities</w:t>
            </w:r>
          </w:p>
        </w:tc>
        <w:tc>
          <w:tcPr>
            <w:tcW w:w="2440" w:type="dxa"/>
            <w:vAlign w:val="bottom"/>
            <w:tcBorders>
              <w:top w:val="single" w:sz="8" w:color="CFF0FC"/>
            </w:tcBorders>
            <w:gridSpan w:val="2"/>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tcPr>
          <w:p>
            <w:pPr>
              <w:spacing w:after="0"/>
              <w:rPr>
                <w:sz w:val="19"/>
                <w:szCs w:val="19"/>
                <w:color w:val="auto"/>
              </w:rPr>
            </w:pPr>
          </w:p>
        </w:tc>
        <w:tc>
          <w:tcPr>
            <w:tcW w:w="4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spacing w:after="0"/>
              <w:rPr>
                <w:sz w:val="19"/>
                <w:szCs w:val="19"/>
                <w:color w:val="auto"/>
              </w:rPr>
            </w:pPr>
          </w:p>
        </w:tc>
        <w:tc>
          <w:tcPr>
            <w:tcW w:w="50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06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restricted cash</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4"/>
          </w:tcPr>
          <w:p>
            <w:pPr>
              <w:spacing w:after="0"/>
              <w:rPr>
                <w:sz w:val="20"/>
                <w:szCs w:val="20"/>
                <w:color w:val="auto"/>
              </w:rPr>
            </w:pPr>
            <w:r>
              <w:rPr>
                <w:rFonts w:ascii="Arial" w:cs="Arial" w:eastAsia="Arial" w:hAnsi="Arial"/>
                <w:sz w:val="18"/>
                <w:szCs w:val="18"/>
                <w:color w:val="auto"/>
                <w:w w:val="91"/>
              </w:rPr>
              <w:t>Net increase (decrease) in cash, cash equivalents and restricted cash</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ind w:right="55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used in operating activities decreased $25 million for the three months ended March 31, 2021 as compared with the corresponding period in 2020 primarily due to improved earnings and decreases in cash used for accounts payable and inventory partially offset by lower reductions of accounts receivable in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remained flat for the three months ended March 31, 2021 as compared with the corresponding period in 2020.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Net cash provided by financing activities for the three months ended March 31, 2021 improved $245 million compared to the corresponding period in 2020 driven by the net proceeds of $247 million received from the current quarter refinancing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Available liquidity includes cash balances and the unused portion of the Amended ABL Credit Agreement. The amount of available liquidity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fluctuations and includes cash balances held by various entities worldwide. At March 31, 2021 and December 31, 2020 approximately $284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$99 million, respectively, of cash and cash equivalents were held within the U.S. and approximately $117 million and $97 million, respectively, of cash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were held outside the U.S. Cash balances held outside the U.S. are generally required to support local country operations and may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 tax costs or other limitations that delay the ability to repatriate, and therefore may not be readily available for transfer to other jurisdictions. Kodak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utilizes cash balances outside the U.S. to fund needs in the U.S. through the use of inter-company loans. As of March 31, 2021 and December 31,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outstanding inter-company loans to the U.S. were $417 million and $449 million, respectively, which includes short-term inter-company loans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Kodak’s international finance center of $117 million and $150 million, respectively</w:t>
      </w:r>
      <w:r>
        <w:rPr>
          <w:rFonts w:ascii="Arial" w:cs="Arial" w:eastAsia="Arial" w:hAnsi="Arial"/>
          <w:sz w:val="17"/>
          <w:szCs w:val="17"/>
          <w:b w:val="1"/>
          <w:bCs w:val="1"/>
          <w:color w:val="auto"/>
        </w:rPr>
        <w:t>.</w:t>
      </w:r>
      <w:r>
        <w:rPr>
          <w:rFonts w:ascii="Arial" w:cs="Arial" w:eastAsia="Arial" w:hAnsi="Arial"/>
          <w:sz w:val="17"/>
          <w:szCs w:val="17"/>
          <w:color w:val="auto"/>
        </w:rPr>
        <w:t xml:space="preserve"> In China, where approximately $35 million and $34 million of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cash equivalents was held as of March 31, 2021 and December 31, 2020, respectively, there are limitations related to net asset balances that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impact the ability to make cash available to other jurisdictions in the world. Under the terms of the Amended ABL Credit Agreement, the Company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to invest up to $75 million in Restricted Subsidiaries that are not Loan Parties and in joint ventures or Unrestricted Subsidiaries that are not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Amended ABL Credit Agreement.</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issued approximately $42 million letters of credit under the Amended ABL Credit Agreement and $48 million letters of credit under the L/C Facility Agreement as of March 31, 2021. The letters of credit under the L/C Facility Agreement are collateralized by cash collateral (L/C Cash Collateral). The L/C Cash Collateral was $49 million at March 31, 2021 which was classified as Restricted Cash. The Company had issued approximately $90 million letters of credit under the ABL Credit Agreement as of December 31, 2020.</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Amended ABL Credit Agreement and L/C Facility Agreement the Company is required to maintain Minimum Liquidity of at least $80 million, which is tested on the last day of each fiscal quarter. Minimum Liquidity was $284 million at March 31, 2021. If Minimum Liquidity falls below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Amended ABL Credit Agreement the Company is required to maintain Excess Availability above 12.5% of lender commitments ($11.25 million and $13.75 million as of March 31, 2021 and December 31, 2020, respectively), which is tested at the end of each month. Excess Availability was $41 million and $20 million as of March 31, 2021 and December 31, 2020,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74" w:right="379" w:bottom="1440" w:gutter="0" w:footer="0" w:header="0"/>
        </w:sectPr>
      </w:pPr>
    </w:p>
    <w:bookmarkStart w:id="37" w:name="page38"/>
    <w:bookmarkEnd w:id="37"/>
    <w:p>
      <w:pPr>
        <w:ind w:right="20"/>
        <w:spacing w:after="0" w:line="254" w:lineRule="auto"/>
        <w:rPr>
          <w:sz w:val="20"/>
          <w:szCs w:val="20"/>
          <w:color w:val="auto"/>
        </w:rPr>
      </w:pPr>
      <w:r>
        <w:rPr>
          <w:rFonts w:ascii="Arial" w:cs="Arial" w:eastAsia="Arial" w:hAnsi="Arial"/>
          <w:sz w:val="18"/>
          <w:szCs w:val="18"/>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March 31, 2021 and December 31, 2020, Kodak is not required to have a minimum Fixed Charge Coverage Ratio of 1.0 to 1.0. The Amended ABL Credit Agreement also removed Eligible Cash from the Borrowing Base. Therefore, amounts funded into the Eligible Cash account will no longer increase Excess Availability for purposes of compliance reporting. As of December 31, 2020, to maintain Excess Availability of greater than 12.5% of lender commitments, Kodak funded $35 million to the Eligible Cash account held with the ABL Credit Agreement Administrative Agent, which was classified as Restricted Cash in the Consolidated Statement of Financial Position.</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Uses of Cash Related to Financing Transactions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holders of the Term Loans are entitled to quarterly cash interest payments at a rate of 8.5% per annum and holders of the Series B Preferred Stock are entitled to cumulative dividends payable quarterly in cash at a rate of 4.0% per annum. The Convertible Notes do not require any debt service until maturity on May 28, 2026 and holders of the Series C Preferred Stock are entitled to cumulative dividends payable quarterly “in-kind” in the form of additional shares of Series C Preferred Stock at a rate of 5.0% per annum.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Collateral Requirements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New York State Workers’ Compensation Board (“NYSWCB”) requires security deposits related to self-insured workers’ compensation</w:t>
      </w:r>
    </w:p>
    <w:p>
      <w:pPr>
        <w:spacing w:after="0" w:line="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obligations. The security deposit required by NYSWCB is based on actuarial calculations of the Company’s obligations and company specific factors such as its declining workforce and reducing exposure. The NYSWCB calculation also includes a financial contingency based on the employer’s credit rating and a calculation of unallocated loss adjustment expenses. In 2020 the NYSWCB waived these charges to provide employers some relief while they endure the economic impacts of the COVID-19 pandemic. The waived security deposits amounted to $16.7 million in 2020. The increase to the security deposit required by NYSWCB in 2020, not including the waived amounts, was $14.9 million. The Company has agreed to post additional collateral of approximately $3 million for each of the next five years to satisfy the current security deposit obligation. The collateral obligation can be satisfied by issuing letters of credit or through other means. The amount of security deposit required by NYSWCB will be re-calculated annually. Therefore, the amount of additional collateral required may change each year.</w:t>
      </w:r>
    </w:p>
    <w:p>
      <w:pPr>
        <w:spacing w:after="0" w:line="2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a result of the Company’s current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International Development Finance Corporation Non-Binding Letter of Interest</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 The DFC Loan would be for facility upgrades and construction, provide working capital, and finance other necessary direct expenditures supporting the launch of Kodak Pharmaceuticals. The signing of the letter of interest indicated Kodak’s successful completion of the DFC’s initial screening, which would be followed by standard due diligence conducted by the DFC before financing would be formally committed. The application process for the DFC Loan was put on hold when investigations were commenced with respect to the circumstances surrounding the DFC Announcement. While the letter of interest with the DFC has never been formally terminated and the Company has not received any communication from the DFC rejecting its application, given the time that has elapsed and the recent changes in administration at the federal government and the DFC, the Company is operating on the basis that the DFC Loan as envisioned at the time of the DFC Announcement will not proceed. The Company remains interested in working with the DFC and other governmental agencies to leverage its assets and technology to on-shore manufacturing of pharmaceutical and other healthcare materials. As described under “Overview” above, the Company is also continuing to explore expanding further into the pharmaceutical space on a smaller scale than contemplated by the DFC Loan using other sources of capital, including a portion of the capital raised by the Company on February 26,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2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Kodak made net contributions (funded plans) or paid benefits (unfunded plans) totaling approximately $3 million to its defined benefit pension and postretirement benefit plans in the first three months of 2021. For the balance of 2021, the forecasted contribution (funded plans) and benefit payment (unfunded plans) requirements for its pension and postretirement plans are approximately $13 million.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Capital Expenditures</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Cash flow from investing activities included $1 million of capital expenditures for the three months ended March 31, 2021. Kodak expects approximately $15 million to $25 million of total capital expenditures for 2021, before consideration of any investment Kodak may make utilizing proceeds from the first quarter 2021 financing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Since the filing of the Securities Class Actions, procedural activities have been ongoing relating to the determination of venue and lead plaintiff. The Company intends to vigorously defend itself against the Securities Class Actions.</w:t>
      </w:r>
    </w:p>
    <w:p>
      <w:pPr>
        <w:spacing w:after="0" w:line="2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the Securities Class Actions, on December 29, 2020 Robert Garfield commenced a class action lawsuit against the Company and each of the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 (the “Fiduciary Class Action”). The Company filed a motion to dismiss the Fiduciary Class Action on April 13, 2021. The Company has also received three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The Company has responded to and engaged in discussions concerning these requests, and its response and discussions may serve as the basis for the requestors to bring shareholder derivative lawsuits (any such lawsuits, collectively with the Fiduciary Class Action, the “Fiduciary Matters”). The Company intends to vigorously defend the Fiduciary Matters.</w:t>
      </w:r>
    </w:p>
    <w:p>
      <w:pPr>
        <w:spacing w:after="0" w:line="20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DFC Announcement has also prompted investigations by several congressional committees, the SEC and the New York Attorney General’s office. The Company is cooperating in those investigations.</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Attorney General of the State of New York has threatened to file a lawsuit against the Company and its Chief Executive Officer alleging violations of New York State’s Martin Act in connection with the Chief Executive Officer’s purchase of 46,737 shares of the Company’s common stock on June 23, 2020 (the “Threatened Claim”). This purchase was made by the Chief Executive Officer during an ‘open window’ period and in compliance with the Company’s insider trading policy, including pre-approval by its general counsel. The Chief Executive Officer has never sold any Kodak shares. The Company considers the Threatened Claim to be unsupported by law or fact and intends to vigorously defend itself against the Threatened Claim should it be filed.</w:t>
      </w:r>
    </w:p>
    <w:p>
      <w:pPr>
        <w:spacing w:after="0" w:line="21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Risk Factors set forth in Part I, Item 1A. of the 2020 Form 10-K. The Risk Factors remain applicable from the 2020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60" w:lineRule="exact"/>
        <w:rPr>
          <w:sz w:val="20"/>
          <w:szCs w:val="20"/>
          <w:color w:val="auto"/>
        </w:rPr>
      </w:pPr>
    </w:p>
    <w:p>
      <w:pPr>
        <w:ind w:left="560" w:right="5080" w:hanging="552"/>
        <w:spacing w:after="0" w:line="563" w:lineRule="auto"/>
        <w:tabs>
          <w:tab w:leader="none" w:pos="5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March 31, 2021 </w:t>
      </w:r>
      <w:r>
        <w:rPr>
          <w:rFonts w:ascii="Arial" w:cs="Arial" w:eastAsia="Arial" w:hAnsi="Arial"/>
          <w:sz w:val="18"/>
          <w:szCs w:val="18"/>
          <w:color w:val="auto"/>
        </w:rPr>
        <w:t>None</w:t>
      </w:r>
    </w:p>
    <w:p>
      <w:pPr>
        <w:spacing w:after="0" w:line="54" w:lineRule="exact"/>
        <w:rPr>
          <w:rFonts w:ascii="Arial" w:cs="Arial" w:eastAsia="Arial" w:hAnsi="Arial"/>
          <w:sz w:val="18"/>
          <w:szCs w:val="18"/>
          <w:b w:val="1"/>
          <w:bCs w:val="1"/>
          <w:color w:val="auto"/>
        </w:rPr>
      </w:pPr>
    </w:p>
    <w:p>
      <w:pPr>
        <w:ind w:left="560" w:hanging="552"/>
        <w:spacing w:after="0"/>
        <w:tabs>
          <w:tab w:leader="none" w:pos="5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March 31, 2021 </w:t>
      </w:r>
      <w:r>
        <w:rPr>
          <w:rFonts w:ascii="Arial" w:cs="Arial" w:eastAsia="Arial" w:hAnsi="Arial"/>
          <w:sz w:val="15"/>
          <w:szCs w:val="15"/>
          <w:b w:val="1"/>
          <w:bCs w:val="1"/>
          <w:color w:val="auto"/>
        </w:rPr>
        <w:t>(1)</w:t>
      </w:r>
    </w:p>
    <w:p>
      <w:pPr>
        <w:spacing w:after="0" w:line="53" w:lineRule="exact"/>
        <w:rPr>
          <w:rFonts w:ascii="Arial" w:cs="Arial" w:eastAsia="Arial" w:hAnsi="Arial"/>
          <w:sz w:val="18"/>
          <w:szCs w:val="18"/>
          <w:b w:val="1"/>
          <w:bCs w:val="1"/>
          <w:color w:val="auto"/>
        </w:rPr>
      </w:pPr>
    </w:p>
    <w:p>
      <w:pPr>
        <w:ind w:left="4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 Number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Price Paid</w:t>
            </w:r>
          </w:p>
        </w:tc>
        <w:tc>
          <w:tcPr>
            <w:tcW w:w="220" w:type="dxa"/>
            <w:vAlign w:val="bottom"/>
          </w:tcPr>
          <w:p>
            <w:pPr>
              <w:spacing w:after="0"/>
              <w:rPr>
                <w:sz w:val="12"/>
                <w:szCs w:val="12"/>
                <w:color w:val="auto"/>
              </w:rPr>
            </w:pPr>
          </w:p>
        </w:tc>
        <w:tc>
          <w:tcPr>
            <w:tcW w:w="1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xml:space="preserve">or Programs </w:t>
            </w:r>
            <w:r>
              <w:rPr>
                <w:rFonts w:ascii="Arial" w:cs="Arial" w:eastAsia="Arial" w:hAnsi="Arial"/>
                <w:sz w:val="12"/>
                <w:szCs w:val="12"/>
                <w:b w:val="1"/>
                <w:bCs w:val="1"/>
                <w:color w:val="auto"/>
                <w:w w:val="92"/>
              </w:rPr>
              <w:t>(2)</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January 1 through 31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February 1 through 28</w:t>
            </w:r>
          </w:p>
        </w:tc>
        <w:tc>
          <w:tcPr>
            <w:tcW w:w="1060" w:type="dxa"/>
            <w:vAlign w:val="bottom"/>
          </w:tcPr>
          <w:p>
            <w:pPr>
              <w:jc w:val="right"/>
              <w:spacing w:after="0"/>
              <w:rPr>
                <w:sz w:val="20"/>
                <w:szCs w:val="20"/>
                <w:color w:val="auto"/>
              </w:rPr>
            </w:pPr>
            <w:r>
              <w:rPr>
                <w:rFonts w:ascii="Arial" w:cs="Arial" w:eastAsia="Arial" w:hAnsi="Arial"/>
                <w:sz w:val="18"/>
                <w:szCs w:val="18"/>
                <w:color w:val="auto"/>
              </w:rPr>
              <w:t>61,369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9"/>
                <w:szCs w:val="19"/>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n/a</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March 1 through 31</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n/a</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These purchases were made to satisfy tax withholding obligations in connection with the vesting of restricted stock units issued to employees.</w:t>
      </w:r>
    </w:p>
    <w:p>
      <w:pPr>
        <w:sectPr>
          <w:pgSz w:w="11900" w:h="16838" w:orient="portrait"/>
          <w:cols w:equalWidth="0" w:num="1">
            <w:col w:w="11220"/>
          </w:cols>
          <w:pgMar w:left="320" w:top="121" w:right="359" w:bottom="144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ind w:left="740" w:hanging="368"/>
        <w:spacing w:after="0"/>
        <w:tabs>
          <w:tab w:leader="none" w:pos="74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Kodak does not have a publicly announced stock repurchase plan or program.</w:t>
      </w:r>
    </w:p>
    <w:p>
      <w:pPr>
        <w:spacing w:after="0" w:line="7" w:lineRule="exact"/>
        <w:rPr>
          <w:rFonts w:ascii="Arial" w:cs="Arial" w:eastAsia="Arial" w:hAnsi="Arial"/>
          <w:sz w:val="28"/>
          <w:szCs w:val="28"/>
          <w:color w:val="auto"/>
          <w:vertAlign w:val="superscript"/>
        </w:rPr>
      </w:pPr>
    </w:p>
    <w:p>
      <w:pPr>
        <w:spacing w:after="0"/>
        <w:rPr>
          <w:rFonts w:ascii="Arial" w:cs="Arial" w:eastAsia="Arial" w:hAnsi="Arial"/>
          <w:sz w:val="28"/>
          <w:szCs w:val="28"/>
          <w:color w:val="auto"/>
          <w:vertAlign w:val="superscript"/>
        </w:rPr>
      </w:pPr>
      <w:r>
        <w:rPr>
          <w:rFonts w:ascii="Arial" w:cs="Arial" w:eastAsia="Arial" w:hAnsi="Arial"/>
          <w:sz w:val="18"/>
          <w:szCs w:val="18"/>
          <w:b w:val="1"/>
          <w:bCs w:val="1"/>
          <w:color w:val="auto"/>
        </w:rPr>
        <w:t>Item 3. Defaults Upon Senior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9660" w:type="dxa"/>
            <w:vAlign w:val="bottom"/>
            <w:gridSpan w:val="17"/>
          </w:tcPr>
          <w:p>
            <w:pPr>
              <w:jc w:val="center"/>
              <w:ind w:right="162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600" w:type="dxa"/>
            <w:vAlign w:val="bottom"/>
          </w:tcPr>
          <w:p>
            <w:pPr>
              <w:spacing w:after="0"/>
              <w:rPr>
                <w:sz w:val="20"/>
                <w:szCs w:val="20"/>
                <w:color w:val="auto"/>
              </w:rPr>
            </w:pPr>
          </w:p>
        </w:tc>
        <w:tc>
          <w:tcPr>
            <w:tcW w:w="9660" w:type="dxa"/>
            <w:vAlign w:val="bottom"/>
            <w:gridSpan w:val="17"/>
          </w:tcPr>
          <w:p>
            <w:pPr>
              <w:jc w:val="center"/>
              <w:ind w:right="1620"/>
              <w:spacing w:after="0"/>
              <w:rPr>
                <w:sz w:val="20"/>
                <w:szCs w:val="20"/>
                <w:color w:val="auto"/>
              </w:rPr>
            </w:pPr>
            <w:r>
              <w:rPr>
                <w:rFonts w:ascii="Arial" w:cs="Arial" w:eastAsia="Arial" w:hAnsi="Arial"/>
                <w:sz w:val="18"/>
                <w:szCs w:val="18"/>
                <w:b w:val="1"/>
                <w:bCs w:val="1"/>
                <w:color w:val="auto"/>
                <w:w w:val="91"/>
              </w:rPr>
              <w:t>Index to Exhibits</w:t>
            </w:r>
          </w:p>
        </w:tc>
      </w:tr>
      <w:tr>
        <w:trPr>
          <w:trHeight w:val="684"/>
        </w:trPr>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4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4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600" w:type="dxa"/>
            <w:vAlign w:val="bottom"/>
          </w:tcPr>
          <w:p>
            <w:pPr>
              <w:ind w:left="20"/>
              <w:spacing w:after="0"/>
              <w:rPr>
                <w:sz w:val="20"/>
                <w:szCs w:val="20"/>
                <w:color w:val="auto"/>
              </w:rPr>
            </w:pPr>
            <w:r>
              <w:rPr>
                <w:rFonts w:ascii="Arial" w:cs="Arial" w:eastAsia="Arial" w:hAnsi="Arial"/>
                <w:sz w:val="18"/>
                <w:szCs w:val="18"/>
                <w:color w:val="auto"/>
              </w:rPr>
              <w:t>(3.1)</w:t>
            </w:r>
          </w:p>
        </w:tc>
        <w:tc>
          <w:tcPr>
            <w:tcW w:w="9600" w:type="dxa"/>
            <w:vAlign w:val="bottom"/>
            <w:tcBorders>
              <w:bottom w:val="single" w:sz="8" w:color="0000EE"/>
            </w:tcBorders>
            <w:gridSpan w:val="15"/>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Second Amended and Restated Certificate of Incorporation of Eastman Kodak Company (Incorporated by reference to Exhibit 4.1 of</w:t>
              </w:r>
            </w:hyperlink>
          </w:p>
        </w:tc>
        <w:tc>
          <w:tcPr>
            <w:tcW w:w="60" w:type="dxa"/>
            <w:vAlign w:val="bottom"/>
            <w:gridSpan w:val="2"/>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60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the Company’s Registration Statement on Form S-8 as filed on September 3, 2013).</w:t>
              </w:r>
            </w:hyperlink>
          </w:p>
        </w:tc>
        <w:tc>
          <w:tcPr>
            <w:tcW w:w="3620" w:type="dxa"/>
            <w:vAlign w:val="bottom"/>
            <w:gridSpan w:val="15"/>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(3.2)</w:t>
            </w:r>
          </w:p>
        </w:tc>
        <w:tc>
          <w:tcPr>
            <w:tcW w:w="8820" w:type="dxa"/>
            <w:vAlign w:val="bottom"/>
            <w:tcBorders>
              <w:bottom w:val="single" w:sz="8" w:color="0000EE"/>
            </w:tcBorders>
            <w:gridSpan w:val="10"/>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Certificate of Amendment to the Second Amended and Restated Certificate of Incorporation of Eastman Kodak Company.</w:t>
              </w:r>
            </w:hyperlink>
          </w:p>
        </w:tc>
        <w:tc>
          <w:tcPr>
            <w:tcW w:w="840" w:type="dxa"/>
            <w:vAlign w:val="bottom"/>
            <w:gridSpan w:val="7"/>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660" w:type="dxa"/>
            <w:vAlign w:val="bottom"/>
            <w:gridSpan w:val="17"/>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(Incorporated by reference to Exhibit 3.1 of the Company’s Current Report on Form 8-K as filed November 16, 2016).</w:t>
              </w:r>
            </w:hyperlink>
          </w:p>
        </w:tc>
      </w:tr>
      <w:tr>
        <w:trPr>
          <w:trHeight w:val="20"/>
        </w:trPr>
        <w:tc>
          <w:tcPr>
            <w:tcW w:w="160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(3.3)</w:t>
            </w:r>
          </w:p>
        </w:tc>
        <w:tc>
          <w:tcPr>
            <w:tcW w:w="9660" w:type="dxa"/>
            <w:vAlign w:val="bottom"/>
            <w:gridSpan w:val="17"/>
          </w:tcPr>
          <w:p>
            <w:pPr>
              <w:spacing w:after="0"/>
              <w:rPr>
                <w:rFonts w:ascii="Arial" w:cs="Arial" w:eastAsia="Arial" w:hAnsi="Arial"/>
                <w:sz w:val="18"/>
                <w:szCs w:val="18"/>
                <w:color w:val="0000EE"/>
              </w:rPr>
            </w:pPr>
            <w:hyperlink r:id="rId67">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96"/>
        </w:trPr>
        <w:tc>
          <w:tcPr>
            <w:tcW w:w="160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(Incorporated by reference to Exhibit (3.1) of the Company’s Current Report on Form 8-K as filed September 12, 2019).</w:t>
              </w:r>
            </w:hyperlink>
          </w:p>
        </w:tc>
        <w:tc>
          <w:tcPr>
            <w:tcW w:w="100" w:type="dxa"/>
            <w:vAlign w:val="bottom"/>
            <w:tcBorders>
              <w:top w:val="single" w:sz="8" w:color="0000EE"/>
            </w:tcBorders>
          </w:tcPr>
          <w:p>
            <w:pPr>
              <w:spacing w:after="0"/>
              <w:rPr>
                <w:sz w:val="17"/>
                <w:szCs w:val="17"/>
                <w:color w:val="auto"/>
              </w:rPr>
            </w:pPr>
          </w:p>
        </w:tc>
        <w:tc>
          <w:tcPr>
            <w:tcW w:w="880" w:type="dxa"/>
            <w:vAlign w:val="bottom"/>
            <w:gridSpan w:val="8"/>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(3.4)</w:t>
            </w:r>
          </w:p>
        </w:tc>
        <w:tc>
          <w:tcPr>
            <w:tcW w:w="9660" w:type="dxa"/>
            <w:vAlign w:val="bottom"/>
            <w:gridSpan w:val="17"/>
          </w:tcPr>
          <w:p>
            <w:pPr>
              <w:spacing w:after="0"/>
              <w:rPr>
                <w:rFonts w:ascii="Arial" w:cs="Arial" w:eastAsia="Arial" w:hAnsi="Arial"/>
                <w:sz w:val="18"/>
                <w:szCs w:val="18"/>
                <w:color w:val="0000EE"/>
              </w:rPr>
            </w:pPr>
            <w:hyperlink r:id="rId67">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96"/>
        </w:trPr>
        <w:tc>
          <w:tcPr>
            <w:tcW w:w="160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(Incorporated by reference to Exhibit (3.2) of the Company’s Current Report on Form 8-K as filed September 12, 2019).</w:t>
              </w:r>
            </w:hyperlink>
          </w:p>
        </w:tc>
        <w:tc>
          <w:tcPr>
            <w:tcW w:w="100" w:type="dxa"/>
            <w:vAlign w:val="bottom"/>
            <w:tcBorders>
              <w:top w:val="single" w:sz="8" w:color="0000EE"/>
            </w:tcBorders>
          </w:tcPr>
          <w:p>
            <w:pPr>
              <w:spacing w:after="0"/>
              <w:rPr>
                <w:sz w:val="17"/>
                <w:szCs w:val="17"/>
                <w:color w:val="auto"/>
              </w:rPr>
            </w:pPr>
          </w:p>
        </w:tc>
        <w:tc>
          <w:tcPr>
            <w:tcW w:w="880" w:type="dxa"/>
            <w:vAlign w:val="bottom"/>
            <w:gridSpan w:val="8"/>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(3.5)</w:t>
            </w:r>
          </w:p>
        </w:tc>
        <w:tc>
          <w:tcPr>
            <w:tcW w:w="9660" w:type="dxa"/>
            <w:vAlign w:val="bottom"/>
            <w:gridSpan w:val="17"/>
          </w:tcPr>
          <w:p>
            <w:pPr>
              <w:spacing w:after="0"/>
              <w:rPr>
                <w:rFonts w:ascii="Arial" w:cs="Arial" w:eastAsia="Arial" w:hAnsi="Arial"/>
                <w:sz w:val="18"/>
                <w:szCs w:val="18"/>
                <w:color w:val="0000EE"/>
              </w:rPr>
            </w:pPr>
            <w:hyperlink r:id="rId68">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96"/>
        </w:trPr>
        <w:tc>
          <w:tcPr>
            <w:tcW w:w="1600" w:type="dxa"/>
            <w:vAlign w:val="bottom"/>
          </w:tcPr>
          <w:p>
            <w:pPr>
              <w:spacing w:after="0"/>
              <w:rPr>
                <w:sz w:val="17"/>
                <w:szCs w:val="17"/>
                <w:color w:val="auto"/>
              </w:rPr>
            </w:pPr>
          </w:p>
        </w:tc>
        <w:tc>
          <w:tcPr>
            <w:tcW w:w="878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r:id="rId68">
              <w:r>
                <w:rPr>
                  <w:rFonts w:ascii="Arial" w:cs="Arial" w:eastAsia="Arial" w:hAnsi="Arial"/>
                  <w:sz w:val="18"/>
                  <w:szCs w:val="18"/>
                  <w:color w:val="0000EE"/>
                  <w:w w:val="94"/>
                </w:rPr>
                <w:t>(Incorporated by reference to Exhibit 3.1 of the Company’s Current Report on Form 8-K as filed December 29, 2020).</w:t>
              </w:r>
            </w:hyperlink>
          </w:p>
        </w:tc>
        <w:tc>
          <w:tcPr>
            <w:tcW w:w="880" w:type="dxa"/>
            <w:vAlign w:val="bottom"/>
            <w:gridSpan w:val="8"/>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(3.6)</w:t>
            </w:r>
          </w:p>
        </w:tc>
        <w:tc>
          <w:tcPr>
            <w:tcW w:w="9660" w:type="dxa"/>
            <w:vAlign w:val="bottom"/>
            <w:gridSpan w:val="17"/>
          </w:tcPr>
          <w:p>
            <w:pPr>
              <w:spacing w:after="0"/>
              <w:rPr>
                <w:rFonts w:ascii="Arial" w:cs="Arial" w:eastAsia="Arial" w:hAnsi="Arial"/>
                <w:sz w:val="18"/>
                <w:szCs w:val="18"/>
                <w:color w:val="0000EE"/>
              </w:rPr>
            </w:pPr>
            <w:hyperlink r:id="rId69">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96"/>
        </w:trPr>
        <w:tc>
          <w:tcPr>
            <w:tcW w:w="1600" w:type="dxa"/>
            <w:vAlign w:val="bottom"/>
          </w:tcPr>
          <w:p>
            <w:pPr>
              <w:spacing w:after="0"/>
              <w:rPr>
                <w:sz w:val="17"/>
                <w:szCs w:val="17"/>
                <w:color w:val="auto"/>
              </w:rPr>
            </w:pPr>
          </w:p>
        </w:tc>
        <w:tc>
          <w:tcPr>
            <w:tcW w:w="8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(Incorporated by reference to Exhibit 3.1 of the Company’s Current Report on Form 8-K as filed March 1, 2021).</w:t>
              </w:r>
            </w:hyperlink>
          </w:p>
        </w:tc>
        <w:tc>
          <w:tcPr>
            <w:tcW w:w="600" w:type="dxa"/>
            <w:vAlign w:val="bottom"/>
            <w:tcBorders>
              <w:top w:val="single" w:sz="8" w:color="0000EE"/>
            </w:tcBorders>
            <w:gridSpan w:val="4"/>
          </w:tcPr>
          <w:p>
            <w:pPr>
              <w:spacing w:after="0"/>
              <w:rPr>
                <w:sz w:val="17"/>
                <w:szCs w:val="17"/>
                <w:color w:val="auto"/>
              </w:rPr>
            </w:pPr>
          </w:p>
        </w:tc>
        <w:tc>
          <w:tcPr>
            <w:tcW w:w="880" w:type="dxa"/>
            <w:vAlign w:val="bottom"/>
            <w:gridSpan w:val="8"/>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(3.7)</w:t>
            </w:r>
          </w:p>
        </w:tc>
        <w:tc>
          <w:tcPr>
            <w:tcW w:w="9660" w:type="dxa"/>
            <w:vAlign w:val="bottom"/>
            <w:gridSpan w:val="17"/>
          </w:tcPr>
          <w:p>
            <w:pPr>
              <w:spacing w:after="0"/>
              <w:rPr>
                <w:rFonts w:ascii="Arial" w:cs="Arial" w:eastAsia="Arial" w:hAnsi="Arial"/>
                <w:sz w:val="18"/>
                <w:szCs w:val="18"/>
                <w:color w:val="0000EE"/>
              </w:rPr>
            </w:pPr>
            <w:hyperlink r:id="rId70">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96"/>
        </w:trPr>
        <w:tc>
          <w:tcPr>
            <w:tcW w:w="1600" w:type="dxa"/>
            <w:vAlign w:val="bottom"/>
          </w:tcPr>
          <w:p>
            <w:pPr>
              <w:spacing w:after="0"/>
              <w:rPr>
                <w:sz w:val="17"/>
                <w:szCs w:val="17"/>
                <w:color w:val="auto"/>
              </w:rPr>
            </w:pPr>
          </w:p>
        </w:tc>
        <w:tc>
          <w:tcPr>
            <w:tcW w:w="8780" w:type="dxa"/>
            <w:vAlign w:val="bottom"/>
            <w:tcBorders>
              <w:top w:val="single" w:sz="8" w:color="0000EE"/>
            </w:tcBorders>
            <w:gridSpan w:val="9"/>
          </w:tcPr>
          <w:p>
            <w:pPr>
              <w:spacing w:after="0" w:line="196" w:lineRule="exact"/>
              <w:rPr>
                <w:rFonts w:ascii="Arial" w:cs="Arial" w:eastAsia="Arial" w:hAnsi="Arial"/>
                <w:sz w:val="18"/>
                <w:szCs w:val="18"/>
                <w:color w:val="0000EE"/>
                <w:w w:val="98"/>
              </w:rPr>
            </w:pPr>
            <w:hyperlink r:id="rId70">
              <w:r>
                <w:rPr>
                  <w:rFonts w:ascii="Arial" w:cs="Arial" w:eastAsia="Arial" w:hAnsi="Arial"/>
                  <w:sz w:val="18"/>
                  <w:szCs w:val="18"/>
                  <w:color w:val="0000EE"/>
                  <w:w w:val="98"/>
                </w:rPr>
                <w:t>(Incorporated by reference to Exhibit 3.2 of the Company’s Current Report on Form 8-K as filed March 1, 2021).</w:t>
              </w:r>
            </w:hyperlink>
          </w:p>
        </w:tc>
        <w:tc>
          <w:tcPr>
            <w:tcW w:w="880" w:type="dxa"/>
            <w:vAlign w:val="bottom"/>
            <w:gridSpan w:val="8"/>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(3.8)</w:t>
            </w:r>
          </w:p>
        </w:tc>
        <w:tc>
          <w:tcPr>
            <w:tcW w:w="9480" w:type="dxa"/>
            <w:vAlign w:val="bottom"/>
            <w:tcBorders>
              <w:bottom w:val="single" w:sz="8" w:color="0000EE"/>
            </w:tcBorders>
            <w:gridSpan w:val="13"/>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Fourth Amended and Restated By-Laws of Eastman Kodak Company (Incorporated by reference to Exhibit (3.5) of the Company’s</w:t>
              </w:r>
            </w:hyperlink>
          </w:p>
        </w:tc>
        <w:tc>
          <w:tcPr>
            <w:tcW w:w="180" w:type="dxa"/>
            <w:vAlign w:val="bottom"/>
            <w:gridSpan w:val="4"/>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76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Quarterly Report on Form 10-Q for the quarterly period ended March 31, 2020 as filed on May 12, 2020).</w:t>
              </w:r>
            </w:hyperlink>
          </w:p>
        </w:tc>
        <w:tc>
          <w:tcPr>
            <w:tcW w:w="2020" w:type="dxa"/>
            <w:vAlign w:val="bottom"/>
            <w:gridSpan w:val="14"/>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(4.1)</w:t>
            </w:r>
          </w:p>
        </w:tc>
        <w:tc>
          <w:tcPr>
            <w:tcW w:w="9660" w:type="dxa"/>
            <w:vAlign w:val="bottom"/>
            <w:gridSpan w:val="17"/>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Registration Rights Agreement, dated as of February 26, 2021, by and between Eastman Kodak Company and GO EK Ventures IV,</w:t>
              </w:r>
            </w:hyperlink>
          </w:p>
        </w:tc>
      </w:tr>
      <w:tr>
        <w:trPr>
          <w:trHeight w:val="196"/>
        </w:trPr>
        <w:tc>
          <w:tcPr>
            <w:tcW w:w="160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LLC (Incorporated by reference to Exhibit 10.3 of the Company’s Current Report on Form 8-K as filed March 1, 2021).</w:t>
              </w:r>
            </w:hyperlink>
          </w:p>
        </w:tc>
        <w:tc>
          <w:tcPr>
            <w:tcW w:w="200" w:type="dxa"/>
            <w:vAlign w:val="bottom"/>
            <w:gridSpan w:val="5"/>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3920" w:type="dxa"/>
            <w:vAlign w:val="bottom"/>
            <w:gridSpan w:val="6"/>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(4.2)</w:t>
            </w:r>
          </w:p>
        </w:tc>
        <w:tc>
          <w:tcPr>
            <w:tcW w:w="9660" w:type="dxa"/>
            <w:vAlign w:val="bottom"/>
            <w:gridSpan w:val="17"/>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Registration Rights Agreement, dated as of February 26, 2021, by and among Eastman Kodak Company, Kennedy Lewis Capital</w:t>
              </w:r>
            </w:hyperlink>
          </w:p>
        </w:tc>
      </w:tr>
      <w:tr>
        <w:trPr>
          <w:trHeight w:val="20"/>
        </w:trPr>
        <w:tc>
          <w:tcPr>
            <w:tcW w:w="160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4580" w:type="dxa"/>
            <w:vAlign w:val="bottom"/>
            <w:gridSpan w:val="10"/>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60" w:type="dxa"/>
            <w:vAlign w:val="bottom"/>
            <w:gridSpan w:val="17"/>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Partners Master Fund LP and Kennedy Lewis Capital Partners Master Fund II LP. (Incorporated by reference to Exhibit 10.11 of the</w:t>
              </w:r>
            </w:hyperlink>
          </w:p>
        </w:tc>
      </w:tr>
      <w:tr>
        <w:trPr>
          <w:trHeight w:val="196"/>
        </w:trPr>
        <w:tc>
          <w:tcPr>
            <w:tcW w:w="1600" w:type="dxa"/>
            <w:vAlign w:val="bottom"/>
          </w:tcPr>
          <w:p>
            <w:pPr>
              <w:spacing w:after="0"/>
              <w:rPr>
                <w:sz w:val="17"/>
                <w:szCs w:val="17"/>
                <w:color w:val="auto"/>
              </w:rPr>
            </w:pPr>
          </w:p>
        </w:tc>
        <w:tc>
          <w:tcPr>
            <w:tcW w:w="4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Company’s Current Report on Form 8-K as filed March 1, 2021).</w:t>
              </w:r>
            </w:hyperlink>
          </w:p>
        </w:tc>
        <w:tc>
          <w:tcPr>
            <w:tcW w:w="4800" w:type="dxa"/>
            <w:vAlign w:val="bottom"/>
            <w:tcBorders>
              <w:top w:val="single" w:sz="8" w:color="0000EE"/>
            </w:tcBorders>
            <w:gridSpan w:val="13"/>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(4.3)</w:t>
            </w:r>
          </w:p>
        </w:tc>
        <w:tc>
          <w:tcPr>
            <w:tcW w:w="9660" w:type="dxa"/>
            <w:vAlign w:val="bottom"/>
            <w:gridSpan w:val="17"/>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Board Rights Agreement, dated as of February 26, 2021, by and between Eastman Kodak Company and Kennedy Lewis Investment</w:t>
              </w:r>
            </w:hyperlink>
          </w:p>
        </w:tc>
      </w:tr>
      <w:tr>
        <w:trPr>
          <w:trHeight w:val="20"/>
        </w:trPr>
        <w:tc>
          <w:tcPr>
            <w:tcW w:w="1600" w:type="dxa"/>
            <w:vAlign w:val="bottom"/>
          </w:tcPr>
          <w:p>
            <w:pPr>
              <w:spacing w:after="0" w:line="20" w:lineRule="exact"/>
              <w:rPr>
                <w:sz w:val="1"/>
                <w:szCs w:val="1"/>
                <w:color w:val="auto"/>
              </w:rPr>
            </w:pPr>
          </w:p>
        </w:tc>
        <w:tc>
          <w:tcPr>
            <w:tcW w:w="9520" w:type="dxa"/>
            <w:vAlign w:val="bottom"/>
            <w:gridSpan w:val="1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60" w:type="dxa"/>
            <w:vAlign w:val="bottom"/>
            <w:gridSpan w:val="17"/>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Management LLC (Incorporated by reference to Exhibit 10.7 of the Company’s Current Report on Form 8-K as filed March 1, 2021).</w:t>
              </w:r>
            </w:hyperlink>
          </w:p>
        </w:tc>
      </w:tr>
      <w:tr>
        <w:trPr>
          <w:trHeight w:val="695"/>
        </w:trPr>
        <w:tc>
          <w:tcPr>
            <w:tcW w:w="1600" w:type="dxa"/>
            <w:vAlign w:val="bottom"/>
          </w:tcPr>
          <w:p>
            <w:pPr>
              <w:spacing w:after="0"/>
              <w:rPr>
                <w:sz w:val="24"/>
                <w:szCs w:val="24"/>
                <w:color w:val="auto"/>
              </w:rPr>
            </w:pPr>
          </w:p>
        </w:tc>
        <w:tc>
          <w:tcPr>
            <w:tcW w:w="4720" w:type="dxa"/>
            <w:vAlign w:val="bottom"/>
            <w:tcBorders>
              <w:top w:val="single" w:sz="8" w:color="0000EE"/>
            </w:tcBorders>
          </w:tcPr>
          <w:p>
            <w:pPr>
              <w:jc w:val="center"/>
              <w:ind w:left="3250"/>
              <w:spacing w:after="0"/>
              <w:rPr>
                <w:sz w:val="20"/>
                <w:szCs w:val="20"/>
                <w:color w:val="auto"/>
              </w:rPr>
            </w:pPr>
            <w:r>
              <w:rPr>
                <w:rFonts w:ascii="Arial" w:cs="Arial" w:eastAsia="Arial" w:hAnsi="Arial"/>
                <w:sz w:val="18"/>
                <w:szCs w:val="18"/>
                <w:color w:val="auto"/>
                <w:w w:val="99"/>
              </w:rPr>
              <w:t>[41]</w:t>
            </w:r>
          </w:p>
        </w:tc>
        <w:tc>
          <w:tcPr>
            <w:tcW w:w="132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600" w:type="dxa"/>
            <w:vAlign w:val="bottom"/>
          </w:tcPr>
          <w:p>
            <w:pPr>
              <w:ind w:left="20"/>
              <w:spacing w:after="0"/>
              <w:rPr>
                <w:sz w:val="20"/>
                <w:szCs w:val="20"/>
                <w:color w:val="auto"/>
              </w:rPr>
            </w:pPr>
            <w:r>
              <w:rPr>
                <w:rFonts w:ascii="Arial" w:cs="Arial" w:eastAsia="Arial" w:hAnsi="Arial"/>
                <w:sz w:val="18"/>
                <w:szCs w:val="18"/>
                <w:color w:val="auto"/>
              </w:rPr>
              <w:t>(4.4)</w:t>
            </w:r>
          </w:p>
        </w:tc>
        <w:tc>
          <w:tcPr>
            <w:tcW w:w="8660" w:type="dxa"/>
            <w:vAlign w:val="bottom"/>
            <w:tcBorders>
              <w:bottom w:val="single" w:sz="8" w:color="0000EE"/>
            </w:tcBorders>
            <w:gridSpan w:val="9"/>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Convertible Promissory Note, dated as of February 26, 2021, from Eastman Kodak Company to Kennedy Lewis Capital</w:t>
              </w:r>
            </w:hyperlink>
          </w:p>
        </w:tc>
        <w:tc>
          <w:tcPr>
            <w:tcW w:w="1000" w:type="dxa"/>
            <w:vAlign w:val="bottom"/>
            <w:gridSpan w:val="26"/>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Partners Master Fund LP. (Incorporated by reference to Exhibit 10.8 of the Company’s Current Report on Form 8-K as filed March 1,</w:t>
              </w:r>
            </w:hyperlink>
          </w:p>
        </w:tc>
      </w:tr>
      <w:tr>
        <w:trPr>
          <w:trHeight w:val="196"/>
        </w:trPr>
        <w:tc>
          <w:tcPr>
            <w:tcW w:w="16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2021).</w:t>
              </w:r>
            </w:hyperlink>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(4.5)</w:t>
            </w:r>
          </w:p>
        </w:tc>
        <w:tc>
          <w:tcPr>
            <w:tcW w:w="9320" w:type="dxa"/>
            <w:vAlign w:val="bottom"/>
            <w:tcBorders>
              <w:bottom w:val="single" w:sz="8" w:color="0000EE"/>
            </w:tcBorders>
            <w:gridSpan w:val="21"/>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Convertible Promissory Note, dated as of February 26, 2021, from Eastman Kodak Company to Kennedy Lewis Capital Partners</w:t>
              </w:r>
            </w:hyperlink>
          </w:p>
        </w:tc>
        <w:tc>
          <w:tcPr>
            <w:tcW w:w="340" w:type="dxa"/>
            <w:vAlign w:val="bottom"/>
            <w:gridSpan w:val="14"/>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6"/>
              </w:rPr>
            </w:pPr>
            <w:hyperlink r:id="rId78">
              <w:r>
                <w:rPr>
                  <w:rFonts w:ascii="Arial" w:cs="Arial" w:eastAsia="Arial" w:hAnsi="Arial"/>
                  <w:sz w:val="18"/>
                  <w:szCs w:val="18"/>
                  <w:color w:val="0000EE"/>
                  <w:w w:val="96"/>
                </w:rPr>
                <w:t>Master Fund II LP. (Incorporated by reference to Exhibit 10.9 of the Company’s Current Report on Form 8-K as filed March 1,</w:t>
              </w:r>
            </w:hyperlink>
          </w:p>
        </w:tc>
      </w:tr>
      <w:tr>
        <w:trPr>
          <w:trHeight w:val="196"/>
        </w:trPr>
        <w:tc>
          <w:tcPr>
            <w:tcW w:w="16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2021).</w:t>
              </w:r>
            </w:hyperlink>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*(10.1)</w:t>
            </w:r>
          </w:p>
        </w:tc>
        <w:tc>
          <w:tcPr>
            <w:tcW w:w="9660" w:type="dxa"/>
            <w:vAlign w:val="bottom"/>
            <w:gridSpan w:val="35"/>
          </w:tcPr>
          <w:p>
            <w:pPr>
              <w:spacing w:after="0"/>
              <w:rPr>
                <w:rFonts w:ascii="Arial" w:cs="Arial" w:eastAsia="Arial" w:hAnsi="Arial"/>
                <w:sz w:val="18"/>
                <w:szCs w:val="18"/>
                <w:color w:val="0000EE"/>
                <w:w w:val="99"/>
              </w:rPr>
            </w:pPr>
            <w:hyperlink r:id="rId79">
              <w:r>
                <w:rPr>
                  <w:rFonts w:ascii="Arial" w:cs="Arial" w:eastAsia="Arial" w:hAnsi="Arial"/>
                  <w:sz w:val="18"/>
                  <w:szCs w:val="18"/>
                  <w:color w:val="0000EE"/>
                  <w:w w:val="99"/>
                </w:rPr>
                <w:t>Eastman Kodak Company 2013 Omnibus Incentive Plan Form of Executive Restricted Stock Unit Award Agreement (with</w:t>
              </w:r>
            </w:hyperlink>
          </w:p>
        </w:tc>
      </w:tr>
      <w:tr>
        <w:trPr>
          <w:trHeight w:val="20"/>
        </w:trPr>
        <w:tc>
          <w:tcPr>
            <w:tcW w:w="16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4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Immediate Vesting). (Incorporated by reference to Exhibit 10.12 of the Company’s Annual Report on Form 10-K for the fiscal year</w:t>
              </w:r>
            </w:hyperlink>
          </w:p>
        </w:tc>
        <w:tc>
          <w:tcPr>
            <w:tcW w:w="180" w:type="dxa"/>
            <w:vAlign w:val="bottom"/>
            <w:gridSpan w:val="8"/>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ended December 31, 2020 as filed on March 16, 2021).</w:t>
              </w:r>
            </w:hyperlink>
          </w:p>
        </w:tc>
      </w:tr>
      <w:tr>
        <w:trPr>
          <w:trHeight w:val="20"/>
        </w:trPr>
        <w:tc>
          <w:tcPr>
            <w:tcW w:w="16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*(10.2)</w:t>
            </w:r>
          </w:p>
        </w:tc>
        <w:tc>
          <w:tcPr>
            <w:tcW w:w="9580" w:type="dxa"/>
            <w:vAlign w:val="bottom"/>
            <w:tcBorders>
              <w:bottom w:val="single" w:sz="8" w:color="0000EE"/>
            </w:tcBorders>
            <w:gridSpan w:val="31"/>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Eastman Kodak Company 2013 Omnibus Incentive Plan Form of Executive Restricted Stock Unit Award Agreement (with Modified</w:t>
              </w:r>
            </w:hyperlink>
          </w:p>
        </w:tc>
        <w:tc>
          <w:tcPr>
            <w:tcW w:w="80" w:type="dxa"/>
            <w:vAlign w:val="bottom"/>
            <w:gridSpan w:val="4"/>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6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Accelerated Vesting). (Incorporated by reference to Exhibit 10.13 of the Company’s Annual Report on Form 10-K for the fiscal year</w:t>
              </w:r>
            </w:hyperlink>
          </w:p>
        </w:tc>
        <w:tc>
          <w:tcPr>
            <w:tcW w:w="60" w:type="dxa"/>
            <w:vAlign w:val="bottom"/>
            <w:gridSpan w:val="3"/>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ended December 31, 2020 as filed on March 16, 2021).</w:t>
              </w:r>
            </w:hyperlink>
          </w:p>
        </w:tc>
      </w:tr>
      <w:tr>
        <w:trPr>
          <w:trHeight w:val="20"/>
        </w:trPr>
        <w:tc>
          <w:tcPr>
            <w:tcW w:w="16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*(10.3)</w:t>
            </w:r>
          </w:p>
        </w:tc>
        <w:tc>
          <w:tcPr>
            <w:tcW w:w="9660" w:type="dxa"/>
            <w:vAlign w:val="bottom"/>
            <w:gridSpan w:val="35"/>
          </w:tcPr>
          <w:p>
            <w:pPr>
              <w:spacing w:after="0"/>
              <w:rPr>
                <w:rFonts w:ascii="Arial" w:cs="Arial" w:eastAsia="Arial" w:hAnsi="Arial"/>
                <w:sz w:val="18"/>
                <w:szCs w:val="18"/>
                <w:color w:val="0000EE"/>
                <w:w w:val="97"/>
              </w:rPr>
            </w:pPr>
            <w:hyperlink r:id="rId81">
              <w:r>
                <w:rPr>
                  <w:rFonts w:ascii="Arial" w:cs="Arial" w:eastAsia="Arial" w:hAnsi="Arial"/>
                  <w:sz w:val="18"/>
                  <w:szCs w:val="18"/>
                  <w:color w:val="0000EE"/>
                  <w:w w:val="97"/>
                </w:rPr>
                <w:t>Executive Chairman and CEO Agreement between Eastman Kodak Company and James V. Continenza, dated February 26,</w:t>
              </w:r>
            </w:hyperlink>
          </w:p>
        </w:tc>
      </w:tr>
      <w:tr>
        <w:trPr>
          <w:trHeight w:val="20"/>
        </w:trPr>
        <w:tc>
          <w:tcPr>
            <w:tcW w:w="16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9"/>
              </w:rPr>
            </w:pPr>
            <w:hyperlink r:id="rId81">
              <w:r>
                <w:rPr>
                  <w:rFonts w:ascii="Arial" w:cs="Arial" w:eastAsia="Arial" w:hAnsi="Arial"/>
                  <w:sz w:val="18"/>
                  <w:szCs w:val="18"/>
                  <w:color w:val="0000EE"/>
                  <w:w w:val="99"/>
                </w:rPr>
                <w:t>2021. (Incorporated by reference to Exhibit 10.17 of the Company’s Annual Report on Form 10-K for the fiscal year ended</w:t>
              </w:r>
            </w:hyperlink>
          </w:p>
        </w:tc>
      </w:tr>
      <w:tr>
        <w:trPr>
          <w:trHeight w:val="196"/>
        </w:trPr>
        <w:tc>
          <w:tcPr>
            <w:tcW w:w="16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December 31, 2020 as filed on March 16, 2021).</w:t>
              </w:r>
            </w:hyperlink>
          </w:p>
        </w:tc>
        <w:tc>
          <w:tcPr>
            <w:tcW w:w="5400" w:type="dxa"/>
            <w:vAlign w:val="bottom"/>
            <w:tcBorders>
              <w:top w:val="single" w:sz="8" w:color="0000EE"/>
            </w:tcBorders>
            <w:gridSpan w:val="7"/>
          </w:tcPr>
          <w:p>
            <w:pPr>
              <w:spacing w:after="0"/>
              <w:rPr>
                <w:sz w:val="17"/>
                <w:szCs w:val="17"/>
                <w:color w:val="auto"/>
              </w:rPr>
            </w:pPr>
          </w:p>
        </w:tc>
        <w:tc>
          <w:tcPr>
            <w:tcW w:w="740" w:type="dxa"/>
            <w:vAlign w:val="bottom"/>
            <w:gridSpan w:val="23"/>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(10.4)</w:t>
            </w:r>
          </w:p>
        </w:tc>
        <w:tc>
          <w:tcPr>
            <w:tcW w:w="9620" w:type="dxa"/>
            <w:vAlign w:val="bottom"/>
            <w:tcBorders>
              <w:bottom w:val="single" w:sz="8" w:color="0000EE"/>
            </w:tcBorders>
            <w:gridSpan w:val="33"/>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Amendment No. 4 to Amended and Restated Credit Agreement (including attached Amended and Restated Credit Agreement), dated</w:t>
              </w:r>
            </w:hyperlink>
          </w:p>
        </w:tc>
        <w:tc>
          <w:tcPr>
            <w:tcW w:w="40" w:type="dxa"/>
            <w:vAlign w:val="bottom"/>
            <w:gridSpan w:val="2"/>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5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as of August 26, 2021 by and among Eastman Kodak Company, the Lenders named therein, the Guarantors named therein and Bank</w:t>
              </w:r>
            </w:hyperlink>
          </w:p>
        </w:tc>
        <w:tc>
          <w:tcPr>
            <w:tcW w:w="120" w:type="dxa"/>
            <w:vAlign w:val="bottom"/>
            <w:gridSpan w:val="6"/>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of America, N.A., as agent. (Incorporated by reference to Exhibit 10.4 of the Company’s Current Report on Form 8-K as filed March</w:t>
              </w:r>
            </w:hyperlink>
          </w:p>
        </w:tc>
      </w:tr>
      <w:tr>
        <w:trPr>
          <w:trHeight w:val="196"/>
        </w:trPr>
        <w:tc>
          <w:tcPr>
            <w:tcW w:w="160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1, 2021).</w:t>
              </w:r>
            </w:hyperlink>
          </w:p>
        </w:tc>
        <w:tc>
          <w:tcPr>
            <w:tcW w:w="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(10.5)</w:t>
            </w:r>
          </w:p>
        </w:tc>
        <w:tc>
          <w:tcPr>
            <w:tcW w:w="9320" w:type="dxa"/>
            <w:vAlign w:val="bottom"/>
            <w:tcBorders>
              <w:bottom w:val="single" w:sz="8" w:color="0000EE"/>
            </w:tcBorders>
            <w:gridSpan w:val="21"/>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Letter of Credit Facility Agreement, dated as of February 26, 2021, by and among Eastman Kodak Company, the Lenders named</w:t>
              </w:r>
            </w:hyperlink>
          </w:p>
        </w:tc>
        <w:tc>
          <w:tcPr>
            <w:tcW w:w="340" w:type="dxa"/>
            <w:vAlign w:val="bottom"/>
            <w:gridSpan w:val="14"/>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3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therein, the Guarantors named therein, Bank of America, N.A., as administrative agent and collateral agent and Bank of America,</w:t>
              </w:r>
            </w:hyperlink>
          </w:p>
        </w:tc>
        <w:tc>
          <w:tcPr>
            <w:tcW w:w="320" w:type="dxa"/>
            <w:vAlign w:val="bottom"/>
            <w:gridSpan w:val="13"/>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N.A., as issuing bank. (Incorporated by reference to Exhibit 10.5 of the Company’s Current Report on Form 8-K as filed March 1,</w:t>
              </w:r>
            </w:hyperlink>
          </w:p>
        </w:tc>
      </w:tr>
      <w:tr>
        <w:trPr>
          <w:trHeight w:val="196"/>
        </w:trPr>
        <w:tc>
          <w:tcPr>
            <w:tcW w:w="16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2021).</w:t>
              </w:r>
            </w:hyperlink>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9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(10.6)</w:t>
            </w:r>
          </w:p>
        </w:tc>
        <w:tc>
          <w:tcPr>
            <w:tcW w:w="9140" w:type="dxa"/>
            <w:vAlign w:val="bottom"/>
            <w:tcBorders>
              <w:bottom w:val="single" w:sz="8" w:color="0000EE"/>
            </w:tcBorders>
            <w:gridSpan w:val="18"/>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Security Agreement, dated February 26, 2021, from the Grantors referred to therein, as Grantors, to Bank of America, N.A., as</w:t>
              </w:r>
            </w:hyperlink>
          </w:p>
        </w:tc>
        <w:tc>
          <w:tcPr>
            <w:tcW w:w="520" w:type="dxa"/>
            <w:vAlign w:val="bottom"/>
            <w:gridSpan w:val="17"/>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8"/>
              </w:rPr>
            </w:pPr>
            <w:hyperlink r:id="rId84">
              <w:r>
                <w:rPr>
                  <w:rFonts w:ascii="Arial" w:cs="Arial" w:eastAsia="Arial" w:hAnsi="Arial"/>
                  <w:sz w:val="18"/>
                  <w:szCs w:val="18"/>
                  <w:color w:val="0000EE"/>
                  <w:w w:val="98"/>
                </w:rPr>
                <w:t>Agent. (Incorporated by reference to Exhibit 10.26 of the Company’s Annual Report on Form 10-K for the fiscal year ended</w:t>
              </w:r>
            </w:hyperlink>
          </w:p>
        </w:tc>
      </w:tr>
      <w:tr>
        <w:trPr>
          <w:trHeight w:val="196"/>
        </w:trPr>
        <w:tc>
          <w:tcPr>
            <w:tcW w:w="16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December 31, 2020 as filed on March 16, 2021).</w:t>
              </w:r>
            </w:hyperlink>
          </w:p>
        </w:tc>
        <w:tc>
          <w:tcPr>
            <w:tcW w:w="5480" w:type="dxa"/>
            <w:vAlign w:val="bottom"/>
            <w:tcBorders>
              <w:top w:val="single" w:sz="8" w:color="0000EE"/>
            </w:tcBorders>
            <w:gridSpan w:val="9"/>
          </w:tcPr>
          <w:p>
            <w:pPr>
              <w:spacing w:after="0"/>
              <w:rPr>
                <w:sz w:val="17"/>
                <w:szCs w:val="17"/>
                <w:color w:val="auto"/>
              </w:rPr>
            </w:pPr>
          </w:p>
        </w:tc>
        <w:tc>
          <w:tcPr>
            <w:tcW w:w="660" w:type="dxa"/>
            <w:vAlign w:val="bottom"/>
            <w:gridSpan w:val="21"/>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(10.7)</w:t>
            </w:r>
          </w:p>
        </w:tc>
        <w:tc>
          <w:tcPr>
            <w:tcW w:w="9320" w:type="dxa"/>
            <w:vAlign w:val="bottom"/>
            <w:tcBorders>
              <w:bottom w:val="single" w:sz="8" w:color="0000EE"/>
            </w:tcBorders>
            <w:gridSpan w:val="21"/>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Credit Agreement, dated as of February 26, 2021, by and among Eastman Kodak Company, the Lenders named therein and Alter</w:t>
              </w:r>
            </w:hyperlink>
          </w:p>
        </w:tc>
        <w:tc>
          <w:tcPr>
            <w:tcW w:w="340" w:type="dxa"/>
            <w:vAlign w:val="bottom"/>
            <w:gridSpan w:val="14"/>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6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Domus (US) LLC, as Administrative Agent. (Incorporated by reference to Exhibit 10.6 of the Company’s Current Report on Form 8-</w:t>
              </w:r>
            </w:hyperlink>
          </w:p>
        </w:tc>
        <w:tc>
          <w:tcPr>
            <w:tcW w:w="60" w:type="dxa"/>
            <w:vAlign w:val="bottom"/>
            <w:gridSpan w:val="3"/>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19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K as filed March 1, 2021).</w:t>
              </w:r>
            </w:hyperlink>
          </w:p>
        </w:tc>
        <w:tc>
          <w:tcPr>
            <w:tcW w:w="7740" w:type="dxa"/>
            <w:vAlign w:val="bottom"/>
            <w:gridSpan w:val="31"/>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(10.8)</w:t>
            </w:r>
          </w:p>
        </w:tc>
        <w:tc>
          <w:tcPr>
            <w:tcW w:w="9620" w:type="dxa"/>
            <w:vAlign w:val="bottom"/>
            <w:tcBorders>
              <w:bottom w:val="single" w:sz="8" w:color="0000EE"/>
            </w:tcBorders>
            <w:gridSpan w:val="33"/>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Guarantee and Collateral Agreement, dated February 26, 2021, made by the Grantors referred to therein, as Grantors, to Alter Domus</w:t>
              </w:r>
            </w:hyperlink>
          </w:p>
        </w:tc>
        <w:tc>
          <w:tcPr>
            <w:tcW w:w="40" w:type="dxa"/>
            <w:vAlign w:val="bottom"/>
            <w:gridSpan w:val="2"/>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62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(US) LLC, as Administrative Agent. (Incorporated by reference to Exhibit 10.28 of the Company’s Annual Report on Form 10-K for</w:t>
              </w:r>
            </w:hyperlink>
          </w:p>
        </w:tc>
        <w:tc>
          <w:tcPr>
            <w:tcW w:w="40" w:type="dxa"/>
            <w:vAlign w:val="bottom"/>
            <w:gridSpan w:val="2"/>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50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the fiscal year ended December 31, 2020 as filed on March 16, 2021).</w:t>
              </w:r>
            </w:hyperlink>
          </w:p>
        </w:tc>
        <w:tc>
          <w:tcPr>
            <w:tcW w:w="4620" w:type="dxa"/>
            <w:vAlign w:val="bottom"/>
            <w:gridSpan w:val="28"/>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(10.9)</w:t>
            </w:r>
          </w:p>
        </w:tc>
        <w:tc>
          <w:tcPr>
            <w:tcW w:w="9460" w:type="dxa"/>
            <w:vAlign w:val="bottom"/>
            <w:tcBorders>
              <w:bottom w:val="single" w:sz="8" w:color="0000EE"/>
            </w:tcBorders>
            <w:gridSpan w:val="26"/>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Intercreditor Agreement, dated as of February 26, 2021, among Bank of America, N.A., as Representative with respect to the ABL</w:t>
              </w:r>
            </w:hyperlink>
          </w:p>
        </w:tc>
        <w:tc>
          <w:tcPr>
            <w:tcW w:w="200" w:type="dxa"/>
            <w:vAlign w:val="bottom"/>
            <w:gridSpan w:val="9"/>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Credit Agreement, Bank of America, N.A., as Representative with respect to the LC Credit Agreement, and Alter Domus (US) LLC,</w:t>
              </w:r>
            </w:hyperlink>
          </w:p>
        </w:tc>
      </w:tr>
      <w:tr>
        <w:trPr>
          <w:trHeight w:val="196"/>
        </w:trPr>
        <w:tc>
          <w:tcPr>
            <w:tcW w:w="1600" w:type="dxa"/>
            <w:vAlign w:val="bottom"/>
          </w:tcPr>
          <w:p>
            <w:pPr>
              <w:spacing w:after="0"/>
              <w:rPr>
                <w:sz w:val="17"/>
                <w:szCs w:val="17"/>
                <w:color w:val="auto"/>
              </w:rPr>
            </w:pPr>
          </w:p>
        </w:tc>
        <w:tc>
          <w:tcPr>
            <w:tcW w:w="8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as Representative with respect to the Term Loan Agreement, Eastman Kodak Company, and each of the other Grantors party</w:t>
              </w:r>
            </w:hyperlink>
          </w:p>
        </w:tc>
        <w:tc>
          <w:tcPr>
            <w:tcW w:w="580" w:type="dxa"/>
            <w:vAlign w:val="bottom"/>
            <w:tcBorders>
              <w:top w:val="single" w:sz="8" w:color="0000EE"/>
            </w:tcBorders>
            <w:gridSpan w:val="17"/>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7"/>
              </w:rPr>
            </w:pPr>
            <w:hyperlink r:id="rId87">
              <w:r>
                <w:rPr>
                  <w:rFonts w:ascii="Arial" w:cs="Arial" w:eastAsia="Arial" w:hAnsi="Arial"/>
                  <w:sz w:val="18"/>
                  <w:szCs w:val="18"/>
                  <w:color w:val="0000EE"/>
                  <w:w w:val="97"/>
                </w:rPr>
                <w:t>thereto. (Incorporated by reference to Exhibit 10.29 of the Company’s Annual Report on Form 10-K for the fiscal year ended</w:t>
              </w:r>
            </w:hyperlink>
          </w:p>
        </w:tc>
      </w:tr>
      <w:tr>
        <w:trPr>
          <w:trHeight w:val="196"/>
        </w:trPr>
        <w:tc>
          <w:tcPr>
            <w:tcW w:w="16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December 31, 2020 as filed on March 16, 2021).</w:t>
              </w:r>
            </w:hyperlink>
          </w:p>
        </w:tc>
        <w:tc>
          <w:tcPr>
            <w:tcW w:w="5540" w:type="dxa"/>
            <w:vAlign w:val="bottom"/>
            <w:tcBorders>
              <w:top w:val="single" w:sz="8" w:color="0000EE"/>
            </w:tcBorders>
            <w:gridSpan w:val="10"/>
          </w:tcPr>
          <w:p>
            <w:pPr>
              <w:spacing w:after="0"/>
              <w:rPr>
                <w:sz w:val="17"/>
                <w:szCs w:val="17"/>
                <w:color w:val="auto"/>
              </w:rPr>
            </w:pPr>
          </w:p>
        </w:tc>
        <w:tc>
          <w:tcPr>
            <w:tcW w:w="600" w:type="dxa"/>
            <w:vAlign w:val="bottom"/>
            <w:gridSpan w:val="20"/>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(10.10)</w:t>
            </w:r>
          </w:p>
        </w:tc>
        <w:tc>
          <w:tcPr>
            <w:tcW w:w="9440" w:type="dxa"/>
            <w:vAlign w:val="bottom"/>
            <w:tcBorders>
              <w:bottom w:val="single" w:sz="8" w:color="0000EE"/>
            </w:tcBorders>
            <w:gridSpan w:val="25"/>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Intercreditor Agreement, dated as of February 26, 2021, among Bank of America, N.A., as Representative with respect to the ABL</w:t>
              </w:r>
            </w:hyperlink>
          </w:p>
        </w:tc>
        <w:tc>
          <w:tcPr>
            <w:tcW w:w="220" w:type="dxa"/>
            <w:vAlign w:val="bottom"/>
            <w:gridSpan w:val="10"/>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4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Credit Agreement, Bank of America, N.A., as Representative with respect to the LC Credit Agreement, Eastman Kodak Company,</w:t>
              </w:r>
            </w:hyperlink>
          </w:p>
        </w:tc>
        <w:tc>
          <w:tcPr>
            <w:tcW w:w="240" w:type="dxa"/>
            <w:vAlign w:val="bottom"/>
            <w:gridSpan w:val="11"/>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and each of the other Grantors party thereto. (Incorporated by reference to Exhibit 10.30 of the Company’s Annual Report on Form</w:t>
              </w:r>
            </w:hyperlink>
          </w:p>
        </w:tc>
      </w:tr>
      <w:tr>
        <w:trPr>
          <w:trHeight w:val="196"/>
        </w:trPr>
        <w:tc>
          <w:tcPr>
            <w:tcW w:w="1600" w:type="dxa"/>
            <w:vAlign w:val="bottom"/>
          </w:tcPr>
          <w:p>
            <w:pPr>
              <w:spacing w:after="0"/>
              <w:rPr>
                <w:sz w:val="17"/>
                <w:szCs w:val="17"/>
                <w:color w:val="auto"/>
              </w:rPr>
            </w:pPr>
          </w:p>
        </w:tc>
        <w:tc>
          <w:tcPr>
            <w:tcW w:w="95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10-K for the fiscal year ended December 31, 2020 as filed on March 16, 2021).</w:t>
              </w:r>
            </w:hyperlink>
          </w:p>
        </w:tc>
        <w:tc>
          <w:tcPr>
            <w:tcW w:w="160" w:type="dxa"/>
            <w:vAlign w:val="bottom"/>
            <w:gridSpan w:val="7"/>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540" w:type="dxa"/>
            <w:vAlign w:val="bottom"/>
            <w:gridSpan w:val="5"/>
            <w:shd w:val="clear" w:color="auto" w:fill="0000EE"/>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(10.11)</w:t>
            </w:r>
          </w:p>
        </w:tc>
        <w:tc>
          <w:tcPr>
            <w:tcW w:w="9120" w:type="dxa"/>
            <w:vAlign w:val="bottom"/>
            <w:tcBorders>
              <w:bottom w:val="single" w:sz="8" w:color="0000EE"/>
            </w:tcBorders>
            <w:gridSpan w:val="17"/>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Series A Preferred Stock Repurchase and Exchange Agreement, dated as of February 26, 2021, by and among Eastman Kodak</w:t>
              </w:r>
            </w:hyperlink>
          </w:p>
        </w:tc>
        <w:tc>
          <w:tcPr>
            <w:tcW w:w="540" w:type="dxa"/>
            <w:vAlign w:val="bottom"/>
            <w:gridSpan w:val="18"/>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1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Company, Southeastern Asset Management, Inc., Longleaf Partners Small-Cap Fund, C2W Partners Master Fund Limited and</w:t>
              </w:r>
            </w:hyperlink>
          </w:p>
        </w:tc>
        <w:tc>
          <w:tcPr>
            <w:tcW w:w="560" w:type="dxa"/>
            <w:vAlign w:val="bottom"/>
            <w:gridSpan w:val="19"/>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3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Deseret Mutual Pension Trust. (Incorporated by reference to Exhibit 10.1 of the Company’s Current Report on Form 8-K as filed</w:t>
              </w:r>
            </w:hyperlink>
          </w:p>
        </w:tc>
        <w:tc>
          <w:tcPr>
            <w:tcW w:w="360" w:type="dxa"/>
            <w:vAlign w:val="bottom"/>
            <w:gridSpan w:val="15"/>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3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March 1, 2021).</w:t>
              </w:r>
            </w:hyperlink>
          </w:p>
        </w:tc>
      </w:tr>
      <w:tr>
        <w:trPr>
          <w:trHeight w:val="695"/>
        </w:trPr>
        <w:tc>
          <w:tcPr>
            <w:tcW w:w="160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sz w:val="24"/>
                <w:szCs w:val="24"/>
                <w:color w:val="auto"/>
              </w:rPr>
            </w:pPr>
          </w:p>
        </w:tc>
        <w:tc>
          <w:tcPr>
            <w:tcW w:w="3880" w:type="dxa"/>
            <w:vAlign w:val="bottom"/>
            <w:gridSpan w:val="4"/>
          </w:tcPr>
          <w:p>
            <w:pPr>
              <w:jc w:val="right"/>
              <w:ind w:right="860"/>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600" w:type="dxa"/>
            <w:vAlign w:val="bottom"/>
          </w:tcPr>
          <w:p>
            <w:pPr>
              <w:ind w:left="20"/>
              <w:spacing w:after="0"/>
              <w:rPr>
                <w:sz w:val="20"/>
                <w:szCs w:val="20"/>
                <w:color w:val="auto"/>
              </w:rPr>
            </w:pPr>
            <w:r>
              <w:rPr>
                <w:rFonts w:ascii="Arial" w:cs="Arial" w:eastAsia="Arial" w:hAnsi="Arial"/>
                <w:sz w:val="18"/>
                <w:szCs w:val="18"/>
                <w:color w:val="auto"/>
              </w:rPr>
              <w:t>(10.12)</w:t>
            </w:r>
          </w:p>
        </w:tc>
        <w:tc>
          <w:tcPr>
            <w:tcW w:w="9500" w:type="dxa"/>
            <w:vAlign w:val="bottom"/>
            <w:tcBorders>
              <w:bottom w:val="single" w:sz="8" w:color="0000EE"/>
            </w:tcBorders>
            <w:gridSpan w:val="11"/>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Series C Preferred Stock Purchase Agreement, dated as of February 26, 2021, by and among Eastman Kodak Company and GO EK</w:t>
              </w:r>
            </w:hyperlink>
          </w:p>
        </w:tc>
        <w:tc>
          <w:tcPr>
            <w:tcW w:w="160" w:type="dxa"/>
            <w:vAlign w:val="bottom"/>
            <w:gridSpan w:val="2"/>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84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Ventures IV, LLC. (Incorporated by reference to Exhibit 10.2 of the Company’s Current Report on Form 8-K as filed</w:t>
              </w:r>
            </w:hyperlink>
          </w:p>
        </w:tc>
        <w:tc>
          <w:tcPr>
            <w:tcW w:w="1240" w:type="dxa"/>
            <w:vAlign w:val="bottom"/>
            <w:gridSpan w:val="6"/>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March 1, 2021).</w:t>
              </w:r>
            </w:hyperlink>
          </w:p>
        </w:tc>
      </w:tr>
      <w:tr>
        <w:trPr>
          <w:trHeight w:val="20"/>
        </w:trPr>
        <w:tc>
          <w:tcPr>
            <w:tcW w:w="16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(10.13)</w:t>
            </w:r>
          </w:p>
        </w:tc>
        <w:tc>
          <w:tcPr>
            <w:tcW w:w="9320" w:type="dxa"/>
            <w:vAlign w:val="bottom"/>
            <w:tcBorders>
              <w:bottom w:val="single" w:sz="8" w:color="0000EE"/>
            </w:tcBorders>
            <w:gridSpan w:val="8"/>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Securities Purchase Agreement, dated as of February 26, 2021, by and among Eastman Kodak Company, Kennedy Lewis Capital</w:t>
              </w:r>
            </w:hyperlink>
          </w:p>
        </w:tc>
        <w:tc>
          <w:tcPr>
            <w:tcW w:w="340" w:type="dxa"/>
            <w:vAlign w:val="bottom"/>
            <w:gridSpan w:val="5"/>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w w:val="93"/>
              </w:rPr>
            </w:pPr>
            <w:hyperlink r:id="rId77">
              <w:r>
                <w:rPr>
                  <w:rFonts w:ascii="Arial" w:cs="Arial" w:eastAsia="Arial" w:hAnsi="Arial"/>
                  <w:sz w:val="18"/>
                  <w:szCs w:val="18"/>
                  <w:color w:val="0000EE"/>
                  <w:w w:val="93"/>
                </w:rPr>
                <w:t>Partners Master Fund LP and Kennedy Lewis Capital Partners Master Fund II LP. (Incorporated by reference to Exhibit 10.8 of the</w:t>
              </w:r>
            </w:hyperlink>
          </w:p>
        </w:tc>
      </w:tr>
      <w:tr>
        <w:trPr>
          <w:trHeight w:val="196"/>
        </w:trPr>
        <w:tc>
          <w:tcPr>
            <w:tcW w:w="160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Company’s Current Report on Form 8-K as filed March 1, 2021).</w:t>
              </w:r>
            </w:hyperlink>
          </w:p>
        </w:tc>
        <w:tc>
          <w:tcPr>
            <w:tcW w:w="472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(31.1)</w:t>
            </w:r>
          </w:p>
        </w:tc>
        <w:tc>
          <w:tcPr>
            <w:tcW w:w="966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Certification signed by James V. Continenza, filed herewith</w:t>
              </w:r>
            </w:hyperlink>
            <w:r>
              <w:rPr>
                <w:rFonts w:ascii="Arial" w:cs="Arial" w:eastAsia="Arial" w:hAnsi="Arial"/>
                <w:sz w:val="18"/>
                <w:szCs w:val="18"/>
                <w:color w:val="000000"/>
              </w:rPr>
              <w:t>.</w:t>
            </w:r>
          </w:p>
        </w:tc>
      </w:tr>
      <w:tr>
        <w:trPr>
          <w:trHeight w:val="20"/>
        </w:trPr>
        <w:tc>
          <w:tcPr>
            <w:tcW w:w="160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66"/>
        </w:trPr>
        <w:tc>
          <w:tcPr>
            <w:tcW w:w="1600" w:type="dxa"/>
            <w:vAlign w:val="bottom"/>
          </w:tcPr>
          <w:p>
            <w:pPr>
              <w:ind w:left="20"/>
              <w:spacing w:after="0"/>
              <w:rPr>
                <w:sz w:val="20"/>
                <w:szCs w:val="20"/>
                <w:color w:val="auto"/>
              </w:rPr>
            </w:pPr>
            <w:r>
              <w:rPr>
                <w:rFonts w:ascii="Arial" w:cs="Arial" w:eastAsia="Arial" w:hAnsi="Arial"/>
                <w:sz w:val="18"/>
                <w:szCs w:val="18"/>
                <w:color w:val="auto"/>
              </w:rPr>
              <w:t>(31.2)</w:t>
            </w:r>
          </w:p>
        </w:tc>
        <w:tc>
          <w:tcPr>
            <w:tcW w:w="9660" w:type="dxa"/>
            <w:vAlign w:val="bottom"/>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Certification signed by David E. Bullwinkle, filed herewith.</w:t>
              </w:r>
            </w:hyperlink>
          </w:p>
        </w:tc>
      </w:tr>
      <w:tr>
        <w:trPr>
          <w:trHeight w:val="20"/>
        </w:trPr>
        <w:tc>
          <w:tcPr>
            <w:tcW w:w="160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66"/>
        </w:trPr>
        <w:tc>
          <w:tcPr>
            <w:tcW w:w="1600" w:type="dxa"/>
            <w:vAlign w:val="bottom"/>
          </w:tcPr>
          <w:p>
            <w:pPr>
              <w:ind w:left="20"/>
              <w:spacing w:after="0"/>
              <w:rPr>
                <w:sz w:val="20"/>
                <w:szCs w:val="20"/>
                <w:color w:val="auto"/>
              </w:rPr>
            </w:pPr>
            <w:r>
              <w:rPr>
                <w:rFonts w:ascii="Arial" w:cs="Arial" w:eastAsia="Arial" w:hAnsi="Arial"/>
                <w:sz w:val="18"/>
                <w:szCs w:val="18"/>
                <w:color w:val="auto"/>
              </w:rPr>
              <w:t>(32.1)</w:t>
            </w:r>
          </w:p>
        </w:tc>
        <w:tc>
          <w:tcPr>
            <w:tcW w:w="9660" w:type="dxa"/>
            <w:vAlign w:val="bottom"/>
            <w:gridSpan w:val="1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Certification Pursuant to 18 U.S.C. Section 1350, as Adopted Pursuant to Section 906 of the Sarbanes-Oxley Act of 2002, signed by</w:t>
              </w:r>
            </w:hyperlink>
          </w:p>
        </w:tc>
      </w:tr>
      <w:tr>
        <w:trPr>
          <w:trHeight w:val="196"/>
        </w:trPr>
        <w:tc>
          <w:tcPr>
            <w:tcW w:w="1600" w:type="dxa"/>
            <w:vAlign w:val="bottom"/>
          </w:tcPr>
          <w:p>
            <w:pPr>
              <w:spacing w:after="0"/>
              <w:rPr>
                <w:sz w:val="17"/>
                <w:szCs w:val="17"/>
                <w:color w:val="auto"/>
              </w:rPr>
            </w:pPr>
          </w:p>
        </w:tc>
        <w:tc>
          <w:tcPr>
            <w:tcW w:w="95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James V. Continenza, filed herewith</w:t>
              </w:r>
              <w:r>
                <w:rPr>
                  <w:rFonts w:ascii="Arial" w:cs="Arial" w:eastAsia="Arial" w:hAnsi="Arial"/>
                  <w:sz w:val="18"/>
                  <w:szCs w:val="18"/>
                  <w:color w:val="000000"/>
                </w:rPr>
                <w:t>.</w:t>
              </w:r>
            </w:hyperlink>
          </w:p>
        </w:tc>
        <w:tc>
          <w:tcPr>
            <w:tcW w:w="14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39"/>
        </w:trPr>
        <w:tc>
          <w:tcPr>
            <w:tcW w:w="1600" w:type="dxa"/>
            <w:vAlign w:val="bottom"/>
          </w:tcPr>
          <w:p>
            <w:pPr>
              <w:ind w:left="20"/>
              <w:spacing w:after="0"/>
              <w:rPr>
                <w:sz w:val="20"/>
                <w:szCs w:val="20"/>
                <w:color w:val="auto"/>
              </w:rPr>
            </w:pPr>
            <w:r>
              <w:rPr>
                <w:rFonts w:ascii="Arial" w:cs="Arial" w:eastAsia="Arial" w:hAnsi="Arial"/>
                <w:sz w:val="18"/>
                <w:szCs w:val="18"/>
                <w:color w:val="auto"/>
              </w:rPr>
              <w:t>(32.2)</w:t>
            </w:r>
          </w:p>
        </w:tc>
        <w:tc>
          <w:tcPr>
            <w:tcW w:w="9660" w:type="dxa"/>
            <w:vAlign w:val="bottom"/>
            <w:gridSpan w:val="1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Certification Pursuant to 18 U.S.C. Section 1350, as Adopted Pursuant to Section 906 of the Sarbanes-Oxley Act of 2002 signed by</w:t>
              </w:r>
            </w:hyperlink>
          </w:p>
        </w:tc>
      </w:tr>
      <w:tr>
        <w:trPr>
          <w:trHeight w:val="196"/>
        </w:trPr>
        <w:tc>
          <w:tcPr>
            <w:tcW w:w="160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David E. Bullwinkle, filed herewith.</w:t>
              </w:r>
            </w:hyperlink>
          </w:p>
        </w:tc>
        <w:tc>
          <w:tcPr>
            <w:tcW w:w="6840" w:type="dxa"/>
            <w:vAlign w:val="bottom"/>
            <w:tcBorders>
              <w:top w:val="single" w:sz="8" w:color="0000EE"/>
            </w:tcBorders>
            <w:gridSpan w:val="7"/>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479"/>
        </w:trPr>
        <w:tc>
          <w:tcPr>
            <w:tcW w:w="1600" w:type="dxa"/>
            <w:vAlign w:val="bottom"/>
          </w:tcPr>
          <w:p>
            <w:pPr>
              <w:ind w:left="20"/>
              <w:spacing w:after="0"/>
              <w:rPr>
                <w:sz w:val="20"/>
                <w:szCs w:val="20"/>
                <w:color w:val="auto"/>
              </w:rPr>
            </w:pPr>
            <w:r>
              <w:rPr>
                <w:rFonts w:ascii="Arial" w:cs="Arial" w:eastAsia="Arial" w:hAnsi="Arial"/>
                <w:sz w:val="18"/>
                <w:szCs w:val="18"/>
                <w:color w:val="auto"/>
              </w:rPr>
              <w:t>(101.CAL)</w:t>
            </w:r>
          </w:p>
        </w:tc>
        <w:tc>
          <w:tcPr>
            <w:tcW w:w="96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86"/>
        </w:trPr>
        <w:tc>
          <w:tcPr>
            <w:tcW w:w="1600" w:type="dxa"/>
            <w:vAlign w:val="bottom"/>
          </w:tcPr>
          <w:p>
            <w:pPr>
              <w:ind w:left="20"/>
              <w:spacing w:after="0"/>
              <w:rPr>
                <w:sz w:val="20"/>
                <w:szCs w:val="20"/>
                <w:color w:val="auto"/>
              </w:rPr>
            </w:pPr>
            <w:r>
              <w:rPr>
                <w:rFonts w:ascii="Arial" w:cs="Arial" w:eastAsia="Arial" w:hAnsi="Arial"/>
                <w:sz w:val="18"/>
                <w:szCs w:val="18"/>
                <w:color w:val="auto"/>
              </w:rPr>
              <w:t>(101.INS)</w:t>
            </w:r>
          </w:p>
        </w:tc>
        <w:tc>
          <w:tcPr>
            <w:tcW w:w="966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486"/>
        </w:trPr>
        <w:tc>
          <w:tcPr>
            <w:tcW w:w="1600" w:type="dxa"/>
            <w:vAlign w:val="bottom"/>
          </w:tcPr>
          <w:p>
            <w:pPr>
              <w:ind w:left="20"/>
              <w:spacing w:after="0"/>
              <w:rPr>
                <w:sz w:val="20"/>
                <w:szCs w:val="20"/>
                <w:color w:val="auto"/>
              </w:rPr>
            </w:pPr>
            <w:r>
              <w:rPr>
                <w:rFonts w:ascii="Arial" w:cs="Arial" w:eastAsia="Arial" w:hAnsi="Arial"/>
                <w:sz w:val="18"/>
                <w:szCs w:val="18"/>
                <w:color w:val="auto"/>
              </w:rPr>
              <w:t>(101.LAB)</w:t>
            </w:r>
          </w:p>
        </w:tc>
        <w:tc>
          <w:tcPr>
            <w:tcW w:w="96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r>
      <w:tr>
        <w:trPr>
          <w:trHeight w:val="486"/>
        </w:trPr>
        <w:tc>
          <w:tcPr>
            <w:tcW w:w="1600" w:type="dxa"/>
            <w:vAlign w:val="bottom"/>
          </w:tcPr>
          <w:p>
            <w:pPr>
              <w:ind w:left="20"/>
              <w:spacing w:after="0"/>
              <w:rPr>
                <w:sz w:val="20"/>
                <w:szCs w:val="20"/>
                <w:color w:val="auto"/>
              </w:rPr>
            </w:pPr>
            <w:r>
              <w:rPr>
                <w:rFonts w:ascii="Arial" w:cs="Arial" w:eastAsia="Arial" w:hAnsi="Arial"/>
                <w:sz w:val="18"/>
                <w:szCs w:val="18"/>
                <w:color w:val="auto"/>
              </w:rPr>
              <w:t>(101.PRE)</w:t>
            </w:r>
          </w:p>
        </w:tc>
        <w:tc>
          <w:tcPr>
            <w:tcW w:w="96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86"/>
        </w:trPr>
        <w:tc>
          <w:tcPr>
            <w:tcW w:w="1600" w:type="dxa"/>
            <w:vAlign w:val="bottom"/>
          </w:tcPr>
          <w:p>
            <w:pPr>
              <w:ind w:left="20"/>
              <w:spacing w:after="0"/>
              <w:rPr>
                <w:sz w:val="20"/>
                <w:szCs w:val="20"/>
                <w:color w:val="auto"/>
              </w:rPr>
            </w:pPr>
            <w:r>
              <w:rPr>
                <w:rFonts w:ascii="Arial" w:cs="Arial" w:eastAsia="Arial" w:hAnsi="Arial"/>
                <w:sz w:val="18"/>
                <w:szCs w:val="18"/>
                <w:color w:val="auto"/>
              </w:rPr>
              <w:t>(101.SCH)</w:t>
            </w:r>
          </w:p>
        </w:tc>
        <w:tc>
          <w:tcPr>
            <w:tcW w:w="9660" w:type="dxa"/>
            <w:vAlign w:val="bottom"/>
            <w:gridSpan w:val="13"/>
          </w:tcPr>
          <w:p>
            <w:pPr>
              <w:spacing w:after="0"/>
              <w:rPr>
                <w:sz w:val="20"/>
                <w:szCs w:val="20"/>
                <w:color w:val="auto"/>
              </w:rPr>
            </w:pPr>
            <w:r>
              <w:rPr>
                <w:rFonts w:ascii="Arial" w:cs="Arial" w:eastAsia="Arial" w:hAnsi="Arial"/>
                <w:sz w:val="18"/>
                <w:szCs w:val="18"/>
                <w:color w:val="auto"/>
              </w:rPr>
              <w:t>XBRL Taxonomy Extension Schema Linkbase.</w:t>
            </w:r>
          </w:p>
        </w:tc>
      </w:tr>
      <w:tr>
        <w:trPr>
          <w:trHeight w:val="486"/>
        </w:trPr>
        <w:tc>
          <w:tcPr>
            <w:tcW w:w="1600" w:type="dxa"/>
            <w:vAlign w:val="bottom"/>
          </w:tcPr>
          <w:p>
            <w:pPr>
              <w:ind w:left="20"/>
              <w:spacing w:after="0"/>
              <w:rPr>
                <w:sz w:val="20"/>
                <w:szCs w:val="20"/>
                <w:color w:val="auto"/>
              </w:rPr>
            </w:pPr>
            <w:r>
              <w:rPr>
                <w:rFonts w:ascii="Arial" w:cs="Arial" w:eastAsia="Arial" w:hAnsi="Arial"/>
                <w:sz w:val="18"/>
                <w:szCs w:val="18"/>
                <w:color w:val="auto"/>
              </w:rPr>
              <w:t>(101.DEF)</w:t>
            </w:r>
          </w:p>
        </w:tc>
        <w:tc>
          <w:tcPr>
            <w:tcW w:w="96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945"/>
        </w:trPr>
        <w:tc>
          <w:tcPr>
            <w:tcW w:w="1600" w:type="dxa"/>
            <w:vAlign w:val="bottom"/>
          </w:tcPr>
          <w:p>
            <w:pPr>
              <w:spacing w:after="0"/>
              <w:rPr>
                <w:sz w:val="24"/>
                <w:szCs w:val="24"/>
                <w:color w:val="auto"/>
              </w:rPr>
            </w:pPr>
          </w:p>
        </w:tc>
        <w:tc>
          <w:tcPr>
            <w:tcW w:w="4300" w:type="dxa"/>
            <w:vAlign w:val="bottom"/>
            <w:gridSpan w:val="4"/>
          </w:tcPr>
          <w:p>
            <w:pPr>
              <w:ind w:left="38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Date: May 17, 2021</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Richard T. Michaels</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Arial" w:cs="Arial" w:eastAsia="Arial" w:hAnsi="Arial"/>
                <w:sz w:val="18"/>
                <w:szCs w:val="18"/>
                <w:b w:val="1"/>
                <w:bCs w:val="1"/>
                <w:color w:val="auto"/>
              </w:rPr>
              <w:t>Richard T. Michaels</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22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2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460" w:right="40" w:firstLine="6"/>
        <w:spacing w:after="0" w:line="263" w:lineRule="auto"/>
        <w:tabs>
          <w:tab w:leader="none" w:pos="6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60" w:right="260" w:firstLine="6"/>
        <w:spacing w:after="0" w:line="263"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60" w:right="860" w:firstLine="6"/>
        <w:spacing w:after="0" w:line="342" w:lineRule="auto"/>
        <w:tabs>
          <w:tab w:leader="none" w:pos="6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280" w:firstLine="6"/>
        <w:spacing w:after="0" w:line="263"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2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240" w:firstLine="6"/>
        <w:spacing w:after="0" w:line="277" w:lineRule="auto"/>
        <w:tabs>
          <w:tab w:leader="none" w:pos="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20" w:firstLine="6"/>
        <w:spacing w:after="0" w:line="277" w:lineRule="auto"/>
        <w:tabs>
          <w:tab w:leader="none" w:pos="6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308"/>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68" w:hanging="368"/>
        <w:spacing w:after="0"/>
        <w:tabs>
          <w:tab w:leader="none" w:pos="3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368" w:right="40" w:hanging="368"/>
        <w:spacing w:after="0" w:line="263" w:lineRule="auto"/>
        <w:tabs>
          <w:tab w:leader="none" w:pos="3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8" w:right="800" w:hanging="368"/>
        <w:spacing w:after="0" w:line="342" w:lineRule="auto"/>
        <w:tabs>
          <w:tab w:leader="none" w:pos="3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68" w:right="660" w:hanging="368"/>
        <w:spacing w:after="0" w:line="291" w:lineRule="auto"/>
        <w:tabs>
          <w:tab w:leader="none" w:pos="3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68"/>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1" w:lineRule="exact"/>
        <w:rPr>
          <w:sz w:val="20"/>
          <w:szCs w:val="20"/>
          <w:color w:val="auto"/>
        </w:rPr>
      </w:pPr>
    </w:p>
    <w:p>
      <w:pPr>
        <w:ind w:left="388" w:right="660" w:hanging="3"/>
        <w:spacing w:after="0" w:line="263" w:lineRule="auto"/>
        <w:tabs>
          <w:tab w:leader="none" w:pos="61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88" w:right="560" w:hanging="3"/>
        <w:spacing w:after="0" w:line="263" w:lineRule="auto"/>
        <w:tabs>
          <w:tab w:leader="none" w:pos="6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88" w:right="580" w:hanging="3"/>
        <w:spacing w:after="0" w:line="342" w:lineRule="auto"/>
        <w:tabs>
          <w:tab w:leader="none" w:pos="61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8" w:right="460" w:hanging="3"/>
        <w:spacing w:after="0" w:line="263" w:lineRule="auto"/>
        <w:tabs>
          <w:tab w:leader="none" w:pos="62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68" w:right="740" w:hanging="368"/>
        <w:spacing w:after="0" w:line="263" w:lineRule="auto"/>
        <w:tabs>
          <w:tab w:leader="none" w:pos="3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88" w:right="740" w:hanging="3"/>
        <w:spacing w:after="0" w:line="308" w:lineRule="auto"/>
        <w:tabs>
          <w:tab w:leader="none" w:pos="60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88" w:right="480" w:hanging="3"/>
        <w:spacing w:after="0" w:line="277" w:lineRule="auto"/>
        <w:tabs>
          <w:tab w:leader="none" w:pos="6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8"/>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ind w:left="388"/>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ind w:left="388"/>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388"/>
        <w:spacing w:after="0"/>
        <w:rPr>
          <w:sz w:val="20"/>
          <w:szCs w:val="20"/>
          <w:color w:val="auto"/>
        </w:rPr>
      </w:pPr>
      <w:r>
        <w:rPr>
          <w:rFonts w:ascii="Arial" w:cs="Arial" w:eastAsia="Arial" w:hAnsi="Arial"/>
          <w:sz w:val="18"/>
          <w:szCs w:val="18"/>
          <w:color w:val="auto"/>
        </w:rPr>
        <w:t>Date: May 17, 2021</w:t>
      </w:r>
    </w:p>
    <w:p>
      <w:pPr>
        <w:sectPr>
          <w:pgSz w:w="11900" w:h="16838" w:orient="portrait"/>
          <w:cols w:equalWidth="0" w:num="1">
            <w:col w:w="10868"/>
          </w:cols>
          <w:pgMar w:left="692"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March 31, 2021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480" w:hanging="238"/>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520" w:firstLine="2"/>
        <w:spacing w:after="0" w:line="277" w:lineRule="auto"/>
        <w:tabs>
          <w:tab w:leader="none" w:pos="4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ectPr>
          <w:pgSz w:w="11900" w:h="16838" w:orient="portrait"/>
          <w:cols w:equalWidth="0" w:num="1">
            <w:col w:w="10660"/>
          </w:cols>
          <w:pgMar w:left="320" w:top="337" w:right="9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March 31, 2021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600" w:hanging="24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400" w:hanging="2"/>
        <w:spacing w:after="0" w:line="277" w:lineRule="auto"/>
        <w:tabs>
          <w:tab w:leader="none" w:pos="5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sectPr>
      <w:pgSz w:w="11900" w:h="16838" w:orient="portrait"/>
      <w:cols w:equalWidth="0" w:num="1">
        <w:col w:w="10660"/>
      </w:cols>
      <w:pgMar w:left="320" w:top="33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5"/>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66" Type="http://schemas.openxmlformats.org/officeDocument/2006/relationships/hyperlink" Target="http://www.sec.gov/Archives/edgar/data/31235/000119312513354928/d591063dex41.htm" TargetMode="External"/><Relationship Id="rId67" Type="http://schemas.openxmlformats.org/officeDocument/2006/relationships/hyperlink" Target="http://www.sec.gov/Archives/edgar/data/31235/000156459016029358/kodk-ex31_26.htm" TargetMode="External"/><Relationship Id="rId68" Type="http://schemas.openxmlformats.org/officeDocument/2006/relationships/hyperlink" Target="http://www.sec.gov/Archives/edgar/data/31235/000156459020058718/kodk-ex31_14.htm" TargetMode="External"/><Relationship Id="rId69" Type="http://schemas.openxmlformats.org/officeDocument/2006/relationships/hyperlink" Target="http://www.sec.gov/Archives/edgar/data/31235/000119312521062328/d468860dex31.htm" TargetMode="External"/><Relationship Id="rId70" Type="http://schemas.openxmlformats.org/officeDocument/2006/relationships/hyperlink" Target="http://www.sec.gov/Archives/edgar/data/31235/000119312521062328/d468860dex32.htm" TargetMode="External"/><Relationship Id="rId71" Type="http://schemas.openxmlformats.org/officeDocument/2006/relationships/hyperlink" Target="http://www.sec.gov/Archives/edgar/data/31235/000156459020024666/kodk-ex35_31.htm" TargetMode="External"/><Relationship Id="rId72" Type="http://schemas.openxmlformats.org/officeDocument/2006/relationships/hyperlink" Target="http://www.sec.gov/Archives/edgar/data/31235/000119312521062328/d468860dex103.htm" TargetMode="External"/><Relationship Id="rId73" Type="http://schemas.openxmlformats.org/officeDocument/2006/relationships/hyperlink" Target="http://www.sec.gov/Archives/edgar/data/31235/000119312521062328/d468860dex1011.htm" TargetMode="External"/><Relationship Id="rId74" Type="http://schemas.openxmlformats.org/officeDocument/2006/relationships/hyperlink" Target="http://www.sec.gov/Archives/edgar/data/31235/000119312521062328/d468860dex107.htm" TargetMode="External"/><Relationship Id="rId77" Type="http://schemas.openxmlformats.org/officeDocument/2006/relationships/hyperlink" Target="http://www.sec.gov/Archives/edgar/data/31235/000119312521062328/d468860dex108.htm" TargetMode="External"/><Relationship Id="rId78" Type="http://schemas.openxmlformats.org/officeDocument/2006/relationships/hyperlink" Target="http://www.sec.gov/Archives/edgar/data/31235/000119312521062328/d468860dex109.htm" TargetMode="External"/><Relationship Id="rId79" Type="http://schemas.openxmlformats.org/officeDocument/2006/relationships/hyperlink" Target="http://www.sec.gov/Archives/edgar/data/31235/000156459021013581/kodk-ex1012_207.htm" TargetMode="External"/><Relationship Id="rId80" Type="http://schemas.openxmlformats.org/officeDocument/2006/relationships/hyperlink" Target="http://www.sec.gov/Archives/edgar/data/31235/000156459021013581/kodk-ex1013_206.htm" TargetMode="External"/><Relationship Id="rId81" Type="http://schemas.openxmlformats.org/officeDocument/2006/relationships/hyperlink" Target="http://www.sec.gov/Archives/edgar/data/31235/000156459021013581/kodk-ex1017_165.htm" TargetMode="External"/><Relationship Id="rId82" Type="http://schemas.openxmlformats.org/officeDocument/2006/relationships/hyperlink" Target="http://www.sec.gov/Archives/edgar/data/31235/000119312521062328/d468860dex104.htm" TargetMode="External"/><Relationship Id="rId83" Type="http://schemas.openxmlformats.org/officeDocument/2006/relationships/hyperlink" Target="http://www.sec.gov/Archives/edgar/data/31235/000119312521062328/d468860dex105.htm" TargetMode="External"/><Relationship Id="rId84" Type="http://schemas.openxmlformats.org/officeDocument/2006/relationships/hyperlink" Target="http://www.sec.gov/Archives/edgar/data/31235/000156459021013581/kodk-ex1026_166.htm" TargetMode="External"/><Relationship Id="rId85" Type="http://schemas.openxmlformats.org/officeDocument/2006/relationships/hyperlink" Target="http://www.sec.gov/Archives/edgar/data/31235/000119312521062328/d468860dex106.htm" TargetMode="External"/><Relationship Id="rId86" Type="http://schemas.openxmlformats.org/officeDocument/2006/relationships/hyperlink" Target="http://www.sec.gov/Archives/edgar/data/31235/000156459021013581/kodk-ex1028_167.htm" TargetMode="External"/><Relationship Id="rId87" Type="http://schemas.openxmlformats.org/officeDocument/2006/relationships/hyperlink" Target="http://www.sec.gov/Archives/edgar/data/31235/000156459021013581/kodk-ex1029_168.htm" TargetMode="External"/><Relationship Id="rId88" Type="http://schemas.openxmlformats.org/officeDocument/2006/relationships/hyperlink" Target="http://www.sec.gov/Archives/edgar/data/31235/000156459021013581/kodk-ex1030_169.htm" TargetMode="External"/><Relationship Id="rId89" Type="http://schemas.openxmlformats.org/officeDocument/2006/relationships/hyperlink" Target="http://www.sec.gov/Archives/edgar/data/31235/000119312521062328/d468860dex101.htm" TargetMode="External"/><Relationship Id="rId92" Type="http://schemas.openxmlformats.org/officeDocument/2006/relationships/hyperlink" Target="http://www.sec.gov/Archives/edgar/data/31235/000119312521062328/d46886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2021-05-18T00:24:16Z</dcterms:created>
  <dcterms:modified xsi:type="dcterms:W3CDTF">2021-05-18T00:24:16Z</dcterms:modified>
</cp:coreProperties>
</file>