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kc20230331_10q.htm"/>
      <w:bookmarkStart w:id="1" w:name="ksekc20230331_10q"/>
      <w:bookmarkEnd w:id="0"/>
      <w:bookmarkEnd w:id="1"/>
      <w:r>
        <w:rPr/>
        <w:t xml:space="preserve">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HorizontalLine"/>
        <w:rPr/>
      </w:pPr>
      <w:r>
        <w:rPr/>
      </w:r>
    </w:p>
    <w:p>
      <w:pPr>
        <w:pStyle w:val="HorizontalLine"/>
        <w:rPr/>
      </w:pPr>
      <w:r>
        <w:rPr/>
      </w:r>
    </w:p>
    <w:p>
      <w:pPr>
        <w:pStyle w:val="TextBody"/>
        <w:spacing w:before="0" w:after="0"/>
        <w:ind w:left="0" w:right="0" w:hanging="0"/>
        <w:rPr/>
      </w:pPr>
      <w:hyperlink w:anchor="toc">
        <w:r>
          <w:rPr>
            <w:rStyle w:val="InternetLink"/>
            <w:rFonts w:ascii="Calibri;Arial;sans-serif" w:hAnsi="Calibri;Arial;sans-serif"/>
            <w:caps w:val="false"/>
            <w:smallCaps w:val="false"/>
            <w:sz w:val="20"/>
          </w:rPr>
          <w:t>Table of Contents</w:t>
        </w:r>
      </w:hyperlink>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UNITED STATES</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SECURITIES AND EXCHANGE COMMISSION</w:t>
      </w:r>
    </w:p>
    <w:p>
      <w:pPr>
        <w:pStyle w:val="TextBody"/>
        <w:spacing w:before="0" w:after="0"/>
        <w:ind w:left="0" w:right="0" w:hanging="0"/>
        <w:jc w:val="center"/>
        <w:rPr>
          <w:rFonts w:ascii="Calibri;Arial;sans-serif" w:hAnsi="Calibri;Arial;sans-serif"/>
          <w:b/>
          <w:caps w:val="false"/>
          <w:smallCaps w:val="false"/>
          <w:sz w:val="18"/>
        </w:rPr>
      </w:pPr>
      <w:r>
        <w:rPr>
          <w:rFonts w:ascii="Calibri;Arial;sans-serif" w:hAnsi="Calibri;Arial;sans-serif"/>
          <w:b/>
          <w:caps w:val="false"/>
          <w:smallCaps w:val="false"/>
          <w:sz w:val="18"/>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Calibri;Arial;sans-serif" w:hAnsi="Calibri;Arial;sans-serif"/>
          <w:b/>
          <w:caps w:val="false"/>
          <w:smallCaps w:val="false"/>
          <w:sz w:val="24"/>
        </w:rPr>
      </w:pPr>
      <w:r>
        <w:rPr>
          <w:rFonts w:ascii="Calibri;Arial;sans-serif" w:hAnsi="Calibri;Arial;sans-serif"/>
          <w:b/>
          <w:caps w:val="false"/>
          <w:smallCaps w:val="false"/>
          <w:sz w:val="24"/>
        </w:rPr>
        <w:t>FORM 10-Q</w:t>
      </w:r>
    </w:p>
    <w:p>
      <w:pPr>
        <w:pStyle w:val="TextBody"/>
        <w:spacing w:before="0" w:after="0"/>
        <w:ind w:left="0" w:right="0" w:hanging="0"/>
        <w:rPr>
          <w:caps w:val="false"/>
          <w:smallCaps w:val="false"/>
        </w:rPr>
      </w:pPr>
      <w:r>
        <w:rPr>
          <w:caps w:val="false"/>
          <w:smallCaps w:val="false"/>
        </w:rPr>
        <w:t>☒         </w:t>
      </w:r>
      <w:r>
        <w:rPr>
          <w:rFonts w:ascii="Calibri;Arial;sans-serif" w:hAnsi="Calibri;Arial;sans-serif"/>
          <w:b/>
          <w:caps w:val="false"/>
          <w:smallCaps w:val="false"/>
          <w:sz w:val="20"/>
        </w:rPr>
        <w:t>Quarterly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 1934</w:t>
      </w:r>
    </w:p>
    <w:tbl>
      <w:tblPr>
        <w:tblW w:w="4120" w:type="dxa"/>
        <w:jc w:val="left"/>
        <w:tblInd w:w="0" w:type="dxa"/>
        <w:tblCellMar>
          <w:top w:w="0" w:type="dxa"/>
          <w:left w:w="0" w:type="dxa"/>
          <w:bottom w:w="0" w:type="dxa"/>
          <w:right w:w="0" w:type="dxa"/>
        </w:tblCellMar>
      </w:tblPr>
      <w:tblGrid>
        <w:gridCol w:w="2825"/>
        <w:gridCol w:w="1295"/>
      </w:tblGrid>
      <w:tr>
        <w:trPr/>
        <w:tc>
          <w:tcPr>
            <w:tcW w:w="2825" w:type="dxa"/>
            <w:tcBorders/>
            <w:shd w:fill="auto" w:val="clear"/>
            <w:vAlign w:val="center"/>
          </w:tcPr>
          <w:p>
            <w:pPr>
              <w:pStyle w:val="TableContents"/>
              <w:spacing w:before="0" w:after="0"/>
              <w:ind w:left="0" w:right="0" w:hanging="0"/>
              <w:jc w:val="right"/>
              <w:rPr>
                <w:rFonts w:ascii="Calibri;Arial;sans-serif" w:hAnsi="Calibri;Arial;sans-serif"/>
                <w:caps w:val="false"/>
                <w:smallCaps w:val="false"/>
                <w:sz w:val="20"/>
              </w:rPr>
            </w:pPr>
            <w:r>
              <w:rPr>
                <w:rFonts w:ascii="Calibri;Arial;sans-serif" w:hAnsi="Calibri;Arial;sans-serif"/>
                <w:b/>
                <w:caps w:val="false"/>
                <w:smallCaps w:val="false"/>
                <w:sz w:val="20"/>
              </w:rPr>
              <w:t>For the quarterly period ended:</w:t>
            </w:r>
            <w:r>
              <w:rPr>
                <w:rFonts w:ascii="Calibri;Arial;sans-serif" w:hAnsi="Calibri;Arial;sans-serif"/>
                <w:caps w:val="false"/>
                <w:smallCaps w:val="false"/>
                <w:sz w:val="20"/>
              </w:rPr>
              <w:t xml:space="preserve">    </w:t>
            </w:r>
          </w:p>
        </w:tc>
        <w:tc>
          <w:tcPr>
            <w:tcW w:w="129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March 31, 2023</w:t>
            </w:r>
          </w:p>
        </w:tc>
      </w:tr>
    </w:tbl>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jc w:val="center"/>
              <w:rPr>
                <w:rFonts w:ascii="Calibri;Arial;sans-serif" w:hAnsi="Calibri;Arial;sans-serif"/>
                <w:b/>
                <w:sz w:val="20"/>
              </w:rPr>
            </w:pPr>
            <w:r>
              <w:rPr>
                <w:rFonts w:ascii="Calibri;Arial;sans-serif" w:hAnsi="Calibri;Arial;sans-serif"/>
                <w:b/>
                <w:sz w:val="20"/>
              </w:rPr>
              <w:t>or</w:t>
            </w:r>
          </w:p>
        </w:tc>
      </w:tr>
    </w:tbl>
    <w:p>
      <w:pPr>
        <w:pStyle w:val="TextBody"/>
        <w:spacing w:before="0" w:after="0"/>
        <w:ind w:left="0" w:right="0" w:hanging="0"/>
        <w:rPr>
          <w:caps w:val="false"/>
          <w:smallCaps w:val="false"/>
        </w:rPr>
      </w:pPr>
      <w:r>
        <w:rPr>
          <w:caps w:val="false"/>
          <w:smallCaps w:val="false"/>
        </w:rPr>
        <w:t>☐         </w:t>
      </w:r>
      <w:r>
        <w:rPr>
          <w:rFonts w:ascii="Calibri;Arial;sans-serif" w:hAnsi="Calibri;Arial;sans-serif"/>
          <w:b/>
          <w:caps w:val="false"/>
          <w:smallCaps w:val="false"/>
          <w:sz w:val="20"/>
        </w:rPr>
        <w:t>Transition report pursuant to Section</w:t>
      </w:r>
      <w:r>
        <w:rPr>
          <w:rFonts w:ascii="Calibri;Arial;sans-serif" w:hAnsi="Calibri;Arial;sans-serif"/>
          <w:caps w:val="false"/>
          <w:smallCaps w:val="false"/>
          <w:sz w:val="20"/>
        </w:rPr>
        <w:t> </w:t>
      </w:r>
      <w:r>
        <w:rPr>
          <w:rFonts w:ascii="Calibri;Arial;sans-serif" w:hAnsi="Calibri;Arial;sans-serif"/>
          <w:b/>
          <w:caps w:val="false"/>
          <w:smallCaps w:val="false"/>
          <w:sz w:val="20"/>
        </w:rPr>
        <w:t>13 or 15(d) of the Securities Exchange Act of 1934</w:t>
      </w:r>
    </w:p>
    <w:p>
      <w:pPr>
        <w:pStyle w:val="TextBody"/>
        <w:spacing w:before="0" w:after="0"/>
        <w:ind w:left="0" w:right="0" w:hanging="0"/>
        <w:jc w:val="center"/>
        <w:rPr>
          <w:rFonts w:ascii="Calibri;Arial;sans-serif" w:hAnsi="Calibri;Arial;sans-serif"/>
          <w:caps w:val="false"/>
          <w:smallCaps w:val="false"/>
          <w:sz w:val="20"/>
        </w:rPr>
      </w:pPr>
      <w:r>
        <w:rPr>
          <w:rFonts w:ascii="Calibri;Arial;sans-serif" w:hAnsi="Calibri;Arial;sans-serif"/>
          <w:b/>
          <w:caps w:val="false"/>
          <w:smallCaps w:val="false"/>
          <w:sz w:val="20"/>
        </w:rPr>
        <w:t>For the transition period from</w:t>
      </w:r>
      <w:r>
        <w:rPr>
          <w:rFonts w:ascii="Calibri;Arial;sans-serif" w:hAnsi="Calibri;Arial;sans-serif"/>
          <w:caps w:val="false"/>
          <w:smallCaps w:val="false"/>
          <w:sz w:val="20"/>
          <w:u w:val="single"/>
        </w:rPr>
        <w:t>            </w:t>
      </w:r>
      <w:r>
        <w:rPr>
          <w:rFonts w:ascii="Calibri;Arial;sans-serif" w:hAnsi="Calibri;Arial;sans-serif"/>
          <w:b/>
          <w:caps w:val="false"/>
          <w:smallCaps w:val="false"/>
          <w:sz w:val="20"/>
        </w:rPr>
        <w:t>to</w:t>
      </w:r>
      <w:r>
        <w:rPr>
          <w:rFonts w:ascii="Calibri;Arial;sans-serif" w:hAnsi="Calibri;Arial;sans-serif"/>
          <w:caps w:val="false"/>
          <w:smallCaps w:val="false"/>
          <w:sz w:val="20"/>
          <w:u w:val="single"/>
        </w:rPr>
        <w:t>            </w:t>
      </w:r>
    </w:p>
    <w:tbl>
      <w:tblPr>
        <w:tblW w:w="2075" w:type="dxa"/>
        <w:jc w:val="left"/>
        <w:tblInd w:w="0" w:type="dxa"/>
        <w:tblCellMar>
          <w:top w:w="0" w:type="dxa"/>
          <w:left w:w="0" w:type="dxa"/>
          <w:bottom w:w="0" w:type="dxa"/>
          <w:right w:w="0" w:type="dxa"/>
        </w:tblCellMar>
      </w:tblPr>
      <w:tblGrid>
        <w:gridCol w:w="2075"/>
      </w:tblGrid>
      <w:tr>
        <w:trPr/>
        <w:tc>
          <w:tcPr>
            <w:tcW w:w="2075" w:type="dxa"/>
            <w:tcBorders/>
            <w:shd w:fill="auto"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Commission File Number</w:t>
            </w:r>
          </w:p>
        </w:tc>
      </w:tr>
      <w:tr>
        <w:trPr/>
        <w:tc>
          <w:tcPr>
            <w:tcW w:w="2075" w:type="dxa"/>
            <w:tcBorders/>
            <w:shd w:fill="auto"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1-00087</w:t>
            </w:r>
          </w:p>
        </w:tc>
      </w:tr>
    </w:tbl>
    <w:tbl>
      <w:tblPr>
        <w:tblW w:w="7790" w:type="dxa"/>
        <w:jc w:val="left"/>
        <w:tblInd w:w="0" w:type="dxa"/>
        <w:tblCellMar>
          <w:top w:w="0" w:type="dxa"/>
          <w:left w:w="0" w:type="dxa"/>
          <w:bottom w:w="0" w:type="dxa"/>
          <w:right w:w="0" w:type="dxa"/>
        </w:tblCellMar>
      </w:tblPr>
      <w:tblGrid>
        <w:gridCol w:w="4415"/>
        <w:gridCol w:w="3375"/>
      </w:tblGrid>
      <w:tr>
        <w:trPr/>
        <w:tc>
          <w:tcPr>
            <w:tcW w:w="7790" w:type="dxa"/>
            <w:gridSpan w:val="2"/>
            <w:tcBorders/>
            <w:shd w:fill="auto" w:val="clear"/>
            <w:vAlign w:val="center"/>
          </w:tcPr>
          <w:p>
            <w:pPr>
              <w:pStyle w:val="TableContents"/>
              <w:spacing w:before="0" w:after="283"/>
              <w:jc w:val="center"/>
              <w:rPr>
                <w:rFonts w:ascii="Calibri;Arial;sans-serif" w:hAnsi="Calibri;Arial;sans-serif"/>
                <w:b/>
                <w:sz w:val="24"/>
              </w:rPr>
            </w:pPr>
            <w:r>
              <w:rPr>
                <w:rFonts w:ascii="Calibri;Arial;sans-serif" w:hAnsi="Calibri;Arial;sans-serif"/>
                <w:b/>
                <w:sz w:val="24"/>
              </w:rPr>
              <w:t>EASTMAN KODAK COMPANY</w:t>
            </w:r>
          </w:p>
        </w:tc>
      </w:tr>
      <w:tr>
        <w:trPr/>
        <w:tc>
          <w:tcPr>
            <w:tcW w:w="7790" w:type="dxa"/>
            <w:gridSpan w:val="2"/>
            <w:tcBorders/>
            <w:shd w:fill="auto" w:val="clear"/>
            <w:vAlign w:val="center"/>
          </w:tcPr>
          <w:p>
            <w:pPr>
              <w:pStyle w:val="TableContents"/>
              <w:spacing w:before="0" w:after="283"/>
              <w:jc w:val="center"/>
              <w:rPr>
                <w:rFonts w:ascii="Calibri;Arial;sans-serif" w:hAnsi="Calibri;Arial;sans-serif"/>
                <w:sz w:val="16"/>
              </w:rPr>
            </w:pPr>
            <w:r>
              <w:rPr>
                <w:rFonts w:ascii="Calibri;Arial;sans-serif" w:hAnsi="Calibri;Arial;sans-serif"/>
                <w:sz w:val="16"/>
              </w:rPr>
              <w:t>(Exact name of registrant as specified in its charter)</w:t>
            </w:r>
          </w:p>
        </w:tc>
      </w:tr>
      <w:tr>
        <w:trPr/>
        <w:tc>
          <w:tcPr>
            <w:tcW w:w="4415" w:type="dxa"/>
            <w:tcBorders/>
            <w:shd w:fill="auto" w:val="clear"/>
            <w:vAlign w:val="center"/>
          </w:tcPr>
          <w:p>
            <w:pPr>
              <w:pStyle w:val="TableContents"/>
              <w:spacing w:before="0" w:after="283"/>
              <w:jc w:val="center"/>
              <w:rPr/>
            </w:pPr>
            <w:r>
              <w:rPr/>
              <w:t> </w:t>
            </w:r>
          </w:p>
        </w:tc>
        <w:tc>
          <w:tcPr>
            <w:tcW w:w="3375" w:type="dxa"/>
            <w:tcBorders/>
            <w:shd w:fill="auto" w:val="clear"/>
            <w:vAlign w:val="center"/>
          </w:tcPr>
          <w:p>
            <w:pPr>
              <w:pStyle w:val="TableContents"/>
              <w:spacing w:before="0" w:after="283"/>
              <w:jc w:val="center"/>
              <w:rPr/>
            </w:pPr>
            <w:r>
              <w:rPr/>
              <w:t> </w:t>
            </w:r>
          </w:p>
        </w:tc>
      </w:tr>
      <w:tr>
        <w:trPr/>
        <w:tc>
          <w:tcPr>
            <w:tcW w:w="4415" w:type="dxa"/>
            <w:tcBorders/>
            <w:shd w:fill="auto" w:val="clear"/>
            <w:vAlign w:val="center"/>
          </w:tcPr>
          <w:p>
            <w:pPr>
              <w:pStyle w:val="TableContents"/>
              <w:spacing w:before="0" w:after="283"/>
              <w:jc w:val="center"/>
              <w:rPr>
                <w:rFonts w:ascii="Calibri;Arial;sans-serif" w:hAnsi="Calibri;Arial;sans-serif"/>
                <w:b/>
                <w:caps/>
              </w:rPr>
            </w:pPr>
            <w:r>
              <w:rPr>
                <w:rFonts w:ascii="Calibri;Arial;sans-serif" w:hAnsi="Calibri;Arial;sans-serif"/>
                <w:b/>
                <w:caps/>
              </w:rPr>
              <w:t>New Jersey</w:t>
            </w:r>
          </w:p>
        </w:tc>
        <w:tc>
          <w:tcPr>
            <w:tcW w:w="3375" w:type="dxa"/>
            <w:tcBorders/>
            <w:shd w:fill="auto" w:val="clear"/>
            <w:vAlign w:val="center"/>
          </w:tcPr>
          <w:p>
            <w:pPr>
              <w:pStyle w:val="TableContents"/>
              <w:spacing w:before="0" w:after="283"/>
              <w:jc w:val="center"/>
              <w:rPr>
                <w:rFonts w:ascii="Calibri;Arial;sans-serif" w:hAnsi="Calibri;Arial;sans-serif"/>
                <w:b/>
              </w:rPr>
            </w:pPr>
            <w:r>
              <w:rPr>
                <w:rFonts w:ascii="Calibri;Arial;sans-serif" w:hAnsi="Calibri;Arial;sans-serif"/>
                <w:b/>
              </w:rPr>
              <w:t>16-0417150</w:t>
            </w:r>
          </w:p>
        </w:tc>
      </w:tr>
      <w:tr>
        <w:trPr/>
        <w:tc>
          <w:tcPr>
            <w:tcW w:w="4415" w:type="dxa"/>
            <w:tcBorders/>
            <w:shd w:fill="auto" w:val="clear"/>
            <w:vAlign w:val="center"/>
          </w:tcPr>
          <w:p>
            <w:pPr>
              <w:pStyle w:val="TableContents"/>
              <w:spacing w:before="0" w:after="283"/>
              <w:jc w:val="center"/>
              <w:rPr>
                <w:rFonts w:ascii="Calibri;Arial;sans-serif" w:hAnsi="Calibri;Arial;sans-serif"/>
                <w:sz w:val="16"/>
              </w:rPr>
            </w:pPr>
            <w:r>
              <w:rPr>
                <w:rFonts w:ascii="Calibri;Arial;sans-serif" w:hAnsi="Calibri;Arial;sans-serif"/>
                <w:sz w:val="16"/>
              </w:rPr>
              <w:t>(State or other jurisdiction of incorporation or organization)</w:t>
            </w:r>
          </w:p>
        </w:tc>
        <w:tc>
          <w:tcPr>
            <w:tcW w:w="3375" w:type="dxa"/>
            <w:tcBorders/>
            <w:shd w:fill="auto" w:val="clear"/>
            <w:vAlign w:val="center"/>
          </w:tcPr>
          <w:p>
            <w:pPr>
              <w:pStyle w:val="TableContents"/>
              <w:spacing w:before="0" w:after="283"/>
              <w:jc w:val="center"/>
              <w:rPr>
                <w:rFonts w:ascii="Calibri;Arial;sans-serif" w:hAnsi="Calibri;Arial;sans-serif"/>
                <w:sz w:val="16"/>
              </w:rPr>
            </w:pPr>
            <w:r>
              <w:rPr>
                <w:rFonts w:ascii="Calibri;Arial;sans-serif" w:hAnsi="Calibri;Arial;sans-serif"/>
                <w:sz w:val="16"/>
              </w:rPr>
              <w:t>(IRS Employer Identification No.)</w:t>
            </w:r>
          </w:p>
        </w:tc>
      </w:tr>
      <w:tr>
        <w:trPr/>
        <w:tc>
          <w:tcPr>
            <w:tcW w:w="4415" w:type="dxa"/>
            <w:tcBorders/>
            <w:shd w:fill="auto" w:val="clear"/>
            <w:vAlign w:val="center"/>
          </w:tcPr>
          <w:p>
            <w:pPr>
              <w:pStyle w:val="TableContents"/>
              <w:spacing w:before="0" w:after="283"/>
              <w:rPr/>
            </w:pPr>
            <w:r>
              <w:rPr/>
              <w:t> </w:t>
            </w:r>
          </w:p>
        </w:tc>
        <w:tc>
          <w:tcPr>
            <w:tcW w:w="3375" w:type="dxa"/>
            <w:tcBorders/>
            <w:shd w:fill="auto" w:val="clear"/>
            <w:vAlign w:val="center"/>
          </w:tcPr>
          <w:p>
            <w:pPr>
              <w:pStyle w:val="TableContents"/>
              <w:spacing w:before="0" w:after="283"/>
              <w:rPr/>
            </w:pPr>
            <w:r>
              <w:rPr/>
              <w:t> </w:t>
            </w:r>
          </w:p>
        </w:tc>
      </w:tr>
      <w:tr>
        <w:trPr/>
        <w:tc>
          <w:tcPr>
            <w:tcW w:w="4415" w:type="dxa"/>
            <w:tcBorders/>
            <w:shd w:fill="auto" w:val="clear"/>
            <w:vAlign w:val="center"/>
          </w:tcPr>
          <w:p>
            <w:pPr>
              <w:pStyle w:val="TableContents"/>
              <w:spacing w:before="0" w:after="283"/>
              <w:jc w:val="center"/>
              <w:rPr>
                <w:rFonts w:ascii="Calibri;Arial;sans-serif" w:hAnsi="Calibri;Arial;sans-serif"/>
              </w:rPr>
            </w:pPr>
            <w:r>
              <w:rPr>
                <w:rFonts w:ascii="Calibri;Arial;sans-serif" w:hAnsi="Calibri;Arial;sans-serif"/>
                <w:b/>
              </w:rPr>
              <w:t xml:space="preserve">343 STATE STREET, ROCHESTER, </w:t>
            </w:r>
            <w:r>
              <w:rPr>
                <w:rFonts w:ascii="Calibri;Arial;sans-serif" w:hAnsi="Calibri;Arial;sans-serif"/>
                <w:b/>
                <w:caps/>
              </w:rPr>
              <w:t>New York</w:t>
            </w:r>
          </w:p>
        </w:tc>
        <w:tc>
          <w:tcPr>
            <w:tcW w:w="3375" w:type="dxa"/>
            <w:tcBorders/>
            <w:shd w:fill="auto" w:val="clear"/>
            <w:vAlign w:val="center"/>
          </w:tcPr>
          <w:p>
            <w:pPr>
              <w:pStyle w:val="TableContents"/>
              <w:spacing w:before="0" w:after="283"/>
              <w:jc w:val="center"/>
              <w:rPr>
                <w:rFonts w:ascii="Calibri;Arial;sans-serif" w:hAnsi="Calibri;Arial;sans-serif"/>
                <w:b/>
                <w:sz w:val="20"/>
              </w:rPr>
            </w:pPr>
            <w:r>
              <w:rPr>
                <w:rFonts w:ascii="Calibri;Arial;sans-serif" w:hAnsi="Calibri;Arial;sans-serif"/>
                <w:b/>
                <w:sz w:val="20"/>
              </w:rPr>
              <w:t>14650</w:t>
            </w:r>
          </w:p>
        </w:tc>
      </w:tr>
      <w:tr>
        <w:trPr/>
        <w:tc>
          <w:tcPr>
            <w:tcW w:w="4415" w:type="dxa"/>
            <w:tcBorders/>
            <w:shd w:fill="auto" w:val="clear"/>
            <w:vAlign w:val="center"/>
          </w:tcPr>
          <w:p>
            <w:pPr>
              <w:pStyle w:val="TableContents"/>
              <w:spacing w:before="0" w:after="283"/>
              <w:jc w:val="center"/>
              <w:rPr>
                <w:rFonts w:ascii="Calibri;Arial;sans-serif" w:hAnsi="Calibri;Arial;sans-serif"/>
                <w:sz w:val="16"/>
              </w:rPr>
            </w:pPr>
            <w:r>
              <w:rPr>
                <w:rFonts w:ascii="Calibri;Arial;sans-serif" w:hAnsi="Calibri;Arial;sans-serif"/>
                <w:sz w:val="16"/>
              </w:rPr>
              <w:t>(Address of principal executive offices)</w:t>
            </w:r>
          </w:p>
        </w:tc>
        <w:tc>
          <w:tcPr>
            <w:tcW w:w="3375" w:type="dxa"/>
            <w:tcBorders/>
            <w:shd w:fill="auto" w:val="clear"/>
            <w:vAlign w:val="center"/>
          </w:tcPr>
          <w:p>
            <w:pPr>
              <w:pStyle w:val="TableContents"/>
              <w:spacing w:before="0" w:after="283"/>
              <w:jc w:val="center"/>
              <w:rPr>
                <w:rFonts w:ascii="Calibri;Arial;sans-serif" w:hAnsi="Calibri;Arial;sans-serif"/>
                <w:sz w:val="16"/>
              </w:rPr>
            </w:pPr>
            <w:r>
              <w:rPr>
                <w:rFonts w:ascii="Calibri;Arial;sans-serif" w:hAnsi="Calibri;Arial;sans-serif"/>
                <w:sz w:val="16"/>
              </w:rPr>
              <w:t>(Zip Code)</w:t>
            </w:r>
          </w:p>
        </w:tc>
      </w:tr>
      <w:tr>
        <w:trPr/>
        <w:tc>
          <w:tcPr>
            <w:tcW w:w="7790" w:type="dxa"/>
            <w:gridSpan w:val="2"/>
            <w:tcBorders/>
            <w:shd w:fill="auto" w:val="clear"/>
            <w:vAlign w:val="center"/>
          </w:tcPr>
          <w:p>
            <w:pPr>
              <w:pStyle w:val="TableContents"/>
              <w:spacing w:before="0" w:after="283"/>
              <w:jc w:val="center"/>
              <w:rPr>
                <w:rFonts w:ascii="Calibri;Arial;sans-serif" w:hAnsi="Calibri;Arial;sans-serif"/>
                <w:b/>
                <w:sz w:val="16"/>
              </w:rPr>
            </w:pPr>
            <w:r>
              <w:rPr>
                <w:rFonts w:ascii="Calibri;Arial;sans-serif" w:hAnsi="Calibri;Arial;sans-serif"/>
                <w:b/>
                <w:sz w:val="16"/>
              </w:rPr>
              <w:t>(585) 724-4000</w:t>
            </w:r>
          </w:p>
        </w:tc>
      </w:tr>
      <w:tr>
        <w:trPr/>
        <w:tc>
          <w:tcPr>
            <w:tcW w:w="7790" w:type="dxa"/>
            <w:gridSpan w:val="2"/>
            <w:tcBorders/>
            <w:shd w:fill="auto" w:val="clear"/>
            <w:vAlign w:val="center"/>
          </w:tcPr>
          <w:p>
            <w:pPr>
              <w:pStyle w:val="TableContents"/>
              <w:spacing w:before="0" w:after="283"/>
              <w:jc w:val="center"/>
              <w:rPr>
                <w:rFonts w:ascii="Calibri;Arial;sans-serif" w:hAnsi="Calibri;Arial;sans-serif"/>
                <w:sz w:val="16"/>
              </w:rPr>
            </w:pPr>
            <w:r>
              <w:rPr>
                <w:rFonts w:ascii="Calibri;Arial;sans-serif" w:hAnsi="Calibri;Arial;sans-serif"/>
                <w:sz w:val="16"/>
              </w:rPr>
              <w:t>(Registrant’s telephone number, including area code)</w:t>
            </w:r>
          </w:p>
        </w:tc>
      </w:tr>
    </w:tbl>
    <w:p>
      <w:pPr>
        <w:pStyle w:val="TextBody"/>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Securities registered pursuant to Section 12(b) of the Act:</w:t>
      </w:r>
    </w:p>
    <w:tbl>
      <w:tblPr>
        <w:tblW w:w="8415" w:type="dxa"/>
        <w:jc w:val="left"/>
        <w:tblInd w:w="0" w:type="dxa"/>
        <w:tblCellMar>
          <w:top w:w="0" w:type="dxa"/>
          <w:left w:w="0" w:type="dxa"/>
          <w:bottom w:w="0" w:type="dxa"/>
          <w:right w:w="0" w:type="dxa"/>
        </w:tblCellMar>
      </w:tblPr>
      <w:tblGrid>
        <w:gridCol w:w="3320"/>
        <w:gridCol w:w="1460"/>
        <w:gridCol w:w="3635"/>
      </w:tblGrid>
      <w:tr>
        <w:trPr/>
        <w:tc>
          <w:tcPr>
            <w:tcW w:w="3320" w:type="dxa"/>
            <w:tcBorders/>
            <w:shd w:fill="auto" w:val="clear"/>
            <w:vAlign w:val="center"/>
          </w:tcPr>
          <w:p>
            <w:pPr>
              <w:pStyle w:val="TableContents"/>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Title of each class Common</w:t>
            </w:r>
          </w:p>
        </w:tc>
        <w:tc>
          <w:tcPr>
            <w:tcW w:w="1460" w:type="dxa"/>
            <w:tcBorders/>
            <w:shd w:fill="auto" w:val="clear"/>
            <w:vAlign w:val="center"/>
          </w:tcPr>
          <w:p>
            <w:pPr>
              <w:pStyle w:val="TableContents"/>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Trading Symbol(s)</w:t>
            </w:r>
          </w:p>
        </w:tc>
        <w:tc>
          <w:tcPr>
            <w:tcW w:w="3635" w:type="dxa"/>
            <w:tcBorders/>
            <w:shd w:fill="auto" w:val="clear"/>
            <w:vAlign w:val="center"/>
          </w:tcPr>
          <w:p>
            <w:pPr>
              <w:pStyle w:val="TableContents"/>
              <w:spacing w:before="0" w:after="0"/>
              <w:ind w:left="0" w:right="0" w:hanging="0"/>
              <w:jc w:val="center"/>
              <w:rPr>
                <w:rFonts w:ascii="Calibri;Arial;sans-serif" w:hAnsi="Calibri;Arial;sans-serif"/>
                <w:b/>
                <w:caps w:val="false"/>
                <w:smallCaps w:val="false"/>
                <w:sz w:val="20"/>
                <w:u w:val="single"/>
              </w:rPr>
            </w:pPr>
            <w:r>
              <w:rPr>
                <w:rFonts w:ascii="Calibri;Arial;sans-serif" w:hAnsi="Calibri;Arial;sans-serif"/>
                <w:b/>
                <w:caps w:val="false"/>
                <w:smallCaps w:val="false"/>
                <w:sz w:val="20"/>
                <w:u w:val="single"/>
              </w:rPr>
              <w:t>Name of each exchange on which registered</w:t>
            </w:r>
          </w:p>
        </w:tc>
      </w:tr>
      <w:tr>
        <w:trPr/>
        <w:tc>
          <w:tcPr>
            <w:tcW w:w="332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Common stock, par value $0.01 per share</w:t>
            </w:r>
          </w:p>
        </w:tc>
        <w:tc>
          <w:tcPr>
            <w:tcW w:w="1460" w:type="dxa"/>
            <w:tcBorders/>
            <w:shd w:fill="auto"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KODK</w:t>
            </w:r>
          </w:p>
        </w:tc>
        <w:tc>
          <w:tcPr>
            <w:tcW w:w="3635" w:type="dxa"/>
            <w:tcBorders/>
            <w:shd w:fill="auto"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940" w:type="dxa"/>
        <w:jc w:val="left"/>
        <w:tblInd w:w="0" w:type="dxa"/>
        <w:tblCellMar>
          <w:top w:w="0" w:type="dxa"/>
          <w:left w:w="0" w:type="dxa"/>
          <w:bottom w:w="0" w:type="dxa"/>
          <w:right w:w="0" w:type="dxa"/>
        </w:tblCellMar>
      </w:tblPr>
      <w:tblGrid>
        <w:gridCol w:w="2135"/>
        <w:gridCol w:w="60"/>
        <w:gridCol w:w="230"/>
        <w:gridCol w:w="60"/>
        <w:gridCol w:w="2165"/>
        <w:gridCol w:w="230"/>
        <w:gridCol w:w="60"/>
      </w:tblGrid>
      <w:tr>
        <w:trPr/>
        <w:tc>
          <w:tcPr>
            <w:tcW w:w="213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Non-accelerated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Smaller reporting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Emerging growth company</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 of May 1, 2023, the registrant had 79,343,371 shares of common stock, par value $0.01 per share, outstanding.</w:t>
      </w:r>
    </w:p>
    <w:p>
      <w:pPr>
        <w:pStyle w:val="TextBody"/>
        <w:spacing w:before="0" w:after="0"/>
        <w:ind w:left="0" w:right="0" w:hanging="0"/>
        <w:rPr>
          <w:caps w:val="false"/>
          <w:smallCaps w:val="false"/>
        </w:rPr>
      </w:pPr>
      <w:r>
        <w:rPr>
          <w:caps w:val="false"/>
          <w:smallCaps w:val="false"/>
        </w:rPr>
        <w:t> </w:t>
      </w:r>
    </w:p>
    <w:p>
      <w:pPr>
        <w:pStyle w:val="HorizontalLine"/>
        <w:rPr/>
      </w:pPr>
      <w:r>
        <w:rPr/>
      </w:r>
    </w:p>
    <w:p>
      <w:pPr>
        <w:pStyle w:val="HorizontalLine"/>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Calibri;Arial;sans-serif" w:hAnsi="Calibri;Arial;sans-serif"/>
          <w:b/>
          <w:caps w:val="false"/>
          <w:smallCaps w:val="false"/>
          <w:sz w:val="20"/>
        </w:rPr>
      </w:pPr>
      <w:bookmarkStart w:id="2" w:name="toc"/>
      <w:bookmarkEnd w:id="2"/>
      <w:r>
        <w:rPr>
          <w:rFonts w:ascii="Calibri;Arial;sans-serif" w:hAnsi="Calibri;Arial;sans-serif"/>
          <w:b/>
          <w:caps w:val="false"/>
          <w:smallCaps w:val="false"/>
          <w:sz w:val="20"/>
        </w:rPr>
        <w:t>EASTMAN KODAK COMPANY</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Form 10-Q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tbl>
      <w:tblPr>
        <w:tblW w:w="8130" w:type="dxa"/>
        <w:jc w:val="left"/>
        <w:tblInd w:w="0" w:type="dxa"/>
        <w:tblCellMar>
          <w:top w:w="0" w:type="dxa"/>
          <w:left w:w="0" w:type="dxa"/>
          <w:bottom w:w="0" w:type="dxa"/>
          <w:right w:w="0" w:type="dxa"/>
        </w:tblCellMar>
      </w:tblPr>
      <w:tblGrid>
        <w:gridCol w:w="680"/>
        <w:gridCol w:w="6935"/>
        <w:gridCol w:w="515"/>
      </w:tblGrid>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283"/>
              <w:jc w:val="center"/>
              <w:rPr/>
            </w:pPr>
            <w:r>
              <w:rPr/>
              <w:t> </w:t>
            </w:r>
          </w:p>
        </w:tc>
        <w:tc>
          <w:tcPr>
            <w:tcW w:w="515" w:type="dxa"/>
            <w:tcBorders/>
            <w:shd w:fill="auto" w:val="clear"/>
            <w:vAlign w:val="center"/>
          </w:tcPr>
          <w:p>
            <w:pPr>
              <w:pStyle w:val="TableContents"/>
              <w:spacing w:before="0" w:after="283"/>
              <w:jc w:val="center"/>
              <w:rPr>
                <w:rFonts w:ascii="Calibri;Arial;sans-serif" w:hAnsi="Calibri;Arial;sans-serif"/>
                <w:b/>
              </w:rPr>
            </w:pPr>
            <w:r>
              <w:rPr>
                <w:rFonts w:ascii="Calibri;Arial;sans-serif" w:hAnsi="Calibri;Arial;sans-serif"/>
                <w:b/>
              </w:rPr>
              <w:t>Page</w:t>
            </w:r>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283"/>
              <w:jc w:val="center"/>
              <w:rPr/>
            </w:pPr>
            <w:hyperlink w:anchor="part1">
              <w:r>
                <w:rPr>
                  <w:rStyle w:val="InternetLink"/>
                  <w:rFonts w:ascii="Calibri;Arial;sans-serif" w:hAnsi="Calibri;Arial;sans-serif"/>
                  <w:b/>
                </w:rPr>
                <w:t>Part I.</w:t>
              </w:r>
            </w:hyperlink>
            <w:hyperlink w:anchor="part1">
              <w:r>
                <w:rPr>
                  <w:rStyle w:val="InternetLink"/>
                  <w:rFonts w:ascii="Calibri;Arial;sans-serif" w:hAnsi="Calibri;Arial;sans-serif"/>
                </w:rPr>
                <w:t>—</w:t>
              </w:r>
            </w:hyperlink>
            <w:hyperlink w:anchor="part1">
              <w:r>
                <w:rPr>
                  <w:rStyle w:val="InternetLink"/>
                  <w:rFonts w:ascii="Calibri;Arial;sans-serif" w:hAnsi="Calibri;Arial;sans-serif"/>
                  <w:b/>
                </w:rPr>
                <w:t>Financial Information</w:t>
              </w:r>
            </w:hyperlink>
          </w:p>
        </w:tc>
        <w:tc>
          <w:tcPr>
            <w:tcW w:w="51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shd w:fill="auto" w:val="clear"/>
            <w:vAlign w:val="center"/>
          </w:tcPr>
          <w:p>
            <w:pPr>
              <w:pStyle w:val="TableContents"/>
              <w:spacing w:before="0" w:after="0"/>
              <w:ind w:left="0" w:right="0" w:hanging="0"/>
              <w:rPr/>
            </w:pPr>
            <w:hyperlink w:anchor="fs">
              <w:r>
                <w:rPr>
                  <w:rStyle w:val="InternetLink"/>
                  <w:rFonts w:ascii="Calibri;Arial;sans-serif" w:hAnsi="Calibri;Arial;sans-serif"/>
                  <w:caps w:val="false"/>
                  <w:smallCaps w:val="false"/>
                  <w:sz w:val="20"/>
                </w:rPr>
                <w:t>Financial Statements</w:t>
              </w:r>
            </w:hyperlink>
          </w:p>
        </w:tc>
        <w:tc>
          <w:tcPr>
            <w:tcW w:w="515" w:type="dxa"/>
            <w:tcBorders/>
            <w:shd w:fill="auto" w:val="clear"/>
            <w:vAlign w:val="center"/>
          </w:tcPr>
          <w:p>
            <w:pPr>
              <w:pStyle w:val="TableContents"/>
              <w:spacing w:before="0" w:after="283"/>
              <w:jc w:val="center"/>
              <w:rPr/>
            </w:pPr>
            <w:hyperlink w:anchor="fs">
              <w:r>
                <w:rPr>
                  <w:rStyle w:val="InternetLink"/>
                  <w:rFonts w:ascii="Calibri;Arial;sans-serif" w:hAnsi="Calibri;Arial;sans-serif"/>
                </w:rPr>
                <w:t>3</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ops">
              <w:r>
                <w:rPr>
                  <w:rStyle w:val="InternetLink"/>
                  <w:rFonts w:ascii="Calibri;Arial;sans-serif" w:hAnsi="Calibri;Arial;sans-serif"/>
                  <w:caps w:val="false"/>
                  <w:smallCaps w:val="false"/>
                  <w:sz w:val="20"/>
                </w:rPr>
                <w:t>Consolidated Statement of Operations (Unaudited)</w:t>
              </w:r>
            </w:hyperlink>
          </w:p>
        </w:tc>
        <w:tc>
          <w:tcPr>
            <w:tcW w:w="515" w:type="dxa"/>
            <w:tcBorders/>
            <w:shd w:fill="auto" w:val="clear"/>
            <w:vAlign w:val="center"/>
          </w:tcPr>
          <w:p>
            <w:pPr>
              <w:pStyle w:val="TableContents"/>
              <w:spacing w:before="0" w:after="0"/>
              <w:ind w:left="0" w:right="0" w:hanging="0"/>
              <w:jc w:val="center"/>
              <w:rPr/>
            </w:pPr>
            <w:hyperlink w:anchor="ops">
              <w:r>
                <w:rPr>
                  <w:rStyle w:val="InternetLink"/>
                  <w:rFonts w:ascii="Calibri;Arial;sans-serif" w:hAnsi="Calibri;Arial;sans-serif"/>
                  <w:caps w:val="false"/>
                  <w:smallCaps w:val="false"/>
                  <w:sz w:val="20"/>
                </w:rPr>
                <w:t>3</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income">
              <w:r>
                <w:rPr>
                  <w:rStyle w:val="InternetLink"/>
                  <w:rFonts w:ascii="Calibri;Arial;sans-serif" w:hAnsi="Calibri;Arial;sans-serif"/>
                  <w:caps w:val="false"/>
                  <w:smallCaps w:val="false"/>
                  <w:sz w:val="20"/>
                </w:rPr>
                <w:t>Consolidated Statement of Comprehensive Income (Unaudited)</w:t>
              </w:r>
            </w:hyperlink>
          </w:p>
        </w:tc>
        <w:tc>
          <w:tcPr>
            <w:tcW w:w="515" w:type="dxa"/>
            <w:tcBorders/>
            <w:shd w:fill="auto" w:val="clear"/>
            <w:vAlign w:val="center"/>
          </w:tcPr>
          <w:p>
            <w:pPr>
              <w:pStyle w:val="TableContents"/>
              <w:spacing w:before="0" w:after="0"/>
              <w:ind w:left="0" w:right="0" w:hanging="0"/>
              <w:jc w:val="center"/>
              <w:rPr/>
            </w:pPr>
            <w:hyperlink w:anchor="income">
              <w:r>
                <w:rPr>
                  <w:rStyle w:val="InternetLink"/>
                  <w:rFonts w:ascii="Calibri;Arial;sans-serif" w:hAnsi="Calibri;Arial;sans-serif"/>
                  <w:caps w:val="false"/>
                  <w:smallCaps w:val="false"/>
                  <w:sz w:val="20"/>
                </w:rPr>
                <w:t>4</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finpos">
              <w:r>
                <w:rPr>
                  <w:rStyle w:val="InternetLink"/>
                  <w:rFonts w:ascii="Calibri;Arial;sans-serif" w:hAnsi="Calibri;Arial;sans-serif"/>
                  <w:caps w:val="false"/>
                  <w:smallCaps w:val="false"/>
                  <w:sz w:val="20"/>
                </w:rPr>
                <w:t>Consolidated Statement of Financial Position (Unaudited)</w:t>
              </w:r>
            </w:hyperlink>
          </w:p>
        </w:tc>
        <w:tc>
          <w:tcPr>
            <w:tcW w:w="515" w:type="dxa"/>
            <w:tcBorders/>
            <w:shd w:fill="auto" w:val="clear"/>
            <w:vAlign w:val="center"/>
          </w:tcPr>
          <w:p>
            <w:pPr>
              <w:pStyle w:val="TableContents"/>
              <w:spacing w:before="0" w:after="0"/>
              <w:ind w:left="0" w:right="0" w:hanging="0"/>
              <w:jc w:val="center"/>
              <w:rPr/>
            </w:pPr>
            <w:hyperlink w:anchor="finpos">
              <w:r>
                <w:rPr>
                  <w:rStyle w:val="InternetLink"/>
                  <w:rFonts w:ascii="Calibri;Arial;sans-serif" w:hAnsi="Calibri;Arial;sans-serif"/>
                  <w:caps w:val="false"/>
                  <w:smallCaps w:val="false"/>
                  <w:sz w:val="20"/>
                </w:rPr>
                <w:t>5</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cashflows">
              <w:r>
                <w:rPr>
                  <w:rStyle w:val="InternetLink"/>
                  <w:rFonts w:ascii="Calibri;Arial;sans-serif" w:hAnsi="Calibri;Arial;sans-serif"/>
                  <w:caps w:val="false"/>
                  <w:smallCaps w:val="false"/>
                  <w:sz w:val="20"/>
                </w:rPr>
                <w:t xml:space="preserve">Consolidated Statement of Cash Flows (Unaudited) </w:t>
              </w:r>
            </w:hyperlink>
          </w:p>
        </w:tc>
        <w:tc>
          <w:tcPr>
            <w:tcW w:w="515" w:type="dxa"/>
            <w:tcBorders/>
            <w:shd w:fill="auto" w:val="clear"/>
            <w:vAlign w:val="center"/>
          </w:tcPr>
          <w:p>
            <w:pPr>
              <w:pStyle w:val="TableContents"/>
              <w:spacing w:before="0" w:after="0"/>
              <w:ind w:left="0" w:right="0" w:hanging="0"/>
              <w:jc w:val="center"/>
              <w:rPr/>
            </w:pPr>
            <w:hyperlink w:anchor="cashflows">
              <w:r>
                <w:rPr>
                  <w:rStyle w:val="InternetLink"/>
                  <w:rFonts w:ascii="Calibri;Arial;sans-serif" w:hAnsi="Calibri;Arial;sans-serif"/>
                  <w:caps w:val="false"/>
                  <w:smallCaps w:val="false"/>
                  <w:sz w:val="20"/>
                </w:rPr>
                <w:t>6</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equity">
              <w:r>
                <w:rPr>
                  <w:rStyle w:val="InternetLink"/>
                  <w:rFonts w:ascii="Calibri;Arial;sans-serif" w:hAnsi="Calibri;Arial;sans-serif"/>
                  <w:caps w:val="false"/>
                  <w:smallCaps w:val="false"/>
                  <w:sz w:val="20"/>
                </w:rPr>
                <w:t>Consolidated Statement of Equity (Deficit) (Unaudited)</w:t>
              </w:r>
            </w:hyperlink>
          </w:p>
        </w:tc>
        <w:tc>
          <w:tcPr>
            <w:tcW w:w="515" w:type="dxa"/>
            <w:tcBorders/>
            <w:shd w:fill="auto" w:val="clear"/>
            <w:vAlign w:val="center"/>
          </w:tcPr>
          <w:p>
            <w:pPr>
              <w:pStyle w:val="TableContents"/>
              <w:spacing w:before="0" w:after="0"/>
              <w:ind w:left="0" w:right="0" w:hanging="0"/>
              <w:jc w:val="center"/>
              <w:rPr/>
            </w:pPr>
            <w:hyperlink w:anchor="equity">
              <w:r>
                <w:rPr>
                  <w:rStyle w:val="InternetLink"/>
                  <w:rFonts w:ascii="Calibri;Arial;sans-serif" w:hAnsi="Calibri;Arial;sans-serif"/>
                  <w:caps w:val="false"/>
                  <w:smallCaps w:val="false"/>
                  <w:sz w:val="20"/>
                </w:rPr>
                <w:t>7</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notes">
              <w:r>
                <w:rPr>
                  <w:rStyle w:val="InternetLink"/>
                  <w:rFonts w:ascii="Calibri;Arial;sans-serif" w:hAnsi="Calibri;Arial;sans-serif"/>
                  <w:caps w:val="false"/>
                  <w:smallCaps w:val="false"/>
                  <w:sz w:val="20"/>
                </w:rPr>
                <w:t>Notes to Financial Statements (Unaudited)</w:t>
              </w:r>
            </w:hyperlink>
          </w:p>
        </w:tc>
        <w:tc>
          <w:tcPr>
            <w:tcW w:w="515" w:type="dxa"/>
            <w:tcBorders/>
            <w:shd w:fill="auto" w:val="clear"/>
            <w:vAlign w:val="center"/>
          </w:tcPr>
          <w:p>
            <w:pPr>
              <w:pStyle w:val="TableContents"/>
              <w:spacing w:before="0" w:after="0"/>
              <w:ind w:left="0" w:right="0" w:hanging="0"/>
              <w:jc w:val="center"/>
              <w:rPr/>
            </w:pPr>
            <w:hyperlink w:anchor="notes">
              <w:r>
                <w:rPr>
                  <w:rStyle w:val="InternetLink"/>
                  <w:rFonts w:ascii="Calibri;Arial;sans-serif" w:hAnsi="Calibri;Arial;sans-serif"/>
                  <w:caps w:val="false"/>
                  <w:smallCaps w:val="false"/>
                  <w:sz w:val="20"/>
                </w:rPr>
                <w:t>9</w:t>
              </w:r>
            </w:hyperlink>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shd w:fill="auto" w:val="clear"/>
            <w:vAlign w:val="center"/>
          </w:tcPr>
          <w:p>
            <w:pPr>
              <w:pStyle w:val="TableContents"/>
              <w:spacing w:before="0" w:after="0"/>
              <w:ind w:left="0" w:right="0" w:hanging="0"/>
              <w:rPr/>
            </w:pPr>
            <w:hyperlink w:anchor="MDA">
              <w:r>
                <w:rPr>
                  <w:rStyle w:val="InternetLink"/>
                  <w:rFonts w:ascii="Calibri;Arial;sans-serif" w:hAnsi="Calibri;Arial;sans-serif"/>
                  <w:caps w:val="false"/>
                  <w:smallCaps w:val="false"/>
                  <w:sz w:val="20"/>
                </w:rPr>
                <w:t>Management’s Discussion and Analysis of Financial Condition and Results of Operations</w:t>
              </w:r>
            </w:hyperlink>
          </w:p>
        </w:tc>
        <w:tc>
          <w:tcPr>
            <w:tcW w:w="515" w:type="dxa"/>
            <w:tcBorders/>
            <w:shd w:fill="auto" w:val="clear"/>
            <w:vAlign w:val="center"/>
          </w:tcPr>
          <w:p>
            <w:pPr>
              <w:pStyle w:val="TableContents"/>
              <w:spacing w:before="0" w:after="0"/>
              <w:ind w:left="0" w:right="0" w:hanging="0"/>
              <w:jc w:val="center"/>
              <w:rPr/>
            </w:pPr>
            <w:hyperlink w:anchor="MDA">
              <w:r>
                <w:rPr>
                  <w:rStyle w:val="InternetLink"/>
                  <w:rFonts w:ascii="Calibri;Arial;sans-serif" w:hAnsi="Calibri;Arial;sans-serif"/>
                  <w:caps w:val="false"/>
                  <w:smallCaps w:val="false"/>
                  <w:sz w:val="20"/>
                </w:rPr>
                <w:t>34</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liquid">
              <w:r>
                <w:rPr>
                  <w:rStyle w:val="InternetLink"/>
                  <w:rFonts w:ascii="Calibri;Arial;sans-serif" w:hAnsi="Calibri;Arial;sans-serif"/>
                  <w:caps w:val="false"/>
                  <w:smallCaps w:val="false"/>
                  <w:sz w:val="20"/>
                </w:rPr>
                <w:t>Liquidity and Capital Resources</w:t>
              </w:r>
            </w:hyperlink>
          </w:p>
        </w:tc>
        <w:tc>
          <w:tcPr>
            <w:tcW w:w="515" w:type="dxa"/>
            <w:tcBorders/>
            <w:shd w:fill="auto" w:val="clear"/>
            <w:vAlign w:val="center"/>
          </w:tcPr>
          <w:p>
            <w:pPr>
              <w:pStyle w:val="TableContents"/>
              <w:spacing w:before="0" w:after="0"/>
              <w:ind w:left="0" w:right="0" w:hanging="0"/>
              <w:jc w:val="center"/>
              <w:rPr/>
            </w:pPr>
            <w:hyperlink w:anchor="liquid">
              <w:r>
                <w:rPr>
                  <w:rStyle w:val="InternetLink"/>
                  <w:rFonts w:ascii="Calibri;Arial;sans-serif" w:hAnsi="Calibri;Arial;sans-serif"/>
                  <w:caps w:val="false"/>
                  <w:smallCaps w:val="false"/>
                  <w:sz w:val="20"/>
                </w:rPr>
                <w:t>45</w:t>
              </w:r>
            </w:hyperlink>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3.</w:t>
            </w:r>
          </w:p>
        </w:tc>
        <w:tc>
          <w:tcPr>
            <w:tcW w:w="6935" w:type="dxa"/>
            <w:tcBorders/>
            <w:shd w:fill="auto" w:val="clear"/>
            <w:vAlign w:val="center"/>
          </w:tcPr>
          <w:p>
            <w:pPr>
              <w:pStyle w:val="TableContents"/>
              <w:spacing w:before="0" w:after="0"/>
              <w:ind w:left="0" w:right="0" w:hanging="0"/>
              <w:rPr/>
            </w:pPr>
            <w:hyperlink w:anchor="qqd">
              <w:r>
                <w:rPr>
                  <w:rStyle w:val="InternetLink"/>
                  <w:rFonts w:ascii="Calibri;Arial;sans-serif" w:hAnsi="Calibri;Arial;sans-serif"/>
                  <w:caps w:val="false"/>
                  <w:smallCaps w:val="false"/>
                  <w:sz w:val="20"/>
                </w:rPr>
                <w:t>Quantitative and Qualitative Disclosures About Market Risk</w:t>
              </w:r>
            </w:hyperlink>
          </w:p>
        </w:tc>
        <w:tc>
          <w:tcPr>
            <w:tcW w:w="515" w:type="dxa"/>
            <w:tcBorders/>
            <w:shd w:fill="auto" w:val="clear"/>
            <w:vAlign w:val="center"/>
          </w:tcPr>
          <w:p>
            <w:pPr>
              <w:pStyle w:val="TableContents"/>
              <w:spacing w:before="0" w:after="0"/>
              <w:ind w:left="0" w:right="0" w:hanging="0"/>
              <w:jc w:val="center"/>
              <w:rPr/>
            </w:pPr>
            <w:hyperlink w:anchor="qqd">
              <w:r>
                <w:rPr>
                  <w:rStyle w:val="InternetLink"/>
                  <w:rFonts w:ascii="Calibri;Arial;sans-serif" w:hAnsi="Calibri;Arial;sans-serif"/>
                  <w:caps w:val="false"/>
                  <w:smallCaps w:val="false"/>
                  <w:sz w:val="20"/>
                </w:rPr>
                <w:t>49</w:t>
              </w:r>
            </w:hyperlink>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4.</w:t>
            </w:r>
          </w:p>
        </w:tc>
        <w:tc>
          <w:tcPr>
            <w:tcW w:w="6935" w:type="dxa"/>
            <w:tcBorders/>
            <w:shd w:fill="auto" w:val="clear"/>
            <w:vAlign w:val="center"/>
          </w:tcPr>
          <w:p>
            <w:pPr>
              <w:pStyle w:val="TableContents"/>
              <w:spacing w:before="0" w:after="0"/>
              <w:ind w:left="0" w:right="0" w:hanging="0"/>
              <w:rPr/>
            </w:pPr>
            <w:hyperlink w:anchor="controls">
              <w:r>
                <w:rPr>
                  <w:rStyle w:val="InternetLink"/>
                  <w:rFonts w:ascii="Calibri;Arial;sans-serif" w:hAnsi="Calibri;Arial;sans-serif"/>
                  <w:caps w:val="false"/>
                  <w:smallCaps w:val="false"/>
                  <w:sz w:val="20"/>
                </w:rPr>
                <w:t>Controls and Procedures</w:t>
              </w:r>
            </w:hyperlink>
          </w:p>
        </w:tc>
        <w:tc>
          <w:tcPr>
            <w:tcW w:w="515" w:type="dxa"/>
            <w:tcBorders/>
            <w:shd w:fill="auto" w:val="clear"/>
            <w:vAlign w:val="center"/>
          </w:tcPr>
          <w:p>
            <w:pPr>
              <w:pStyle w:val="TableContents"/>
              <w:spacing w:before="0" w:after="0"/>
              <w:ind w:left="0" w:right="0" w:hanging="0"/>
              <w:jc w:val="center"/>
              <w:rPr/>
            </w:pPr>
            <w:hyperlink w:anchor="controls">
              <w:r>
                <w:rPr>
                  <w:rStyle w:val="InternetLink"/>
                  <w:rFonts w:ascii="Calibri;Arial;sans-serif" w:hAnsi="Calibri;Arial;sans-serif"/>
                  <w:caps w:val="false"/>
                  <w:smallCaps w:val="false"/>
                  <w:sz w:val="20"/>
                </w:rPr>
                <w:t>49</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283"/>
              <w:jc w:val="center"/>
              <w:rPr/>
            </w:pPr>
            <w:r>
              <w:rPr/>
              <w:t> </w:t>
            </w:r>
          </w:p>
        </w:tc>
        <w:tc>
          <w:tcPr>
            <w:tcW w:w="51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283"/>
              <w:jc w:val="center"/>
              <w:rPr/>
            </w:pPr>
            <w:hyperlink w:anchor="part2other">
              <w:r>
                <w:rPr>
                  <w:rStyle w:val="InternetLink"/>
                  <w:rFonts w:ascii="Calibri;Arial;sans-serif" w:hAnsi="Calibri;Arial;sans-serif"/>
                  <w:b/>
                </w:rPr>
                <w:t xml:space="preserve">Part II. </w:t>
              </w:r>
            </w:hyperlink>
            <w:hyperlink w:anchor="part2other">
              <w:r>
                <w:rPr>
                  <w:rStyle w:val="InternetLink"/>
                  <w:rFonts w:ascii="Calibri;Arial;sans-serif" w:hAnsi="Calibri;Arial;sans-serif"/>
                </w:rPr>
                <w:t>—</w:t>
              </w:r>
            </w:hyperlink>
            <w:hyperlink w:anchor="part2other">
              <w:r>
                <w:rPr>
                  <w:rStyle w:val="InternetLink"/>
                  <w:rFonts w:ascii="Calibri;Arial;sans-serif" w:hAnsi="Calibri;Arial;sans-serif"/>
                  <w:b/>
                </w:rPr>
                <w:t>Other Information</w:t>
              </w:r>
            </w:hyperlink>
          </w:p>
        </w:tc>
        <w:tc>
          <w:tcPr>
            <w:tcW w:w="51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rPr/>
            </w:pPr>
            <w:r>
              <w:rPr/>
              <w:t> </w:t>
            </w:r>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1.</w:t>
            </w:r>
          </w:p>
        </w:tc>
        <w:tc>
          <w:tcPr>
            <w:tcW w:w="6935" w:type="dxa"/>
            <w:tcBorders/>
            <w:shd w:fill="auto" w:val="clear"/>
            <w:vAlign w:val="center"/>
          </w:tcPr>
          <w:p>
            <w:pPr>
              <w:pStyle w:val="TableContents"/>
              <w:spacing w:before="0" w:after="0"/>
              <w:ind w:left="0" w:right="0" w:hanging="0"/>
              <w:rPr/>
            </w:pPr>
            <w:hyperlink w:anchor="item1legal">
              <w:r>
                <w:rPr>
                  <w:rStyle w:val="InternetLink"/>
                  <w:rFonts w:ascii="Calibri;Arial;sans-serif" w:hAnsi="Calibri;Arial;sans-serif"/>
                  <w:caps w:val="false"/>
                  <w:smallCaps w:val="false"/>
                  <w:sz w:val="20"/>
                </w:rPr>
                <w:t>Legal Proceedings</w:t>
              </w:r>
            </w:hyperlink>
          </w:p>
        </w:tc>
        <w:tc>
          <w:tcPr>
            <w:tcW w:w="515" w:type="dxa"/>
            <w:tcBorders/>
            <w:shd w:fill="auto" w:val="clear"/>
            <w:vAlign w:val="center"/>
          </w:tcPr>
          <w:p>
            <w:pPr>
              <w:pStyle w:val="TableContents"/>
              <w:spacing w:before="0" w:after="0"/>
              <w:ind w:left="0" w:right="0" w:hanging="0"/>
              <w:jc w:val="center"/>
              <w:rPr/>
            </w:pPr>
            <w:hyperlink w:anchor="item1legal">
              <w:r>
                <w:rPr>
                  <w:rStyle w:val="InternetLink"/>
                  <w:rFonts w:ascii="Calibri;Arial;sans-serif" w:hAnsi="Calibri;Arial;sans-serif"/>
                  <w:caps w:val="false"/>
                  <w:smallCaps w:val="false"/>
                  <w:sz w:val="20"/>
                </w:rPr>
                <w:t>50</w:t>
              </w:r>
            </w:hyperlink>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1A.</w:t>
            </w:r>
          </w:p>
        </w:tc>
        <w:tc>
          <w:tcPr>
            <w:tcW w:w="6935" w:type="dxa"/>
            <w:tcBorders/>
            <w:shd w:fill="auto" w:val="clear"/>
            <w:vAlign w:val="center"/>
          </w:tcPr>
          <w:p>
            <w:pPr>
              <w:pStyle w:val="TableContents"/>
              <w:spacing w:before="0" w:after="0"/>
              <w:ind w:left="0" w:right="0" w:hanging="0"/>
              <w:rPr/>
            </w:pPr>
            <w:hyperlink w:anchor="item1arisk">
              <w:r>
                <w:rPr>
                  <w:rStyle w:val="InternetLink"/>
                  <w:rFonts w:ascii="Calibri;Arial;sans-serif" w:hAnsi="Calibri;Arial;sans-serif"/>
                  <w:caps w:val="false"/>
                  <w:smallCaps w:val="false"/>
                  <w:sz w:val="20"/>
                </w:rPr>
                <w:t>Risk Factors</w:t>
              </w:r>
            </w:hyperlink>
          </w:p>
        </w:tc>
        <w:tc>
          <w:tcPr>
            <w:tcW w:w="515" w:type="dxa"/>
            <w:tcBorders/>
            <w:shd w:fill="auto" w:val="clear"/>
            <w:vAlign w:val="center"/>
          </w:tcPr>
          <w:p>
            <w:pPr>
              <w:pStyle w:val="TableContents"/>
              <w:spacing w:before="0" w:after="0"/>
              <w:ind w:left="0" w:right="0" w:hanging="0"/>
              <w:jc w:val="center"/>
              <w:rPr/>
            </w:pPr>
            <w:hyperlink w:anchor="item1arisk">
              <w:r>
                <w:rPr>
                  <w:rStyle w:val="InternetLink"/>
                  <w:rFonts w:ascii="Calibri;Arial;sans-serif" w:hAnsi="Calibri;Arial;sans-serif"/>
                  <w:caps w:val="false"/>
                  <w:smallCaps w:val="false"/>
                  <w:sz w:val="20"/>
                </w:rPr>
                <w:t>50</w:t>
              </w:r>
            </w:hyperlink>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2.</w:t>
            </w:r>
          </w:p>
        </w:tc>
        <w:tc>
          <w:tcPr>
            <w:tcW w:w="6935" w:type="dxa"/>
            <w:tcBorders/>
            <w:shd w:fill="auto" w:val="clear"/>
            <w:vAlign w:val="center"/>
          </w:tcPr>
          <w:p>
            <w:pPr>
              <w:pStyle w:val="TableContents"/>
              <w:spacing w:before="0" w:after="0"/>
              <w:ind w:left="0" w:right="0" w:hanging="0"/>
              <w:rPr/>
            </w:pPr>
            <w:hyperlink w:anchor="item2unregistered">
              <w:r>
                <w:rPr>
                  <w:rStyle w:val="InternetLink"/>
                  <w:rFonts w:ascii="Calibri;Arial;sans-serif" w:hAnsi="Calibri;Arial;sans-serif"/>
                  <w:caps w:val="false"/>
                  <w:smallCaps w:val="false"/>
                  <w:sz w:val="20"/>
                </w:rPr>
                <w:t>Unregistered Sales of Equity Securities and Use of Proceeds</w:t>
              </w:r>
            </w:hyperlink>
          </w:p>
        </w:tc>
        <w:tc>
          <w:tcPr>
            <w:tcW w:w="515" w:type="dxa"/>
            <w:tcBorders/>
            <w:shd w:fill="auto" w:val="clear"/>
            <w:vAlign w:val="center"/>
          </w:tcPr>
          <w:p>
            <w:pPr>
              <w:pStyle w:val="TableContents"/>
              <w:spacing w:before="0" w:after="0"/>
              <w:ind w:left="0" w:right="0" w:hanging="0"/>
              <w:jc w:val="center"/>
              <w:rPr/>
            </w:pPr>
            <w:hyperlink w:anchor="item2unregistered">
              <w:r>
                <w:rPr>
                  <w:rStyle w:val="InternetLink"/>
                  <w:rFonts w:ascii="Calibri;Arial;sans-serif" w:hAnsi="Calibri;Arial;sans-serif"/>
                  <w:caps w:val="false"/>
                  <w:smallCaps w:val="false"/>
                  <w:sz w:val="20"/>
                </w:rPr>
                <w:t>50</w:t>
              </w:r>
            </w:hyperlink>
          </w:p>
        </w:tc>
      </w:tr>
      <w:tr>
        <w:trPr/>
        <w:tc>
          <w:tcPr>
            <w:tcW w:w="68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 6.</w:t>
            </w:r>
          </w:p>
        </w:tc>
        <w:tc>
          <w:tcPr>
            <w:tcW w:w="6935" w:type="dxa"/>
            <w:tcBorders/>
            <w:shd w:fill="auto" w:val="clear"/>
            <w:vAlign w:val="center"/>
          </w:tcPr>
          <w:p>
            <w:pPr>
              <w:pStyle w:val="TableContents"/>
              <w:spacing w:before="0" w:after="0"/>
              <w:ind w:left="0" w:right="0" w:hanging="0"/>
              <w:rPr/>
            </w:pPr>
            <w:hyperlink w:anchor="exhibits">
              <w:r>
                <w:rPr>
                  <w:rStyle w:val="InternetLink"/>
                  <w:rFonts w:ascii="Calibri;Arial;sans-serif" w:hAnsi="Calibri;Arial;sans-serif"/>
                  <w:caps w:val="false"/>
                  <w:smallCaps w:val="false"/>
                  <w:sz w:val="20"/>
                </w:rPr>
                <w:t>Exhibits</w:t>
              </w:r>
            </w:hyperlink>
          </w:p>
        </w:tc>
        <w:tc>
          <w:tcPr>
            <w:tcW w:w="515" w:type="dxa"/>
            <w:tcBorders/>
            <w:shd w:fill="auto" w:val="clear"/>
            <w:vAlign w:val="center"/>
          </w:tcPr>
          <w:p>
            <w:pPr>
              <w:pStyle w:val="TableContents"/>
              <w:spacing w:before="0" w:after="0"/>
              <w:ind w:left="0" w:right="0" w:hanging="0"/>
              <w:jc w:val="center"/>
              <w:rPr/>
            </w:pPr>
            <w:hyperlink w:anchor="exhibits">
              <w:r>
                <w:rPr>
                  <w:rStyle w:val="InternetLink"/>
                  <w:rFonts w:ascii="Calibri;Arial;sans-serif" w:hAnsi="Calibri;Arial;sans-serif"/>
                  <w:caps w:val="false"/>
                  <w:smallCaps w:val="false"/>
                  <w:sz w:val="20"/>
                </w:rPr>
                <w:t>51</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exhibits">
              <w:r>
                <w:rPr>
                  <w:rStyle w:val="InternetLink"/>
                  <w:rFonts w:ascii="Calibri;Arial;sans-serif" w:hAnsi="Calibri;Arial;sans-serif"/>
                  <w:caps w:val="false"/>
                  <w:smallCaps w:val="false"/>
                  <w:sz w:val="20"/>
                </w:rPr>
                <w:t>Index to Exhibits</w:t>
              </w:r>
            </w:hyperlink>
          </w:p>
        </w:tc>
        <w:tc>
          <w:tcPr>
            <w:tcW w:w="515" w:type="dxa"/>
            <w:tcBorders/>
            <w:shd w:fill="auto" w:val="clear"/>
            <w:vAlign w:val="center"/>
          </w:tcPr>
          <w:p>
            <w:pPr>
              <w:pStyle w:val="TableContents"/>
              <w:spacing w:before="0" w:after="0"/>
              <w:ind w:left="0" w:right="0" w:hanging="0"/>
              <w:jc w:val="center"/>
              <w:rPr/>
            </w:pPr>
            <w:hyperlink w:anchor="exhibits">
              <w:r>
                <w:rPr>
                  <w:rStyle w:val="InternetLink"/>
                  <w:rFonts w:ascii="Calibri;Arial;sans-serif" w:hAnsi="Calibri;Arial;sans-serif"/>
                  <w:caps w:val="false"/>
                  <w:smallCaps w:val="false"/>
                  <w:sz w:val="20"/>
                </w:rPr>
                <w:t>51</w:t>
              </w:r>
            </w:hyperlink>
          </w:p>
        </w:tc>
      </w:tr>
      <w:tr>
        <w:trPr/>
        <w:tc>
          <w:tcPr>
            <w:tcW w:w="68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ind w:left="0" w:right="0" w:hanging="0"/>
              <w:rPr/>
            </w:pPr>
            <w:hyperlink w:anchor="sigs">
              <w:r>
                <w:rPr>
                  <w:rStyle w:val="InternetLink"/>
                  <w:rFonts w:ascii="Calibri;Arial;sans-serif" w:hAnsi="Calibri;Arial;sans-serif"/>
                  <w:caps w:val="false"/>
                  <w:smallCaps w:val="false"/>
                  <w:sz w:val="20"/>
                </w:rPr>
                <w:t>Signatures</w:t>
              </w:r>
            </w:hyperlink>
          </w:p>
        </w:tc>
        <w:tc>
          <w:tcPr>
            <w:tcW w:w="515" w:type="dxa"/>
            <w:tcBorders/>
            <w:shd w:fill="auto" w:val="clear"/>
            <w:vAlign w:val="center"/>
          </w:tcPr>
          <w:p>
            <w:pPr>
              <w:pStyle w:val="TableContents"/>
              <w:spacing w:before="0" w:after="0"/>
              <w:ind w:left="0" w:right="0" w:hanging="0"/>
              <w:jc w:val="center"/>
              <w:rPr/>
            </w:pPr>
            <w:hyperlink w:anchor="sigs">
              <w:r>
                <w:rPr>
                  <w:rStyle w:val="InternetLink"/>
                  <w:rFonts w:ascii="Calibri;Arial;sans-serif" w:hAnsi="Calibri;Arial;sans-serif"/>
                  <w:caps w:val="false"/>
                  <w:smallCaps w:val="false"/>
                  <w:sz w:val="20"/>
                </w:rPr>
                <w:t>53</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Calibri;Arial;sans-serif" w:hAnsi="Calibri;Arial;sans-serif"/>
          <w:b/>
          <w:caps w:val="false"/>
          <w:smallCaps w:val="false"/>
          <w:sz w:val="20"/>
        </w:rPr>
      </w:pPr>
      <w:bookmarkStart w:id="3" w:name="part1"/>
      <w:bookmarkEnd w:id="3"/>
      <w:r>
        <w:rPr>
          <w:rFonts w:ascii="Calibri;Arial;sans-serif" w:hAnsi="Calibri;Arial;sans-serif"/>
          <w:b/>
          <w:caps w:val="false"/>
          <w:smallCaps w:val="false"/>
          <w:sz w:val="20"/>
        </w:rPr>
        <w:t>Part I. FINANCIAL INFORMATION</w:t>
      </w:r>
    </w:p>
    <w:p>
      <w:pPr>
        <w:pStyle w:val="TextBody"/>
        <w:spacing w:before="0" w:after="0"/>
        <w:ind w:left="0" w:right="0" w:hanging="0"/>
        <w:rPr>
          <w:rFonts w:ascii="Calibri;Arial;sans-serif" w:hAnsi="Calibri;Arial;sans-serif"/>
          <w:caps w:val="false"/>
          <w:smallCaps w:val="false"/>
          <w:sz w:val="20"/>
        </w:rPr>
      </w:pPr>
      <w:bookmarkStart w:id="4" w:name="fs"/>
      <w:bookmarkEnd w:id="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1.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bookmarkStart w:id="5" w:name="ops"/>
      <w:bookmarkEnd w:id="5"/>
      <w:r>
        <w:rPr>
          <w:rFonts w:ascii="Calibri;Arial;sans-serif" w:hAnsi="Calibri;Arial;sans-serif"/>
          <w:b/>
          <w:caps w:val="false"/>
          <w:smallCaps w:val="false"/>
          <w:sz w:val="20"/>
        </w:rPr>
        <w:t>EASTMAN KODAK COMPANY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OPERATIONS (Unaudited)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 except per share data)</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521"/>
        <w:gridCol w:w="60"/>
        <w:gridCol w:w="157"/>
        <w:gridCol w:w="480"/>
        <w:gridCol w:w="100"/>
        <w:gridCol w:w="75"/>
        <w:gridCol w:w="157"/>
        <w:gridCol w:w="555"/>
        <w:gridCol w:w="100"/>
      </w:tblGrid>
      <w:tr>
        <w:trPr/>
        <w:tc>
          <w:tcPr>
            <w:tcW w:w="85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24"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100" w:type="dxa"/>
            <w:tcBorders/>
            <w:shd w:fill="FFFF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2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100" w:type="dxa"/>
            <w:tcBorders/>
            <w:shd w:fill="FFFF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3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71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555"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Sales</w:t>
            </w:r>
          </w:p>
        </w:tc>
        <w:tc>
          <w:tcPr>
            <w:tcW w:w="60" w:type="dxa"/>
            <w:tcBorders/>
            <w:shd w:fill="FFFFFF" w:val="clear"/>
            <w:vAlign w:val="center"/>
          </w:tcPr>
          <w:p>
            <w:pPr>
              <w:pStyle w:val="TableContents"/>
              <w:spacing w:before="0" w:after="283"/>
              <w:ind w:left="0" w:right="0" w:hanging="0"/>
              <w:rPr/>
            </w:pPr>
            <w:r>
              <w:rPr/>
              <w:t> </w:t>
            </w:r>
          </w:p>
        </w:tc>
        <w:tc>
          <w:tcPr>
            <w:tcW w:w="157"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224</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157"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234</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Services</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56</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revenues</w:t>
            </w:r>
          </w:p>
        </w:tc>
        <w:tc>
          <w:tcPr>
            <w:tcW w:w="60" w:type="dxa"/>
            <w:tcBorders/>
            <w:shd w:fill="FFFFFF" w:val="clear"/>
            <w:vAlign w:val="center"/>
          </w:tcPr>
          <w:p>
            <w:pPr>
              <w:pStyle w:val="TableContents"/>
              <w:spacing w:before="0" w:after="283"/>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290</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555"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Sales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192</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220</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Services</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cost of revenues</w:t>
            </w:r>
          </w:p>
        </w:tc>
        <w:tc>
          <w:tcPr>
            <w:tcW w:w="60" w:type="dxa"/>
            <w:tcBorders/>
            <w:shd w:fill="FFFFFF" w:val="clear"/>
            <w:vAlign w:val="center"/>
          </w:tcPr>
          <w:p>
            <w:pPr>
              <w:pStyle w:val="TableContents"/>
              <w:spacing w:before="0" w:after="283"/>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257</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48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55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Selling, general and administrative expenses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48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55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pPr>
            <w:r>
              <w:rPr/>
              <w:t>—</w:t>
            </w:r>
          </w:p>
        </w:tc>
        <w:tc>
          <w:tcPr>
            <w:tcW w:w="100" w:type="dxa"/>
            <w:tcBorders/>
            <w:shd w:fill="FFFFFF" w:val="clear"/>
            <w:vAlign w:val="center"/>
          </w:tcPr>
          <w:p>
            <w:pPr>
              <w:pStyle w:val="TableContents"/>
              <w:spacing w:before="0" w:after="283"/>
              <w:ind w:left="0" w:right="0" w:hanging="0"/>
              <w:rPr/>
            </w:pPr>
            <w:r>
              <w:rPr/>
              <w:t> </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Other operating expense</w:t>
            </w:r>
          </w:p>
        </w:tc>
        <w:tc>
          <w:tcPr>
            <w:tcW w:w="60" w:type="dxa"/>
            <w:tcBorders/>
            <w:shd w:fill="CCEEFF" w:val="clear"/>
            <w:vAlign w:val="center"/>
          </w:tcPr>
          <w:p>
            <w:pPr>
              <w:pStyle w:val="TableContents"/>
              <w:spacing w:before="0" w:after="0"/>
              <w:ind w:left="0" w:right="0" w:hanging="0"/>
              <w:rPr/>
            </w:pPr>
            <w:r>
              <w:rPr/>
              <w:t> </w:t>
            </w:r>
          </w:p>
        </w:tc>
        <w:tc>
          <w:tcPr>
            <w:tcW w:w="15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100" w:type="dxa"/>
            <w:tcBorders/>
            <w:shd w:fill="CCEEFF" w:val="clear"/>
            <w:vAlign w:val="center"/>
          </w:tcPr>
          <w:p>
            <w:pPr>
              <w:pStyle w:val="TableContents"/>
              <w:spacing w:before="0" w:after="0"/>
              <w:ind w:left="0" w:right="0" w:hanging="0"/>
              <w:rPr/>
            </w:pPr>
            <w:r>
              <w:rPr/>
              <w:t> </w:t>
            </w:r>
          </w:p>
        </w:tc>
        <w:tc>
          <w:tcPr>
            <w:tcW w:w="75" w:type="dxa"/>
            <w:tcBorders/>
            <w:shd w:fill="CCEEFF" w:val="clear"/>
            <w:vAlign w:val="center"/>
          </w:tcPr>
          <w:p>
            <w:pPr>
              <w:pStyle w:val="TableContents"/>
              <w:spacing w:before="0" w:after="0"/>
              <w:ind w:left="0" w:right="0" w:hanging="0"/>
              <w:rPr/>
            </w:pPr>
            <w:r>
              <w:rPr/>
              <w:t> </w:t>
            </w:r>
          </w:p>
        </w:tc>
        <w:tc>
          <w:tcPr>
            <w:tcW w:w="15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5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0" w:type="dxa"/>
            <w:tcBorders/>
            <w:shd w:fill="CCEEFF" w:val="clear"/>
            <w:vAlign w:val="center"/>
          </w:tcPr>
          <w:p>
            <w:pPr>
              <w:pStyle w:val="TableContents"/>
              <w:spacing w:before="0" w:after="0"/>
              <w:rPr/>
            </w:pPr>
            <w:r>
              <w:rPr/>
              <w:t> </w:t>
            </w:r>
          </w:p>
        </w:tc>
      </w:tr>
      <w:tr>
        <w:trPr/>
        <w:tc>
          <w:tcPr>
            <w:tcW w:w="8521"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Earnings (loss) from operations before interest expense, pension income excluding service cost component, other (income) charges, net and income taxes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10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Interest expense</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48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ind w:left="0" w:right="0" w:hanging="0"/>
              <w:rPr/>
            </w:pPr>
            <w:r>
              <w:rPr/>
              <w:t> </w:t>
            </w:r>
          </w:p>
        </w:tc>
        <w:tc>
          <w:tcPr>
            <w:tcW w:w="55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10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10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(income) charges, net</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0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75"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Earnings (loss) from operations before income taxes</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0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 (LOSS)</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0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85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555"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Basic net earnings (loss) per share attributable to Eastman Kodak Company common shareholders</w:t>
            </w:r>
          </w:p>
        </w:tc>
        <w:tc>
          <w:tcPr>
            <w:tcW w:w="60"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0.33</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ind w:left="0" w:right="0" w:hanging="0"/>
              <w:rPr/>
            </w:pPr>
            <w:r>
              <w:rPr/>
              <w:t> </w:t>
            </w:r>
          </w:p>
        </w:tc>
        <w:tc>
          <w:tcPr>
            <w:tcW w:w="157"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(0.08</w:t>
            </w:r>
          </w:p>
        </w:tc>
        <w:tc>
          <w:tcPr>
            <w:tcW w:w="10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Diluted net earnings (loss) per share attributable to Eastman Kodak Company common shareholders</w:t>
            </w:r>
          </w:p>
        </w:tc>
        <w:tc>
          <w:tcPr>
            <w:tcW w:w="60" w:type="dxa"/>
            <w:tcBorders/>
            <w:shd w:fill="CCEEFF" w:val="clear"/>
            <w:vAlign w:val="center"/>
          </w:tcPr>
          <w:p>
            <w:pPr>
              <w:pStyle w:val="TableContents"/>
              <w:spacing w:before="0" w:after="283"/>
              <w:ind w:left="0" w:right="0" w:hanging="0"/>
              <w:rPr/>
            </w:pPr>
            <w:r>
              <w:rPr/>
              <w:t> </w:t>
            </w:r>
          </w:p>
        </w:tc>
        <w:tc>
          <w:tcPr>
            <w:tcW w:w="15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0.30</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ind w:left="0" w:right="0" w:hanging="0"/>
              <w:rPr/>
            </w:pPr>
            <w:r>
              <w:rPr/>
              <w:t> </w:t>
            </w:r>
          </w:p>
        </w:tc>
        <w:tc>
          <w:tcPr>
            <w:tcW w:w="15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(0.08</w:t>
            </w:r>
          </w:p>
        </w:tc>
        <w:tc>
          <w:tcPr>
            <w:tcW w:w="10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852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480"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rPr/>
            </w:pPr>
            <w:r>
              <w:rPr/>
              <w:t> </w:t>
            </w:r>
          </w:p>
        </w:tc>
        <w:tc>
          <w:tcPr>
            <w:tcW w:w="555" w:type="dxa"/>
            <w:tcBorders/>
            <w:shd w:fill="FFFFFF" w:val="clear"/>
            <w:vAlign w:val="center"/>
          </w:tcPr>
          <w:p>
            <w:pPr>
              <w:pStyle w:val="TableContents"/>
              <w:spacing w:before="0" w:after="283"/>
              <w:rPr/>
            </w:pPr>
            <w:r>
              <w:rPr/>
              <w:t> </w:t>
            </w:r>
          </w:p>
        </w:tc>
        <w:tc>
          <w:tcPr>
            <w:tcW w:w="100" w:type="dxa"/>
            <w:tcBorders/>
            <w:shd w:fill="FFFFFF" w:val="clear"/>
            <w:vAlign w:val="center"/>
          </w:tcPr>
          <w:p>
            <w:pPr>
              <w:pStyle w:val="TableContents"/>
              <w:spacing w:before="0" w:after="283"/>
              <w:rPr/>
            </w:pPr>
            <w:r>
              <w:rPr/>
              <w:t> </w:t>
            </w:r>
          </w:p>
        </w:tc>
      </w:tr>
      <w:tr>
        <w:trPr/>
        <w:tc>
          <w:tcPr>
            <w:tcW w:w="8521"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Number of common shares used in basic and diluted net earnings (loss) per share</w:t>
            </w:r>
          </w:p>
        </w:tc>
        <w:tc>
          <w:tcPr>
            <w:tcW w:w="6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48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555"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Basic</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79.1</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78.7</w:t>
            </w:r>
          </w:p>
        </w:tc>
        <w:tc>
          <w:tcPr>
            <w:tcW w:w="100" w:type="dxa"/>
            <w:tcBorders/>
            <w:shd w:fill="FFFFFF" w:val="clear"/>
            <w:vAlign w:val="center"/>
          </w:tcPr>
          <w:p>
            <w:pPr>
              <w:pStyle w:val="TableContents"/>
              <w:spacing w:before="0" w:after="283"/>
              <w:rPr/>
            </w:pPr>
            <w:r>
              <w:rPr/>
              <w:t> </w:t>
            </w:r>
          </w:p>
        </w:tc>
      </w:tr>
      <w:tr>
        <w:trPr/>
        <w:tc>
          <w:tcPr>
            <w:tcW w:w="8521"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Diluted</w:t>
            </w:r>
          </w:p>
        </w:tc>
        <w:tc>
          <w:tcPr>
            <w:tcW w:w="60"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48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92.2</w:t>
            </w:r>
          </w:p>
        </w:tc>
        <w:tc>
          <w:tcPr>
            <w:tcW w:w="10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ind w:left="0" w:right="0" w:hanging="0"/>
              <w:rPr/>
            </w:pPr>
            <w:r>
              <w:rPr/>
              <w:t> </w:t>
            </w:r>
          </w:p>
        </w:tc>
        <w:tc>
          <w:tcPr>
            <w:tcW w:w="55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78.7</w:t>
            </w:r>
          </w:p>
        </w:tc>
        <w:tc>
          <w:tcPr>
            <w:tcW w:w="10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bookmarkStart w:id="6" w:name="income"/>
      <w:bookmarkEnd w:id="6"/>
      <w:r>
        <w:rPr>
          <w:rFonts w:ascii="Calibri;Arial;sans-serif" w:hAnsi="Calibri;Arial;sans-serif"/>
          <w:b/>
          <w:caps w:val="false"/>
          <w:smallCaps w:val="false"/>
          <w:sz w:val="20"/>
        </w:rPr>
        <w:t>EASTMAN KODAK COMPANY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COMPREHENSIVE INCOME (Unaudited)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spacing w:before="0" w:after="0"/>
        <w:ind w:left="0" w:right="0" w:hanging="0"/>
        <w:rPr>
          <w:caps w:val="false"/>
          <w:smallCaps w:val="false"/>
        </w:rPr>
      </w:pPr>
      <w:r>
        <w:rPr>
          <w:caps w:val="false"/>
          <w:smallCaps w:val="false"/>
        </w:rPr>
        <w:t> </w:t>
      </w:r>
    </w:p>
    <w:tbl>
      <w:tblPr>
        <w:tblW w:w="7827" w:type="dxa"/>
        <w:jc w:val="left"/>
        <w:tblInd w:w="0" w:type="dxa"/>
        <w:tblCellMar>
          <w:top w:w="0" w:type="dxa"/>
          <w:left w:w="0" w:type="dxa"/>
          <w:bottom w:w="0" w:type="dxa"/>
          <w:right w:w="0" w:type="dxa"/>
        </w:tblCellMar>
      </w:tblPr>
      <w:tblGrid>
        <w:gridCol w:w="5990"/>
        <w:gridCol w:w="60"/>
        <w:gridCol w:w="239"/>
        <w:gridCol w:w="440"/>
        <w:gridCol w:w="153"/>
        <w:gridCol w:w="114"/>
        <w:gridCol w:w="239"/>
        <w:gridCol w:w="497"/>
        <w:gridCol w:w="95"/>
      </w:tblGrid>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95" w:type="dxa"/>
            <w:tcBorders/>
            <w:shd w:fill="FFFFFF" w:val="clear"/>
            <w:vAlign w:val="center"/>
          </w:tcPr>
          <w:p>
            <w:pPr>
              <w:pStyle w:val="TableContents"/>
              <w:spacing w:before="0" w:after="283"/>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95" w:type="dxa"/>
            <w:tcBorders/>
            <w:shd w:fill="FFFFFF" w:val="clear"/>
            <w:vAlign w:val="center"/>
          </w:tcPr>
          <w:p>
            <w:pPr>
              <w:pStyle w:val="TableContents"/>
              <w:spacing w:before="0" w:after="283"/>
              <w:rPr/>
            </w:pPr>
            <w:r>
              <w:rPr/>
              <w:t> </w:t>
            </w:r>
          </w:p>
        </w:tc>
      </w:tr>
      <w:tr>
        <w:trPr/>
        <w:tc>
          <w:tcPr>
            <w:tcW w:w="59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73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spacing w:before="0" w:after="283"/>
              <w:rPr/>
            </w:pPr>
            <w:r>
              <w:rPr/>
              <w:t> </w:t>
            </w:r>
          </w:p>
        </w:tc>
      </w:tr>
      <w:tr>
        <w:trPr/>
        <w:tc>
          <w:tcPr>
            <w:tcW w:w="599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 (LOSS)</w:t>
            </w:r>
          </w:p>
        </w:tc>
        <w:tc>
          <w:tcPr>
            <w:tcW w:w="60" w:type="dxa"/>
            <w:tcBorders/>
            <w:shd w:fill="CCEEFF" w:val="clear"/>
            <w:vAlign w:val="center"/>
          </w:tcPr>
          <w:p>
            <w:pPr>
              <w:pStyle w:val="TableContents"/>
              <w:spacing w:before="0" w:after="283"/>
              <w:ind w:left="0" w:right="0" w:hanging="0"/>
              <w:rPr/>
            </w:pPr>
            <w:r>
              <w:rPr/>
              <w:t> </w:t>
            </w:r>
          </w:p>
        </w:tc>
        <w:tc>
          <w:tcPr>
            <w:tcW w:w="23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153"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ind w:left="0" w:right="0" w:hanging="0"/>
              <w:rPr/>
            </w:pPr>
            <w:r>
              <w:rPr/>
              <w:t> </w:t>
            </w:r>
          </w:p>
        </w:tc>
        <w:tc>
          <w:tcPr>
            <w:tcW w:w="23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99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 of tax:</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rPr/>
            </w:pPr>
            <w:r>
              <w:rPr/>
              <w:t> </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r>
      <w:tr>
        <w:trPr/>
        <w:tc>
          <w:tcPr>
            <w:tcW w:w="599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CCEEFF" w:val="clear"/>
            <w:vAlign w:val="center"/>
          </w:tcPr>
          <w:p>
            <w:pPr>
              <w:pStyle w:val="TableContents"/>
              <w:spacing w:before="0" w:after="283"/>
              <w:rPr/>
            </w:pPr>
            <w:r>
              <w:rPr/>
              <w:t> </w:t>
            </w:r>
          </w:p>
        </w:tc>
      </w:tr>
      <w:tr>
        <w:trPr/>
        <w:tc>
          <w:tcPr>
            <w:tcW w:w="599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obligation activity, net of tax</w:t>
            </w:r>
          </w:p>
        </w:tc>
        <w:tc>
          <w:tcPr>
            <w:tcW w:w="60" w:type="dxa"/>
            <w:tcBorders/>
            <w:shd w:fill="FFFFFF" w:val="clear"/>
            <w:vAlign w:val="center"/>
          </w:tcPr>
          <w:p>
            <w:pPr>
              <w:pStyle w:val="TableContents"/>
              <w:spacing w:before="0" w:after="283"/>
              <w:rPr/>
            </w:pPr>
            <w:r>
              <w:rPr/>
              <w:t> </w:t>
            </w:r>
          </w:p>
        </w:tc>
        <w:tc>
          <w:tcPr>
            <w:tcW w:w="2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53"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spacing w:before="0" w:after="283"/>
              <w:rPr/>
            </w:pPr>
            <w:r>
              <w:rPr/>
              <w:t> </w:t>
            </w:r>
          </w:p>
        </w:tc>
        <w:tc>
          <w:tcPr>
            <w:tcW w:w="23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97"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95" w:type="dxa"/>
            <w:tcBorders/>
            <w:shd w:fill="FFFFFF" w:val="clear"/>
            <w:vAlign w:val="center"/>
          </w:tcPr>
          <w:p>
            <w:pPr>
              <w:pStyle w:val="TableContents"/>
              <w:spacing w:before="0" w:after="283"/>
              <w:rPr/>
            </w:pPr>
            <w:r>
              <w:rPr/>
              <w:t> </w:t>
            </w:r>
          </w:p>
        </w:tc>
      </w:tr>
      <w:tr>
        <w:trPr/>
        <w:tc>
          <w:tcPr>
            <w:tcW w:w="599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 net of tax</w:t>
            </w:r>
          </w:p>
        </w:tc>
        <w:tc>
          <w:tcPr>
            <w:tcW w:w="60" w:type="dxa"/>
            <w:tcBorders/>
            <w:shd w:fill="CCEEFF" w:val="clear"/>
            <w:vAlign w:val="center"/>
          </w:tcPr>
          <w:p>
            <w:pPr>
              <w:pStyle w:val="TableContents"/>
              <w:spacing w:before="0" w:after="283"/>
              <w:rPr/>
            </w:pPr>
            <w:r>
              <w:rPr/>
              <w:t> </w:t>
            </w:r>
          </w:p>
        </w:tc>
        <w:tc>
          <w:tcPr>
            <w:tcW w:w="2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5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CCEEFF" w:val="clear"/>
            <w:vAlign w:val="center"/>
          </w:tcPr>
          <w:p>
            <w:pPr>
              <w:pStyle w:val="TableContents"/>
              <w:spacing w:before="0" w:after="283"/>
              <w:rPr/>
            </w:pPr>
            <w:r>
              <w:rPr/>
              <w:t> </w:t>
            </w:r>
          </w:p>
        </w:tc>
        <w:tc>
          <w:tcPr>
            <w:tcW w:w="2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CCEEFF" w:val="clear"/>
            <w:vAlign w:val="center"/>
          </w:tcPr>
          <w:p>
            <w:pPr>
              <w:pStyle w:val="TableContents"/>
              <w:spacing w:before="0" w:after="283"/>
              <w:rPr/>
            </w:pPr>
            <w:r>
              <w:rPr/>
              <w:t> </w:t>
            </w:r>
          </w:p>
        </w:tc>
      </w:tr>
      <w:tr>
        <w:trPr/>
        <w:tc>
          <w:tcPr>
            <w:tcW w:w="599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COMPREHENSIVE INCOME, NET OF TAX</w:t>
            </w:r>
          </w:p>
        </w:tc>
        <w:tc>
          <w:tcPr>
            <w:tcW w:w="60" w:type="dxa"/>
            <w:tcBorders/>
            <w:shd w:fill="FFFFFF" w:val="clear"/>
            <w:vAlign w:val="center"/>
          </w:tcPr>
          <w:p>
            <w:pPr>
              <w:pStyle w:val="TableContents"/>
              <w:spacing w:before="0" w:after="283"/>
              <w:ind w:left="0" w:right="0" w:hanging="0"/>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Calibri;Arial;sans-serif" w:hAnsi="Calibri;Arial;sans-serif"/>
          <w:b/>
          <w:sz w:val="20"/>
        </w:rPr>
      </w:pPr>
      <w:bookmarkStart w:id="7" w:name="finpos"/>
      <w:bookmarkEnd w:id="7"/>
      <w:r>
        <w:rPr>
          <w:rFonts w:ascii="Calibri;Arial;sans-serif" w:hAnsi="Calibri;Arial;sans-serif"/>
          <w:b/>
          <w:sz w:val="20"/>
        </w:rPr>
        <w:t>EASTMAN KODAK COMPANY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FINANCIAL POSITION (Unaudited)</w:t>
      </w:r>
    </w:p>
    <w:p>
      <w:pPr>
        <w:pStyle w:val="TextBody"/>
        <w:spacing w:before="0" w:after="0"/>
        <w:ind w:left="0" w:right="0" w:hanging="0"/>
        <w:rPr>
          <w:caps w:val="false"/>
          <w:smallCaps w:val="false"/>
        </w:rPr>
      </w:pPr>
      <w:r>
        <w:rPr>
          <w:caps w:val="false"/>
          <w:smallCaps w:val="false"/>
        </w:rPr>
        <w:t> </w:t>
      </w:r>
    </w:p>
    <w:tbl>
      <w:tblPr>
        <w:tblW w:w="9833" w:type="dxa"/>
        <w:jc w:val="left"/>
        <w:tblInd w:w="0" w:type="dxa"/>
        <w:tblCellMar>
          <w:top w:w="0" w:type="dxa"/>
          <w:left w:w="0" w:type="dxa"/>
          <w:bottom w:w="0" w:type="dxa"/>
          <w:right w:w="0" w:type="dxa"/>
        </w:tblCellMar>
      </w:tblPr>
      <w:tblGrid>
        <w:gridCol w:w="7595"/>
        <w:gridCol w:w="60"/>
        <w:gridCol w:w="173"/>
        <w:gridCol w:w="671"/>
        <w:gridCol w:w="80"/>
        <w:gridCol w:w="60"/>
        <w:gridCol w:w="228"/>
        <w:gridCol w:w="886"/>
        <w:gridCol w:w="80"/>
      </w:tblGrid>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80" w:type="dxa"/>
            <w:tcBorders/>
            <w:shd w:fill="FFFF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67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88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FFFFFF" w:val="clear"/>
            <w:vAlign w:val="center"/>
          </w:tcPr>
          <w:p>
            <w:pPr>
              <w:pStyle w:val="TableContents"/>
              <w:spacing w:before="0" w:after="283"/>
              <w:ind w:left="0" w:right="0" w:hanging="0"/>
              <w:rPr/>
            </w:pPr>
            <w:r>
              <w:rPr/>
              <w:t> </w:t>
            </w:r>
          </w:p>
        </w:tc>
        <w:tc>
          <w:tcPr>
            <w:tcW w:w="173"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Trade receivables, net of allowances of $8 and $7, respectively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167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177</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Inventories, net</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current assets</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Current assets held for sale</w:t>
            </w:r>
          </w:p>
        </w:tc>
        <w:tc>
          <w:tcPr>
            <w:tcW w:w="60" w:type="dxa"/>
            <w:tcBorders/>
            <w:shd w:fill="FFFFFF" w:val="clear"/>
            <w:vAlign w:val="center"/>
          </w:tcPr>
          <w:p>
            <w:pPr>
              <w:pStyle w:val="TableContents"/>
              <w:spacing w:before="0" w:after="283"/>
              <w:rPr/>
            </w:pPr>
            <w:r>
              <w:rPr/>
              <w:t> </w:t>
            </w:r>
          </w:p>
        </w:tc>
        <w:tc>
          <w:tcPr>
            <w:tcW w:w="17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681</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Property, plant and equipment, net of accumulated depreciation of $457 and $450, respectively</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154</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Goodwill</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Intangible assets, net</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Operating lease right-of-use assets</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39</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assets</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1,233</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long-term assets</w:t>
            </w:r>
          </w:p>
        </w:tc>
        <w:tc>
          <w:tcPr>
            <w:tcW w:w="60" w:type="dxa"/>
            <w:tcBorders/>
            <w:shd w:fill="FFFFFF" w:val="clear"/>
            <w:vAlign w:val="center"/>
          </w:tcPr>
          <w:p>
            <w:pPr>
              <w:pStyle w:val="TableContents"/>
              <w:spacing w:before="0" w:after="283"/>
              <w:rPr/>
            </w:pPr>
            <w:r>
              <w:rPr/>
              <w:t> </w:t>
            </w:r>
          </w:p>
        </w:tc>
        <w:tc>
          <w:tcPr>
            <w:tcW w:w="17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54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73"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b/>
                <w:sz w:val="20"/>
              </w:rPr>
            </w:pPr>
            <w:r>
              <w:rPr>
                <w:rFonts w:ascii="Calibri;Arial;sans-serif" w:hAnsi="Calibri;Arial;sans-serif"/>
                <w:b/>
                <w:sz w:val="20"/>
              </w:rPr>
              <w:t>2,322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8"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b/>
                <w:sz w:val="20"/>
              </w:rPr>
            </w:pPr>
            <w:r>
              <w:rPr>
                <w:rFonts w:ascii="Calibri;Arial;sans-serif" w:hAnsi="Calibri;Arial;sans-serif"/>
                <w:b/>
                <w:sz w:val="20"/>
              </w:rPr>
              <w:t>2,285</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180" w:right="0" w:hanging="180"/>
              <w:rPr>
                <w:rFonts w:ascii="Calibri;Arial;sans-serif" w:hAnsi="Calibri;Arial;sans-serif"/>
                <w:b/>
                <w:caps w:val="false"/>
                <w:smallCaps w:val="false"/>
                <w:sz w:val="20"/>
              </w:rPr>
            </w:pPr>
            <w:r>
              <w:rPr>
                <w:rFonts w:ascii="Calibri;Arial;sans-serif" w:hAnsi="Calibri;Arial;sans-serif"/>
                <w:b/>
                <w:caps w:val="false"/>
                <w:smallCaps w:val="false"/>
                <w:sz w:val="20"/>
              </w:rPr>
              <w:t>LIABILITIES, REDEEMABLE CONVERTIBLE PREFERRED STOCK AND EQUITY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67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88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Accounts payable, trade</w:t>
            </w:r>
          </w:p>
        </w:tc>
        <w:tc>
          <w:tcPr>
            <w:tcW w:w="60" w:type="dxa"/>
            <w:tcBorders/>
            <w:shd w:fill="FFFFFF" w:val="clear"/>
            <w:vAlign w:val="center"/>
          </w:tcPr>
          <w:p>
            <w:pPr>
              <w:pStyle w:val="TableContents"/>
              <w:spacing w:before="0" w:after="283"/>
              <w:ind w:left="0" w:right="0" w:hanging="0"/>
              <w:rPr/>
            </w:pPr>
            <w:r>
              <w:rPr/>
              <w:t> </w:t>
            </w:r>
          </w:p>
        </w:tc>
        <w:tc>
          <w:tcPr>
            <w:tcW w:w="173"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139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134</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Short-term borrowings and current portion of long-term debt</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Current portion of operating leases</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current liabilities</w:t>
            </w:r>
          </w:p>
        </w:tc>
        <w:tc>
          <w:tcPr>
            <w:tcW w:w="60" w:type="dxa"/>
            <w:tcBorders/>
            <w:shd w:fill="CCEEFF" w:val="clear"/>
            <w:vAlign w:val="center"/>
          </w:tcPr>
          <w:p>
            <w:pPr>
              <w:pStyle w:val="TableContents"/>
              <w:spacing w:before="0" w:after="283"/>
              <w:rPr/>
            </w:pPr>
            <w:r>
              <w:rPr/>
              <w:t> </w:t>
            </w:r>
          </w:p>
        </w:tc>
        <w:tc>
          <w:tcPr>
            <w:tcW w:w="17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143</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current liabilities</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293</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Long-term debt, net of current portion</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316</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liabilities</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230</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Operating leases, net of current portion</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long-term liabilities</w:t>
            </w:r>
          </w:p>
        </w:tc>
        <w:tc>
          <w:tcPr>
            <w:tcW w:w="60" w:type="dxa"/>
            <w:tcBorders/>
            <w:shd w:fill="FFFFFF" w:val="clear"/>
            <w:vAlign w:val="center"/>
          </w:tcPr>
          <w:p>
            <w:pPr>
              <w:pStyle w:val="TableContents"/>
              <w:spacing w:before="0" w:after="283"/>
              <w:rPr/>
            </w:pPr>
            <w:r>
              <w:rPr/>
              <w:t> </w:t>
            </w:r>
          </w:p>
        </w:tc>
        <w:tc>
          <w:tcPr>
            <w:tcW w:w="17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171</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liabilities</w:t>
            </w:r>
          </w:p>
        </w:tc>
        <w:tc>
          <w:tcPr>
            <w:tcW w:w="60" w:type="dxa"/>
            <w:tcBorders/>
            <w:shd w:fill="CCEEFF" w:val="clear"/>
            <w:vAlign w:val="center"/>
          </w:tcPr>
          <w:p>
            <w:pPr>
              <w:pStyle w:val="TableContents"/>
              <w:spacing w:before="0" w:after="283"/>
              <w:rPr/>
            </w:pPr>
            <w:r>
              <w:rPr/>
              <w:t> </w:t>
            </w:r>
          </w:p>
        </w:tc>
        <w:tc>
          <w:tcPr>
            <w:tcW w:w="17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1,049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Commitments and Contingencies (Note 6)</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67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88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no par value, $100 per share liquidation preference</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88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Equity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rPr/>
            </w:pPr>
            <w:r>
              <w:rPr/>
              <w:t> </w:t>
            </w:r>
          </w:p>
        </w:tc>
        <w:tc>
          <w:tcPr>
            <w:tcW w:w="67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88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Common stock, $0.01 par value</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Additional paid in capital</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1,161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Treasury stock, at cost</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Accumulated deficit</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(537</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7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Accumulated other comprehensive income</w:t>
            </w:r>
          </w:p>
        </w:tc>
        <w:tc>
          <w:tcPr>
            <w:tcW w:w="60" w:type="dxa"/>
            <w:tcBorders/>
            <w:shd w:fill="FFFFFF" w:val="clear"/>
            <w:vAlign w:val="center"/>
          </w:tcPr>
          <w:p>
            <w:pPr>
              <w:pStyle w:val="TableContents"/>
              <w:spacing w:before="0" w:after="283"/>
              <w:rPr/>
            </w:pPr>
            <w:r>
              <w:rPr/>
              <w:t> </w:t>
            </w:r>
          </w:p>
        </w:tc>
        <w:tc>
          <w:tcPr>
            <w:tcW w:w="17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455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0" w:type="dxa"/>
            <w:tcBorders/>
            <w:shd w:fill="FFFFFF" w:val="clear"/>
            <w:vAlign w:val="center"/>
          </w:tcPr>
          <w:p>
            <w:pPr>
              <w:pStyle w:val="TableContents"/>
              <w:spacing w:before="0" w:after="283"/>
              <w:rPr/>
            </w:pPr>
            <w:r>
              <w:rPr/>
              <w:t> </w:t>
            </w:r>
          </w:p>
        </w:tc>
      </w:tr>
      <w:tr>
        <w:trPr/>
        <w:tc>
          <w:tcPr>
            <w:tcW w:w="7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shareholders’ equity</w:t>
            </w:r>
          </w:p>
        </w:tc>
        <w:tc>
          <w:tcPr>
            <w:tcW w:w="60" w:type="dxa"/>
            <w:tcBorders/>
            <w:shd w:fill="CCEEFF" w:val="clear"/>
            <w:vAlign w:val="center"/>
          </w:tcPr>
          <w:p>
            <w:pPr>
              <w:pStyle w:val="TableContents"/>
              <w:spacing w:before="0" w:after="283"/>
              <w:rPr/>
            </w:pPr>
            <w:r>
              <w:rPr/>
              <w:t> </w:t>
            </w:r>
          </w:p>
        </w:tc>
        <w:tc>
          <w:tcPr>
            <w:tcW w:w="17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spacing w:before="0" w:after="283"/>
              <w:rPr/>
            </w:pPr>
            <w:r>
              <w:rPr/>
              <w:t> </w:t>
            </w:r>
          </w:p>
        </w:tc>
      </w:tr>
      <w:tr>
        <w:trPr/>
        <w:tc>
          <w:tcPr>
            <w:tcW w:w="7595" w:type="dxa"/>
            <w:tcBorders/>
            <w:shd w:fill="FFFFFF" w:val="clear"/>
            <w:vAlign w:val="center"/>
          </w:tcPr>
          <w:p>
            <w:pPr>
              <w:pStyle w:val="TableContents"/>
              <w:spacing w:before="0" w:after="0"/>
              <w:ind w:left="720" w:right="0" w:hanging="180"/>
              <w:rPr>
                <w:rFonts w:ascii="Calibri;Arial;sans-serif" w:hAnsi="Calibri;Arial;sans-serif"/>
                <w:b/>
                <w:caps w:val="false"/>
                <w:smallCaps w:val="false"/>
                <w:sz w:val="20"/>
              </w:rPr>
            </w:pPr>
            <w:r>
              <w:rPr>
                <w:rFonts w:ascii="Calibri;Arial;sans-serif" w:hAnsi="Calibri;Arial;sans-serif"/>
                <w:b/>
                <w:caps w:val="false"/>
                <w:smallCaps w:val="false"/>
                <w:sz w:val="20"/>
              </w:rPr>
              <w:t>TOTAL LIABILITIES, REDEEMABLE CONVERTIBLE PREFERRED STOCK AND EQUITY</w:t>
            </w:r>
          </w:p>
        </w:tc>
        <w:tc>
          <w:tcPr>
            <w:tcW w:w="60" w:type="dxa"/>
            <w:tcBorders/>
            <w:shd w:fill="FFFFFF" w:val="clear"/>
            <w:vAlign w:val="center"/>
          </w:tcPr>
          <w:p>
            <w:pPr>
              <w:pStyle w:val="TableContents"/>
              <w:spacing w:before="0" w:after="283"/>
              <w:ind w:left="0" w:right="0" w:hanging="0"/>
              <w:rPr/>
            </w:pPr>
            <w:r>
              <w:rPr/>
              <w:t> </w:t>
            </w:r>
          </w:p>
        </w:tc>
        <w:tc>
          <w:tcPr>
            <w:tcW w:w="173"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b/>
                <w:sz w:val="20"/>
              </w:rPr>
            </w:pPr>
            <w:r>
              <w:rPr>
                <w:rFonts w:ascii="Calibri;Arial;sans-serif" w:hAnsi="Calibri;Arial;sans-serif"/>
                <w:b/>
                <w:sz w:val="20"/>
              </w:rPr>
              <w:t>2,322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b/>
                <w:sz w:val="20"/>
              </w:rPr>
            </w:pPr>
            <w:r>
              <w:rPr>
                <w:rFonts w:ascii="Calibri;Arial;sans-serif" w:hAnsi="Calibri;Arial;sans-serif"/>
                <w:b/>
                <w:sz w:val="20"/>
              </w:rPr>
              <w:t>2,285</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bookmarkStart w:id="8" w:name="cashflows"/>
      <w:bookmarkEnd w:id="8"/>
      <w:r>
        <w:rPr>
          <w:rFonts w:ascii="Calibri;Arial;sans-serif" w:hAnsi="Calibri;Arial;sans-serif"/>
          <w:b/>
          <w:caps w:val="false"/>
          <w:smallCaps w:val="false"/>
          <w:sz w:val="20"/>
        </w:rPr>
        <w:t>EASTMAN KODAK COMPANY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CASH FLOWS (Unaudited)</w:t>
      </w:r>
    </w:p>
    <w:p>
      <w:pPr>
        <w:pStyle w:val="TextBody"/>
        <w:spacing w:before="0" w:after="0"/>
        <w:ind w:left="0" w:right="0" w:hanging="0"/>
        <w:rPr>
          <w:caps w:val="false"/>
          <w:smallCaps w:val="false"/>
        </w:rPr>
      </w:pPr>
      <w:r>
        <w:rPr>
          <w:caps w:val="false"/>
          <w:smallCaps w:val="false"/>
        </w:rPr>
        <w:t> </w:t>
      </w:r>
    </w:p>
    <w:tbl>
      <w:tblPr>
        <w:tblW w:w="8772" w:type="dxa"/>
        <w:jc w:val="left"/>
        <w:tblInd w:w="0" w:type="dxa"/>
        <w:tblCellMar>
          <w:top w:w="0" w:type="dxa"/>
          <w:left w:w="0" w:type="dxa"/>
          <w:bottom w:w="0" w:type="dxa"/>
          <w:right w:w="0" w:type="dxa"/>
        </w:tblCellMar>
      </w:tblPr>
      <w:tblGrid>
        <w:gridCol w:w="6950"/>
        <w:gridCol w:w="60"/>
        <w:gridCol w:w="198"/>
        <w:gridCol w:w="532"/>
        <w:gridCol w:w="127"/>
        <w:gridCol w:w="95"/>
        <w:gridCol w:w="198"/>
        <w:gridCol w:w="532"/>
        <w:gridCol w:w="80"/>
      </w:tblGrid>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80" w:type="dxa"/>
            <w:tcBorders/>
            <w:shd w:fill="FFFF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7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 (loss)</w:t>
            </w:r>
          </w:p>
        </w:tc>
        <w:tc>
          <w:tcPr>
            <w:tcW w:w="60" w:type="dxa"/>
            <w:tcBorders/>
            <w:shd w:fill="FFFFFF" w:val="clear"/>
            <w:vAlign w:val="center"/>
          </w:tcPr>
          <w:p>
            <w:pPr>
              <w:pStyle w:val="TableContents"/>
              <w:spacing w:before="0" w:after="283"/>
              <w:ind w:left="0" w:right="0" w:hanging="0"/>
              <w:rPr/>
            </w:pPr>
            <w:r>
              <w:rPr/>
              <w:t> </w:t>
            </w:r>
          </w:p>
        </w:tc>
        <w:tc>
          <w:tcPr>
            <w:tcW w:w="19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19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Adjustments to reconcile to net cash provided by (used in) operating activities: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income</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12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540" w:right="0" w:hanging="180"/>
              <w:rPr>
                <w:rFonts w:ascii="Calibri;Arial;sans-serif" w:hAnsi="Calibri;Arial;sans-serif"/>
                <w:caps w:val="false"/>
                <w:smallCaps w:val="false"/>
                <w:sz w:val="20"/>
              </w:rPr>
            </w:pPr>
            <w:r>
              <w:rPr>
                <w:rFonts w:ascii="Calibri;Arial;sans-serif" w:hAnsi="Calibri;Arial;sans-serif"/>
                <w:caps w:val="false"/>
                <w:smallCaps w:val="false"/>
                <w:sz w:val="20"/>
              </w:rPr>
              <w:t>Change in fair value of the Preferred Stock and Convertible Notes embedded derivatives</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360" w:right="0" w:hanging="0"/>
              <w:rPr>
                <w:rFonts w:ascii="Calibri;Arial;sans-serif" w:hAnsi="Calibri;Arial;sans-serif"/>
                <w:sz w:val="20"/>
              </w:rPr>
            </w:pPr>
            <w:r>
              <w:rPr>
                <w:rFonts w:ascii="Calibri;Arial;sans-serif" w:hAnsi="Calibri;Arial;sans-serif"/>
                <w:sz w:val="20"/>
              </w:rPr>
              <w:t>Non-cash changes in workers' compensation and employee benefit reserves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127" w:type="dxa"/>
            <w:tcBorders/>
            <w:shd w:fill="CCEEFF" w:val="clear"/>
            <w:vAlign w:val="center"/>
          </w:tcPr>
          <w:p>
            <w:pPr>
              <w:pStyle w:val="TableContents"/>
              <w:spacing w:before="0" w:after="0"/>
              <w:rPr/>
            </w:pPr>
            <w:r>
              <w:rPr/>
              <w:t> </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Decrease (increase) in trade receivables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27"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360" w:right="0" w:hanging="0"/>
              <w:rPr>
                <w:rFonts w:ascii="Calibri;Arial;sans-serif" w:hAnsi="Calibri;Arial;sans-serif"/>
                <w:sz w:val="20"/>
              </w:rPr>
            </w:pPr>
            <w:r>
              <w:rPr>
                <w:rFonts w:ascii="Calibri;Arial;sans-serif" w:hAnsi="Calibri;Arial;sans-serif"/>
                <w:sz w:val="20"/>
              </w:rPr>
              <w:t>Decrease (increase) in miscellaneous receivables</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532"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7</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532"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Increase in inventories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2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(32</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Increase in trade payables</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31</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Decrease in liabilities excluding borrowings and trade payables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12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ind w:left="0" w:right="0" w:hanging="0"/>
              <w:rPr/>
            </w:pPr>
            <w:r>
              <w:rPr/>
              <w:t> </w:t>
            </w:r>
          </w:p>
        </w:tc>
        <w:tc>
          <w:tcPr>
            <w:tcW w:w="53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items, net</w:t>
            </w:r>
          </w:p>
        </w:tc>
        <w:tc>
          <w:tcPr>
            <w:tcW w:w="60"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adjustments</w:t>
            </w:r>
          </w:p>
        </w:tc>
        <w:tc>
          <w:tcPr>
            <w:tcW w:w="60"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12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operating activities</w:t>
            </w:r>
          </w:p>
        </w:tc>
        <w:tc>
          <w:tcPr>
            <w:tcW w:w="60"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flows from investing activities:</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rPr/>
            </w:pPr>
            <w:r>
              <w:rPr/>
              <w:t> </w:t>
            </w:r>
          </w:p>
        </w:tc>
        <w:tc>
          <w:tcPr>
            <w:tcW w:w="127"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rPr/>
            </w:pPr>
            <w:r>
              <w:rPr/>
              <w:t> </w:t>
            </w:r>
          </w:p>
        </w:tc>
        <w:tc>
          <w:tcPr>
            <w:tcW w:w="532"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Additions to properties</w:t>
            </w:r>
          </w:p>
        </w:tc>
        <w:tc>
          <w:tcPr>
            <w:tcW w:w="60"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2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CCEEFF" w:val="clear"/>
            <w:vAlign w:val="center"/>
          </w:tcPr>
          <w:p>
            <w:pPr>
              <w:pStyle w:val="TableContents"/>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2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flows from financing activities:</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532" w:type="dxa"/>
            <w:tcBorders/>
            <w:shd w:fill="FFFFFF" w:val="clear"/>
            <w:vAlign w:val="center"/>
          </w:tcPr>
          <w:p>
            <w:pPr>
              <w:pStyle w:val="TableContents"/>
              <w:spacing w:before="0" w:after="283"/>
              <w:rPr/>
            </w:pPr>
            <w:r>
              <w:rPr/>
              <w:t> </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rPr/>
            </w:pPr>
            <w:r>
              <w:rPr/>
              <w:t> </w:t>
            </w:r>
          </w:p>
        </w:tc>
        <w:tc>
          <w:tcPr>
            <w:tcW w:w="532"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9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 payments</w:t>
            </w:r>
          </w:p>
        </w:tc>
        <w:tc>
          <w:tcPr>
            <w:tcW w:w="60"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FFFFFF" w:val="clear"/>
            <w:vAlign w:val="center"/>
          </w:tcPr>
          <w:p>
            <w:pPr>
              <w:pStyle w:val="TableContents"/>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w:t>
            </w:r>
          </w:p>
        </w:tc>
        <w:tc>
          <w:tcPr>
            <w:tcW w:w="60"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2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95" w:type="dxa"/>
            <w:tcBorders/>
            <w:shd w:fill="FFFFFF" w:val="clear"/>
            <w:vAlign w:val="center"/>
          </w:tcPr>
          <w:p>
            <w:pPr>
              <w:pStyle w:val="TableContents"/>
              <w:spacing w:before="0" w:after="283"/>
              <w:rPr/>
            </w:pPr>
            <w:r>
              <w:rPr/>
              <w:t> </w:t>
            </w:r>
          </w:p>
        </w:tc>
        <w:tc>
          <w:tcPr>
            <w:tcW w:w="19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Effect of exchange rate changes on cash, cash equivalents and restricted cash</w:t>
            </w:r>
          </w:p>
        </w:tc>
        <w:tc>
          <w:tcPr>
            <w:tcW w:w="60"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127"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increase (decrease) in cash, cash equivalents and restricted cash</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ind w:left="0" w:right="0" w:hanging="0"/>
              <w:rPr/>
            </w:pPr>
            <w:r>
              <w:rPr/>
              <w:t> </w:t>
            </w:r>
          </w:p>
        </w:tc>
        <w:tc>
          <w:tcPr>
            <w:tcW w:w="53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9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 beginning of period</w:t>
            </w:r>
          </w:p>
        </w:tc>
        <w:tc>
          <w:tcPr>
            <w:tcW w:w="60"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127"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9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423</w:t>
            </w:r>
          </w:p>
        </w:tc>
        <w:tc>
          <w:tcPr>
            <w:tcW w:w="80" w:type="dxa"/>
            <w:tcBorders/>
            <w:shd w:fill="CCEEFF" w:val="clear"/>
            <w:vAlign w:val="center"/>
          </w:tcPr>
          <w:p>
            <w:pPr>
              <w:pStyle w:val="TableContents"/>
              <w:spacing w:before="0" w:after="283"/>
              <w:rPr/>
            </w:pPr>
            <w:r>
              <w:rPr/>
              <w:t> </w:t>
            </w:r>
          </w:p>
        </w:tc>
      </w:tr>
      <w:tr>
        <w:trPr/>
        <w:tc>
          <w:tcPr>
            <w:tcW w:w="69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 end of period</w:t>
            </w:r>
          </w:p>
        </w:tc>
        <w:tc>
          <w:tcPr>
            <w:tcW w:w="60" w:type="dxa"/>
            <w:tcBorders/>
            <w:shd w:fill="FFFFFF" w:val="clear"/>
            <w:vAlign w:val="center"/>
          </w:tcPr>
          <w:p>
            <w:pPr>
              <w:pStyle w:val="TableContents"/>
              <w:spacing w:before="0" w:after="283"/>
              <w:ind w:left="0" w:right="0" w:hanging="0"/>
              <w:rPr/>
            </w:pPr>
            <w:r>
              <w:rPr/>
              <w:t> </w:t>
            </w:r>
          </w:p>
        </w:tc>
        <w:tc>
          <w:tcPr>
            <w:tcW w:w="198"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294</w:t>
            </w:r>
          </w:p>
        </w:tc>
        <w:tc>
          <w:tcPr>
            <w:tcW w:w="127"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ind w:left="0" w:right="0" w:hanging="0"/>
              <w:rPr/>
            </w:pPr>
            <w:r>
              <w:rPr/>
              <w:t> </w:t>
            </w:r>
          </w:p>
        </w:tc>
        <w:tc>
          <w:tcPr>
            <w:tcW w:w="198"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374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bookmarkStart w:id="9" w:name="equity"/>
      <w:bookmarkEnd w:id="9"/>
      <w:r>
        <w:rPr>
          <w:rFonts w:ascii="Calibri;Arial;sans-serif" w:hAnsi="Calibri;Arial;sans-serif"/>
          <w:b/>
          <w:caps w:val="false"/>
          <w:smallCaps w:val="false"/>
          <w:sz w:val="20"/>
        </w:rPr>
        <w:t>EASTMAN KODAK COMPANY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CONSOLIDATED STATEMENT OF EQUITY (DEFICIT) (Unaudited)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80"/>
        <w:gridCol w:w="60"/>
        <w:gridCol w:w="246"/>
        <w:gridCol w:w="513"/>
        <w:gridCol w:w="60"/>
        <w:gridCol w:w="60"/>
        <w:gridCol w:w="212"/>
        <w:gridCol w:w="828"/>
        <w:gridCol w:w="80"/>
        <w:gridCol w:w="60"/>
        <w:gridCol w:w="259"/>
        <w:gridCol w:w="821"/>
        <w:gridCol w:w="80"/>
        <w:gridCol w:w="60"/>
        <w:gridCol w:w="431"/>
        <w:gridCol w:w="1161"/>
        <w:gridCol w:w="80"/>
        <w:gridCol w:w="60"/>
        <w:gridCol w:w="214"/>
        <w:gridCol w:w="500"/>
        <w:gridCol w:w="80"/>
        <w:gridCol w:w="60"/>
        <w:gridCol w:w="125"/>
        <w:gridCol w:w="485"/>
        <w:gridCol w:w="80"/>
        <w:gridCol w:w="60"/>
        <w:gridCol w:w="371"/>
        <w:gridCol w:w="999"/>
        <w:gridCol w:w="80"/>
      </w:tblGrid>
      <w:tr>
        <w:trPr/>
        <w:tc>
          <w:tcPr>
            <w:tcW w:w="20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85" w:type="dxa"/>
            <w:gridSpan w:val="2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Three-Month Period Ending March 31, 2023</w:t>
            </w:r>
          </w:p>
        </w:tc>
        <w:tc>
          <w:tcPr>
            <w:tcW w:w="80" w:type="dxa"/>
            <w:tcBorders/>
            <w:shd w:fill="FFFF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475"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Eastman Kodak Company Common Shareholders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1" w:type="dxa"/>
            <w:tcBorders/>
            <w:shd w:fill="FFFFFF" w:val="clear"/>
            <w:vAlign w:val="center"/>
          </w:tcPr>
          <w:p>
            <w:pPr>
              <w:pStyle w:val="TableContents"/>
              <w:spacing w:before="0" w:after="283"/>
              <w:rPr/>
            </w:pPr>
            <w:r>
              <w:rPr/>
              <w:t> </w:t>
            </w:r>
          </w:p>
        </w:tc>
        <w:tc>
          <w:tcPr>
            <w:tcW w:w="999"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Additional Paid in Capital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8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Accumulated 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9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Accumulated Other Comprehensive Income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Treasury Stock</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1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Total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Redeemable Convertible Preferred Stock</w:t>
            </w:r>
          </w:p>
        </w:tc>
        <w:tc>
          <w:tcPr>
            <w:tcW w:w="80" w:type="dxa"/>
            <w:tcBorders/>
            <w:shd w:fill="FFFFFF" w:val="clear"/>
            <w:vAlign w:val="center"/>
          </w:tcPr>
          <w:p>
            <w:pPr>
              <w:pStyle w:val="TableContents"/>
              <w:spacing w:before="0" w:after="283"/>
              <w:rPr/>
            </w:pPr>
            <w:r>
              <w:rPr/>
              <w:t> </w:t>
            </w:r>
          </w:p>
        </w:tc>
      </w:tr>
      <w:tr>
        <w:trPr/>
        <w:tc>
          <w:tcPr>
            <w:tcW w:w="208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2022</w:t>
            </w:r>
          </w:p>
        </w:tc>
        <w:tc>
          <w:tcPr>
            <w:tcW w:w="60" w:type="dxa"/>
            <w:tcBorders/>
            <w:shd w:fill="CCEEFF" w:val="clear"/>
            <w:vAlign w:val="center"/>
          </w:tcPr>
          <w:p>
            <w:pPr>
              <w:pStyle w:val="TableContents"/>
              <w:spacing w:before="0" w:after="283"/>
              <w:ind w:left="0" w:right="0" w:hanging="0"/>
              <w:rPr/>
            </w:pPr>
            <w:r>
              <w:rPr/>
              <w:t> </w:t>
            </w:r>
          </w:p>
        </w:tc>
        <w:tc>
          <w:tcPr>
            <w:tcW w:w="246"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2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1,160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2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(570</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43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16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0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1,041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7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99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80" w:type="dxa"/>
            <w:tcBorders/>
            <w:shd w:fill="CCEE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ind w:left="0" w:right="0" w:hanging="0"/>
              <w:rPr/>
            </w:pPr>
            <w:r>
              <w:rPr/>
              <w:t> </w:t>
            </w:r>
          </w:p>
        </w:tc>
        <w:tc>
          <w:tcPr>
            <w:tcW w:w="51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ind w:left="0" w:right="0" w:hanging="0"/>
              <w:rPr/>
            </w:pPr>
            <w:r>
              <w:rPr/>
              <w:t> </w:t>
            </w:r>
          </w:p>
        </w:tc>
        <w:tc>
          <w:tcPr>
            <w:tcW w:w="828"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ind w:left="0" w:right="0" w:hanging="0"/>
              <w:rPr/>
            </w:pPr>
            <w:r>
              <w:rPr/>
              <w:t> </w:t>
            </w:r>
          </w:p>
        </w:tc>
        <w:tc>
          <w:tcPr>
            <w:tcW w:w="82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1" w:type="dxa"/>
            <w:tcBorders/>
            <w:shd w:fill="FFFFFF" w:val="clear"/>
            <w:vAlign w:val="center"/>
          </w:tcPr>
          <w:p>
            <w:pPr>
              <w:pStyle w:val="TableContents"/>
              <w:spacing w:before="0" w:after="283"/>
              <w:ind w:left="0" w:right="0" w:hanging="0"/>
              <w:rPr/>
            </w:pPr>
            <w:r>
              <w:rPr/>
              <w:t> </w:t>
            </w:r>
          </w:p>
        </w:tc>
        <w:tc>
          <w:tcPr>
            <w:tcW w:w="116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50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208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comprehensive income (loss), (net of tax):</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rPr/>
            </w:pPr>
            <w:r>
              <w:rPr/>
              <w:t> </w:t>
            </w:r>
          </w:p>
        </w:tc>
        <w:tc>
          <w:tcPr>
            <w:tcW w:w="51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1"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ind w:left="0" w:right="0" w:hanging="0"/>
              <w:rPr/>
            </w:pPr>
            <w:r>
              <w:rPr/>
              <w:t> </w:t>
            </w:r>
          </w:p>
        </w:tc>
        <w:tc>
          <w:tcPr>
            <w:tcW w:w="51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ind w:left="0" w:right="0" w:hanging="0"/>
              <w:rPr/>
            </w:pPr>
            <w:r>
              <w:rPr/>
              <w:t> </w:t>
            </w:r>
          </w:p>
        </w:tc>
        <w:tc>
          <w:tcPr>
            <w:tcW w:w="828"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ind w:left="0" w:right="0" w:hanging="0"/>
              <w:rPr/>
            </w:pPr>
            <w:r>
              <w:rPr/>
              <w:t> </w:t>
            </w:r>
          </w:p>
        </w:tc>
        <w:tc>
          <w:tcPr>
            <w:tcW w:w="82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1" w:type="dxa"/>
            <w:tcBorders/>
            <w:shd w:fill="FFFFFF" w:val="clear"/>
            <w:vAlign w:val="center"/>
          </w:tcPr>
          <w:p>
            <w:pPr>
              <w:pStyle w:val="TableContents"/>
              <w:spacing w:before="0" w:after="283"/>
              <w:ind w:left="0" w:right="0" w:hanging="0"/>
              <w:rPr/>
            </w:pPr>
            <w:r>
              <w:rPr/>
              <w:t> </w:t>
            </w:r>
          </w:p>
        </w:tc>
        <w:tc>
          <w:tcPr>
            <w:tcW w:w="116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50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37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2080"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Pension and other postretirement liability adjustments</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rPr/>
            </w:pPr>
            <w:r>
              <w:rPr/>
              <w:t> </w:t>
            </w:r>
          </w:p>
        </w:tc>
        <w:tc>
          <w:tcPr>
            <w:tcW w:w="513"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rPr/>
            </w:pPr>
            <w:r>
              <w:rPr/>
              <w:t> </w:t>
            </w:r>
          </w:p>
        </w:tc>
        <w:tc>
          <w:tcPr>
            <w:tcW w:w="821"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1"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(6</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371"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ind w:left="0" w:right="0" w:hanging="0"/>
              <w:rPr/>
            </w:pPr>
            <w:r>
              <w:rPr/>
              <w:t> </w:t>
            </w:r>
          </w:p>
        </w:tc>
        <w:tc>
          <w:tcPr>
            <w:tcW w:w="51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ind w:left="0" w:right="0" w:hanging="0"/>
              <w:rPr/>
            </w:pPr>
            <w:r>
              <w:rPr/>
              <w:t> </w:t>
            </w:r>
          </w:p>
        </w:tc>
        <w:tc>
          <w:tcPr>
            <w:tcW w:w="82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ind w:left="0" w:right="0" w:hanging="0"/>
              <w:rPr/>
            </w:pPr>
            <w:r>
              <w:rPr/>
              <w:t> </w:t>
            </w:r>
          </w:p>
        </w:tc>
        <w:tc>
          <w:tcPr>
            <w:tcW w:w="82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1" w:type="dxa"/>
            <w:tcBorders/>
            <w:shd w:fill="FFFFFF" w:val="clear"/>
            <w:vAlign w:val="center"/>
          </w:tcPr>
          <w:p>
            <w:pPr>
              <w:pStyle w:val="TableContents"/>
              <w:spacing w:before="0" w:after="283"/>
              <w:ind w:left="0" w:right="0" w:hanging="0"/>
              <w:rPr/>
            </w:pPr>
            <w:r>
              <w:rPr/>
              <w:t> </w:t>
            </w:r>
          </w:p>
        </w:tc>
        <w:tc>
          <w:tcPr>
            <w:tcW w:w="116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50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37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r>
      <w:tr>
        <w:trPr/>
        <w:tc>
          <w:tcPr>
            <w:tcW w:w="208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ind w:left="0" w:right="0" w:hanging="0"/>
              <w:rPr/>
            </w:pPr>
            <w:r>
              <w:rPr/>
              <w:t> </w:t>
            </w:r>
          </w:p>
        </w:tc>
        <w:tc>
          <w:tcPr>
            <w:tcW w:w="51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shd w:fill="CCEEFF" w:val="clear"/>
            <w:vAlign w:val="center"/>
          </w:tcPr>
          <w:p>
            <w:pPr>
              <w:pStyle w:val="TableContents"/>
              <w:spacing w:before="0" w:after="283"/>
              <w:ind w:left="0" w:right="0" w:hanging="0"/>
              <w:rPr/>
            </w:pPr>
            <w:r>
              <w:rPr/>
              <w:t> </w:t>
            </w:r>
          </w:p>
        </w:tc>
        <w:tc>
          <w:tcPr>
            <w:tcW w:w="82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ind w:left="0" w:right="0" w:hanging="0"/>
              <w:rPr/>
            </w:pPr>
            <w:r>
              <w:rPr/>
              <w:t> </w:t>
            </w:r>
          </w:p>
        </w:tc>
        <w:tc>
          <w:tcPr>
            <w:tcW w:w="82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1" w:type="dxa"/>
            <w:tcBorders/>
            <w:shd w:fill="CCEEFF" w:val="clear"/>
            <w:vAlign w:val="center"/>
          </w:tcPr>
          <w:p>
            <w:pPr>
              <w:pStyle w:val="TableContents"/>
              <w:spacing w:before="0" w:after="283"/>
              <w:ind w:left="0" w:right="0" w:hanging="0"/>
              <w:rPr/>
            </w:pPr>
            <w:r>
              <w:rPr/>
              <w:t> </w:t>
            </w:r>
          </w:p>
        </w:tc>
        <w:tc>
          <w:tcPr>
            <w:tcW w:w="1161"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shd w:fill="CCEEFF" w:val="clear"/>
            <w:vAlign w:val="center"/>
          </w:tcPr>
          <w:p>
            <w:pPr>
              <w:pStyle w:val="TableContents"/>
              <w:spacing w:before="0" w:after="283"/>
              <w:ind w:left="0" w:right="0" w:hanging="0"/>
              <w:rPr/>
            </w:pPr>
            <w:r>
              <w:rPr/>
              <w:t> </w:t>
            </w:r>
          </w:p>
        </w:tc>
        <w:tc>
          <w:tcPr>
            <w:tcW w:w="50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371" w:type="dxa"/>
            <w:tcBorders/>
            <w:shd w:fill="CCEEFF" w:val="clear"/>
            <w:vAlign w:val="center"/>
          </w:tcPr>
          <w:p>
            <w:pPr>
              <w:pStyle w:val="TableContents"/>
              <w:spacing w:before="0" w:after="283"/>
              <w:ind w:left="0" w:right="0" w:hanging="0"/>
              <w:rPr/>
            </w:pPr>
            <w:r>
              <w:rPr/>
              <w:t> </w:t>
            </w:r>
          </w:p>
        </w:tc>
        <w:tc>
          <w:tcPr>
            <w:tcW w:w="99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FFFFFF" w:val="clear"/>
            <w:vAlign w:val="center"/>
          </w:tcPr>
          <w:p>
            <w:pPr>
              <w:pStyle w:val="TableContents"/>
              <w:spacing w:before="0" w:after="283"/>
              <w:rPr/>
            </w:pPr>
            <w:r>
              <w:rPr/>
              <w:t> </w:t>
            </w:r>
          </w:p>
        </w:tc>
        <w:tc>
          <w:tcPr>
            <w:tcW w:w="246" w:type="dxa"/>
            <w:tcBorders/>
            <w:shd w:fill="FFFFFF" w:val="clear"/>
            <w:vAlign w:val="center"/>
          </w:tcPr>
          <w:p>
            <w:pPr>
              <w:pStyle w:val="TableContents"/>
              <w:spacing w:before="0" w:after="283"/>
              <w:ind w:left="0" w:right="0" w:hanging="0"/>
              <w:rPr/>
            </w:pPr>
            <w:r>
              <w:rPr/>
              <w:t> </w:t>
            </w:r>
          </w:p>
        </w:tc>
        <w:tc>
          <w:tcPr>
            <w:tcW w:w="51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2" w:type="dxa"/>
            <w:tcBorders/>
            <w:shd w:fill="FFFFFF" w:val="clear"/>
            <w:vAlign w:val="center"/>
          </w:tcPr>
          <w:p>
            <w:pPr>
              <w:pStyle w:val="TableContents"/>
              <w:spacing w:before="0" w:after="283"/>
              <w:ind w:left="0" w:right="0" w:hanging="0"/>
              <w:rPr/>
            </w:pPr>
            <w:r>
              <w:rPr/>
              <w:t> </w:t>
            </w:r>
          </w:p>
        </w:tc>
        <w:tc>
          <w:tcPr>
            <w:tcW w:w="82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59" w:type="dxa"/>
            <w:tcBorders/>
            <w:shd w:fill="FFFFFF" w:val="clear"/>
            <w:vAlign w:val="center"/>
          </w:tcPr>
          <w:p>
            <w:pPr>
              <w:pStyle w:val="TableContents"/>
              <w:spacing w:before="0" w:after="283"/>
              <w:ind w:left="0" w:right="0" w:hanging="0"/>
              <w:rPr/>
            </w:pPr>
            <w:r>
              <w:rPr/>
              <w:t> </w:t>
            </w:r>
          </w:p>
        </w:tc>
        <w:tc>
          <w:tcPr>
            <w:tcW w:w="82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31" w:type="dxa"/>
            <w:tcBorders/>
            <w:shd w:fill="FFFFFF" w:val="clear"/>
            <w:vAlign w:val="center"/>
          </w:tcPr>
          <w:p>
            <w:pPr>
              <w:pStyle w:val="TableContents"/>
              <w:spacing w:before="0" w:after="283"/>
              <w:ind w:left="0" w:right="0" w:hanging="0"/>
              <w:rPr/>
            </w:pPr>
            <w:r>
              <w:rPr/>
              <w:t> </w:t>
            </w:r>
          </w:p>
        </w:tc>
        <w:tc>
          <w:tcPr>
            <w:tcW w:w="1161"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4" w:type="dxa"/>
            <w:tcBorders/>
            <w:shd w:fill="FFFFFF" w:val="clear"/>
            <w:vAlign w:val="center"/>
          </w:tcPr>
          <w:p>
            <w:pPr>
              <w:pStyle w:val="TableContents"/>
              <w:spacing w:before="0" w:after="283"/>
              <w:ind w:left="0" w:right="0" w:hanging="0"/>
              <w:rPr/>
            </w:pPr>
            <w:r>
              <w:rPr/>
              <w:t> </w:t>
            </w:r>
          </w:p>
        </w:tc>
        <w:tc>
          <w:tcPr>
            <w:tcW w:w="50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371" w:type="dxa"/>
            <w:tcBorders/>
            <w:shd w:fill="FFFFFF" w:val="clear"/>
            <w:vAlign w:val="center"/>
          </w:tcPr>
          <w:p>
            <w:pPr>
              <w:pStyle w:val="TableContents"/>
              <w:spacing w:before="0" w:after="283"/>
              <w:ind w:left="0" w:right="0" w:hanging="0"/>
              <w:rPr/>
            </w:pPr>
            <w:r>
              <w:rPr/>
              <w:t> </w:t>
            </w:r>
          </w:p>
        </w:tc>
        <w:tc>
          <w:tcPr>
            <w:tcW w:w="99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pPr>
            <w:r>
              <w:rPr/>
              <w:t> </w:t>
            </w:r>
          </w:p>
        </w:tc>
      </w:tr>
      <w:tr>
        <w:trPr/>
        <w:tc>
          <w:tcPr>
            <w:tcW w:w="208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2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6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0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9"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r>
      <w:tr>
        <w:trPr/>
        <w:tc>
          <w:tcPr>
            <w:tcW w:w="20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2023</w:t>
            </w:r>
          </w:p>
        </w:tc>
        <w:tc>
          <w:tcPr>
            <w:tcW w:w="60" w:type="dxa"/>
            <w:tcBorders/>
            <w:shd w:fill="FFFFFF" w:val="clear"/>
            <w:vAlign w:val="center"/>
          </w:tcPr>
          <w:p>
            <w:pPr>
              <w:pStyle w:val="TableContents"/>
              <w:spacing w:before="0" w:after="283"/>
              <w:ind w:left="0" w:right="0" w:hanging="0"/>
              <w:rPr/>
            </w:pPr>
            <w:r>
              <w:rPr/>
              <w:t> </w:t>
            </w:r>
          </w:p>
        </w:tc>
        <w:tc>
          <w:tcPr>
            <w:tcW w:w="246"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2"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2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1,161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2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(537</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431"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1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455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0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1,068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71"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9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CONSOLIDATED STATEMENT OF EQUITY (DEFICIT) (Unaudited) (cont</w:t>
      </w:r>
      <w:r>
        <w:rPr>
          <w:rFonts w:ascii="Calibri;Arial;sans-serif" w:hAnsi="Calibri;Arial;sans-serif"/>
          <w:caps w:val="false"/>
          <w:smallCaps w:val="false"/>
          <w:sz w:val="20"/>
        </w:rPr>
        <w:t>’</w:t>
      </w:r>
      <w:r>
        <w:rPr>
          <w:rFonts w:ascii="Calibri;Arial;sans-serif" w:hAnsi="Calibri;Arial;sans-serif"/>
          <w:b/>
          <w:caps w:val="false"/>
          <w:smallCaps w:val="false"/>
          <w:sz w:val="20"/>
        </w:rPr>
        <w: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23"/>
        <w:gridCol w:w="60"/>
        <w:gridCol w:w="251"/>
        <w:gridCol w:w="523"/>
        <w:gridCol w:w="60"/>
        <w:gridCol w:w="60"/>
        <w:gridCol w:w="220"/>
        <w:gridCol w:w="859"/>
        <w:gridCol w:w="80"/>
        <w:gridCol w:w="60"/>
        <w:gridCol w:w="263"/>
        <w:gridCol w:w="834"/>
        <w:gridCol w:w="80"/>
        <w:gridCol w:w="60"/>
        <w:gridCol w:w="450"/>
        <w:gridCol w:w="1212"/>
        <w:gridCol w:w="60"/>
        <w:gridCol w:w="60"/>
        <w:gridCol w:w="219"/>
        <w:gridCol w:w="510"/>
        <w:gridCol w:w="80"/>
        <w:gridCol w:w="60"/>
        <w:gridCol w:w="125"/>
        <w:gridCol w:w="335"/>
        <w:gridCol w:w="80"/>
        <w:gridCol w:w="60"/>
        <w:gridCol w:w="389"/>
        <w:gridCol w:w="1049"/>
        <w:gridCol w:w="83"/>
      </w:tblGrid>
      <w:tr>
        <w:trPr/>
        <w:tc>
          <w:tcPr>
            <w:tcW w:w="20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39" w:type="dxa"/>
            <w:gridSpan w:val="2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Three-Month Period Ending March 31, 2022</w:t>
            </w:r>
          </w:p>
        </w:tc>
        <w:tc>
          <w:tcPr>
            <w:tcW w:w="83" w:type="dxa"/>
            <w:tcBorders/>
            <w:shd w:fill="FFFFFF" w:val="clear"/>
            <w:vAlign w:val="center"/>
          </w:tcPr>
          <w:p>
            <w:pPr>
              <w:pStyle w:val="TableContents"/>
              <w:spacing w:before="0" w:after="283"/>
              <w:rPr/>
            </w:pPr>
            <w:r>
              <w:rPr/>
              <w:t> </w:t>
            </w:r>
          </w:p>
        </w:tc>
      </w:tr>
      <w:tr>
        <w:trPr/>
        <w:tc>
          <w:tcPr>
            <w:tcW w:w="20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461" w:type="dxa"/>
            <w:gridSpan w:val="2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Eastman Kodak Company Common Shareholders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9" w:type="dxa"/>
            <w:tcBorders/>
            <w:shd w:fill="FFFFFF" w:val="clear"/>
            <w:vAlign w:val="center"/>
          </w:tcPr>
          <w:p>
            <w:pPr>
              <w:pStyle w:val="TableContents"/>
              <w:spacing w:before="0" w:after="283"/>
              <w:rPr/>
            </w:pPr>
            <w:r>
              <w:rPr/>
              <w:t> </w:t>
            </w:r>
          </w:p>
        </w:tc>
        <w:tc>
          <w:tcPr>
            <w:tcW w:w="1049" w:type="dxa"/>
            <w:tcBorders/>
            <w:shd w:fill="FFFFFF" w:val="clear"/>
            <w:vAlign w:val="center"/>
          </w:tcPr>
          <w:p>
            <w:pPr>
              <w:pStyle w:val="TableContents"/>
              <w:spacing w:before="0" w:after="283"/>
              <w:jc w:val="center"/>
              <w:rPr/>
            </w:pPr>
            <w:r>
              <w:rPr>
                <w:rStyle w:val="Emphasis"/>
              </w:rPr>
              <w:t> </w:t>
            </w:r>
          </w:p>
        </w:tc>
        <w:tc>
          <w:tcPr>
            <w:tcW w:w="83" w:type="dxa"/>
            <w:tcBorders/>
            <w:shd w:fill="FFFFFF" w:val="clear"/>
            <w:vAlign w:val="center"/>
          </w:tcPr>
          <w:p>
            <w:pPr>
              <w:pStyle w:val="TableContents"/>
              <w:spacing w:before="0" w:after="283"/>
              <w:rPr/>
            </w:pPr>
            <w:r>
              <w:rPr/>
              <w:t> </w:t>
            </w:r>
          </w:p>
        </w:tc>
      </w:tr>
      <w:tr>
        <w:trPr/>
        <w:tc>
          <w:tcPr>
            <w:tcW w:w="20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Common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Additional Paid in Capital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9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Accumulated 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6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Accumulated Other Comprehensive Income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Treasury Stock</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Total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16"/>
              </w:rPr>
              <w:t>Redeemable Convertible Preferred Stock</w:t>
            </w:r>
          </w:p>
        </w:tc>
        <w:tc>
          <w:tcPr>
            <w:tcW w:w="83" w:type="dxa"/>
            <w:tcBorders/>
            <w:shd w:fill="FFFFFF" w:val="clear"/>
            <w:vAlign w:val="center"/>
          </w:tcPr>
          <w:p>
            <w:pPr>
              <w:pStyle w:val="TableContents"/>
              <w:spacing w:before="0" w:after="283"/>
              <w:rPr/>
            </w:pPr>
            <w:r>
              <w:rPr/>
              <w:t> </w:t>
            </w:r>
          </w:p>
        </w:tc>
      </w:tr>
      <w:tr>
        <w:trPr/>
        <w:tc>
          <w:tcPr>
            <w:tcW w:w="2023"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Equity (deficit) as of December 31, 2021</w:t>
            </w:r>
          </w:p>
        </w:tc>
        <w:tc>
          <w:tcPr>
            <w:tcW w:w="60" w:type="dxa"/>
            <w:tcBorders/>
            <w:shd w:fill="CCEEFF" w:val="clear"/>
            <w:vAlign w:val="center"/>
          </w:tcPr>
          <w:p>
            <w:pPr>
              <w:pStyle w:val="TableContents"/>
              <w:spacing w:before="0" w:after="283"/>
              <w:ind w:left="0" w:right="0" w:hanging="0"/>
              <w:rPr/>
            </w:pPr>
            <w:r>
              <w:rPr/>
              <w:t> </w:t>
            </w:r>
          </w:p>
        </w:tc>
        <w:tc>
          <w:tcPr>
            <w:tcW w:w="25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2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0"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5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1,166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3"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34"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(596</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450"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21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781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04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196</w:t>
            </w:r>
          </w:p>
        </w:tc>
        <w:tc>
          <w:tcPr>
            <w:tcW w:w="83" w:type="dxa"/>
            <w:tcBorders/>
            <w:shd w:fill="CCEEFF" w:val="clear"/>
            <w:vAlign w:val="center"/>
          </w:tcPr>
          <w:p>
            <w:pPr>
              <w:pStyle w:val="TableContents"/>
              <w:spacing w:before="0" w:after="283"/>
              <w:rPr/>
            </w:pPr>
            <w:r>
              <w:rPr/>
              <w:t> </w:t>
            </w:r>
          </w:p>
        </w:tc>
      </w:tr>
      <w:tr>
        <w:trPr/>
        <w:tc>
          <w:tcPr>
            <w:tcW w:w="2023"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loss</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ind w:left="0" w:right="0" w:hanging="0"/>
              <w:rPr/>
            </w:pPr>
            <w:r>
              <w:rPr/>
              <w:t> </w:t>
            </w:r>
          </w:p>
        </w:tc>
        <w:tc>
          <w:tcPr>
            <w:tcW w:w="52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3" w:type="dxa"/>
            <w:tcBorders/>
            <w:shd w:fill="FFFFFF" w:val="clear"/>
            <w:vAlign w:val="center"/>
          </w:tcPr>
          <w:p>
            <w:pPr>
              <w:pStyle w:val="TableContents"/>
              <w:spacing w:before="0" w:after="283"/>
              <w:ind w:left="0" w:right="0" w:hanging="0"/>
              <w:rPr/>
            </w:pPr>
            <w:r>
              <w:rPr/>
              <w:t> </w:t>
            </w:r>
          </w:p>
        </w:tc>
        <w:tc>
          <w:tcPr>
            <w:tcW w:w="834"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450" w:type="dxa"/>
            <w:tcBorders/>
            <w:shd w:fill="FFFFFF" w:val="clear"/>
            <w:vAlign w:val="center"/>
          </w:tcPr>
          <w:p>
            <w:pPr>
              <w:pStyle w:val="TableContents"/>
              <w:spacing w:before="0" w:after="283"/>
              <w:ind w:left="0" w:right="0" w:hanging="0"/>
              <w:rPr/>
            </w:pPr>
            <w:r>
              <w:rPr/>
              <w:t> </w:t>
            </w:r>
          </w:p>
        </w:tc>
        <w:tc>
          <w:tcPr>
            <w:tcW w:w="1212"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ind w:left="0" w:right="0" w:hanging="0"/>
              <w:rPr/>
            </w:pPr>
            <w:r>
              <w:rPr/>
              <w:t> </w:t>
            </w:r>
          </w:p>
        </w:tc>
        <w:tc>
          <w:tcPr>
            <w:tcW w:w="51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389" w:type="dxa"/>
            <w:tcBorders/>
            <w:shd w:fill="FFFFFF" w:val="clear"/>
            <w:vAlign w:val="center"/>
          </w:tcPr>
          <w:p>
            <w:pPr>
              <w:pStyle w:val="TableContents"/>
              <w:spacing w:before="0" w:after="283"/>
              <w:ind w:left="0" w:right="0" w:hanging="0"/>
              <w:rPr/>
            </w:pPr>
            <w:r>
              <w:rPr/>
              <w:t> </w:t>
            </w:r>
          </w:p>
        </w:tc>
        <w:tc>
          <w:tcPr>
            <w:tcW w:w="1049" w:type="dxa"/>
            <w:tcBorders/>
            <w:shd w:fill="FFFFFF" w:val="clear"/>
            <w:vAlign w:val="center"/>
          </w:tcPr>
          <w:p>
            <w:pPr>
              <w:pStyle w:val="TableContents"/>
              <w:spacing w:before="0" w:after="283"/>
              <w:ind w:left="0" w:right="0" w:hanging="0"/>
              <w:jc w:val="right"/>
              <w:rPr/>
            </w:pPr>
            <w:r>
              <w:rPr/>
              <w:t>—</w:t>
            </w:r>
          </w:p>
        </w:tc>
        <w:tc>
          <w:tcPr>
            <w:tcW w:w="83" w:type="dxa"/>
            <w:tcBorders/>
            <w:shd w:fill="FFFFFF" w:val="clear"/>
            <w:vAlign w:val="center"/>
          </w:tcPr>
          <w:p>
            <w:pPr>
              <w:pStyle w:val="TableContents"/>
              <w:spacing w:before="0" w:after="283"/>
              <w:rPr/>
            </w:pPr>
            <w:r>
              <w:rPr/>
              <w:t> </w:t>
            </w:r>
          </w:p>
        </w:tc>
      </w:tr>
      <w:tr>
        <w:trPr/>
        <w:tc>
          <w:tcPr>
            <w:tcW w:w="2023"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comprehensive income (loss) (net of tax):</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rPr/>
            </w:pPr>
            <w:r>
              <w:rPr/>
              <w:t> </w:t>
            </w:r>
          </w:p>
        </w:tc>
        <w:tc>
          <w:tcPr>
            <w:tcW w:w="52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rPr/>
            </w:pPr>
            <w:r>
              <w:rPr/>
              <w:t> </w:t>
            </w:r>
          </w:p>
        </w:tc>
        <w:tc>
          <w:tcPr>
            <w:tcW w:w="83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rPr/>
            </w:pPr>
            <w:r>
              <w:rPr/>
              <w:t> </w:t>
            </w:r>
          </w:p>
        </w:tc>
        <w:tc>
          <w:tcPr>
            <w:tcW w:w="121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89" w:type="dxa"/>
            <w:tcBorders/>
            <w:shd w:fill="CCEEFF" w:val="clear"/>
            <w:vAlign w:val="center"/>
          </w:tcPr>
          <w:p>
            <w:pPr>
              <w:pStyle w:val="TableContents"/>
              <w:spacing w:before="0" w:after="283"/>
              <w:rPr/>
            </w:pPr>
            <w:r>
              <w:rPr/>
              <w:t> </w:t>
            </w:r>
          </w:p>
        </w:tc>
        <w:tc>
          <w:tcPr>
            <w:tcW w:w="1049"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2023"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ind w:left="0" w:right="0" w:hanging="0"/>
              <w:rPr/>
            </w:pPr>
            <w:r>
              <w:rPr/>
              <w:t> </w:t>
            </w:r>
          </w:p>
        </w:tc>
        <w:tc>
          <w:tcPr>
            <w:tcW w:w="52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3" w:type="dxa"/>
            <w:tcBorders/>
            <w:shd w:fill="FFFFFF" w:val="clear"/>
            <w:vAlign w:val="center"/>
          </w:tcPr>
          <w:p>
            <w:pPr>
              <w:pStyle w:val="TableContents"/>
              <w:spacing w:before="0" w:after="283"/>
              <w:ind w:left="0" w:right="0" w:hanging="0"/>
              <w:rPr/>
            </w:pPr>
            <w:r>
              <w:rPr/>
              <w:t> </w:t>
            </w:r>
          </w:p>
        </w:tc>
        <w:tc>
          <w:tcPr>
            <w:tcW w:w="83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0" w:type="dxa"/>
            <w:tcBorders/>
            <w:shd w:fill="FFFFFF" w:val="clear"/>
            <w:vAlign w:val="center"/>
          </w:tcPr>
          <w:p>
            <w:pPr>
              <w:pStyle w:val="TableContents"/>
              <w:spacing w:before="0" w:after="283"/>
              <w:ind w:left="0" w:right="0" w:hanging="0"/>
              <w:rPr/>
            </w:pPr>
            <w:r>
              <w:rPr/>
              <w:t> </w:t>
            </w:r>
          </w:p>
        </w:tc>
        <w:tc>
          <w:tcPr>
            <w:tcW w:w="121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ind w:left="0" w:right="0" w:hanging="0"/>
              <w:rPr/>
            </w:pPr>
            <w:r>
              <w:rPr/>
              <w:t> </w:t>
            </w:r>
          </w:p>
        </w:tc>
        <w:tc>
          <w:tcPr>
            <w:tcW w:w="51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9" w:type="dxa"/>
            <w:tcBorders/>
            <w:shd w:fill="FFFFFF" w:val="clear"/>
            <w:vAlign w:val="center"/>
          </w:tcPr>
          <w:p>
            <w:pPr>
              <w:pStyle w:val="TableContents"/>
              <w:spacing w:before="0" w:after="283"/>
              <w:ind w:left="0" w:right="0" w:hanging="0"/>
              <w:rPr/>
            </w:pPr>
            <w:r>
              <w:rPr/>
              <w:t> </w:t>
            </w:r>
          </w:p>
        </w:tc>
        <w:tc>
          <w:tcPr>
            <w:tcW w:w="1049" w:type="dxa"/>
            <w:tcBorders/>
            <w:shd w:fill="FFFFFF" w:val="clear"/>
            <w:vAlign w:val="center"/>
          </w:tcPr>
          <w:p>
            <w:pPr>
              <w:pStyle w:val="TableContents"/>
              <w:spacing w:before="0" w:after="283"/>
              <w:ind w:left="0" w:right="0" w:hanging="0"/>
              <w:jc w:val="right"/>
              <w:rPr/>
            </w:pPr>
            <w:r>
              <w:rPr/>
              <w:t>—</w:t>
            </w:r>
          </w:p>
        </w:tc>
        <w:tc>
          <w:tcPr>
            <w:tcW w:w="83" w:type="dxa"/>
            <w:tcBorders/>
            <w:shd w:fill="FFFFFF" w:val="clear"/>
            <w:vAlign w:val="center"/>
          </w:tcPr>
          <w:p>
            <w:pPr>
              <w:pStyle w:val="TableContents"/>
              <w:spacing w:before="0" w:after="283"/>
              <w:rPr/>
            </w:pPr>
            <w:r>
              <w:rPr/>
              <w:t> </w:t>
            </w:r>
          </w:p>
        </w:tc>
      </w:tr>
      <w:tr>
        <w:trPr/>
        <w:tc>
          <w:tcPr>
            <w:tcW w:w="2023"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Preferred stock cash dividends</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ind w:left="0" w:right="0" w:hanging="0"/>
              <w:rPr/>
            </w:pPr>
            <w:r>
              <w:rPr/>
              <w:t> </w:t>
            </w:r>
          </w:p>
        </w:tc>
        <w:tc>
          <w:tcPr>
            <w:tcW w:w="52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ind w:left="0" w:right="0" w:hanging="0"/>
              <w:rPr/>
            </w:pPr>
            <w:r>
              <w:rPr/>
              <w:t> </w:t>
            </w:r>
          </w:p>
        </w:tc>
        <w:tc>
          <w:tcPr>
            <w:tcW w:w="83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ind w:left="0" w:right="0" w:hanging="0"/>
              <w:rPr/>
            </w:pPr>
            <w:r>
              <w:rPr/>
              <w:t> </w:t>
            </w:r>
          </w:p>
        </w:tc>
        <w:tc>
          <w:tcPr>
            <w:tcW w:w="121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ind w:left="0" w:right="0" w:hanging="0"/>
              <w:rPr/>
            </w:pPr>
            <w:r>
              <w:rPr/>
              <w:t> </w:t>
            </w:r>
          </w:p>
        </w:tc>
        <w:tc>
          <w:tcPr>
            <w:tcW w:w="51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389" w:type="dxa"/>
            <w:tcBorders/>
            <w:shd w:fill="CCEEFF" w:val="clear"/>
            <w:vAlign w:val="center"/>
          </w:tcPr>
          <w:p>
            <w:pPr>
              <w:pStyle w:val="TableContents"/>
              <w:spacing w:before="0" w:after="283"/>
              <w:ind w:left="0" w:right="0" w:hanging="0"/>
              <w:rPr/>
            </w:pPr>
            <w:r>
              <w:rPr/>
              <w:t> </w:t>
            </w:r>
          </w:p>
        </w:tc>
        <w:tc>
          <w:tcPr>
            <w:tcW w:w="1049" w:type="dxa"/>
            <w:tcBorders/>
            <w:shd w:fill="CCEEFF" w:val="clear"/>
            <w:vAlign w:val="center"/>
          </w:tcPr>
          <w:p>
            <w:pPr>
              <w:pStyle w:val="TableContents"/>
              <w:spacing w:before="0" w:after="283"/>
              <w:ind w:left="0" w:right="0" w:hanging="0"/>
              <w:jc w:val="right"/>
              <w:rPr/>
            </w:pPr>
            <w:r>
              <w:rPr/>
              <w:t>—</w:t>
            </w:r>
          </w:p>
        </w:tc>
        <w:tc>
          <w:tcPr>
            <w:tcW w:w="83" w:type="dxa"/>
            <w:tcBorders/>
            <w:shd w:fill="CCEEFF" w:val="clear"/>
            <w:vAlign w:val="center"/>
          </w:tcPr>
          <w:p>
            <w:pPr>
              <w:pStyle w:val="TableContents"/>
              <w:spacing w:before="0" w:after="283"/>
              <w:rPr/>
            </w:pPr>
            <w:r>
              <w:rPr/>
              <w:t> </w:t>
            </w:r>
          </w:p>
        </w:tc>
      </w:tr>
      <w:tr>
        <w:trPr/>
        <w:tc>
          <w:tcPr>
            <w:tcW w:w="2023"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Preferred stock in-kind dividends</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ind w:left="0" w:right="0" w:hanging="0"/>
              <w:rPr/>
            </w:pPr>
            <w:r>
              <w:rPr/>
              <w:t> </w:t>
            </w:r>
          </w:p>
        </w:tc>
        <w:tc>
          <w:tcPr>
            <w:tcW w:w="523"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63" w:type="dxa"/>
            <w:tcBorders/>
            <w:shd w:fill="FFFFFF" w:val="clear"/>
            <w:vAlign w:val="center"/>
          </w:tcPr>
          <w:p>
            <w:pPr>
              <w:pStyle w:val="TableContents"/>
              <w:spacing w:before="0" w:after="283"/>
              <w:ind w:left="0" w:right="0" w:hanging="0"/>
              <w:rPr/>
            </w:pPr>
            <w:r>
              <w:rPr/>
              <w:t> </w:t>
            </w:r>
          </w:p>
        </w:tc>
        <w:tc>
          <w:tcPr>
            <w:tcW w:w="834"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0" w:type="dxa"/>
            <w:tcBorders/>
            <w:shd w:fill="FFFFFF" w:val="clear"/>
            <w:vAlign w:val="center"/>
          </w:tcPr>
          <w:p>
            <w:pPr>
              <w:pStyle w:val="TableContents"/>
              <w:spacing w:before="0" w:after="283"/>
              <w:ind w:left="0" w:right="0" w:hanging="0"/>
              <w:rPr/>
            </w:pPr>
            <w:r>
              <w:rPr/>
              <w:t> </w:t>
            </w:r>
          </w:p>
        </w:tc>
        <w:tc>
          <w:tcPr>
            <w:tcW w:w="1212"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ind w:left="0" w:right="0" w:hanging="0"/>
              <w:rPr/>
            </w:pPr>
            <w:r>
              <w:rPr/>
              <w:t> </w:t>
            </w:r>
          </w:p>
        </w:tc>
        <w:tc>
          <w:tcPr>
            <w:tcW w:w="51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389" w:type="dxa"/>
            <w:tcBorders/>
            <w:shd w:fill="FFFFFF" w:val="clear"/>
            <w:vAlign w:val="center"/>
          </w:tcPr>
          <w:p>
            <w:pPr>
              <w:pStyle w:val="TableContents"/>
              <w:spacing w:before="0" w:after="283"/>
              <w:ind w:left="0" w:right="0" w:hanging="0"/>
              <w:rPr/>
            </w:pPr>
            <w:r>
              <w:rPr/>
              <w:t> </w:t>
            </w:r>
          </w:p>
        </w:tc>
        <w:tc>
          <w:tcPr>
            <w:tcW w:w="104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3" w:type="dxa"/>
            <w:tcBorders/>
            <w:shd w:fill="FFFFFF" w:val="clear"/>
            <w:vAlign w:val="center"/>
          </w:tcPr>
          <w:p>
            <w:pPr>
              <w:pStyle w:val="TableContents"/>
              <w:spacing w:before="0" w:after="283"/>
              <w:rPr/>
            </w:pPr>
            <w:r>
              <w:rPr/>
              <w:t> </w:t>
            </w:r>
          </w:p>
        </w:tc>
      </w:tr>
      <w:tr>
        <w:trPr/>
        <w:tc>
          <w:tcPr>
            <w:tcW w:w="2023"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Preferred stock deemed dividends</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ind w:left="0" w:right="0" w:hanging="0"/>
              <w:rPr/>
            </w:pPr>
            <w:r>
              <w:rPr/>
              <w:t> </w:t>
            </w:r>
          </w:p>
        </w:tc>
        <w:tc>
          <w:tcPr>
            <w:tcW w:w="523"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63" w:type="dxa"/>
            <w:tcBorders/>
            <w:shd w:fill="CCEEFF" w:val="clear"/>
            <w:vAlign w:val="center"/>
          </w:tcPr>
          <w:p>
            <w:pPr>
              <w:pStyle w:val="TableContents"/>
              <w:spacing w:before="0" w:after="283"/>
              <w:ind w:left="0" w:right="0" w:hanging="0"/>
              <w:rPr/>
            </w:pPr>
            <w:r>
              <w:rPr/>
              <w:t> </w:t>
            </w:r>
          </w:p>
        </w:tc>
        <w:tc>
          <w:tcPr>
            <w:tcW w:w="834"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0" w:type="dxa"/>
            <w:tcBorders/>
            <w:shd w:fill="CCEEFF" w:val="clear"/>
            <w:vAlign w:val="center"/>
          </w:tcPr>
          <w:p>
            <w:pPr>
              <w:pStyle w:val="TableContents"/>
              <w:spacing w:before="0" w:after="283"/>
              <w:ind w:left="0" w:right="0" w:hanging="0"/>
              <w:rPr/>
            </w:pPr>
            <w:r>
              <w:rPr/>
              <w:t> </w:t>
            </w:r>
          </w:p>
        </w:tc>
        <w:tc>
          <w:tcPr>
            <w:tcW w:w="1212"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9" w:type="dxa"/>
            <w:tcBorders/>
            <w:shd w:fill="CCEEFF" w:val="clear"/>
            <w:vAlign w:val="center"/>
          </w:tcPr>
          <w:p>
            <w:pPr>
              <w:pStyle w:val="TableContents"/>
              <w:spacing w:before="0" w:after="283"/>
              <w:ind w:left="0" w:right="0" w:hanging="0"/>
              <w:rPr/>
            </w:pPr>
            <w:r>
              <w:rPr/>
              <w:t> </w:t>
            </w:r>
          </w:p>
        </w:tc>
        <w:tc>
          <w:tcPr>
            <w:tcW w:w="510" w:type="dxa"/>
            <w:tcBorders/>
            <w:shd w:fill="CCEEFF" w:val="cle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389" w:type="dxa"/>
            <w:tcBorders/>
            <w:shd w:fill="CCEEFF" w:val="clear"/>
            <w:vAlign w:val="center"/>
          </w:tcPr>
          <w:p>
            <w:pPr>
              <w:pStyle w:val="TableContents"/>
              <w:spacing w:before="0" w:after="283"/>
              <w:ind w:left="0" w:right="0" w:hanging="0"/>
              <w:rPr/>
            </w:pPr>
            <w:r>
              <w:rPr/>
              <w:t> </w:t>
            </w:r>
          </w:p>
        </w:tc>
        <w:tc>
          <w:tcPr>
            <w:tcW w:w="104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3" w:type="dxa"/>
            <w:tcBorders/>
            <w:shd w:fill="CCEEFF" w:val="clear"/>
            <w:vAlign w:val="center"/>
          </w:tcPr>
          <w:p>
            <w:pPr>
              <w:pStyle w:val="TableContents"/>
              <w:spacing w:before="0" w:after="283"/>
              <w:rPr/>
            </w:pPr>
            <w:r>
              <w:rPr/>
              <w:t> </w:t>
            </w:r>
          </w:p>
        </w:tc>
      </w:tr>
      <w:tr>
        <w:trPr/>
        <w:tc>
          <w:tcPr>
            <w:tcW w:w="2023"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Stock-based compensation</w:t>
            </w:r>
          </w:p>
        </w:tc>
        <w:tc>
          <w:tcPr>
            <w:tcW w:w="60" w:type="dxa"/>
            <w:tcBorders/>
            <w:shd w:fill="FFFFFF" w:val="clear"/>
            <w:vAlign w:val="center"/>
          </w:tcPr>
          <w:p>
            <w:pPr>
              <w:pStyle w:val="TableContents"/>
              <w:spacing w:before="0" w:after="283"/>
              <w:rPr/>
            </w:pPr>
            <w:r>
              <w:rPr/>
              <w:t> </w:t>
            </w:r>
          </w:p>
        </w:tc>
        <w:tc>
          <w:tcPr>
            <w:tcW w:w="2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3"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12"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49"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83" w:type="dxa"/>
            <w:tcBorders/>
            <w:shd w:fill="FFFFFF" w:val="clear"/>
            <w:vAlign w:val="center"/>
          </w:tcPr>
          <w:p>
            <w:pPr>
              <w:pStyle w:val="TableContents"/>
              <w:spacing w:before="0" w:after="283"/>
              <w:rPr/>
            </w:pPr>
            <w:r>
              <w:rPr/>
              <w:t> </w:t>
            </w:r>
          </w:p>
        </w:tc>
      </w:tr>
      <w:tr>
        <w:trPr/>
        <w:tc>
          <w:tcPr>
            <w:tcW w:w="2023"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Equity (deficit) as of March 31, 2022</w:t>
            </w:r>
          </w:p>
        </w:tc>
        <w:tc>
          <w:tcPr>
            <w:tcW w:w="60" w:type="dxa"/>
            <w:tcBorders/>
            <w:shd w:fill="CCEEFF" w:val="clear"/>
            <w:vAlign w:val="center"/>
          </w:tcPr>
          <w:p>
            <w:pPr>
              <w:pStyle w:val="TableContents"/>
              <w:spacing w:before="0" w:after="283"/>
              <w:ind w:left="0" w:right="0" w:hanging="0"/>
              <w:rPr/>
            </w:pPr>
            <w:r>
              <w:rPr/>
              <w:t> </w:t>
            </w:r>
          </w:p>
        </w:tc>
        <w:tc>
          <w:tcPr>
            <w:tcW w:w="251"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23"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0"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5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3"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(599</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450"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2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9"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782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89"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04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198</w:t>
            </w:r>
          </w:p>
        </w:tc>
        <w:tc>
          <w:tcPr>
            <w:tcW w:w="83"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bookmarkStart w:id="10" w:name="notes"/>
      <w:bookmarkEnd w:id="10"/>
      <w:r>
        <w:rPr>
          <w:rFonts w:ascii="Calibri;Arial;sans-serif" w:hAnsi="Calibri;Arial;sans-serif"/>
          <w:b/>
          <w:caps w:val="false"/>
          <w:smallCaps w:val="false"/>
          <w:sz w:val="20"/>
        </w:rPr>
        <w:t>EASTMAN KODAK COMPANY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NOTES TO FINANCIAL STATEMENTS (Unaudited)</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 xml:space="preserve"> BASIS OF PRESENTATION AND 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-Q and Rule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01</w:t>
      </w:r>
      <w:r>
        <w:rPr>
          <w:rFonts w:ascii="Calibri;Arial;sans-serif" w:hAnsi="Calibri;Arial;sans-serif"/>
          <w:caps w:val="false"/>
          <w:smallCaps w:val="false"/>
          <w:sz w:val="20"/>
        </w:rPr>
        <w:t xml:space="preserve"> of Regulation S-</w:t>
      </w:r>
      <w:r>
        <w:rPr>
          <w:rStyle w:val="Emphasis"/>
          <w:rFonts w:ascii="Calibri;Arial;sans-serif" w:hAnsi="Calibri;Arial;sans-serif"/>
          <w:caps w:val="false"/>
          <w:smallCaps w:val="false"/>
          <w:sz w:val="20"/>
        </w:rPr>
        <w:t>X.</w:t>
      </w:r>
      <w:r>
        <w:rPr>
          <w:rFonts w:ascii="Calibri;Arial;sans-serif" w:hAnsi="Calibri;Arial;sans-serif"/>
          <w:caps w:val="false"/>
          <w:smallCaps w:val="false"/>
          <w:sz w:val="20"/>
        </w:rPr>
        <w:t xml:space="preserve">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necessarily indicative of the results for the entire fiscal year. These consolidated interim statements should be read in conjunction with the Company’s Annual Report on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-K for the year ended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(the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Form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i/>
          <w:caps w:val="false"/>
          <w:smallCaps w:val="false"/>
          <w:sz w:val="20"/>
        </w:rPr>
        <w:t>Reclassification</w:t>
      </w:r>
      <w:r>
        <w:rPr>
          <w:rFonts w:ascii="Calibri;Arial;sans-serif" w:hAnsi="Calibri;Arial;sans-serif"/>
          <w:caps w:val="false"/>
          <w:smallCaps w:val="false"/>
          <w:sz w:val="20"/>
        </w:rPr>
        <w: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Certain amounts from previous periods have been reclassified to conform to the current period classification due to Kodak's new organization structure as of </w:t>
      </w:r>
      <w:r>
        <w:rPr>
          <w:rStyle w:val="Emphasis"/>
          <w:rFonts w:ascii="Calibri;Arial;sans-serif" w:hAnsi="Calibri;Arial;sans-serif"/>
          <w:caps w:val="false"/>
          <w:smallCaps w:val="false"/>
          <w:sz w:val="20"/>
        </w:rPr>
        <w:t xml:space="preserve">February 2023.  </w:t>
      </w:r>
      <w:r>
        <w:rPr>
          <w:rFonts w:ascii="Calibri;Arial;sans-serif" w:hAnsi="Calibri;Arial;sans-serif"/>
          <w:caps w:val="false"/>
          <w:smallCaps w:val="false"/>
          <w:sz w:val="20"/>
        </w:rPr>
        <w:t xml:space="preserve">Refer to Note </w:t>
      </w:r>
      <w:r>
        <w:rPr>
          <w:rStyle w:val="Emphasis"/>
          <w:rFonts w:ascii="Calibri;Arial;sans-serif" w:hAnsi="Calibri;Arial;sans-serif"/>
          <w:caps w:val="false"/>
          <w:smallCaps w:val="false"/>
          <w:sz w:val="20"/>
        </w:rPr>
        <w:t>16,</w:t>
      </w:r>
      <w:r>
        <w:rPr>
          <w:rFonts w:ascii="Calibri;Arial;sans-serif" w:hAnsi="Calibri;Arial;sans-serif"/>
          <w:caps w:val="false"/>
          <w:smallCaps w:val="false"/>
          <w:sz w:val="20"/>
        </w:rPr>
        <w:t xml:space="preserve"> "Segment Information" and Note </w:t>
      </w:r>
      <w:r>
        <w:rPr>
          <w:rStyle w:val="Emphasis"/>
          <w:rFonts w:ascii="Calibri;Arial;sans-serif" w:hAnsi="Calibri;Arial;sans-serif"/>
          <w:caps w:val="false"/>
          <w:smallCaps w:val="false"/>
          <w:sz w:val="20"/>
        </w:rPr>
        <w:t>8,</w:t>
      </w:r>
      <w:r>
        <w:rPr>
          <w:rFonts w:ascii="Calibri;Arial;sans-serif" w:hAnsi="Calibri;Arial;sans-serif"/>
          <w:caps w:val="false"/>
          <w:smallCaps w:val="false"/>
          <w:sz w:val="20"/>
        </w:rPr>
        <w:t xml:space="preserve"> "Revenue" for additional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RECENTLY ADOPTED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In </w:t>
      </w:r>
      <w:r>
        <w:rPr>
          <w:rStyle w:val="Emphasis"/>
          <w:rFonts w:ascii="Calibri;Arial;sans-serif" w:hAnsi="Calibri;Arial;sans-serif"/>
          <w:caps w:val="false"/>
          <w:smallCaps w:val="false"/>
          <w:sz w:val="20"/>
        </w:rPr>
        <w:t xml:space="preserve">June 2016, </w:t>
      </w:r>
      <w:r>
        <w:rPr>
          <w:rFonts w:ascii="Calibri;Arial;sans-serif" w:hAnsi="Calibri;Arial;sans-serif"/>
          <w:caps w:val="false"/>
          <w:smallCaps w:val="false"/>
          <w:sz w:val="20"/>
        </w:rPr>
        <w:t xml:space="preserve">the Financial Accounting Standards Board ("FASB") issued Accounting Standards Update ("ASU") </w:t>
      </w:r>
      <w:r>
        <w:rPr>
          <w:rStyle w:val="Emphasis"/>
          <w:rFonts w:ascii="Calibri;Arial;sans-serif" w:hAnsi="Calibri;Arial;sans-serif"/>
          <w:caps w:val="false"/>
          <w:smallCaps w:val="false"/>
          <w:sz w:val="20"/>
        </w:rPr>
        <w:t>2016‐13,</w:t>
      </w:r>
      <w:r>
        <w:rPr>
          <w:rFonts w:ascii="Calibri;Arial;sans-serif" w:hAnsi="Calibri;Arial;sans-serif"/>
          <w:caps w:val="false"/>
          <w:smallCaps w:val="false"/>
          <w:sz w:val="20"/>
        </w:rPr>
        <w:t xml:space="preserve"> Financial Instruments—Credit Losses (Topic </w:t>
      </w:r>
      <w:r>
        <w:rPr>
          <w:rStyle w:val="Emphasis"/>
          <w:rFonts w:ascii="Calibri;Arial;sans-serif" w:hAnsi="Calibri;Arial;sans-serif"/>
          <w:caps w:val="false"/>
          <w:smallCaps w:val="false"/>
          <w:sz w:val="20"/>
        </w:rPr>
        <w:t>326</w:t>
      </w:r>
      <w:r>
        <w:rPr>
          <w:rFonts w:ascii="Calibri;Arial;sans-serif" w:hAnsi="Calibri;Arial;sans-serif"/>
          <w:caps w:val="false"/>
          <w:smallCaps w:val="false"/>
          <w:sz w:val="20"/>
        </w:rPr>
        <w:t xml:space="preserve">): Measurement of Credit Losses on Financial Instruments. ASU </w:t>
      </w:r>
      <w:r>
        <w:rPr>
          <w:rStyle w:val="Emphasis"/>
          <w:rFonts w:ascii="Calibri;Arial;sans-serif" w:hAnsi="Calibri;Arial;sans-serif"/>
          <w:caps w:val="false"/>
          <w:smallCaps w:val="false"/>
          <w:sz w:val="20"/>
        </w:rPr>
        <w:t>2016‐13</w:t>
      </w:r>
      <w:r>
        <w:rPr>
          <w:rFonts w:ascii="Calibri;Arial;sans-serif" w:hAnsi="Calibri;Arial;sans-serif"/>
          <w:caps w:val="false"/>
          <w:smallCaps w:val="false"/>
          <w:sz w:val="20"/>
        </w:rPr>
        <w:t xml:space="preserve"> (as amended by ASUs </w:t>
      </w:r>
      <w:r>
        <w:rPr>
          <w:rStyle w:val="Emphasis"/>
          <w:rFonts w:ascii="Calibri;Arial;sans-serif" w:hAnsi="Calibri;Arial;sans-serif"/>
          <w:caps w:val="false"/>
          <w:smallCaps w:val="false"/>
          <w:sz w:val="20"/>
        </w:rPr>
        <w:t>2018‐19,</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2019‐04,</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2019‐05,</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2019‐10,</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2019‐11,</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2020‐02,</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2020‐03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2022‐02</w:t>
      </w:r>
      <w:r>
        <w:rPr>
          <w:rFonts w:ascii="Calibri;Arial;sans-serif" w:hAnsi="Calibri;Arial;sans-serif"/>
          <w:caps w:val="false"/>
          <w:smallCaps w:val="false"/>
          <w:sz w:val="20"/>
        </w:rPr>
        <w:t xml:space="preserve">)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for Kodak for fiscal years, and interim periods within those fiscal years, beginning after </w:t>
      </w:r>
      <w:r>
        <w:rPr>
          <w:rStyle w:val="Emphasis"/>
          <w:rFonts w:ascii="Calibri;Arial;sans-serif" w:hAnsi="Calibri;Arial;sans-serif"/>
          <w:caps w:val="false"/>
          <w:smallCaps w:val="false"/>
          <w:sz w:val="20"/>
        </w:rPr>
        <w:t xml:space="preserve">December 15, 2022 ( January 1, 2023 </w:t>
      </w:r>
      <w:r>
        <w:rPr>
          <w:rFonts w:ascii="Calibri;Arial;sans-serif" w:hAnsi="Calibri;Arial;sans-serif"/>
          <w:caps w:val="false"/>
          <w:smallCaps w:val="false"/>
          <w:sz w:val="20"/>
        </w:rPr>
        <w:t xml:space="preserve">for Kodak). Kodak adopted the new standard on </w:t>
      </w:r>
      <w:r>
        <w:rPr>
          <w:rStyle w:val="Emphasis"/>
          <w:rFonts w:ascii="Calibri;Arial;sans-serif" w:hAnsi="Calibri;Arial;sans-serif"/>
          <w:caps w:val="false"/>
          <w:smallCaps w:val="false"/>
          <w:sz w:val="20"/>
        </w:rPr>
        <w:t xml:space="preserve">January 1, 2023 </w:t>
      </w:r>
      <w:r>
        <w:rPr>
          <w:rFonts w:ascii="Calibri;Arial;sans-serif" w:hAnsi="Calibri;Arial;sans-serif"/>
          <w:caps w:val="false"/>
          <w:smallCaps w:val="false"/>
          <w:sz w:val="20"/>
        </w:rPr>
        <w:t xml:space="preserve">using the modified retrospective approach and it did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have a material impact on Kodak’s consolidated financial statements.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Allowance for Credit Losses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records allowance for credit losses for the current expected credit losses inherent in the asset over its expected life.  The allowance for credit losses is maintained based on historical experience, current conditions and reasonable and supportable forecasts that affect the collectability of the reported amount.  Kodak records a specific reserve for individual accounts when Kodak becomes aware of specific customer circumstances, such as in the case of a bankruptcy filing or deterioration in the customer's operating results or financial position.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RECENTLY ISSUED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There are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recently issued accounting pronouncements that are applicable to Kodak.</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2:</w:t>
      </w:r>
      <w:r>
        <w:rPr>
          <w:rFonts w:ascii="Calibri;Arial;sans-serif" w:hAnsi="Calibri;Arial;sans-serif"/>
          <w:b/>
          <w:caps w:val="false"/>
          <w:smallCaps w:val="false"/>
          <w:sz w:val="20"/>
        </w:rPr>
        <w:t xml:space="preserve"> CASH, CASH EQUIVALENTS AND RESTRICTED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following table provides a reconciliation of cash, cash equivalents and restricted cash reported within the Consolidated Statement of Financial Position that sums to the total of such amounts shown in the Statement of Cash Flows:</w:t>
      </w:r>
    </w:p>
    <w:p>
      <w:pPr>
        <w:pStyle w:val="TextBody"/>
        <w:spacing w:before="0" w:after="0"/>
        <w:ind w:left="0" w:right="0" w:hanging="0"/>
        <w:rPr>
          <w:caps w:val="false"/>
          <w:smallCaps w:val="false"/>
        </w:rPr>
      </w:pPr>
      <w:r>
        <w:rPr>
          <w:caps w:val="false"/>
          <w:smallCaps w:val="false"/>
        </w:rPr>
        <w:t> </w:t>
      </w:r>
    </w:p>
    <w:tbl>
      <w:tblPr>
        <w:tblW w:w="8938" w:type="dxa"/>
        <w:jc w:val="left"/>
        <w:tblInd w:w="0" w:type="dxa"/>
        <w:tblCellMar>
          <w:top w:w="0" w:type="dxa"/>
          <w:left w:w="0" w:type="dxa"/>
          <w:bottom w:w="0" w:type="dxa"/>
          <w:right w:w="0" w:type="dxa"/>
        </w:tblCellMar>
      </w:tblPr>
      <w:tblGrid>
        <w:gridCol w:w="6740"/>
        <w:gridCol w:w="60"/>
        <w:gridCol w:w="229"/>
        <w:gridCol w:w="615"/>
        <w:gridCol w:w="60"/>
        <w:gridCol w:w="60"/>
        <w:gridCol w:w="302"/>
        <w:gridCol w:w="812"/>
        <w:gridCol w:w="60"/>
      </w:tblGrid>
      <w:tr>
        <w:trPr/>
        <w:tc>
          <w:tcPr>
            <w:tcW w:w="67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674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674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22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217</w:t>
            </w:r>
          </w:p>
        </w:tc>
        <w:tc>
          <w:tcPr>
            <w:tcW w:w="60" w:type="dxa"/>
            <w:tcBorders/>
            <w:shd w:fill="CCEEFF" w:val="clear"/>
            <w:vAlign w:val="center"/>
          </w:tcPr>
          <w:p>
            <w:pPr>
              <w:pStyle w:val="TableContents"/>
              <w:spacing w:before="0" w:after="283"/>
              <w:rPr/>
            </w:pPr>
            <w:r>
              <w:rPr/>
              <w:t> </w:t>
            </w:r>
          </w:p>
        </w:tc>
      </w:tr>
      <w:tr>
        <w:trPr/>
        <w:tc>
          <w:tcPr>
            <w:tcW w:w="6740" w:type="dxa"/>
            <w:tcBorders/>
            <w:shd w:fill="FFFF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Restricted cash reported in Other current assets</w:t>
            </w:r>
          </w:p>
        </w:tc>
        <w:tc>
          <w:tcPr>
            <w:tcW w:w="60"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rPr/>
            </w:pPr>
            <w:r>
              <w:rPr/>
              <w:t> </w:t>
            </w:r>
          </w:p>
        </w:tc>
        <w:tc>
          <w:tcPr>
            <w:tcW w:w="615"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2" w:type="dxa"/>
            <w:tcBorders/>
            <w:shd w:fill="FFFFFF" w:val="clear"/>
            <w:vAlign w:val="center"/>
          </w:tcPr>
          <w:p>
            <w:pPr>
              <w:pStyle w:val="TableContents"/>
              <w:spacing w:before="0" w:after="283"/>
              <w:rPr/>
            </w:pPr>
            <w:r>
              <w:rPr/>
              <w:t> </w:t>
            </w:r>
          </w:p>
        </w:tc>
        <w:tc>
          <w:tcPr>
            <w:tcW w:w="812"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7</w:t>
            </w:r>
          </w:p>
        </w:tc>
        <w:tc>
          <w:tcPr>
            <w:tcW w:w="60" w:type="dxa"/>
            <w:tcBorders/>
            <w:shd w:fill="FFFFFF" w:val="clear"/>
            <w:vAlign w:val="center"/>
          </w:tcPr>
          <w:p>
            <w:pPr>
              <w:pStyle w:val="TableContents"/>
              <w:spacing w:before="0" w:after="283"/>
              <w:rPr/>
            </w:pPr>
            <w:r>
              <w:rPr/>
              <w:t> </w:t>
            </w:r>
          </w:p>
        </w:tc>
      </w:tr>
      <w:tr>
        <w:trPr/>
        <w:tc>
          <w:tcPr>
            <w:tcW w:w="674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Restricted cash</w:t>
            </w:r>
          </w:p>
        </w:tc>
        <w:tc>
          <w:tcPr>
            <w:tcW w:w="60" w:type="dxa"/>
            <w:tcBorders/>
            <w:shd w:fill="CCEEFF" w:val="clear"/>
            <w:vAlign w:val="center"/>
          </w:tcPr>
          <w:p>
            <w:pPr>
              <w:pStyle w:val="TableContents"/>
              <w:spacing w:before="0" w:after="283"/>
              <w:rPr/>
            </w:pPr>
            <w:r>
              <w:rPr/>
              <w:t> </w:t>
            </w:r>
          </w:p>
        </w:tc>
        <w:tc>
          <w:tcPr>
            <w:tcW w:w="2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60" w:type="dxa"/>
            <w:tcBorders/>
            <w:shd w:fill="CCEEFF" w:val="clear"/>
            <w:vAlign w:val="center"/>
          </w:tcPr>
          <w:p>
            <w:pPr>
              <w:pStyle w:val="TableContents"/>
              <w:spacing w:before="0" w:after="283"/>
              <w:rPr/>
            </w:pPr>
            <w:r>
              <w:rPr/>
              <w:t> </w:t>
            </w:r>
          </w:p>
        </w:tc>
      </w:tr>
      <w:tr>
        <w:trPr/>
        <w:tc>
          <w:tcPr>
            <w:tcW w:w="6740"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Total cash, cash equivalents and restricted cash shown in the Statement of Cash Flows</w:t>
            </w:r>
          </w:p>
        </w:tc>
        <w:tc>
          <w:tcPr>
            <w:tcW w:w="60" w:type="dxa"/>
            <w:tcBorders/>
            <w:shd w:fill="FFFFFF" w:val="clear"/>
            <w:vAlign w:val="center"/>
          </w:tcPr>
          <w:p>
            <w:pPr>
              <w:pStyle w:val="TableContents"/>
              <w:spacing w:before="0" w:after="283"/>
              <w:ind w:left="0" w:right="0" w:hanging="0"/>
              <w:rPr/>
            </w:pPr>
            <w:r>
              <w:rPr/>
              <w:t> </w:t>
            </w:r>
          </w:p>
        </w:tc>
        <w:tc>
          <w:tcPr>
            <w:tcW w:w="22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2"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Restricted cash reported in Other current assets on the Consolidated Statement of Financial Position primarily represents amounts that support hedging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Restricted cash includes $44 million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representing the cash collateral required to be posted by the Company under the Letter of Credit Facility (“L/C Cash Collateral”). In addition, Restricted cash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includes an escrow of $5 million in China to secure various ongoing obligations under the agreements for a strategic relationship with Lucky HuaGuang Graphics Co. Ltd. Restricted cash also included $6 million of security posted related to Brazilian legal contingencies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respectively, and $5 million of cash collateral posted in the United Kingdom for a letter of credit for aluminum purchases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respectively.</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3:</w:t>
      </w:r>
      <w:r>
        <w:rPr>
          <w:rFonts w:ascii="Calibri;Arial;sans-serif" w:hAnsi="Calibri;Arial;sans-serif"/>
          <w:b/>
          <w:caps w:val="false"/>
          <w:smallCaps w:val="false"/>
          <w:sz w:val="20"/>
        </w:rPr>
        <w:t xml:space="preserve"> INVENTORIES, NET</w:t>
      </w:r>
    </w:p>
    <w:p>
      <w:pPr>
        <w:pStyle w:val="TextBody"/>
        <w:spacing w:before="0" w:after="0"/>
        <w:ind w:left="0" w:right="0" w:hanging="0"/>
        <w:rPr>
          <w:caps w:val="false"/>
          <w:smallCaps w:val="false"/>
        </w:rPr>
      </w:pPr>
      <w:r>
        <w:rPr>
          <w:caps w:val="false"/>
          <w:smallCaps w:val="false"/>
        </w:rPr>
        <w:t> </w:t>
      </w:r>
    </w:p>
    <w:tbl>
      <w:tblPr>
        <w:tblW w:w="3508" w:type="dxa"/>
        <w:jc w:val="left"/>
        <w:tblInd w:w="0" w:type="dxa"/>
        <w:tblCellMar>
          <w:top w:w="0" w:type="dxa"/>
          <w:left w:w="0" w:type="dxa"/>
          <w:bottom w:w="0" w:type="dxa"/>
          <w:right w:w="0" w:type="dxa"/>
        </w:tblCellMar>
      </w:tblPr>
      <w:tblGrid>
        <w:gridCol w:w="1310"/>
        <w:gridCol w:w="60"/>
        <w:gridCol w:w="229"/>
        <w:gridCol w:w="615"/>
        <w:gridCol w:w="60"/>
        <w:gridCol w:w="60"/>
        <w:gridCol w:w="302"/>
        <w:gridCol w:w="812"/>
        <w:gridCol w:w="60"/>
      </w:tblGrid>
      <w:tr>
        <w:trPr/>
        <w:tc>
          <w:tcPr>
            <w:tcW w:w="13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131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Finished goods</w:t>
            </w:r>
          </w:p>
        </w:tc>
        <w:tc>
          <w:tcPr>
            <w:tcW w:w="60" w:type="dxa"/>
            <w:tcBorders/>
            <w:shd w:fill="CCEEFF" w:val="clear"/>
            <w:vAlign w:val="center"/>
          </w:tcPr>
          <w:p>
            <w:pPr>
              <w:pStyle w:val="TableContents"/>
              <w:spacing w:before="0" w:after="283"/>
              <w:ind w:left="0" w:right="0" w:hanging="0"/>
              <w:rPr/>
            </w:pPr>
            <w:r>
              <w:rPr/>
              <w:t> </w:t>
            </w:r>
          </w:p>
        </w:tc>
        <w:tc>
          <w:tcPr>
            <w:tcW w:w="22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98</w:t>
            </w:r>
          </w:p>
        </w:tc>
        <w:tc>
          <w:tcPr>
            <w:tcW w:w="60" w:type="dxa"/>
            <w:tcBorders/>
            <w:shd w:fill="CCEEFF" w:val="clear"/>
            <w:vAlign w:val="center"/>
          </w:tcPr>
          <w:p>
            <w:pPr>
              <w:pStyle w:val="TableContents"/>
              <w:spacing w:before="0" w:after="283"/>
              <w:rPr/>
            </w:pPr>
            <w:r>
              <w:rPr/>
              <w:t> </w:t>
            </w:r>
          </w:p>
        </w:tc>
      </w:tr>
      <w:tr>
        <w:trPr/>
        <w:tc>
          <w:tcPr>
            <w:tcW w:w="131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Work in process</w:t>
            </w:r>
          </w:p>
        </w:tc>
        <w:tc>
          <w:tcPr>
            <w:tcW w:w="60" w:type="dxa"/>
            <w:tcBorders/>
            <w:shd w:fill="FFFFFF" w:val="clear"/>
            <w:vAlign w:val="center"/>
          </w:tcPr>
          <w:p>
            <w:pPr>
              <w:pStyle w:val="TableContents"/>
              <w:spacing w:before="0" w:after="283"/>
              <w:rPr/>
            </w:pPr>
            <w:r>
              <w:rPr/>
              <w:t> </w:t>
            </w:r>
          </w:p>
        </w:tc>
        <w:tc>
          <w:tcPr>
            <w:tcW w:w="229" w:type="dxa"/>
            <w:tcBorders/>
            <w:shd w:fill="FFFFFF" w:val="clear"/>
            <w:vAlign w:val="center"/>
          </w:tcPr>
          <w:p>
            <w:pPr>
              <w:pStyle w:val="TableContents"/>
              <w:spacing w:before="0" w:after="283"/>
              <w:ind w:left="0" w:right="0" w:hanging="0"/>
              <w:rPr/>
            </w:pPr>
            <w:r>
              <w:rPr/>
              <w:t> </w:t>
            </w:r>
          </w:p>
        </w:tc>
        <w:tc>
          <w:tcPr>
            <w:tcW w:w="61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2" w:type="dxa"/>
            <w:tcBorders/>
            <w:shd w:fill="FFFFFF" w:val="clear"/>
            <w:vAlign w:val="center"/>
          </w:tcPr>
          <w:p>
            <w:pPr>
              <w:pStyle w:val="TableContents"/>
              <w:spacing w:before="0" w:after="283"/>
              <w:ind w:left="0" w:right="0" w:hanging="0"/>
              <w:rPr/>
            </w:pPr>
            <w:r>
              <w:rPr/>
              <w:t> </w:t>
            </w:r>
          </w:p>
        </w:tc>
        <w:tc>
          <w:tcPr>
            <w:tcW w:w="81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60" w:type="dxa"/>
            <w:tcBorders/>
            <w:shd w:fill="FFFFFF" w:val="clear"/>
            <w:vAlign w:val="center"/>
          </w:tcPr>
          <w:p>
            <w:pPr>
              <w:pStyle w:val="TableContents"/>
              <w:spacing w:before="0" w:after="283"/>
              <w:rPr/>
            </w:pPr>
            <w:r>
              <w:rPr/>
              <w:t> </w:t>
            </w:r>
          </w:p>
        </w:tc>
      </w:tr>
      <w:tr>
        <w:trPr/>
        <w:tc>
          <w:tcPr>
            <w:tcW w:w="131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Raw materials</w:t>
            </w:r>
          </w:p>
        </w:tc>
        <w:tc>
          <w:tcPr>
            <w:tcW w:w="60" w:type="dxa"/>
            <w:tcBorders/>
            <w:shd w:fill="CCEEFF" w:val="clear"/>
            <w:vAlign w:val="center"/>
          </w:tcPr>
          <w:p>
            <w:pPr>
              <w:pStyle w:val="TableContents"/>
              <w:spacing w:before="0" w:after="283"/>
              <w:rPr/>
            </w:pPr>
            <w:r>
              <w:rPr/>
              <w:t> </w:t>
            </w:r>
          </w:p>
        </w:tc>
        <w:tc>
          <w:tcPr>
            <w:tcW w:w="2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0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75</w:t>
            </w:r>
          </w:p>
        </w:tc>
        <w:tc>
          <w:tcPr>
            <w:tcW w:w="60" w:type="dxa"/>
            <w:tcBorders/>
            <w:shd w:fill="CCEEFF" w:val="clear"/>
            <w:vAlign w:val="center"/>
          </w:tcPr>
          <w:p>
            <w:pPr>
              <w:pStyle w:val="TableContents"/>
              <w:spacing w:before="0" w:after="283"/>
              <w:rPr/>
            </w:pPr>
            <w:r>
              <w:rPr/>
              <w:t> </w:t>
            </w:r>
          </w:p>
        </w:tc>
      </w:tr>
      <w:tr>
        <w:trPr/>
        <w:tc>
          <w:tcPr>
            <w:tcW w:w="131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22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251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02"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4:</w:t>
      </w:r>
      <w:r>
        <w:rPr>
          <w:rFonts w:ascii="Calibri;Arial;sans-serif" w:hAnsi="Calibri;Arial;sans-serif"/>
          <w:b/>
          <w:caps w:val="false"/>
          <w:smallCaps w:val="false"/>
          <w:sz w:val="20"/>
        </w:rPr>
        <w:t xml:space="preserve"> CONVERTIBLE SECURITIES AND CREDIT FACILITIES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Calibri;Arial;sans-serif" w:hAnsi="Calibri;Arial;sans-serif"/>
          <w:b/>
          <w:caps w:val="false"/>
          <w:smallCaps w:val="false"/>
          <w:sz w:val="20"/>
        </w:rPr>
        <w:t>2021</w:t>
      </w:r>
      <w:r>
        <w:rPr>
          <w:rFonts w:ascii="Calibri;Arial;sans-serif" w:hAnsi="Calibri;Arial;sans-serif"/>
          <w:b/>
          <w:caps w:val="false"/>
          <w:smallCaps w:val="false"/>
          <w:sz w:val="20"/>
        </w:rPr>
        <w:t xml:space="preserve"> Convertible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entered into a Securities Purchase Agreement with certain funds affiliated with Kennedy Lewis Investment Management LLC (“KLIM”) as lenders (the “Buyers”) pursuant to which the Company sold to the Buyers $25 million aggregate principal amount of the Company’s newly issued 5.0% unsecured convertible promissory notes due </w:t>
      </w:r>
      <w:r>
        <w:rPr>
          <w:rStyle w:val="Emphasis"/>
          <w:rFonts w:ascii="Calibri;Arial;sans-serif" w:hAnsi="Calibri;Arial;sans-serif"/>
          <w:caps w:val="false"/>
          <w:smallCaps w:val="false"/>
          <w:sz w:val="20"/>
        </w:rPr>
        <w:t>May 28, 2026 (</w:t>
      </w:r>
      <w:r>
        <w:rPr>
          <w:rFonts w:ascii="Calibri;Arial;sans-serif" w:hAnsi="Calibri;Arial;sans-serif"/>
          <w:caps w:val="false"/>
          <w:smallCaps w:val="false"/>
          <w:sz w:val="20"/>
        </w:rPr>
        <w:t xml:space="preserve">the “Convertible Notes”) in a private placement transaction. The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payable-in-kind ("PIK"). PIK is being added to the carrying value of the debt through the term. Interest expense is being recorded using the effective interest method. The maturity date of the Convertible Notes is </w:t>
      </w:r>
      <w:r>
        <w:rPr>
          <w:rStyle w:val="Emphasis"/>
          <w:rFonts w:ascii="Calibri;Arial;sans-serif" w:hAnsi="Calibri;Arial;sans-serif"/>
          <w:caps w:val="false"/>
          <w:smallCaps w:val="false"/>
          <w:sz w:val="20"/>
        </w:rPr>
        <w:t>May 28, 2026.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Conversion Features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color w:val="000000"/>
          <w:sz w:val="20"/>
          <w:highlight w:val="white"/>
        </w:rPr>
        <w:t>The Buyers have the right to e</w:t>
      </w:r>
      <w:r>
        <w:rPr>
          <w:rFonts w:ascii="Calibri;Arial;sans-serif" w:hAnsi="Calibri;Arial;sans-serif"/>
          <w:caps w:val="false"/>
          <w:smallCaps w:val="false"/>
          <w:sz w:val="20"/>
          <w:highlight w:val="white"/>
        </w:rPr>
        <w:t>lec</w:t>
      </w:r>
      <w:r>
        <w:rPr>
          <w:rFonts w:ascii="Calibri;Arial;sans-serif" w:hAnsi="Calibri;Arial;sans-serif"/>
          <w:caps w:val="false"/>
          <w:smallCaps w:val="false"/>
          <w:sz w:val="20"/>
        </w:rPr>
        <w:t>t at any time to convert the Convertible Notes into shares of the Company's Common Stock, par value $0.01 per share ("Common Stock").  Common Stock at an initial conversion rate equal to 100 shares of Common Stock per each $1,000 principal amount of the Convertible Notes (based on an initial conversion price equal to $10.00 per share of Common Stock). The conversion rate and conversion price are subject to certain customary anti-dilution adjustments.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If the closing price of the Common Stock equals or exceeds $14.50 (subject to adjustment in the same manner as the conversion price) for 45 trading days within any period of 60 consecutive trading days, the Company will have the right to cause the mandatory conversion of the Convertible Notes into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the event of certain fundamental transactions, the Buyers will have the right, within a period of 30 days following the occurrence of such transaction (“Holder Fundamental Transaction Election Period”),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Embedded Derivatives</w:t>
      </w:r>
    </w:p>
    <w:p>
      <w:pPr>
        <w:pStyle w:val="TextBody"/>
        <w:spacing w:before="0" w:after="0"/>
        <w:ind w:left="0" w:right="0" w:hanging="0"/>
        <w:rPr/>
      </w:pPr>
      <w:r>
        <w:rPr>
          <w:rFonts w:ascii="Calibri;Arial;sans-serif" w:hAnsi="Calibri;Arial;sans-serif"/>
          <w:caps w:val="false"/>
          <w:smallCaps w:val="false"/>
          <w:sz w:val="20"/>
        </w:rPr>
        <w:t>The Company allocated $12 million of the net proceeds received from the issuance of the Convertible Notes to a derivative liability based on the aggregate fair value of the embedded features on the date of issuance which reduced the net carrying value of the Convertible Notes. The derivative is being accounted for at fair value with subsequent changes in the fair value being reported as part of Other (income) charges, net in the Consolidated Statement of Operations. The fair value of the Convertible Notes embedded derivative at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 liability of $3 million and $2 million, respectively,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17,</w:t>
      </w:r>
      <w:r>
        <w:rPr>
          <w:rFonts w:ascii="Calibri;Arial;sans-serif" w:hAnsi="Calibri;Arial;sans-serif"/>
          <w:caps w:val="false"/>
          <w:smallCaps w:val="false"/>
          <w:sz w:val="20"/>
        </w:rPr>
        <w:t xml:space="preserve"> “Financial Instruments” for information on the valuation of the derivative.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The carrying value of the Convertible Notes at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$18 million. The Convertible Notes unamortized discount at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$8 million and $9 million, respectively. The estimated fair value of the Convertible Notes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was $17 million and $16 million, respectively,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carrying value is being accreted to the aggregate principal amount using the effective interest method from the date of issuance through the maturity date.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Amended and Restated ABL Credit Agreement</w:t>
      </w:r>
      <w:r>
        <w:rPr>
          <w:rFonts w:ascii="Calibri;Arial;sans-serif" w:hAnsi="Calibri;Arial;sans-serif"/>
          <w:caps w:val="false"/>
          <w:smallCaps w:val="false"/>
          <w:sz w:val="20"/>
        </w:rPr>
        <w:t>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14, 2023, </w:t>
      </w:r>
      <w:r>
        <w:rPr>
          <w:rFonts w:ascii="Calibri;Arial;sans-serif" w:hAnsi="Calibri;Arial;sans-serif"/>
          <w:caps w:val="false"/>
          <w:smallCaps w:val="false"/>
          <w:sz w:val="20"/>
        </w:rPr>
        <w:t xml:space="preserve">the Company and the subsidiaries of the Company that are guarantors (the “Subsidiary Guarantors”) entered into amendment </w:t>
      </w:r>
      <w:r>
        <w:rPr>
          <w:rStyle w:val="Emphasis"/>
          <w:rFonts w:ascii="Calibri;Arial;sans-serif" w:hAnsi="Calibri;Arial;sans-serif"/>
          <w:caps w:val="false"/>
          <w:smallCaps w:val="false"/>
          <w:sz w:val="20"/>
        </w:rPr>
        <w:t>No.5</w:t>
      </w:r>
      <w:r>
        <w:rPr>
          <w:rFonts w:ascii="Calibri;Arial;sans-serif" w:hAnsi="Calibri;Arial;sans-serif"/>
          <w:caps w:val="false"/>
          <w:smallCaps w:val="false"/>
          <w:sz w:val="20"/>
        </w:rPr>
        <w:t xml:space="preserve"> to the Amended and Restated Credit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with the lenders party thereto (the “Lenders”), Bank of America, N.A., as administrative agent and collateral agent to, among other things: (i) extend the maturity date of the Company's asset based loan facility from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to the earliest of </w:t>
      </w:r>
      <w:r>
        <w:rPr>
          <w:rStyle w:val="Emphasis"/>
          <w:rFonts w:ascii="Calibri;Arial;sans-serif" w:hAnsi="Calibri;Arial;sans-serif"/>
          <w:caps w:val="false"/>
          <w:smallCaps w:val="false"/>
          <w:sz w:val="20"/>
        </w:rPr>
        <w:t xml:space="preserve">June 12, 2024, </w:t>
      </w:r>
      <w:r>
        <w:rPr>
          <w:rFonts w:ascii="Calibri;Arial;sans-serif" w:hAnsi="Calibri;Arial;sans-serif"/>
          <w:caps w:val="false"/>
          <w:smallCaps w:val="false"/>
          <w:sz w:val="20"/>
        </w:rPr>
        <w:t xml:space="preserve">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defined below) 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earliest scheduled maturity date or mandatory redemption date of any of the Company’s Term Loans,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Series B Preferred Stock, Series C Preferred Stock or any refinancings of any of the foregoing; (ii) require the Company to maintain daily Minimum Liquidity of $50 million, subject to certain cure rights, in addition to maintaining the existing quarterly Minimum Liquidity of $80 million, and (iii) on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decrease the aggregate amount of commitments from $90 million to $81 million. Each of the capitalized but undefined terms used in the context of describing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has the meaning ascribed to such term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w:t>
      </w:r>
    </w:p>
    <w:p>
      <w:pPr>
        <w:pStyle w:val="TextBody"/>
        <w:spacing w:before="0" w:after="0"/>
        <w:ind w:left="0" w:right="0" w:hanging="0"/>
        <w:jc w:val="left"/>
        <w:rPr/>
      </w:pPr>
      <w:r>
        <w:rPr/>
        <w:t> </w:t>
      </w:r>
    </w:p>
    <w:p>
      <w:pPr>
        <w:pStyle w:val="TextBody"/>
        <w:spacing w:before="0" w:after="0"/>
        <w:ind w:left="0" w:right="0" w:hanging="0"/>
        <w:rPr/>
      </w:pPr>
      <w:r>
        <w:rPr>
          <w:rFonts w:ascii="Calibri;Arial;sans-serif" w:hAnsi="Calibri;Arial;sans-serif"/>
          <w:caps w:val="false"/>
          <w:smallCaps w:val="false"/>
          <w:sz w:val="20"/>
        </w:rPr>
        <w:t xml:space="preserve">The revolving loans bear interest at the rate of 3.50%‐4.00% per annum based on the secured overnight financing rate as administered by the Federal Reserve Bank of New York (or a successor administrator).  The Company will pay an unused line fee of 37.5‐50 basis points per annum, depending on whether the unused portion of the maximum amount available is less than or equal to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or greater than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respectively. The Company will pay a letter of credit fee of </w:t>
      </w:r>
      <w:r>
        <w:rPr>
          <w:rStyle w:val="Emphasis"/>
          <w:rFonts w:ascii="Calibri;Arial;sans-serif" w:hAnsi="Calibri;Arial;sans-serif"/>
          <w:caps w:val="false"/>
          <w:smallCaps w:val="false"/>
          <w:sz w:val="20"/>
        </w:rPr>
        <w:t>3.50%‐4.00%</w:t>
      </w:r>
      <w:r>
        <w:rPr>
          <w:rFonts w:ascii="Calibri;Arial;sans-serif" w:hAnsi="Calibri;Arial;sans-serif"/>
          <w:caps w:val="false"/>
          <w:smallCaps w:val="false"/>
          <w:sz w:val="20"/>
        </w:rPr>
        <w:t xml:space="preserve"> per annum, based on Excess Availability, on issued and outstanding letters of credit, in addition to a fronting fee of 25 basis points on such letters of credit. </w:t>
      </w:r>
    </w:p>
    <w:p>
      <w:pPr>
        <w:pStyle w:val="TextBody"/>
        <w:spacing w:before="0" w:after="0"/>
        <w:ind w:left="0" w:right="0" w:hanging="0"/>
        <w:rPr/>
      </w:pPr>
      <w:r>
        <w:rPr>
          <w:rFonts w:ascii="Calibri;Arial;sans-serif" w:hAnsi="Calibri;Arial;sans-serif"/>
          <w:caps w:val="false"/>
          <w:smallCaps w:val="false"/>
          <w:sz w:val="20"/>
        </w:rPr>
        <w:br/>
        <w:t xml:space="preserve">Obligations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are secured by: (i)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assets of the Company and the Subsidiary Guarantors constituting cash (other than L/C Cash Collateral, as defined below), accounts receivable, inventory, machinery and equipment and certain other assets (the “ABL Priority Collateral”) and (ii)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 </w:t>
      </w:r>
    </w:p>
    <w:p>
      <w:pPr>
        <w:pStyle w:val="TextBody"/>
        <w:spacing w:before="0" w:after="0"/>
        <w:ind w:left="0" w:right="0" w:hanging="0"/>
        <w:rPr/>
      </w:pPr>
      <w:r>
        <w:rPr>
          <w:rFonts w:ascii="Calibri;Arial;sans-serif" w:hAnsi="Calibri;Arial;sans-serif"/>
          <w:caps w:val="false"/>
          <w:smallCaps w:val="false"/>
          <w:sz w:val="20"/>
        </w:rPr>
        <w:br/>
        <w:t xml:space="preserve">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limits, among other things, the ability of the Company and its Restricted Subsidiaries to (i) incur indebtedness, (ii) incur or create liens, (iii) dispose of assets, (iv) make restricted payments and (v) make investments.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leaves in place customary affirmative covenants, including delivery of certain of the Company’s financial statements set forth therein.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Company is required to maintain Minimum Liquidity of at least (a) $50 million daily, subject to certain cure rights, and $80 million at the end of each quarter. Quarterly Minimum Liquidity was $143 million and $150 million at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respectively, and daily Minimum Liquidity exceeded the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million threshold. If Minimum Liquidity falls below the daily or quarterly required minimum an Event of Default would occur, in which case the Agent would have the right to declare the obligation of each Lender to make Revolving Loans and of the Issuing Banks to issue Letters of Credit to be terminated, and declare the Revolving Loans, all interest thereon and all other amounts payable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to be due and payable. </w:t>
      </w:r>
    </w:p>
    <w:p>
      <w:pPr>
        <w:pStyle w:val="TextBody"/>
        <w:spacing w:before="0" w:after="0"/>
        <w:ind w:left="0" w:right="0" w:hanging="0"/>
        <w:rPr/>
      </w:pPr>
      <w:r>
        <w:rPr>
          <w:rFonts w:ascii="Calibri;Arial;sans-serif" w:hAnsi="Calibri;Arial;sans-serif"/>
          <w:caps w:val="false"/>
          <w:smallCaps w:val="false"/>
          <w:sz w:val="20"/>
        </w:rPr>
        <w:br/>
        <w:t>The Company is required to maintain Excess Availability above the greater of 12.5% of lender commitments or $11.25 million ($11.25 million at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which is tested at the end of each month. Excess Availability was $21 million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caps w:val="false"/>
          <w:smallCaps w:val="false"/>
          <w:sz w:val="20"/>
        </w:rPr>
        <w:t xml:space="preserve">If Excess Availability falls below the greater of 12.5% of lender commitments or $11.25 million a Fixed Charge Coverage Ratio Trigger Event would occur. During any Fixed Charge Coverage Ratio Trigger Event, the Company would be required to maintain a Fixed Charge Coverage Ratio of greater than or equal to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If Excess Availability falls below the greater of 12.5% of lender commitments or $11.25 million, Kodak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in addition to the requirement to be in compliance with the minimum Fixed Charge Coverage Ratio, become subject to cash dominion control. Since Excess Availability was greater than 12.5% of lender commitments or $11.25 million at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31, 2022, </w:t>
      </w:r>
      <w:r>
        <w:rPr>
          <w:rFonts w:ascii="Calibri;Arial;sans-serif" w:hAnsi="Calibri;Arial;sans-serif"/>
          <w:caps w:val="false"/>
          <w:smallCaps w:val="false"/>
          <w:sz w:val="20"/>
        </w:rPr>
        <w:t xml:space="preserve">Kodak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required to have a minimum Fixed Charge Coverage Ratio of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w:t>
      </w:r>
    </w:p>
    <w:p>
      <w:pPr>
        <w:pStyle w:val="TextBody"/>
        <w:spacing w:before="0" w:after="0"/>
        <w:ind w:left="0" w:right="0" w:hanging="0"/>
        <w:rPr/>
      </w:pPr>
      <w:r>
        <w:rPr>
          <w:rFonts w:ascii="Calibri;Arial;sans-serif" w:hAnsi="Calibri;Arial;sans-serif"/>
          <w:caps w:val="false"/>
          <w:smallCaps w:val="false"/>
          <w:sz w:val="20"/>
        </w:rPr>
        <w:br/>
        <w:t xml:space="preserve">If Excess Availability falls below the greater of 12.5% of lender commitments or $11.25 million and the Fixed Charge Coverage Ratio is less than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 an Event of Default would occur and the Agent would have the right to declare the obligation of each Lender to make Revolving Loans and of the Issuing Banks to issue Letters of Credit to be terminated, and declare the Revolving Loans, all interest thereon and all other amounts payable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to be due and payable.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b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Credit Agreements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Letter of Credit Facility Agreement </w:t>
      </w:r>
    </w:p>
    <w:p>
      <w:pPr>
        <w:pStyle w:val="TextBody"/>
        <w:spacing w:before="0" w:after="0"/>
        <w:ind w:left="0" w:right="0" w:hanging="0"/>
        <w:rPr/>
      </w:pPr>
      <w:r>
        <w:rPr>
          <w:rFonts w:ascii="Calibri;Arial;sans-serif" w:hAnsi="Calibri;Arial;sans-serif"/>
          <w:caps w:val="false"/>
          <w:smallCaps w:val="false"/>
          <w:sz w:val="20"/>
        </w:rPr>
        <w:b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the Subsidiary Guarantors entered into a Letter of Credit Facility Agreement (the “L/C Facility Agreement”, and together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14, 2023, </w:t>
      </w:r>
      <w:r>
        <w:rPr>
          <w:rFonts w:ascii="Calibri;Arial;sans-serif" w:hAnsi="Calibri;Arial;sans-serif"/>
          <w:caps w:val="false"/>
          <w:smallCaps w:val="false"/>
          <w:sz w:val="20"/>
        </w:rPr>
        <w:t xml:space="preserve">the Company entered into an amendment to the Letter of Credit Facility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to, among other things: (i) extend the maturity date of the Company's cash collateralized letter of credit facility from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 xml:space="preserve">to the earliest of </w:t>
      </w:r>
      <w:r>
        <w:rPr>
          <w:rStyle w:val="Emphasis"/>
          <w:rFonts w:ascii="Calibri;Arial;sans-serif" w:hAnsi="Calibri;Arial;sans-serif"/>
          <w:caps w:val="false"/>
          <w:smallCaps w:val="false"/>
          <w:sz w:val="20"/>
        </w:rPr>
        <w:t xml:space="preserve">June 12, 2024, </w:t>
      </w:r>
      <w:r>
        <w:rPr>
          <w:rFonts w:ascii="Calibri;Arial;sans-serif" w:hAnsi="Calibri;Arial;sans-serif"/>
          <w:caps w:val="false"/>
          <w:smallCaps w:val="false"/>
          <w:sz w:val="20"/>
        </w:rPr>
        <w:t xml:space="preserve">the termination of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as applicable, or the date that is </w:t>
      </w:r>
      <w:r>
        <w:rPr>
          <w:rStyle w:val="Emphasis"/>
          <w:rFonts w:ascii="Calibri;Arial;sans-serif" w:hAnsi="Calibri;Arial;sans-serif"/>
          <w:caps w:val="false"/>
          <w:smallCaps w:val="false"/>
          <w:sz w:val="20"/>
        </w:rPr>
        <w:t>91</w:t>
      </w:r>
      <w:r>
        <w:rPr>
          <w:rFonts w:ascii="Calibri;Arial;sans-serif" w:hAnsi="Calibri;Arial;sans-serif"/>
          <w:caps w:val="false"/>
          <w:smallCaps w:val="false"/>
          <w:sz w:val="20"/>
        </w:rPr>
        <w:t xml:space="preserve"> days prior to the earliest scheduled maturity date or mandatory redemption date of any of the Company’s Term Loans,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Series B Preferred Stock, Series C Preferred Stock or any refinancings of any of the foregoing and (ii) require the Company to maintain daily Minimum Liquidity of $50 million, subject to certain cure rights, in addition to maintaining the existing quarterly Minimum Liquidity of $80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Company issued approximately $58 million and $43 million letters of credit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Agreement and L/C Facility Agreement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respectively.  The balance on deposit in the L/C Cash Collateral account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was approximately $44 million. </w:t>
      </w:r>
    </w:p>
    <w:p>
      <w:pPr>
        <w:pStyle w:val="TextBody"/>
        <w:spacing w:before="0" w:after="0"/>
        <w:ind w:left="0" w:right="0" w:hanging="0"/>
        <w:rPr/>
      </w:pPr>
      <w:r>
        <w:rPr>
          <w:rFonts w:ascii="Calibri;Arial;sans-serif" w:hAnsi="Calibri;Arial;sans-serif"/>
          <w:caps w:val="false"/>
          <w:smallCaps w:val="false"/>
          <w:sz w:val="20"/>
        </w:rPr>
        <w:br/>
        <w:t xml:space="preserve">The Company will pay an unused line fee of </w:t>
      </w:r>
      <w:r>
        <w:rPr>
          <w:rStyle w:val="Emphasis"/>
          <w:rFonts w:ascii="Calibri;Arial;sans-serif" w:hAnsi="Calibri;Arial;sans-serif"/>
          <w:caps w:val="false"/>
          <w:smallCaps w:val="false"/>
          <w:sz w:val="20"/>
        </w:rPr>
        <w:t>37.5‐50</w:t>
      </w:r>
      <w:r>
        <w:rPr>
          <w:rFonts w:ascii="Calibri;Arial;sans-serif" w:hAnsi="Calibri;Arial;sans-serif"/>
          <w:caps w:val="false"/>
          <w:smallCaps w:val="false"/>
          <w:sz w:val="20"/>
        </w:rPr>
        <w:t xml:space="preserve"> basis points per annum, depending on whether the unused portion of the maximum commitments is less than or equal to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or greater than </w:t>
      </w:r>
      <w:r>
        <w:rPr>
          <w:rStyle w:val="Emphasis"/>
          <w:rFonts w:ascii="Calibri;Arial;sans-serif" w:hAnsi="Calibri;Arial;sans-serif"/>
          <w:caps w:val="false"/>
          <w:smallCaps w:val="false"/>
          <w:sz w:val="20"/>
        </w:rPr>
        <w:t>50%</w:t>
      </w:r>
      <w:r>
        <w:rPr>
          <w:rFonts w:ascii="Calibri;Arial;sans-serif" w:hAnsi="Calibri;Arial;sans-serif"/>
          <w:caps w:val="false"/>
          <w:smallCaps w:val="false"/>
          <w:sz w:val="20"/>
        </w:rPr>
        <w:t xml:space="preserve">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so reimbursed, and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otherwise repaid by the Company to the applicable L/C Lenders, such amounts will accrue interest, to be paid monthly, at a floating Base Rate (as defined in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and L/C Facility Agreement) plus 2.75% per annum until repaid.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As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requires the Company to maintain Excess Availability above the greater of 12.5% of lender commitments or $11.25 million. If Excess Availability falls below the greater of 12.5% of lender commitments or $11.25 million a Fixed Charge Coverage Ratio Trigger Event would occur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as with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During any Fixed Charge Coverage Ratio Trigger Event, the Company would be required to maintain a Fixed Charge Coverage Ratio of greater than or equal to 1.0 to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w:t>
      </w:r>
    </w:p>
    <w:p>
      <w:pPr>
        <w:pStyle w:val="TextBody"/>
        <w:spacing w:before="0" w:after="0"/>
        <w:ind w:left="0" w:right="0" w:hanging="0"/>
        <w:rPr/>
      </w:pPr>
      <w:r>
        <w:rPr>
          <w:rFonts w:ascii="Calibri;Arial;sans-serif" w:hAnsi="Calibri;Arial;sans-serif"/>
          <w:caps w:val="false"/>
          <w:smallCaps w:val="false"/>
          <w:sz w:val="20"/>
        </w:rPr>
        <w:br/>
        <w:t xml:space="preserve">The Company’s obligations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are guaranteed by the Subsidiary Guarantors and are secured by (i) a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priority lien on the L/C Cash Collateral, (ii) a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priority lien on the ABL Priority Collateral and (iii) a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priority lien on the Term Loan Priority Collateral. </w:t>
      </w:r>
    </w:p>
    <w:p>
      <w:pPr>
        <w:pStyle w:val="TextBody"/>
        <w:spacing w:before="0" w:after="0"/>
        <w:ind w:left="0" w:right="0" w:hanging="0"/>
        <w:jc w:val="left"/>
        <w:rPr/>
      </w:pPr>
      <w:r>
        <w:rPr/>
        <w:t> </w:t>
      </w:r>
    </w:p>
    <w:p>
      <w:pPr>
        <w:pStyle w:val="TextBody"/>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Redeemable convertible preferred stock was as follows:</w:t>
      </w:r>
    </w:p>
    <w:p>
      <w:pPr>
        <w:pStyle w:val="TextBody"/>
        <w:spacing w:before="0" w:after="0"/>
        <w:ind w:left="0" w:right="0" w:hanging="0"/>
        <w:rPr>
          <w:caps w:val="false"/>
          <w:smallCaps w:val="false"/>
        </w:rPr>
      </w:pPr>
      <w:r>
        <w:rPr>
          <w:caps w:val="false"/>
          <w:smallCaps w:val="false"/>
        </w:rPr>
        <w:t> </w:t>
      </w:r>
    </w:p>
    <w:tbl>
      <w:tblPr>
        <w:tblW w:w="4093" w:type="dxa"/>
        <w:jc w:val="left"/>
        <w:tblInd w:w="0" w:type="dxa"/>
        <w:tblCellMar>
          <w:top w:w="0" w:type="dxa"/>
          <w:left w:w="0" w:type="dxa"/>
          <w:bottom w:w="0" w:type="dxa"/>
          <w:right w:w="0" w:type="dxa"/>
        </w:tblCellMar>
      </w:tblPr>
      <w:tblGrid>
        <w:gridCol w:w="1895"/>
        <w:gridCol w:w="60"/>
        <w:gridCol w:w="229"/>
        <w:gridCol w:w="615"/>
        <w:gridCol w:w="60"/>
        <w:gridCol w:w="60"/>
        <w:gridCol w:w="302"/>
        <w:gridCol w:w="812"/>
        <w:gridCol w:w="60"/>
      </w:tblGrid>
      <w:tr>
        <w:trPr/>
        <w:tc>
          <w:tcPr>
            <w:tcW w:w="18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60" w:type="dxa"/>
            <w:tcBorders/>
            <w:shd w:fill="FFFF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tc>
        <w:tc>
          <w:tcPr>
            <w:tcW w:w="60" w:type="dxa"/>
            <w:tcBorders/>
            <w:shd w:fill="CCEEFF" w:val="clear"/>
            <w:vAlign w:val="center"/>
          </w:tcPr>
          <w:p>
            <w:pPr>
              <w:pStyle w:val="TableContents"/>
              <w:spacing w:before="0" w:after="283"/>
              <w:ind w:left="0" w:right="0" w:hanging="0"/>
              <w:rPr/>
            </w:pPr>
            <w:r>
              <w:rPr/>
              <w:t> </w:t>
            </w:r>
          </w:p>
        </w:tc>
        <w:tc>
          <w:tcPr>
            <w:tcW w:w="22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1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95</w:t>
            </w:r>
          </w:p>
        </w:tc>
        <w:tc>
          <w:tcPr>
            <w:tcW w:w="60" w:type="dxa"/>
            <w:tcBorders/>
            <w:shd w:fill="CCEEFF" w:val="clear"/>
            <w:vAlign w:val="center"/>
          </w:tcPr>
          <w:p>
            <w:pPr>
              <w:pStyle w:val="TableContents"/>
              <w:spacing w:before="0" w:after="283"/>
              <w:rPr/>
            </w:pPr>
            <w:r>
              <w:rPr/>
              <w:t> </w:t>
            </w:r>
          </w:p>
        </w:tc>
      </w:tr>
      <w:tr>
        <w:trPr/>
        <w:tc>
          <w:tcPr>
            <w:tcW w:w="18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tc>
        <w:tc>
          <w:tcPr>
            <w:tcW w:w="60" w:type="dxa"/>
            <w:tcBorders/>
            <w:shd w:fill="FFFFFF" w:val="clear"/>
            <w:vAlign w:val="center"/>
          </w:tcPr>
          <w:p>
            <w:pPr>
              <w:pStyle w:val="TableContents"/>
              <w:spacing w:before="0" w:after="283"/>
              <w:rPr/>
            </w:pPr>
            <w:r>
              <w:rPr/>
              <w:t> </w:t>
            </w:r>
          </w:p>
        </w:tc>
        <w:tc>
          <w:tcPr>
            <w:tcW w:w="2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0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108</w:t>
            </w:r>
          </w:p>
        </w:tc>
        <w:tc>
          <w:tcPr>
            <w:tcW w:w="60" w:type="dxa"/>
            <w:tcBorders/>
            <w:shd w:fill="FFFFFF" w:val="clear"/>
            <w:vAlign w:val="center"/>
          </w:tcPr>
          <w:p>
            <w:pPr>
              <w:pStyle w:val="TableContents"/>
              <w:spacing w:before="0" w:after="283"/>
              <w:rPr/>
            </w:pPr>
            <w:r>
              <w:rPr/>
              <w:t> </w:t>
            </w:r>
          </w:p>
        </w:tc>
      </w:tr>
      <w:tr>
        <w:trPr/>
        <w:tc>
          <w:tcPr>
            <w:tcW w:w="18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229"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02"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Series B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agreed to exchange one million shares of Series A Preferred Stock held by Southeastern Asset Management, Inc. (“Southeastern”) and Longleaf Partners Small-Cap Fund, </w:t>
      </w:r>
      <w:r>
        <w:rPr>
          <w:rStyle w:val="Emphasis"/>
          <w:rFonts w:ascii="Calibri;Arial;sans-serif" w:hAnsi="Calibri;Arial;sans-serif"/>
          <w:caps w:val="false"/>
          <w:smallCaps w:val="false"/>
          <w:sz w:val="20"/>
        </w:rPr>
        <w:t>C2W</w:t>
      </w:r>
      <w:r>
        <w:rPr>
          <w:rFonts w:ascii="Calibri;Arial;sans-serif" w:hAnsi="Calibri;Arial;sans-serif"/>
          <w:caps w:val="false"/>
          <w:smallCaps w:val="false"/>
          <w:sz w:val="20"/>
        </w:rPr>
        <w:t xml:space="preserve"> Partners Master Fund Limited and Deseret Mutual Pension Trust, which are investment funds managed by Southeastern (such investment funds, collectively, the “Purchasers”), for shares of the Company’s newly created 4.0% Series B Convertible Preferred Stock, no par value (the “Series B Preferred Stock”), on a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-for-</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basis plus accrued and unpaid dividends. The fair value of the Series B Preferred Stock at the time of issuance approximated $95 million. The Company has classified the Series B Preferred Stock as temporary equity in the Consolidated Statement of Financial Position.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spacing w:before="0" w:after="0"/>
        <w:ind w:left="0" w:right="0" w:hanging="0"/>
        <w:rPr/>
      </w:pPr>
      <w:r>
        <w:rPr>
          <w:rFonts w:ascii="Calibri;Arial;sans-serif" w:hAnsi="Calibri;Arial;sans-serif"/>
          <w:caps w:val="false"/>
          <w:smallCaps w:val="false"/>
          <w:sz w:val="20"/>
        </w:rPr>
        <w:t xml:space="preserve">The Series B Preferred Stock ranks senior to the Common Stock and pari passu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w:t>
      </w:r>
      <w:r>
        <w:rPr>
          <w:rStyle w:val="Emphasis"/>
          <w:rFonts w:ascii="Calibri;Arial;sans-serif" w:hAnsi="Calibri;Arial;sans-serif"/>
          <w:caps w:val="false"/>
          <w:smallCaps w:val="false"/>
          <w:sz w:val="20"/>
        </w:rPr>
        <w:t>six</w:t>
      </w:r>
      <w:r>
        <w:rPr>
          <w:rFonts w:ascii="Calibri;Arial;sans-serif" w:hAnsi="Calibri;Arial;sans-serif"/>
          <w:caps w:val="false"/>
          <w:smallCaps w:val="false"/>
          <w:sz w:val="20"/>
        </w:rPr>
        <w:t xml:space="preserve"> or more consecutive or non-consecutive dividend periods, the holders of the Series B Preferred Stock will be entitled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the next annual shareholder meeting and all subsequent shareholder meetings until all accumulated dividends on such Series B Preferred Stock have been paid or set aside. Dividends owed on the Series B Preferred Stock have been declared and paid when due.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spacing w:before="0" w:after="0"/>
        <w:ind w:left="0" w:right="0" w:hanging="0"/>
        <w:rPr/>
      </w:pPr>
      <w:r>
        <w:rPr>
          <w:rFonts w:ascii="Calibri;Arial;sans-serif" w:hAnsi="Calibri;Arial;sans-serif"/>
          <w:caps w:val="false"/>
          <w:smallCaps w:val="false"/>
          <w:sz w:val="20"/>
        </w:rPr>
        <w:t xml:space="preserve">The Company allocated $1 million to the derivative liability based on the aggregate fair value of the embedded conversion feature of the Series B Preferred Stock on the date of issuance which reduced the original carrying value of the Series B Preferred Stock. The derivative is being accounted for at fair value with subsequent changes in the fair value being reported as part of Other (income) charges, net in the Consolidated Statement of Operations. The fair value of the Series B Preferred Stock embedded derivative as of both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17,</w:t>
      </w:r>
      <w:r>
        <w:rPr>
          <w:rFonts w:ascii="Calibri;Arial;sans-serif" w:hAnsi="Calibri;Arial;sans-serif"/>
          <w:caps w:val="false"/>
          <w:smallCaps w:val="false"/>
          <w:sz w:val="20"/>
        </w:rPr>
        <w:t xml:space="preserve"> “Financial Instruments” for information on the valuation of the derivative.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carrying value of the Series B Preferred Stock is being accreted to the mandatory redemption amount using the effective interest method to Additional paid in capital in the Consolidated Statement of Financial Position as a deemed dividend from the date of issuance through the mandatory redemption date, </w:t>
      </w:r>
      <w:r>
        <w:rPr>
          <w:rStyle w:val="Emphasis"/>
          <w:rFonts w:ascii="Calibri;Arial;sans-serif" w:hAnsi="Calibri;Arial;sans-serif"/>
          <w:caps w:val="false"/>
          <w:smallCaps w:val="false"/>
          <w:sz w:val="20"/>
        </w:rPr>
        <w:t>May 28, 2026.</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Calibri;Arial;sans-serif" w:hAnsi="Calibri;Arial;sans-serif"/>
          <w:b/>
          <w:sz w:val="20"/>
        </w:rPr>
      </w:pPr>
      <w:r>
        <w:rPr>
          <w:rFonts w:ascii="Calibri;Arial;sans-serif" w:hAnsi="Calibri;Arial;sans-serif"/>
          <w:b/>
          <w:sz w:val="20"/>
        </w:rPr>
        <w:t>Series C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Purchase Agreement</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26, 2021, </w:t>
      </w:r>
      <w:r>
        <w:rPr>
          <w:rFonts w:ascii="Calibri;Arial;sans-serif" w:hAnsi="Calibri;Arial;sans-serif"/>
          <w:caps w:val="false"/>
          <w:smallCaps w:val="false"/>
          <w:sz w:val="20"/>
        </w:rPr>
        <w:t xml:space="preserve">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par value per share (the “Series C Preferred Stock”), for a purchase price of $100 per share, representing $100 million of gross proceeds to the Company. The Investor is a fund managed by Grand Oaks Capital. The Company has classified the Series C Preferred Stock as temporary equity in the Consolidated Statement of Financial 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Dividend and Other Rights</w:t>
      </w:r>
    </w:p>
    <w:p>
      <w:pPr>
        <w:pStyle w:val="TextBody"/>
        <w:spacing w:before="0" w:after="0"/>
        <w:ind w:left="0" w:right="0" w:hanging="0"/>
        <w:rPr/>
      </w:pPr>
      <w:r>
        <w:rPr>
          <w:rFonts w:ascii="Calibri;Arial;sans-serif" w:hAnsi="Calibri;Arial;sans-serif"/>
          <w:caps w:val="false"/>
          <w:smallCaps w:val="false"/>
          <w:sz w:val="20"/>
        </w:rPr>
        <w:t xml:space="preserve">The Series C Preferred Stock has a liquidation preference of $100 per share, and the holders of Series C Preferred Stock are entitled to cumulative dividends payable quarterly “in‐kind” in the form of additional shares of Series C Preferred Stock at a rate of 5.0% per annum. Dividends owed on the Series C Preferred Stock have been declared and additional Series C shares issued when due. Holders of the Series C Preferred Stock are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pari passu or senior equity securities of the Company.  The Investor has the right to nominate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director at each annual or special meeting of the Company’s shareholders until the earlier of the </w:t>
      </w:r>
      <w:r>
        <w:rPr>
          <w:rStyle w:val="Emphasis"/>
          <w:rFonts w:ascii="Calibri;Arial;sans-serif" w:hAnsi="Calibri;Arial;sans-serif"/>
          <w:caps w:val="false"/>
          <w:smallCaps w:val="false"/>
          <w:sz w:val="20"/>
        </w:rPr>
        <w:t>third</w:t>
      </w:r>
      <w:r>
        <w:rPr>
          <w:rFonts w:ascii="Calibri;Arial;sans-serif" w:hAnsi="Calibri;Arial;sans-serif"/>
          <w:caps w:val="false"/>
          <w:smallCaps w:val="false"/>
          <w:sz w:val="20"/>
        </w:rPr>
        <w:t xml:space="preserve"> anniversary of the execution of the Purchase Agreement and such time as the Investor and its Affiliates (as defined in the Purchase Agreement) do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hold at least a majority of the Series C Preferred Stock purchased under the Purchase Agreement.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 xml:space="preserve">Conversion Features </w:t>
      </w:r>
    </w:p>
    <w:p>
      <w:pPr>
        <w:pStyle w:val="TextBody"/>
        <w:spacing w:before="0" w:after="0"/>
        <w:ind w:left="0" w:right="0" w:hanging="0"/>
        <w:rPr/>
      </w:pPr>
      <w:r>
        <w:rPr>
          <w:rFonts w:ascii="Calibri;Arial;sans-serif" w:hAnsi="Calibri;Arial;sans-serif"/>
          <w:caps w:val="false"/>
          <w:smallCaps w:val="false"/>
          <w:sz w:val="20"/>
        </w:rPr>
        <w:t xml:space="preserve">Each share of Series C Preferred Stock is convertible, at the option of each holder at any time, into shares of Common Stock at the initial conversion price of $10 per share of Common Stock. The initial conversion price and the corresponding conversion rate are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w:t>
      </w:r>
      <w:r>
        <w:rPr>
          <w:rStyle w:val="Emphasis"/>
          <w:rFonts w:ascii="Calibri;Arial;sans-serif" w:hAnsi="Calibri;Arial;sans-serif"/>
          <w:caps w:val="false"/>
          <w:smallCaps w:val="false"/>
          <w:sz w:val="20"/>
        </w:rPr>
        <w:t xml:space="preserve">May 28, 2026, </w:t>
      </w:r>
      <w:r>
        <w:rPr>
          <w:rFonts w:ascii="Calibri;Arial;sans-serif" w:hAnsi="Calibri;Arial;sans-serif"/>
          <w:caps w:val="false"/>
          <w:smallCaps w:val="false"/>
          <w:sz w:val="20"/>
        </w:rPr>
        <w:t>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Company will have the right to cause the mandatory conversion of the Series C Preferred Stock into shares of Common Stock (i) at any time after </w:t>
      </w:r>
      <w:r>
        <w:rPr>
          <w:rStyle w:val="Emphasis"/>
          <w:rFonts w:ascii="Calibri;Arial;sans-serif" w:hAnsi="Calibri;Arial;sans-serif"/>
          <w:caps w:val="false"/>
          <w:smallCaps w:val="false"/>
          <w:sz w:val="20"/>
        </w:rPr>
        <w:t xml:space="preserve">February 26, 2023 </w:t>
      </w:r>
      <w:r>
        <w:rPr>
          <w:rFonts w:ascii="Calibri;Arial;sans-serif" w:hAnsi="Calibri;Arial;sans-serif"/>
          <w:caps w:val="false"/>
          <w:smallCaps w:val="false"/>
          <w:sz w:val="20"/>
        </w:rPr>
        <w:t xml:space="preserve">if the closing price of the Common Stock has equaled or exceeded 200% of the then-effective conversion price for 45 trading days within a period of 60 consecutive trading days, or (ii) at any time after </w:t>
      </w:r>
      <w:r>
        <w:rPr>
          <w:rStyle w:val="Emphasis"/>
          <w:rFonts w:ascii="Calibri;Arial;sans-serif" w:hAnsi="Calibri;Arial;sans-serif"/>
          <w:caps w:val="false"/>
          <w:smallCaps w:val="false"/>
          <w:sz w:val="20"/>
        </w:rPr>
        <w:t xml:space="preserve">February 26, 2024 </w:t>
      </w:r>
      <w:r>
        <w:rPr>
          <w:rFonts w:ascii="Calibri;Arial;sans-serif" w:hAnsi="Calibri;Arial;sans-serif"/>
          <w:caps w:val="false"/>
          <w:smallCaps w:val="false"/>
          <w:sz w:val="20"/>
        </w:rPr>
        <w:t>if the closing price of the Common Stock has equaled or exceeded 150% of the then-effective conversion price for 45 trading days within a period of 60 consecutive trading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Embedded Conversion Features</w:t>
      </w:r>
    </w:p>
    <w:p>
      <w:pPr>
        <w:pStyle w:val="TextBody"/>
        <w:spacing w:before="0" w:after="0"/>
        <w:ind w:left="0" w:right="0" w:hanging="0"/>
        <w:rPr/>
      </w:pPr>
      <w:r>
        <w:rPr>
          <w:rFonts w:ascii="Calibri;Arial;sans-serif" w:hAnsi="Calibri;Arial;sans-serif"/>
          <w:caps w:val="false"/>
          <w:smallCaps w:val="false"/>
          <w:sz w:val="20"/>
        </w:rPr>
        <w:t>The Company allocated $2 million of the net proceeds received to the derivative liability based on the aggregate fair value of the embedded conversion feature of the Series C Preferred Stock on the dates of issuance which reduced the original carrying value of the Series C Preferred Stock. The derivative is being accounted for at fair value with subsequent changes in the fair value being reported as part of Other (income) charges, net in the Consolidated Statement of Operations. The fair value of the Series C Preferred Stock derivative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 liability of $1 million and is included in Other long-term liabilities in the accompanying Consolidated Statement of Financial Position. Refer to Note </w:t>
      </w:r>
      <w:r>
        <w:rPr>
          <w:rStyle w:val="Emphasis"/>
          <w:rFonts w:ascii="Calibri;Arial;sans-serif" w:hAnsi="Calibri;Arial;sans-serif"/>
          <w:caps w:val="false"/>
          <w:smallCaps w:val="false"/>
          <w:sz w:val="20"/>
        </w:rPr>
        <w:t>17,</w:t>
      </w:r>
      <w:r>
        <w:rPr>
          <w:rFonts w:ascii="Calibri;Arial;sans-serif" w:hAnsi="Calibri;Arial;sans-serif"/>
          <w:caps w:val="false"/>
          <w:smallCaps w:val="false"/>
          <w:sz w:val="20"/>
        </w:rPr>
        <w:t xml:space="preserve"> “Financial Instruments” for information on the valuation of the derivative.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carrying value of the Series C Preferred Stock is being accreted to the mandatory redemption amount using the effective interest method to Additional paid in capital in the Consolidated Statement of Financial Position as a deemed dividend from the date of issuance through the mandatory redemption date.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5:</w:t>
      </w:r>
      <w:r>
        <w:rPr>
          <w:rFonts w:ascii="Calibri;Arial;sans-serif" w:hAnsi="Calibri;Arial;sans-serif"/>
          <w:b/>
          <w:caps w:val="false"/>
          <w:smallCaps w:val="false"/>
          <w:sz w:val="20"/>
        </w:rPr>
        <w:t xml:space="preserve"> 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Income recognized on operating lease arrangements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is presented below. Income recognized for sales-type lease arrangements for both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was less than $1 million.</w:t>
      </w:r>
    </w:p>
    <w:p>
      <w:pPr>
        <w:pStyle w:val="TextBody"/>
        <w:spacing w:before="0" w:after="0"/>
        <w:ind w:left="0" w:right="0" w:hanging="0"/>
        <w:rPr>
          <w:caps w:val="false"/>
          <w:smallCaps w:val="false"/>
        </w:rPr>
      </w:pPr>
      <w:r>
        <w:rPr>
          <w:caps w:val="false"/>
          <w:smallCaps w:val="false"/>
        </w:rPr>
        <w:t> </w:t>
      </w:r>
    </w:p>
    <w:tbl>
      <w:tblPr>
        <w:tblW w:w="4356" w:type="dxa"/>
        <w:jc w:val="left"/>
        <w:tblInd w:w="0" w:type="dxa"/>
        <w:tblCellMar>
          <w:top w:w="0" w:type="dxa"/>
          <w:left w:w="0" w:type="dxa"/>
          <w:bottom w:w="0" w:type="dxa"/>
          <w:right w:w="0" w:type="dxa"/>
        </w:tblCellMar>
      </w:tblPr>
      <w:tblGrid>
        <w:gridCol w:w="2540"/>
        <w:gridCol w:w="60"/>
        <w:gridCol w:w="339"/>
        <w:gridCol w:w="339"/>
        <w:gridCol w:w="160"/>
        <w:gridCol w:w="160"/>
        <w:gridCol w:w="339"/>
        <w:gridCol w:w="344"/>
        <w:gridCol w:w="75"/>
      </w:tblGrid>
      <w:tr>
        <w:trPr/>
        <w:tc>
          <w:tcPr>
            <w:tcW w:w="25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1"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25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75" w:type="dxa"/>
            <w:tcBorders/>
            <w:shd w:fill="FFFFFF" w:val="clear"/>
            <w:vAlign w:val="center"/>
          </w:tcPr>
          <w:p>
            <w:pPr>
              <w:pStyle w:val="TableContents"/>
              <w:spacing w:before="0" w:after="283"/>
              <w:rPr/>
            </w:pPr>
            <w:r>
              <w:rPr/>
              <w:t> </w:t>
            </w:r>
          </w:p>
        </w:tc>
      </w:tr>
      <w:tr>
        <w:trPr/>
        <w:tc>
          <w:tcPr>
            <w:tcW w:w="254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7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68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Lease income - operating leases:</w:t>
            </w:r>
          </w:p>
        </w:tc>
        <w:tc>
          <w:tcPr>
            <w:tcW w:w="6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339" w:type="dxa"/>
            <w:tcBorders/>
            <w:shd w:fill="CCEEFF" w:val="clear"/>
            <w:vAlign w:val="center"/>
          </w:tcPr>
          <w:p>
            <w:pPr>
              <w:pStyle w:val="TableContents"/>
              <w:spacing w:before="0" w:after="283"/>
              <w:rPr/>
            </w:pPr>
            <w:r>
              <w:rPr/>
              <w:t> </w:t>
            </w:r>
          </w:p>
        </w:tc>
        <w:tc>
          <w:tcPr>
            <w:tcW w:w="344"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54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Lease income</w:t>
            </w:r>
          </w:p>
        </w:tc>
        <w:tc>
          <w:tcPr>
            <w:tcW w:w="60" w:type="dxa"/>
            <w:tcBorders/>
            <w:shd w:fill="FFFFFF" w:val="clear"/>
            <w:vAlign w:val="center"/>
          </w:tcPr>
          <w:p>
            <w:pPr>
              <w:pStyle w:val="TableContents"/>
              <w:spacing w:before="0" w:after="283"/>
              <w:ind w:left="0" w:right="0" w:hanging="0"/>
              <w:rPr/>
            </w:pPr>
            <w:r>
              <w:rPr/>
              <w:t> </w:t>
            </w:r>
          </w:p>
        </w:tc>
        <w:tc>
          <w:tcPr>
            <w:tcW w:w="339"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339"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4"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75" w:type="dxa"/>
            <w:tcBorders/>
            <w:shd w:fill="FFFFFF"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Variable lease income</w:t>
            </w:r>
          </w:p>
        </w:tc>
        <w:tc>
          <w:tcPr>
            <w:tcW w:w="60" w:type="dxa"/>
            <w:tcBorders/>
            <w:shd w:fill="CCEEFF" w:val="clear"/>
            <w:vAlign w:val="center"/>
          </w:tcPr>
          <w:p>
            <w:pPr>
              <w:pStyle w:val="TableContents"/>
              <w:spacing w:before="0" w:after="283"/>
              <w:rPr/>
            </w:pPr>
            <w:r>
              <w:rPr/>
              <w:t> </w:t>
            </w:r>
          </w:p>
        </w:tc>
        <w:tc>
          <w:tcPr>
            <w:tcW w:w="3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3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75" w:type="dxa"/>
            <w:tcBorders/>
            <w:shd w:fill="CCEEFF" w:val="clear"/>
            <w:vAlign w:val="center"/>
          </w:tcPr>
          <w:p>
            <w:pPr>
              <w:pStyle w:val="TableContents"/>
              <w:spacing w:before="0" w:after="283"/>
              <w:rPr/>
            </w:pPr>
            <w:r>
              <w:rPr/>
              <w:t> </w:t>
            </w:r>
          </w:p>
        </w:tc>
      </w:tr>
      <w:tr>
        <w:trPr/>
        <w:tc>
          <w:tcPr>
            <w:tcW w:w="2540"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Total lease income</w:t>
            </w:r>
          </w:p>
        </w:tc>
        <w:tc>
          <w:tcPr>
            <w:tcW w:w="60" w:type="dxa"/>
            <w:tcBorders/>
            <w:shd w:fill="FFFFFF" w:val="clear"/>
            <w:vAlign w:val="center"/>
          </w:tcPr>
          <w:p>
            <w:pPr>
              <w:pStyle w:val="TableContents"/>
              <w:spacing w:before="0" w:after="283"/>
              <w:ind w:left="0" w:right="0" w:hanging="0"/>
              <w:rPr/>
            </w:pPr>
            <w:r>
              <w:rPr/>
              <w:t> </w:t>
            </w:r>
          </w:p>
        </w:tc>
        <w:tc>
          <w:tcPr>
            <w:tcW w:w="33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33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6:</w:t>
      </w:r>
      <w:r>
        <w:rPr>
          <w:rFonts w:ascii="Calibri;Arial;sans-serif" w:hAnsi="Calibri;Arial;sans-serif"/>
          <w:b/>
          <w:caps w:val="false"/>
          <w:smallCaps w:val="false"/>
          <w:sz w:val="20"/>
        </w:rPr>
        <w:t xml:space="preserve">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the Company had outstanding letters of credit of $58 million and $43 million issued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ABL Credit Agreement and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respectively, as well as bank guarantees and letters of credit of $1 million, surety bonds in the amount of $29 million, and restricted cash of $69 million, primarily related to cash collateral for the outstanding letters of credit under the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Amended L/C Facility Agreement, to ensure payment of possible casualty and workers’ compensation claims, legal contingencies, hedging activities, environmental liabilities, rental payments and to support various customs, tax and trade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Kodak’s Brazilian Operations maintained accruals of approximately $2 million for claims aggregating approximately $118 million inclusive of interest and penalties where appropriate. The unreserved portion of the indirect taxes, civil litigation and disputes associated with former employees and contract labor claims, inclusive of any related interest and penalties, for which there was at least a reasonable possibility that a loss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incurred, amounted to approximately $6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In connection with assessments in Brazil, local regulations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require Kodak’s Brazilian operations to post security for a portion of the amounts in dispute.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Kodak’s Brazilian operations have posted security composed of $6 million of pledged cash reported within Restricted cash in the Consolidated Statement of Financial Position and liens on certain Brazilian assets with a net book value of approximately $42 million. Generally, any encumbrances on the Brazilian assets would be removed to the extent the matter is resolved in Kodak's favor.</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August 13, 2020 </w:t>
      </w:r>
      <w:r>
        <w:rPr>
          <w:rFonts w:ascii="Calibri;Arial;sans-serif" w:hAnsi="Calibri;Arial;sans-serif"/>
          <w:caps w:val="false"/>
          <w:smallCaps w:val="false"/>
          <w:sz w:val="20"/>
        </w:rPr>
        <w:t xml:space="preserve">Tiandong Tang commenced a class action lawsuit against the Company, its Executive Chairman and Chief Executive Officer and its Chief Financial Officer in Federal District Court in the District of New Jersey, and on </w:t>
      </w:r>
      <w:r>
        <w:rPr>
          <w:rStyle w:val="Emphasis"/>
          <w:rFonts w:ascii="Calibri;Arial;sans-serif" w:hAnsi="Calibri;Arial;sans-serif"/>
          <w:caps w:val="false"/>
          <w:smallCaps w:val="false"/>
          <w:sz w:val="20"/>
        </w:rPr>
        <w:t xml:space="preserve">August 26, 2020 </w:t>
      </w:r>
      <w:r>
        <w:rPr>
          <w:rFonts w:ascii="Calibri;Arial;sans-serif" w:hAnsi="Calibri;Arial;sans-serif"/>
          <w:caps w:val="false"/>
          <w:smallCaps w:val="false"/>
          <w:sz w:val="20"/>
        </w:rPr>
        <w:t xml:space="preserve">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U.S. International Development Finance Corporation (the “DFC”) announcement (the “DFC Announcement”) of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 on </w:t>
      </w:r>
      <w:r>
        <w:rPr>
          <w:rStyle w:val="Emphasis"/>
          <w:rFonts w:ascii="Calibri;Arial;sans-serif" w:hAnsi="Calibri;Arial;sans-serif"/>
          <w:caps w:val="false"/>
          <w:smallCaps w:val="false"/>
          <w:sz w:val="20"/>
        </w:rPr>
        <w:t xml:space="preserve">July 28, 2020. </w:t>
      </w:r>
      <w:r>
        <w:rPr>
          <w:rFonts w:ascii="Calibri;Arial;sans-serif" w:hAnsi="Calibri;Arial;sans-serif"/>
          <w:caps w:val="false"/>
          <w:smallCaps w:val="false"/>
          <w:sz w:val="20"/>
        </w:rPr>
        <w:t xml:space="preserve">The Securities Class Actions were transferred to the Federal District Court for the Western District of New York and were consolidated into a single proceeding (the “Consolidated Securities Class Action”) on </w:t>
      </w:r>
      <w:r>
        <w:rPr>
          <w:rStyle w:val="Emphasis"/>
          <w:rFonts w:ascii="Calibri;Arial;sans-serif" w:hAnsi="Calibri;Arial;sans-serif"/>
          <w:caps w:val="false"/>
          <w:smallCaps w:val="false"/>
          <w:sz w:val="20"/>
        </w:rPr>
        <w:t xml:space="preserve">June 22, 2021. </w:t>
      </w:r>
      <w:r>
        <w:rPr>
          <w:rFonts w:ascii="Calibri;Arial;sans-serif" w:hAnsi="Calibri;Arial;sans-serif"/>
          <w:caps w:val="false"/>
          <w:smallCaps w:val="false"/>
          <w:sz w:val="20"/>
        </w:rPr>
        <w:t xml:space="preserve">Les Investissements Kiz Inc. and UAT Trading Service, Inc. were appointed by the court to serve as lead plaintiff for the Consolidated Securities Class Action on </w:t>
      </w:r>
      <w:r>
        <w:rPr>
          <w:rStyle w:val="Emphasis"/>
          <w:rFonts w:ascii="Calibri;Arial;sans-serif" w:hAnsi="Calibri;Arial;sans-serif"/>
          <w:caps w:val="false"/>
          <w:smallCaps w:val="false"/>
          <w:sz w:val="20"/>
        </w:rPr>
        <w:t xml:space="preserve">August 2, 2021, </w:t>
      </w:r>
      <w:r>
        <w:rPr>
          <w:rFonts w:ascii="Calibri;Arial;sans-serif" w:hAnsi="Calibri;Arial;sans-serif"/>
          <w:caps w:val="false"/>
          <w:smallCaps w:val="false"/>
          <w:sz w:val="20"/>
        </w:rPr>
        <w:t xml:space="preserve">and the lead plaintiff filed an amended consolidated complaint on </w:t>
      </w:r>
      <w:r>
        <w:rPr>
          <w:rStyle w:val="Emphasis"/>
          <w:rFonts w:ascii="Calibri;Arial;sans-serif" w:hAnsi="Calibri;Arial;sans-serif"/>
          <w:caps w:val="false"/>
          <w:smallCaps w:val="false"/>
          <w:sz w:val="20"/>
        </w:rPr>
        <w:t xml:space="preserve">October 1, 2021 </w:t>
      </w:r>
      <w:r>
        <w:rPr>
          <w:rFonts w:ascii="Calibri;Arial;sans-serif" w:hAnsi="Calibri;Arial;sans-serif"/>
          <w:caps w:val="false"/>
          <w:smallCaps w:val="false"/>
          <w:sz w:val="20"/>
        </w:rPr>
        <w:t xml:space="preserve">which added Kodak’s General Counsel and current and former members of its Board of Directors as additional defendants. The Company and individual defendants filed a joint motion to dismiss the Consolidated Securities Class Action on </w:t>
      </w:r>
      <w:r>
        <w:rPr>
          <w:rStyle w:val="Emphasis"/>
          <w:rFonts w:ascii="Calibri;Arial;sans-serif" w:hAnsi="Calibri;Arial;sans-serif"/>
          <w:caps w:val="false"/>
          <w:smallCaps w:val="false"/>
          <w:sz w:val="20"/>
        </w:rPr>
        <w:t xml:space="preserve">December 14, 2021. </w:t>
      </w:r>
      <w:r>
        <w:rPr>
          <w:rFonts w:ascii="Calibri;Arial;sans-serif" w:hAnsi="Calibri;Arial;sans-serif"/>
          <w:caps w:val="false"/>
          <w:smallCaps w:val="false"/>
          <w:sz w:val="20"/>
        </w:rPr>
        <w:t xml:space="preserve">The lead plaintiff filed an opposition to the motion to dismiss on </w:t>
      </w:r>
      <w:r>
        <w:rPr>
          <w:rStyle w:val="Emphasis"/>
          <w:rFonts w:ascii="Calibri;Arial;sans-serif" w:hAnsi="Calibri;Arial;sans-serif"/>
          <w:caps w:val="false"/>
          <w:smallCaps w:val="false"/>
          <w:sz w:val="20"/>
        </w:rPr>
        <w:t xml:space="preserve">February 28, 2022, </w:t>
      </w:r>
      <w:r>
        <w:rPr>
          <w:rFonts w:ascii="Calibri;Arial;sans-serif" w:hAnsi="Calibri;Arial;sans-serif"/>
          <w:caps w:val="false"/>
          <w:smallCaps w:val="false"/>
          <w:sz w:val="20"/>
        </w:rPr>
        <w:t xml:space="preserve">and the Company and the individual defendants filed responses to the plaintiff’s opposition on </w:t>
      </w:r>
      <w:r>
        <w:rPr>
          <w:rStyle w:val="Emphasis"/>
          <w:rFonts w:ascii="Calibri;Arial;sans-serif" w:hAnsi="Calibri;Arial;sans-serif"/>
          <w:caps w:val="false"/>
          <w:smallCaps w:val="false"/>
          <w:sz w:val="20"/>
        </w:rPr>
        <w:t>April 6,</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A hearing with respect to the motion to dismiss was held on </w:t>
      </w:r>
      <w:r>
        <w:rPr>
          <w:rStyle w:val="Emphasis"/>
          <w:rFonts w:ascii="Calibri;Arial;sans-serif" w:hAnsi="Calibri;Arial;sans-serif"/>
          <w:caps w:val="false"/>
          <w:smallCaps w:val="false"/>
          <w:sz w:val="20"/>
        </w:rPr>
        <w:t xml:space="preserve">August 3, 2022, </w:t>
      </w:r>
      <w:r>
        <w:rPr>
          <w:rFonts w:ascii="Calibri;Arial;sans-serif" w:hAnsi="Calibri;Arial;sans-serif"/>
          <w:caps w:val="false"/>
          <w:smallCaps w:val="false"/>
          <w:sz w:val="20"/>
        </w:rPr>
        <w:t xml:space="preserve">and the lawsuit was dismissed with prejudice on </w:t>
      </w:r>
      <w:r>
        <w:rPr>
          <w:rStyle w:val="Emphasis"/>
          <w:rFonts w:ascii="Calibri;Arial;sans-serif" w:hAnsi="Calibri;Arial;sans-serif"/>
          <w:caps w:val="false"/>
          <w:smallCaps w:val="false"/>
          <w:sz w:val="20"/>
        </w:rPr>
        <w:t xml:space="preserve">September 28, 2022.  </w:t>
      </w:r>
      <w:r>
        <w:rPr>
          <w:rFonts w:ascii="Calibri;Arial;sans-serif" w:hAnsi="Calibri;Arial;sans-serif"/>
          <w:caps w:val="false"/>
          <w:smallCaps w:val="false"/>
          <w:sz w:val="20"/>
        </w:rPr>
        <w:t xml:space="preserve">The plaintiffs filed a notice of appeal of the dismissal on </w:t>
      </w:r>
      <w:r>
        <w:rPr>
          <w:rStyle w:val="Emphasis"/>
          <w:rFonts w:ascii="Calibri;Arial;sans-serif" w:hAnsi="Calibri;Arial;sans-serif"/>
          <w:caps w:val="false"/>
          <w:smallCaps w:val="false"/>
          <w:sz w:val="20"/>
        </w:rPr>
        <w:t>October 27, 2022 </w:t>
      </w:r>
      <w:r>
        <w:rPr>
          <w:rFonts w:ascii="Calibri;Arial;sans-serif" w:hAnsi="Calibri;Arial;sans-serif"/>
          <w:caps w:val="false"/>
          <w:smallCaps w:val="false"/>
          <w:sz w:val="20"/>
        </w:rPr>
        <w:t xml:space="preserve">but later withdrew the appeal on </w:t>
      </w:r>
      <w:r>
        <w:rPr>
          <w:rStyle w:val="Emphasis"/>
          <w:rFonts w:ascii="Calibri;Arial;sans-serif" w:hAnsi="Calibri;Arial;sans-serif"/>
          <w:caps w:val="false"/>
          <w:smallCaps w:val="false"/>
          <w:sz w:val="20"/>
        </w:rPr>
        <w:t xml:space="preserve">January 25, 2023.  </w:t>
      </w:r>
      <w:r>
        <w:rPr>
          <w:rFonts w:ascii="Calibri;Arial;sans-serif" w:hAnsi="Calibri;Arial;sans-serif"/>
          <w:caps w:val="false"/>
          <w:smallCaps w:val="false"/>
          <w:sz w:val="20"/>
        </w:rPr>
        <w:t>As a result, the Consolidated Securities Class Action is concluded.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highlight w:val="white"/>
        </w:rPr>
        <w:t xml:space="preserve">The Company has also received </w:t>
      </w:r>
      <w:r>
        <w:rPr>
          <w:rStyle w:val="Emphasis"/>
          <w:rFonts w:ascii="Calibri;Arial;sans-serif" w:hAnsi="Calibri;Arial;sans-serif"/>
          <w:caps w:val="false"/>
          <w:smallCaps w:val="false"/>
          <w:sz w:val="20"/>
          <w:highlight w:val="white"/>
        </w:rPr>
        <w:t>five</w:t>
      </w:r>
      <w:r>
        <w:rPr>
          <w:rFonts w:ascii="Calibri;Arial;sans-serif" w:hAnsi="Calibri;Arial;sans-serif"/>
          <w:caps w:val="false"/>
          <w:smallCaps w:val="false"/>
          <w:sz w:val="20"/>
          <w:highlight w:val="white"/>
        </w:rPr>
        <w:t xml:space="preserve"> requests un</w:t>
      </w:r>
      <w:r>
        <w:rPr>
          <w:rFonts w:ascii="Calibri;Arial;sans-serif" w:hAnsi="Calibri;Arial;sans-serif"/>
          <w:caps w:val="false"/>
          <w:smallCaps w:val="false"/>
          <w:sz w:val="20"/>
        </w:rPr>
        <w:t xml:space="preserve">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(each a “Derivative Demand”, and collectively the “Derivative Demands”). On </w:t>
      </w:r>
      <w:r>
        <w:rPr>
          <w:rStyle w:val="Emphasis"/>
          <w:rFonts w:ascii="Calibri;Arial;sans-serif" w:hAnsi="Calibri;Arial;sans-serif"/>
          <w:caps w:val="false"/>
          <w:smallCaps w:val="false"/>
          <w:sz w:val="20"/>
        </w:rPr>
        <w:t xml:space="preserve">May 19, 2021 </w:t>
      </w:r>
      <w:r>
        <w:rPr>
          <w:rFonts w:ascii="Calibri;Arial;sans-serif" w:hAnsi="Calibri;Arial;sans-serif"/>
          <w:caps w:val="false"/>
          <w:smallCaps w:val="false"/>
          <w:sz w:val="20"/>
        </w:rPr>
        <w:t xml:space="preserve">Louis Peters,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w:t>
      </w:r>
      <w:r>
        <w:rPr>
          <w:rStyle w:val="Emphasis"/>
          <w:rFonts w:ascii="Calibri;Arial;sans-serif" w:hAnsi="Calibri;Arial;sans-serif"/>
          <w:caps w:val="false"/>
          <w:smallCaps w:val="false"/>
          <w:sz w:val="20"/>
        </w:rPr>
        <w:t xml:space="preserve">August 23, 2021, </w:t>
      </w:r>
      <w:r>
        <w:rPr>
          <w:rFonts w:ascii="Calibri;Arial;sans-serif" w:hAnsi="Calibri;Arial;sans-serif"/>
          <w:caps w:val="false"/>
          <w:smallCaps w:val="false"/>
          <w:sz w:val="20"/>
        </w:rPr>
        <w:t xml:space="preserve">and the Company and individual defendants filed motions to dismiss (or alternatively, in the case of the Company, a motion for summary judgment) in the State Derivative Lawsuit on </w:t>
      </w:r>
      <w:r>
        <w:rPr>
          <w:rStyle w:val="Emphasis"/>
          <w:rFonts w:ascii="Calibri;Arial;sans-serif" w:hAnsi="Calibri;Arial;sans-serif"/>
          <w:caps w:val="false"/>
          <w:smallCaps w:val="false"/>
          <w:sz w:val="20"/>
        </w:rPr>
        <w:t xml:space="preserve">October 22, 2021. </w:t>
      </w: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March 17, 2022, </w:t>
      </w:r>
      <w:r>
        <w:rPr>
          <w:rFonts w:ascii="Calibri;Arial;sans-serif" w:hAnsi="Calibri;Arial;sans-serif"/>
          <w:caps w:val="false"/>
          <w:smallCaps w:val="false"/>
          <w:sz w:val="20"/>
        </w:rPr>
        <w:t>the court issued an order staying the State Derivative Lawsuit pending the resolution of the Federal Derivative Lawsuit described below.</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September 2, 2021 </w:t>
      </w:r>
      <w:r>
        <w:rPr>
          <w:rFonts w:ascii="Calibri;Arial;sans-serif" w:hAnsi="Calibri;Arial;sans-serif"/>
          <w:caps w:val="false"/>
          <w:smallCaps w:val="false"/>
          <w:sz w:val="20"/>
        </w:rPr>
        <w:t xml:space="preserve">Herbert Silverberg, another person making a Derivative Demand (“Silverberg”), commenced a derivative lawsuit on behalf of the Company against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current and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w:t>
      </w:r>
      <w:r>
        <w:rPr>
          <w:rStyle w:val="Emphasis"/>
          <w:rFonts w:ascii="Calibri;Arial;sans-serif" w:hAnsi="Calibri;Arial;sans-serif"/>
          <w:caps w:val="false"/>
          <w:smallCaps w:val="false"/>
          <w:sz w:val="20"/>
        </w:rPr>
        <w:t xml:space="preserve">October 4, 2021 </w:t>
      </w:r>
      <w:r>
        <w:rPr>
          <w:rFonts w:ascii="Calibri;Arial;sans-serif" w:hAnsi="Calibri;Arial;sans-serif"/>
          <w:caps w:val="false"/>
          <w:smallCaps w:val="false"/>
          <w:sz w:val="20"/>
        </w:rPr>
        <w:t xml:space="preserve">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The Federal derivative lawsuits filed by Silverberg and Peters were consolidated into a single proceeding (the “Federal Derivative Lawsuit”) on </w:t>
      </w:r>
      <w:r>
        <w:rPr>
          <w:rStyle w:val="Emphasis"/>
          <w:rFonts w:ascii="Calibri;Arial;sans-serif" w:hAnsi="Calibri;Arial;sans-serif"/>
          <w:caps w:val="false"/>
          <w:smallCaps w:val="false"/>
          <w:sz w:val="20"/>
        </w:rPr>
        <w:t xml:space="preserve">January 18, 2022, </w:t>
      </w:r>
      <w:r>
        <w:rPr>
          <w:rFonts w:ascii="Calibri;Arial;sans-serif" w:hAnsi="Calibri;Arial;sans-serif"/>
          <w:caps w:val="false"/>
          <w:smallCaps w:val="false"/>
          <w:sz w:val="20"/>
        </w:rPr>
        <w:t xml:space="preserve">and Peters was appointed as lead plaintiff in the Federal Derivative Lawsuit. An amended consolidated complaint combining the allegations contained in the Federal derivative lawsuits filed by Silverberg and Peters was filed in the Federal Derivative Lawsuit on </w:t>
      </w:r>
      <w:r>
        <w:rPr>
          <w:rStyle w:val="Emphasis"/>
          <w:rFonts w:ascii="Calibri;Arial;sans-serif" w:hAnsi="Calibri;Arial;sans-serif"/>
          <w:caps w:val="false"/>
          <w:smallCaps w:val="false"/>
          <w:sz w:val="20"/>
        </w:rPr>
        <w:t xml:space="preserve">February 16, 2022, </w:t>
      </w:r>
      <w:r>
        <w:rPr>
          <w:rFonts w:ascii="Calibri;Arial;sans-serif" w:hAnsi="Calibri;Arial;sans-serif"/>
          <w:caps w:val="false"/>
          <w:smallCaps w:val="false"/>
          <w:sz w:val="20"/>
        </w:rPr>
        <w:t xml:space="preserve">and the Company and individual defendants served motions to dismiss or, in the alternative in the case of the Company, for summary judgment on </w:t>
      </w:r>
      <w:r>
        <w:rPr>
          <w:rStyle w:val="Emphasis"/>
          <w:rFonts w:ascii="Calibri;Arial;sans-serif" w:hAnsi="Calibri;Arial;sans-serif"/>
          <w:caps w:val="false"/>
          <w:smallCaps w:val="false"/>
          <w:sz w:val="20"/>
        </w:rPr>
        <w:t>April 15,</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Threshold discovery in the case has been completed, and the Company and individual defendants formally filed their motions to dismiss on </w:t>
      </w:r>
      <w:r>
        <w:rPr>
          <w:rStyle w:val="Emphasis"/>
          <w:rFonts w:ascii="Calibri;Arial;sans-serif" w:hAnsi="Calibri;Arial;sans-serif"/>
          <w:caps w:val="false"/>
          <w:smallCaps w:val="false"/>
          <w:sz w:val="20"/>
        </w:rPr>
        <w:t xml:space="preserve">September 30, 2022.  </w:t>
      </w:r>
      <w:r>
        <w:rPr>
          <w:rFonts w:ascii="Calibri;Arial;sans-serif" w:hAnsi="Calibri;Arial;sans-serif"/>
          <w:caps w:val="false"/>
          <w:smallCaps w:val="false"/>
          <w:sz w:val="20"/>
        </w:rPr>
        <w:t xml:space="preserve">The plaintiffs filed an opposition to the motions to dismiss/for summary judgment on </w:t>
      </w:r>
      <w:r>
        <w:rPr>
          <w:rStyle w:val="Emphasis"/>
          <w:rFonts w:ascii="Calibri;Arial;sans-serif" w:hAnsi="Calibri;Arial;sans-serif"/>
          <w:caps w:val="false"/>
          <w:smallCaps w:val="false"/>
          <w:sz w:val="20"/>
        </w:rPr>
        <w:t xml:space="preserve">November 14, 2022, </w:t>
      </w:r>
      <w:r>
        <w:rPr>
          <w:rFonts w:ascii="Calibri;Arial;sans-serif" w:hAnsi="Calibri;Arial;sans-serif"/>
          <w:caps w:val="false"/>
          <w:smallCaps w:val="false"/>
          <w:sz w:val="20"/>
        </w:rPr>
        <w:t xml:space="preserve">and the Company and the individual defendants filed responses to the plaintiffs' opposition on </w:t>
      </w:r>
      <w:r>
        <w:rPr>
          <w:rStyle w:val="Emphasis"/>
          <w:rFonts w:ascii="Calibri;Arial;sans-serif" w:hAnsi="Calibri;Arial;sans-serif"/>
          <w:caps w:val="false"/>
          <w:smallCaps w:val="false"/>
          <w:sz w:val="20"/>
        </w:rPr>
        <w:t xml:space="preserve">December 27, 2022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 xml:space="preserve">December 23, 2022, </w:t>
      </w:r>
      <w:r>
        <w:rPr>
          <w:rFonts w:ascii="Calibri;Arial;sans-serif" w:hAnsi="Calibri;Arial;sans-serif"/>
          <w:caps w:val="false"/>
          <w:smallCaps w:val="false"/>
          <w:sz w:val="20"/>
        </w:rPr>
        <w:t>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Additional shareholder derivative lawsuits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be brought based on the other Derivative Demands (any such lawsuits, collectively with the State Derivative Lawsuit, the Federal Derivative Lawsuit and the Fiduciary Class Action, the “Fiduciary Matters”). The Company, acting through a Special Committee of Independent Directors, previously determined that there was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merit to the claims alleged by the Derivative Demands made through the time of its determination (except with respect to the charitable contribution,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fully considered by the Special Committee). See the Company’s Current Report on Form </w:t>
      </w:r>
      <w:r>
        <w:rPr>
          <w:rStyle w:val="Emphasis"/>
          <w:rFonts w:ascii="Calibri;Arial;sans-serif" w:hAnsi="Calibri;Arial;sans-serif"/>
          <w:caps w:val="false"/>
          <w:smallCaps w:val="false"/>
          <w:sz w:val="20"/>
        </w:rPr>
        <w:t>8‐K</w:t>
      </w:r>
      <w:r>
        <w:rPr>
          <w:rFonts w:ascii="Calibri;Arial;sans-serif" w:hAnsi="Calibri;Arial;sans-serif"/>
          <w:caps w:val="false"/>
          <w:smallCaps w:val="false"/>
          <w:sz w:val="20"/>
        </w:rPr>
        <w:t xml:space="preserve"> filed with the SEC on </w:t>
      </w:r>
      <w:r>
        <w:rPr>
          <w:rStyle w:val="Emphasis"/>
          <w:rFonts w:ascii="Calibri;Arial;sans-serif" w:hAnsi="Calibri;Arial;sans-serif"/>
          <w:caps w:val="false"/>
          <w:smallCaps w:val="false"/>
          <w:sz w:val="20"/>
        </w:rPr>
        <w:t xml:space="preserve">September 16, 2020. </w:t>
      </w:r>
      <w:r>
        <w:rPr>
          <w:rFonts w:ascii="Calibri;Arial;sans-serif" w:hAnsi="Calibri;Arial;sans-serif"/>
          <w:caps w:val="false"/>
          <w:smallCaps w:val="false"/>
          <w:sz w:val="20"/>
        </w:rPr>
        <w:t xml:space="preserve">The Company, acting through a separate Special Litigation Committee of Independent Directors, concurred with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Special Committee’s findings and further concluded that it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in the Company’s interest to bring or allow any other shareholder to assert any of the claims alleged by the State Derivative Lawsuit or Federal Derivative Lawsuit (with the exception of the Peters claim purportedly arising under Section </w:t>
      </w:r>
      <w:r>
        <w:rPr>
          <w:rStyle w:val="Emphasis"/>
          <w:rFonts w:ascii="Calibri;Arial;sans-serif" w:hAnsi="Calibri;Arial;sans-serif"/>
          <w:caps w:val="false"/>
          <w:smallCaps w:val="false"/>
          <w:sz w:val="20"/>
        </w:rPr>
        <w:t>10</w:t>
      </w:r>
      <w:r>
        <w:rPr>
          <w:rFonts w:ascii="Calibri;Arial;sans-serif" w:hAnsi="Calibri;Arial;sans-serif"/>
          <w:caps w:val="false"/>
          <w:smallCaps w:val="false"/>
          <w:sz w:val="20"/>
        </w:rPr>
        <w:t xml:space="preserve">(b) of the Exchange Act, which was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addressed as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demand was made with respect to such claim). The </w:t>
      </w:r>
      <w:r>
        <w:rPr>
          <w:rStyle w:val="Emphasis"/>
          <w:rFonts w:ascii="Calibri;Arial;sans-serif" w:hAnsi="Calibri;Arial;sans-serif"/>
          <w:caps w:val="false"/>
          <w:smallCaps w:val="false"/>
          <w:sz w:val="20"/>
        </w:rPr>
        <w:t>second</w:t>
      </w:r>
      <w:r>
        <w:rPr>
          <w:rFonts w:ascii="Calibri;Arial;sans-serif" w:hAnsi="Calibri;Arial;sans-serif"/>
          <w:caps w:val="false"/>
          <w:smallCaps w:val="false"/>
          <w:sz w:val="20"/>
        </w:rPr>
        <w:t xml:space="preserve"> Special Litigation Committee will carefully review any other additional complaints constituting Fiduciary Matters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be filed.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DFC Announcement has also prompted investigations by several congressional committees, the SEC and the New York Attorney General’s office. The Company has cooperated in those investigations.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As previously reported, the Attorney General of the State of New York (the “NYAG”) has threatened to file a lawsuit against the Company and its Chief Executive Officer alleging violations of New York State’s Martin Act (the “Threatened Claim”). In connection with the Threatened Claim and pursuant to a special process under New York law,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additional documents were produced by the Company to the NYAG and the NYAG took testimony of the Company’s Chief Executive Officer and General Counsel. The Company had discussions with the NYAG regarding a potential resolution of the Threatened Claim in the spring of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but those discussions did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result in a resolution. If the Threatened Claim is ultimately brought by the NYAG, the Company intends to vigorously defend itself against the Threatened Claim.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7:</w:t>
      </w:r>
      <w:r>
        <w:rPr>
          <w:rFonts w:ascii="Calibri;Arial;sans-serif" w:hAnsi="Calibri;Arial;sans-serif"/>
          <w:b/>
          <w:caps w:val="false"/>
          <w:smallCaps w:val="false"/>
          <w:sz w:val="20"/>
        </w:rPr>
        <w:t xml:space="preserve"> GUARANTEES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w:t>
      </w:r>
      <w:r>
        <w:rPr>
          <w:rStyle w:val="Emphasis"/>
          <w:rFonts w:ascii="Calibri;Arial;sans-serif" w:hAnsi="Calibri;Arial;sans-serif"/>
          <w:caps w:val="false"/>
          <w:smallCaps w:val="false"/>
          <w:sz w:val="20"/>
        </w:rPr>
        <w:t>$99</w:t>
      </w:r>
      <w:r>
        <w:rPr>
          <w:rFonts w:ascii="Calibri;Arial;sans-serif" w:hAnsi="Calibri;Arial;sans-serif"/>
          <w:caps w:val="false"/>
          <w:smallCaps w:val="false"/>
          <w:sz w:val="20"/>
        </w:rPr>
        <w:t xml:space="preserve"> million with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limitation to the maximum potential future payments. There is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liability recorded for this guarantee.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Extended Warranty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 offers its customers extended warranty arrangements that are generally one year but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range from three months to six years after the original warranty period. The change in Kodak’s deferred revenue balance in relation to these extended warranty and maintenance arrangements from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to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which is reflected in Other current liabilities in the accompanying Consolidated Statement of Financial Position, was as follows:</w:t>
      </w:r>
    </w:p>
    <w:p>
      <w:pPr>
        <w:pStyle w:val="TextBody"/>
        <w:spacing w:before="0" w:after="0"/>
        <w:ind w:left="0" w:right="0" w:hanging="0"/>
        <w:rPr>
          <w:caps w:val="false"/>
          <w:smallCaps w:val="false"/>
        </w:rPr>
      </w:pPr>
      <w:r>
        <w:rPr>
          <w:caps w:val="false"/>
          <w:smallCaps w:val="false"/>
        </w:rPr>
        <w:t> </w:t>
      </w:r>
    </w:p>
    <w:tbl>
      <w:tblPr>
        <w:tblW w:w="6410" w:type="dxa"/>
        <w:jc w:val="left"/>
        <w:tblInd w:w="0" w:type="dxa"/>
        <w:tblCellMar>
          <w:top w:w="0" w:type="dxa"/>
          <w:left w:w="0" w:type="dxa"/>
          <w:bottom w:w="0" w:type="dxa"/>
          <w:right w:w="0" w:type="dxa"/>
        </w:tblCellMar>
      </w:tblPr>
      <w:tblGrid>
        <w:gridCol w:w="5855"/>
        <w:gridCol w:w="60"/>
        <w:gridCol w:w="125"/>
        <w:gridCol w:w="290"/>
        <w:gridCol w:w="80"/>
      </w:tblGrid>
      <w:tr>
        <w:trPr/>
        <w:tc>
          <w:tcPr>
            <w:tcW w:w="58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2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December 31, 2022</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0" w:type="dxa"/>
            <w:tcBorders/>
            <w:shd w:fill="CCEEFF" w:val="clear"/>
            <w:vAlign w:val="center"/>
          </w:tcPr>
          <w:p>
            <w:pPr>
              <w:pStyle w:val="TableContents"/>
              <w:spacing w:before="0" w:after="283"/>
              <w:rPr/>
            </w:pPr>
            <w:r>
              <w:rPr/>
              <w:t> </w:t>
            </w:r>
          </w:p>
        </w:tc>
      </w:tr>
      <w:tr>
        <w:trPr/>
        <w:tc>
          <w:tcPr>
            <w:tcW w:w="58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New extended warranty and maintenance arrangements deferred</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80" w:type="dxa"/>
            <w:tcBorders/>
            <w:shd w:fill="FFFFFF" w:val="clear"/>
            <w:vAlign w:val="center"/>
          </w:tcPr>
          <w:p>
            <w:pPr>
              <w:pStyle w:val="TableContents"/>
              <w:spacing w:before="0" w:after="283"/>
              <w:rPr/>
            </w:pPr>
            <w:r>
              <w:rPr/>
              <w:t> </w:t>
            </w:r>
          </w:p>
        </w:tc>
      </w:tr>
      <w:tr>
        <w:trPr/>
        <w:tc>
          <w:tcPr>
            <w:tcW w:w="585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Recognition of extended warranty and maintenance arrangement revenue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(23</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8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Deferred revenue on extended warranties as of March 31, 2023</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8:</w:t>
      </w:r>
      <w:r>
        <w:rPr>
          <w:rFonts w:ascii="Calibri;Arial;sans-serif" w:hAnsi="Calibri;Arial;sans-serif"/>
          <w:b/>
          <w:caps w:val="false"/>
          <w:smallCaps w:val="false"/>
          <w:sz w:val="20"/>
        </w:rPr>
        <w:t xml:space="preserve">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Disaggregation of 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revenue disaggregated by major product, portfolio summary and geography</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Major Product</w:t>
      </w:r>
    </w:p>
    <w:p>
      <w:pPr>
        <w:pStyle w:val="TextBody"/>
        <w:spacing w:before="0" w:after="0"/>
        <w:ind w:left="0" w:right="0" w:hanging="0"/>
        <w:rPr>
          <w:caps w:val="false"/>
          <w:smallCaps w:val="false"/>
        </w:rPr>
      </w:pPr>
      <w:r>
        <w:rPr>
          <w:caps w:val="false"/>
          <w:smallCaps w:val="false"/>
        </w:rPr>
        <w:t> </w:t>
      </w:r>
    </w:p>
    <w:tbl>
      <w:tblPr>
        <w:tblW w:w="6384" w:type="dxa"/>
        <w:jc w:val="left"/>
        <w:tblInd w:w="0" w:type="dxa"/>
        <w:tblCellMar>
          <w:top w:w="0" w:type="dxa"/>
          <w:left w:w="0" w:type="dxa"/>
          <w:bottom w:w="0" w:type="dxa"/>
          <w:right w:w="0" w:type="dxa"/>
        </w:tblCellMar>
      </w:tblPr>
      <w:tblGrid>
        <w:gridCol w:w="278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6324" w:type="dxa"/>
            <w:gridSpan w:val="20"/>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6324" w:type="dxa"/>
            <w:gridSpan w:val="20"/>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 2023</w:t>
            </w:r>
          </w:p>
        </w:tc>
        <w:tc>
          <w:tcPr>
            <w:tcW w:w="60" w:type="dxa"/>
            <w:tcBorders/>
            <w:shd w:fill="FFFF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6324" w:type="dxa"/>
            <w:gridSpan w:val="20"/>
            <w:tcBorders/>
            <w:shd w:fill="CCEEFF" w:val="clear"/>
            <w:vAlign w:val="center"/>
          </w:tcPr>
          <w:p>
            <w:pPr>
              <w:pStyle w:val="TableContents"/>
              <w:spacing w:lineRule="auto" w:line="288" w:before="0" w:after="0"/>
              <w:ind w:left="0" w:right="0" w:hanging="0"/>
              <w:rPr>
                <w:rFonts w:ascii="Calibri;Arial;sans-serif" w:hAnsi="Calibri;Arial;sans-serif"/>
                <w:sz w:val="20"/>
              </w:rPr>
            </w:pPr>
            <w:r>
              <w:rPr>
                <w:rFonts w:ascii="Calibri;Arial;sans-serif" w:hAnsi="Calibri;Arial;sans-serif"/>
                <w:sz w:val="20"/>
              </w:rPr>
              <w:t>Core products (1)</w:t>
            </w:r>
          </w:p>
        </w:tc>
        <w:tc>
          <w:tcPr>
            <w:tcW w:w="6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4"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7"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150</w:t>
            </w:r>
          </w:p>
        </w:tc>
        <w:tc>
          <w:tcPr>
            <w:tcW w:w="6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201</w:t>
            </w:r>
          </w:p>
        </w:tc>
        <w:tc>
          <w:tcPr>
            <w:tcW w:w="6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551"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ind w:left="0" w:right="0" w:hanging="0"/>
              <w:rPr/>
            </w:pPr>
            <w:r>
              <w:rPr/>
              <w:t> </w:t>
            </w:r>
          </w:p>
        </w:tc>
        <w:tc>
          <w:tcPr>
            <w:tcW w:w="3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ind w:left="0" w:right="0" w:hanging="0"/>
              <w:rPr/>
            </w:pPr>
            <w:r>
              <w:rPr/>
              <w:t> </w:t>
            </w:r>
          </w:p>
        </w:tc>
        <w:tc>
          <w:tcPr>
            <w:tcW w:w="51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Total Core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209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58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267</w:t>
            </w:r>
          </w:p>
        </w:tc>
        <w:tc>
          <w:tcPr>
            <w:tcW w:w="6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lineRule="auto" w:line="288" w:before="0" w:after="0"/>
              <w:ind w:left="0" w:right="0" w:hanging="0"/>
              <w:rPr>
                <w:rFonts w:ascii="Calibri;Arial;sans-serif" w:hAnsi="Calibri;Arial;sans-serif"/>
                <w:sz w:val="20"/>
              </w:rPr>
            </w:pPr>
            <w:r>
              <w:rPr>
                <w:rFonts w:ascii="Calibri;Arial;sans-serif" w:hAnsi="Calibri;Arial;sans-serif"/>
                <w:sz w:val="20"/>
              </w:rPr>
              <w:t>Growth products (2)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spacing w:before="0" w:after="283"/>
              <w:rPr/>
            </w:pPr>
            <w:r>
              <w:rPr/>
              <w:t> </w:t>
            </w:r>
          </w:p>
        </w:tc>
      </w:tr>
      <w:tr>
        <w:trPr/>
        <w:tc>
          <w:tcPr>
            <w:tcW w:w="2780" w:type="dxa"/>
            <w:tcBorders/>
            <w:shd w:fill="CCEE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60" w:type="dxa"/>
            <w:tcBorders/>
            <w:shd w:fill="CCEEFF" w:val="clear"/>
            <w:vAlign w:val="center"/>
          </w:tcPr>
          <w:p>
            <w:pPr>
              <w:pStyle w:val="TableContents"/>
              <w:spacing w:before="0" w:after="283"/>
              <w:rPr/>
            </w:pPr>
            <w:r>
              <w:rPr/>
              <w:t> </w:t>
            </w:r>
          </w:p>
        </w:tc>
      </w:tr>
      <w:tr>
        <w:trPr/>
        <w:tc>
          <w:tcPr>
            <w:tcW w:w="27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7"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tbl>
      <w:tblPr>
        <w:tblW w:w="6414" w:type="dxa"/>
        <w:jc w:val="left"/>
        <w:tblInd w:w="0" w:type="dxa"/>
        <w:tblCellMar>
          <w:top w:w="0" w:type="dxa"/>
          <w:left w:w="0" w:type="dxa"/>
          <w:bottom w:w="0" w:type="dxa"/>
          <w:right w:w="0" w:type="dxa"/>
        </w:tblCellMar>
      </w:tblPr>
      <w:tblGrid>
        <w:gridCol w:w="2795"/>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75"/>
      </w:tblGrid>
      <w:tr>
        <w:trPr/>
        <w:tc>
          <w:tcPr>
            <w:tcW w:w="6339" w:type="dxa"/>
            <w:gridSpan w:val="20"/>
            <w:tcBorders/>
            <w:shd w:fill="auto" w:val="clear"/>
            <w:vAlign w:val="center"/>
          </w:tcPr>
          <w:p>
            <w:pPr>
              <w:pStyle w:val="TableContents"/>
              <w:spacing w:before="0" w:after="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75" w:type="dxa"/>
            <w:tcBorders/>
            <w:shd w:fill="auto" w:val="clear"/>
            <w:vAlign w:val="center"/>
          </w:tcPr>
          <w:p>
            <w:pPr>
              <w:pStyle w:val="TableContents"/>
              <w:spacing w:before="0" w:after="283"/>
              <w:rPr/>
            </w:pPr>
            <w:r>
              <w:rPr/>
              <w:t> </w:t>
            </w:r>
          </w:p>
        </w:tc>
      </w:tr>
      <w:tr>
        <w:trPr/>
        <w:tc>
          <w:tcPr>
            <w:tcW w:w="6339" w:type="dxa"/>
            <w:gridSpan w:val="20"/>
            <w:tcBorders/>
            <w:shd w:fill="auto" w:val="clear"/>
            <w:vAlign w:val="center"/>
          </w:tcPr>
          <w:p>
            <w:pPr>
              <w:pStyle w:val="TableContents"/>
              <w:spacing w:before="0" w:after="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 2022</w:t>
            </w:r>
          </w:p>
        </w:tc>
        <w:tc>
          <w:tcPr>
            <w:tcW w:w="75"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center"/>
              <w:rPr/>
            </w:pPr>
            <w:r>
              <w:rPr>
                <w:rStyle w:val="Emphasis"/>
              </w:rPr>
              <w:t> </w:t>
            </w:r>
          </w:p>
        </w:tc>
        <w:tc>
          <w:tcPr>
            <w:tcW w:w="75"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center"/>
              <w:rPr/>
            </w:pPr>
            <w:r>
              <w:rPr>
                <w:rStyle w:val="Emphasis"/>
              </w:rPr>
              <w:t> </w:t>
            </w:r>
          </w:p>
        </w:tc>
        <w:tc>
          <w:tcPr>
            <w:tcW w:w="75"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rPr/>
            </w:pPr>
            <w:r>
              <w:rPr/>
              <w:t> </w:t>
            </w:r>
          </w:p>
        </w:tc>
        <w:tc>
          <w:tcPr>
            <w:tcW w:w="510" w:type="dxa"/>
            <w:tcBorders/>
            <w:shd w:fill="auto" w:val="clear"/>
            <w:vAlign w:val="center"/>
          </w:tcPr>
          <w:p>
            <w:pPr>
              <w:pStyle w:val="TableContents"/>
              <w:spacing w:before="0" w:after="283"/>
              <w:jc w:val="center"/>
              <w:rPr/>
            </w:pPr>
            <w:r>
              <w:rPr>
                <w:rStyle w:val="Emphasis"/>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35" w:type="dxa"/>
            <w:tcBorders/>
            <w:shd w:fill="auto" w:val="clear"/>
            <w:vAlign w:val="center"/>
          </w:tcPr>
          <w:p>
            <w:pPr>
              <w:pStyle w:val="TableContents"/>
              <w:spacing w:before="0" w:after="283"/>
              <w:jc w:val="center"/>
              <w:rPr/>
            </w:pPr>
            <w:r>
              <w:rPr>
                <w:rStyle w:val="Emphasis"/>
              </w:rPr>
              <w:t> </w:t>
            </w:r>
          </w:p>
        </w:tc>
        <w:tc>
          <w:tcPr>
            <w:tcW w:w="75" w:type="dxa"/>
            <w:tcBorders/>
            <w:shd w:fill="auto" w:val="clear"/>
            <w:vAlign w:val="center"/>
          </w:tcPr>
          <w:p>
            <w:pPr>
              <w:pStyle w:val="TableContents"/>
              <w:spacing w:before="0" w:after="283"/>
              <w:rPr/>
            </w:pPr>
            <w:r>
              <w:rPr/>
              <w:t> </w:t>
            </w:r>
          </w:p>
        </w:tc>
      </w:tr>
      <w:tr>
        <w:trPr/>
        <w:tc>
          <w:tcPr>
            <w:tcW w:w="2795" w:type="dxa"/>
            <w:tcBorders/>
            <w:shd w:fill="auto" w:val="clear"/>
            <w:vAlign w:val="center"/>
          </w:tcPr>
          <w:p>
            <w:pPr>
              <w:pStyle w:val="TableContents"/>
              <w:spacing w:before="0" w:after="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auto"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5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Total</w:t>
            </w:r>
          </w:p>
        </w:tc>
        <w:tc>
          <w:tcPr>
            <w:tcW w:w="75"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Calibri;Arial;sans-serif" w:hAnsi="Calibri;Arial;sans-serif"/>
                <w:caps w:val="false"/>
                <w:smallCaps w:val="false"/>
                <w:sz w:val="20"/>
              </w:rPr>
            </w:pPr>
            <w:r>
              <w:rPr>
                <w:rFonts w:ascii="Calibri;Arial;sans-serif" w:hAnsi="Calibri;Arial;sans-serif"/>
                <w:caps w:val="false"/>
                <w:smallCaps w:val="false"/>
                <w:sz w:val="20"/>
              </w:rPr>
              <w:t>Core products (1)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34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rPr/>
            </w:pPr>
            <w:r>
              <w:rPr/>
              <w:t> </w:t>
            </w:r>
          </w:p>
        </w:tc>
        <w:tc>
          <w:tcPr>
            <w:tcW w:w="5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Plates, inks and other consumables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161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4"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7"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167</w:t>
            </w:r>
          </w:p>
        </w:tc>
        <w:tc>
          <w:tcPr>
            <w:tcW w:w="7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Ongoing service arrangements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53</w:t>
            </w:r>
          </w:p>
        </w:tc>
        <w:tc>
          <w:tcPr>
            <w:tcW w:w="7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annuities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220</w:t>
            </w:r>
          </w:p>
        </w:tc>
        <w:tc>
          <w:tcPr>
            <w:tcW w:w="7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Equipment &amp; software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551"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ind w:left="0" w:right="0" w:hanging="0"/>
              <w:rPr/>
            </w:pPr>
            <w:r>
              <w:rPr/>
              <w:t> </w:t>
            </w:r>
          </w:p>
        </w:tc>
        <w:tc>
          <w:tcPr>
            <w:tcW w:w="3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ind w:left="0" w:right="0" w:hanging="0"/>
              <w:rPr/>
            </w:pPr>
            <w:r>
              <w:rPr/>
              <w:t> </w:t>
            </w:r>
          </w:p>
        </w:tc>
        <w:tc>
          <w:tcPr>
            <w:tcW w:w="51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7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Film and chemicals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7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Calibri;Arial;sans-serif" w:hAnsi="Calibri;Arial;sans-serif"/>
                <w:caps w:val="false"/>
                <w:smallCaps w:val="false"/>
                <w:sz w:val="20"/>
              </w:rPr>
            </w:pPr>
            <w:r>
              <w:rPr>
                <w:rFonts w:ascii="Calibri;Arial;sans-serif" w:hAnsi="Calibri;Arial;sans-serif"/>
                <w:caps w:val="false"/>
                <w:smallCaps w:val="false"/>
                <w:sz w:val="20"/>
              </w:rPr>
              <w:t>Total Core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279</w:t>
            </w:r>
          </w:p>
        </w:tc>
        <w:tc>
          <w:tcPr>
            <w:tcW w:w="7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rPr>
                <w:rFonts w:ascii="Calibri;Arial;sans-serif" w:hAnsi="Calibri;Arial;sans-serif"/>
                <w:caps w:val="false"/>
                <w:smallCaps w:val="false"/>
                <w:sz w:val="20"/>
              </w:rPr>
            </w:pPr>
            <w:r>
              <w:rPr>
                <w:rFonts w:ascii="Calibri;Arial;sans-serif" w:hAnsi="Calibri;Arial;sans-serif"/>
                <w:caps w:val="false"/>
                <w:smallCaps w:val="false"/>
                <w:sz w:val="20"/>
              </w:rPr>
              <w:t>Growth products (2)</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ind w:left="0" w:right="0" w:hanging="0"/>
              <w:rPr/>
            </w:pPr>
            <w:r>
              <w:rPr/>
              <w:t> </w:t>
            </w:r>
          </w:p>
        </w:tc>
        <w:tc>
          <w:tcPr>
            <w:tcW w:w="55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ind w:left="0" w:right="0" w:hanging="0"/>
              <w:rPr/>
            </w:pPr>
            <w:r>
              <w:rPr/>
              <w:t> </w:t>
            </w:r>
          </w:p>
        </w:tc>
        <w:tc>
          <w:tcPr>
            <w:tcW w:w="3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ind w:left="0" w:right="0" w:hanging="0"/>
              <w:rPr/>
            </w:pPr>
            <w:r>
              <w:rPr/>
              <w:t> </w:t>
            </w:r>
          </w:p>
        </w:tc>
        <w:tc>
          <w:tcPr>
            <w:tcW w:w="51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FFFFFF"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0"/>
              <w:rPr>
                <w:rFonts w:ascii="Calibri;Arial;sans-serif" w:hAnsi="Calibri;Arial;sans-serif"/>
                <w:caps w:val="false"/>
                <w:smallCaps w:val="false"/>
                <w:sz w:val="20"/>
              </w:rPr>
            </w:pPr>
            <w:r>
              <w:rPr>
                <w:rFonts w:ascii="Calibri;Arial;sans-serif" w:hAnsi="Calibri;Arial;sans-serif"/>
                <w:caps w:val="false"/>
                <w:smallCaps w:val="false"/>
                <w:sz w:val="20"/>
              </w:rPr>
              <w:t>Other (3)</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75" w:type="dxa"/>
            <w:tcBorders/>
            <w:shd w:fill="CCEEFF" w:val="clear"/>
            <w:vAlign w:val="center"/>
          </w:tcPr>
          <w:p>
            <w:pPr>
              <w:pStyle w:val="TableContents"/>
              <w:spacing w:before="0" w:after="283"/>
              <w:rPr/>
            </w:pPr>
            <w:r>
              <w:rPr/>
              <w:t> </w:t>
            </w:r>
          </w:p>
        </w:tc>
      </w:tr>
      <w:tr>
        <w:trPr/>
        <w:tc>
          <w:tcPr>
            <w:tcW w:w="2795" w:type="dxa"/>
            <w:tcBorders/>
            <w:shd w:fill="FFFFFF" w:val="clear"/>
            <w:vAlign w:val="center"/>
          </w:tcPr>
          <w:p>
            <w:pPr>
              <w:pStyle w:val="TableContents"/>
              <w:spacing w:before="0" w:after="0"/>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6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7"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290</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lineRule="auto" w:line="288" w:before="0" w:after="0"/>
              <w:ind w:left="0" w:right="0" w:hanging="0"/>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9976"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Core includes the Print business, Motion Picture, and Industrial Film and Chemicals, excluding coating and product commercialization services (“Coating Services”).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lineRule="auto" w:line="288" w:before="0" w:after="0"/>
              <w:ind w:left="0" w:right="0" w:hanging="0"/>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9958" w:type="dxa"/>
            <w:tcBorders/>
            <w:shd w:fill="auto" w:val="clear"/>
            <w:vAlign w:val="center"/>
          </w:tcPr>
          <w:p>
            <w:pPr>
              <w:pStyle w:val="TableContents"/>
              <w:spacing w:before="0" w:after="283"/>
              <w:rPr>
                <w:rFonts w:ascii="Calibri;Arial;sans-serif" w:hAnsi="Calibri;Arial;sans-serif"/>
                <w:sz w:val="20"/>
              </w:rPr>
            </w:pPr>
            <w:r>
              <w:rPr>
                <w:rFonts w:ascii="Calibri;Arial;sans-serif" w:hAnsi="Calibri;Arial;sans-serif"/>
                <w:sz w:val="20"/>
              </w:rPr>
              <w:t>Growth consists of Coating Services and Advanced Materials and Functional Printing within the Advanced Materials and Chemicals segment.</w:t>
            </w:r>
          </w:p>
        </w:tc>
      </w:tr>
    </w:tbl>
    <w:p>
      <w:pPr>
        <w:pStyle w:val="TextBody"/>
        <w:spacing w:before="0" w:after="0"/>
        <w:ind w:left="0" w:right="0" w:hanging="0"/>
        <w:rPr/>
      </w:pPr>
      <w:r>
        <w:rPr/>
        <w:t> </w:t>
      </w:r>
    </w:p>
    <w:tbl>
      <w:tblPr>
        <w:tblW w:w="7615" w:type="dxa"/>
        <w:jc w:val="left"/>
        <w:tblInd w:w="0" w:type="dxa"/>
        <w:tblCellMar>
          <w:top w:w="0" w:type="dxa"/>
          <w:left w:w="0" w:type="dxa"/>
          <w:bottom w:w="0" w:type="dxa"/>
          <w:right w:w="0" w:type="dxa"/>
        </w:tblCellMar>
      </w:tblPr>
      <w:tblGrid>
        <w:gridCol w:w="260"/>
        <w:gridCol w:w="7355"/>
      </w:tblGrid>
      <w:tr>
        <w:trPr/>
        <w:tc>
          <w:tcPr>
            <w:tcW w:w="260" w:type="dxa"/>
            <w:tcBorders/>
            <w:shd w:fill="auto" w:val="clear"/>
            <w:vAlign w:val="center"/>
          </w:tcPr>
          <w:p>
            <w:pPr>
              <w:pStyle w:val="TableContents"/>
              <w:spacing w:lineRule="auto" w:line="288" w:before="0" w:after="0"/>
              <w:ind w:left="0" w:right="0" w:hanging="0"/>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735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Other consists of Intellectual Property Licensing, Brand Licensing and Eastman Business Park. </w:t>
            </w:r>
          </w:p>
        </w:tc>
      </w:tr>
    </w:tbl>
    <w:p>
      <w:pPr>
        <w:pStyle w:val="TextBody"/>
        <w:spacing w:before="0" w:after="0"/>
        <w:ind w:left="0" w:right="0" w:hanging="0"/>
        <w:rPr/>
      </w:pPr>
      <w:r>
        <w:rPr/>
        <w:t> </w:t>
      </w:r>
    </w:p>
    <w:p>
      <w:pPr>
        <w:pStyle w:val="TextBody"/>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lineRule="auto" w:line="288" w:before="0" w:after="0"/>
        <w:ind w:left="0" w:right="0" w:hanging="0"/>
        <w:rPr/>
      </w:pPr>
      <w:r>
        <w:rPr>
          <w:rFonts w:ascii="Calibri;Arial;sans-serif" w:hAnsi="Calibri;Arial;sans-serif"/>
          <w:b/>
          <w:caps w:val="false"/>
          <w:smallCaps w:val="false"/>
          <w:sz w:val="20"/>
        </w:rPr>
        <w:t>Geography (</w:t>
      </w:r>
      <w:r>
        <w:rPr>
          <w:rStyle w:val="Emphasis"/>
          <w:rFonts w:ascii="Calibri;Arial;sans-serif" w:hAnsi="Calibri;Arial;sans-serif"/>
          <w:b/>
          <w:caps w:val="false"/>
          <w:smallCaps w:val="false"/>
          <w:sz w:val="20"/>
        </w:rPr>
        <w:t>1</w:t>
      </w:r>
      <w:r>
        <w:rPr>
          <w:rFonts w:ascii="Calibri;Arial;sans-serif" w:hAnsi="Calibri;Arial;sans-serif"/>
          <w:b/>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6054" w:type="dxa"/>
        <w:jc w:val="left"/>
        <w:tblInd w:w="0" w:type="dxa"/>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5994" w:type="dxa"/>
            <w:gridSpan w:val="20"/>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 2023</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15" w:type="dxa"/>
            <w:gridSpan w:val="2"/>
            <w:tcBorders/>
            <w:shd w:fill="FFFFFF" w:val="clear"/>
            <w:vAlign w:val="center"/>
          </w:tcPr>
          <w:p>
            <w:pPr>
              <w:pStyle w:val="TableContents"/>
              <w:spacing w:before="0" w:after="283"/>
              <w:jc w:val="center"/>
              <w:rPr/>
            </w:pPr>
            <w:r>
              <w:rPr>
                <w:rStyle w:val="Emphasis"/>
                <w:rFonts w:ascii="Calibri;Arial;sans-serif" w:hAnsi="Calibri;Arial;sans-serif"/>
                <w:b/>
                <w:sz w:val="20"/>
              </w:rPr>
              <w:t>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7"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122</w:t>
            </w:r>
          </w:p>
        </w:tc>
        <w:tc>
          <w:tcPr>
            <w:tcW w:w="60" w:type="dxa"/>
            <w:tcBorders/>
            <w:shd w:fill="CCEE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126</w:t>
            </w:r>
          </w:p>
        </w:tc>
        <w:tc>
          <w:tcPr>
            <w:tcW w:w="60" w:type="dxa"/>
            <w:tcBorders/>
            <w:shd w:fill="CCEE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ind w:left="0" w:right="0" w:hanging="0"/>
              <w:rPr/>
            </w:pPr>
            <w:r>
              <w:rPr/>
              <w:t> </w:t>
            </w:r>
          </w:p>
        </w:tc>
        <w:tc>
          <w:tcPr>
            <w:tcW w:w="55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ind w:left="0" w:right="0" w:hanging="0"/>
              <w:rPr/>
            </w:pPr>
            <w:r>
              <w:rPr/>
              <w:t> </w:t>
            </w:r>
          </w:p>
        </w:tc>
        <w:tc>
          <w:tcPr>
            <w:tcW w:w="3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ind w:left="0" w:right="0" w:hanging="0"/>
              <w:rPr/>
            </w:pPr>
            <w:r>
              <w:rPr/>
              <w:t> </w:t>
            </w:r>
          </w:p>
        </w:tc>
        <w:tc>
          <w:tcPr>
            <w:tcW w:w="51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94</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55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ind w:left="0" w:right="0" w:hanging="0"/>
              <w:rPr/>
            </w:pPr>
            <w:r>
              <w:rPr/>
              <w:t> </w:t>
            </w:r>
          </w:p>
        </w:tc>
        <w:tc>
          <w:tcPr>
            <w:tcW w:w="3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ind w:left="0" w:right="0" w:hanging="0"/>
              <w:rPr/>
            </w:pPr>
            <w:r>
              <w:rPr/>
              <w:t> </w:t>
            </w:r>
          </w:p>
        </w:tc>
        <w:tc>
          <w:tcPr>
            <w:tcW w:w="51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52</w:t>
            </w:r>
          </w:p>
        </w:tc>
        <w:tc>
          <w:tcPr>
            <w:tcW w:w="60" w:type="dxa"/>
            <w:tcBorders/>
            <w:shd w:fill="CCEE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4"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tbl>
      <w:tblPr>
        <w:tblW w:w="6054" w:type="dxa"/>
        <w:jc w:val="left"/>
        <w:tblInd w:w="0" w:type="dxa"/>
        <w:tblCellMar>
          <w:top w:w="0" w:type="dxa"/>
          <w:left w:w="0" w:type="dxa"/>
          <w:bottom w:w="0" w:type="dxa"/>
          <w:right w:w="0" w:type="dxa"/>
        </w:tblCellMar>
      </w:tblPr>
      <w:tblGrid>
        <w:gridCol w:w="2450"/>
        <w:gridCol w:w="60"/>
        <w:gridCol w:w="125"/>
        <w:gridCol w:w="335"/>
        <w:gridCol w:w="60"/>
        <w:gridCol w:w="60"/>
        <w:gridCol w:w="264"/>
        <w:gridCol w:w="551"/>
        <w:gridCol w:w="60"/>
        <w:gridCol w:w="60"/>
        <w:gridCol w:w="167"/>
        <w:gridCol w:w="348"/>
        <w:gridCol w:w="60"/>
        <w:gridCol w:w="60"/>
        <w:gridCol w:w="244"/>
        <w:gridCol w:w="510"/>
        <w:gridCol w:w="60"/>
        <w:gridCol w:w="60"/>
        <w:gridCol w:w="125"/>
        <w:gridCol w:w="335"/>
        <w:gridCol w:w="60"/>
      </w:tblGrid>
      <w:tr>
        <w:trPr/>
        <w:tc>
          <w:tcPr>
            <w:tcW w:w="5994" w:type="dxa"/>
            <w:gridSpan w:val="20"/>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5994" w:type="dxa"/>
            <w:gridSpan w:val="20"/>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 2022</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Advanced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Materials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rPr/>
            </w:pPr>
            <w:r>
              <w:rPr/>
              <w:t> </w:t>
            </w:r>
          </w:p>
        </w:tc>
        <w:tc>
          <w:tcPr>
            <w:tcW w:w="348"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rPr/>
            </w:pPr>
            <w:r>
              <w:rPr/>
              <w:t> </w:t>
            </w:r>
          </w:p>
        </w:tc>
        <w:tc>
          <w:tcPr>
            <w:tcW w:w="51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Print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Chemicals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Brand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All Other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Total</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United States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7"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110</w:t>
            </w:r>
          </w:p>
        </w:tc>
        <w:tc>
          <w:tcPr>
            <w:tcW w:w="60" w:type="dxa"/>
            <w:tcBorders/>
            <w:shd w:fill="CCEE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Canada</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North America</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115</w:t>
            </w:r>
          </w:p>
        </w:tc>
        <w:tc>
          <w:tcPr>
            <w:tcW w:w="60" w:type="dxa"/>
            <w:tcBorders/>
            <w:shd w:fill="CCEE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Europe, Middle East and Africa</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ind w:left="0" w:right="0" w:hanging="0"/>
              <w:rPr/>
            </w:pPr>
            <w:r>
              <w:rPr/>
              <w:t> </w:t>
            </w:r>
          </w:p>
        </w:tc>
        <w:tc>
          <w:tcPr>
            <w:tcW w:w="55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ind w:left="0" w:right="0" w:hanging="0"/>
              <w:rPr/>
            </w:pPr>
            <w:r>
              <w:rPr/>
              <w:t> </w:t>
            </w:r>
          </w:p>
        </w:tc>
        <w:tc>
          <w:tcPr>
            <w:tcW w:w="348"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shd w:fill="FFFFFF" w:val="clear"/>
            <w:vAlign w:val="center"/>
          </w:tcPr>
          <w:p>
            <w:pPr>
              <w:pStyle w:val="TableContents"/>
              <w:spacing w:before="0" w:after="283"/>
              <w:ind w:left="0" w:right="0" w:hanging="0"/>
              <w:rPr/>
            </w:pPr>
            <w:r>
              <w:rPr/>
              <w:t> </w:t>
            </w:r>
          </w:p>
        </w:tc>
        <w:tc>
          <w:tcPr>
            <w:tcW w:w="510" w:type="dxa"/>
            <w:tcBorders/>
            <w:shd w:fill="FFFFFF" w:val="cle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107</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Asia Pacific</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ind w:left="0" w:right="0" w:hanging="0"/>
              <w:rPr/>
            </w:pPr>
            <w:r>
              <w:rPr/>
              <w:t> </w:t>
            </w:r>
          </w:p>
        </w:tc>
        <w:tc>
          <w:tcPr>
            <w:tcW w:w="55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ind w:left="0" w:right="0" w:hanging="0"/>
              <w:rPr/>
            </w:pPr>
            <w:r>
              <w:rPr/>
              <w:t> </w:t>
            </w:r>
          </w:p>
        </w:tc>
        <w:tc>
          <w:tcPr>
            <w:tcW w:w="348"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4" w:type="dxa"/>
            <w:tcBorders/>
            <w:shd w:fill="CCEEFF" w:val="clear"/>
            <w:vAlign w:val="center"/>
          </w:tcPr>
          <w:p>
            <w:pPr>
              <w:pStyle w:val="TableContents"/>
              <w:spacing w:before="0" w:after="283"/>
              <w:ind w:left="0" w:right="0" w:hanging="0"/>
              <w:rPr/>
            </w:pPr>
            <w:r>
              <w:rPr/>
              <w:t> </w:t>
            </w:r>
          </w:p>
        </w:tc>
        <w:tc>
          <w:tcPr>
            <w:tcW w:w="510" w:type="dxa"/>
            <w:tcBorders/>
            <w:shd w:fill="CCEEFF" w:val="cle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59</w:t>
            </w:r>
          </w:p>
        </w:tc>
        <w:tc>
          <w:tcPr>
            <w:tcW w:w="60" w:type="dxa"/>
            <w:tcBorders/>
            <w:shd w:fill="CCEEFF" w:val="clear"/>
            <w:vAlign w:val="center"/>
          </w:tcPr>
          <w:p>
            <w:pPr>
              <w:pStyle w:val="TableContents"/>
              <w:spacing w:before="0" w:after="283"/>
              <w:rPr/>
            </w:pPr>
            <w:r>
              <w:rPr/>
              <w:t> </w:t>
            </w:r>
          </w:p>
        </w:tc>
      </w:tr>
      <w:tr>
        <w:trPr/>
        <w:tc>
          <w:tcPr>
            <w:tcW w:w="24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Latin America</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6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60" w:type="dxa"/>
            <w:tcBorders/>
            <w:shd w:fill="FFFFFF"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64"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4"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tbl>
      <w:tblPr>
        <w:tblW w:w="5485" w:type="dxa"/>
        <w:jc w:val="left"/>
        <w:tblInd w:w="0" w:type="dxa"/>
        <w:tblCellMar>
          <w:top w:w="0" w:type="dxa"/>
          <w:left w:w="0" w:type="dxa"/>
          <w:bottom w:w="0" w:type="dxa"/>
          <w:right w:w="0" w:type="dxa"/>
        </w:tblCellMar>
      </w:tblPr>
      <w:tblGrid>
        <w:gridCol w:w="75"/>
        <w:gridCol w:w="245"/>
        <w:gridCol w:w="516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lineRule="auto" w:line="288" w:before="0" w:after="0"/>
              <w:ind w:left="0" w:right="0" w:hanging="0"/>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516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Sales are reported in the geographic area in which they originate.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Contract Balances</w:t>
      </w:r>
    </w:p>
    <w:p>
      <w:pPr>
        <w:pStyle w:val="TextBody"/>
        <w:spacing w:before="0" w:after="0"/>
        <w:ind w:left="0" w:right="0" w:hanging="0"/>
        <w:rPr/>
      </w:pPr>
      <w:r>
        <w:rPr>
          <w:rFonts w:ascii="Calibri;Arial;sans-serif" w:hAnsi="Calibri;Arial;sans-serif"/>
          <w:caps w:val="false"/>
          <w:smallCaps w:val="false"/>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$1 million and is reported in Other current assets in the Consolidated Statement of Financial Position. The contract liabilities primarily relate to prepaid service contracts, upfront payments for certain equipment purchases or prepaid royalties on intellectual property arrangements. The amount recorded for contract liabilities in the Consolidated Statement of Financial Position at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$51 million, of which $40 million was reported in Other current liabilities and $11 million was reported in Other long-term liabilities.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Revenue recognized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that was included in the contract liability balance at the beginning of the year was $21 million and $20 million, respectively, and primarily represented revenue from prepaid service contracts and equipment revenue recognition. Contract liabilities as of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included $21 million and $24 million of cash payments received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respectively.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disclose the value of unsatisfied performance obligations for contracts with an original expected length of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or less or for which revenue is recognized at the amount to which Kodak has the right to invoice for services performed. Performance obligations with an original expected length of greater than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year generally consist of deferred service contracts, operating leases and licensing arrangements.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there was approximately $50 million of unrecognized revenue from unsatisfied performance obligations. Approximately 30% of the revenue from unsatisfied performance obligations is expected to be recognized in the remainder of 2023, 25% in 2024, 15% in 2025 and 30% thereafter.</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9:</w:t>
      </w:r>
      <w:r>
        <w:rPr>
          <w:rFonts w:ascii="Calibri;Arial;sans-serif" w:hAnsi="Calibri;Arial;sans-serif"/>
          <w:b/>
          <w:caps w:val="false"/>
          <w:smallCaps w:val="false"/>
          <w:sz w:val="20"/>
        </w:rPr>
        <w:t xml:space="preserve"> OTHER (INCOME) CHARGES</w:t>
      </w:r>
    </w:p>
    <w:p>
      <w:pPr>
        <w:pStyle w:val="TextBody"/>
        <w:spacing w:before="0" w:after="0"/>
        <w:ind w:left="0" w:right="0" w:hanging="0"/>
        <w:rPr>
          <w:caps w:val="false"/>
          <w:smallCaps w:val="false"/>
        </w:rPr>
      </w:pPr>
      <w:r>
        <w:rPr>
          <w:caps w:val="false"/>
          <w:smallCaps w:val="false"/>
        </w:rPr>
        <w:t> </w:t>
      </w:r>
    </w:p>
    <w:tbl>
      <w:tblPr>
        <w:tblW w:w="7823" w:type="dxa"/>
        <w:jc w:val="left"/>
        <w:tblInd w:w="0" w:type="dxa"/>
        <w:tblCellMar>
          <w:top w:w="0" w:type="dxa"/>
          <w:left w:w="0" w:type="dxa"/>
          <w:bottom w:w="0" w:type="dxa"/>
          <w:right w:w="0" w:type="dxa"/>
        </w:tblCellMar>
      </w:tblPr>
      <w:tblGrid>
        <w:gridCol w:w="6005"/>
        <w:gridCol w:w="60"/>
        <w:gridCol w:w="252"/>
        <w:gridCol w:w="373"/>
        <w:gridCol w:w="161"/>
        <w:gridCol w:w="121"/>
        <w:gridCol w:w="252"/>
        <w:gridCol w:w="524"/>
        <w:gridCol w:w="75"/>
      </w:tblGrid>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3"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75" w:type="dxa"/>
            <w:tcBorders/>
            <w:shd w:fill="FFFF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61" w:type="dxa"/>
            <w:tcBorders/>
            <w:shd w:fill="FFFFFF" w:val="clear"/>
            <w:vAlign w:val="center"/>
          </w:tcPr>
          <w:p>
            <w:pPr>
              <w:pStyle w:val="TableContents"/>
              <w:spacing w:before="0" w:after="283"/>
              <w:rPr/>
            </w:pPr>
            <w:r>
              <w:rPr/>
              <w:t> </w:t>
            </w:r>
          </w:p>
        </w:tc>
        <w:tc>
          <w:tcPr>
            <w:tcW w:w="121" w:type="dxa"/>
            <w:tcBorders/>
            <w:shd w:fill="FFFFFF" w:val="clear"/>
            <w:vAlign w:val="center"/>
          </w:tcPr>
          <w:p>
            <w:pPr>
              <w:pStyle w:val="TableContents"/>
              <w:spacing w:before="0" w:after="283"/>
              <w:ind w:left="0" w:right="0" w:hanging="0"/>
              <w:rPr/>
            </w:pPr>
            <w:r>
              <w:rPr/>
              <w:t> </w:t>
            </w:r>
          </w:p>
        </w:tc>
        <w:tc>
          <w:tcPr>
            <w:tcW w:w="77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lineRule="auto" w:line="288"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Change in fair value of embedded conversion features derivative liability (1)</w:t>
            </w:r>
          </w:p>
        </w:tc>
        <w:tc>
          <w:tcPr>
            <w:tcW w:w="60"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7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6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ind w:left="0" w:right="0" w:hanging="0"/>
              <w:rPr/>
            </w:pPr>
            <w:r>
              <w:rPr/>
              <w:t> </w:t>
            </w:r>
          </w:p>
        </w:tc>
        <w:tc>
          <w:tcPr>
            <w:tcW w:w="25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24"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CCEEFF" w:val="clear"/>
            <w:vAlign w:val="center"/>
          </w:tcPr>
          <w:p>
            <w:pPr>
              <w:pStyle w:val="TableContents"/>
              <w:spacing w:before="0" w:after="283"/>
              <w:rPr/>
            </w:pPr>
            <w:r>
              <w:rPr/>
              <w:t> </w:t>
            </w:r>
          </w:p>
        </w:tc>
      </w:tr>
      <w:tr>
        <w:trPr/>
        <w:tc>
          <w:tcPr>
            <w:tcW w:w="6005" w:type="dxa"/>
            <w:tcBorders/>
            <w:shd w:fill="FFFF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(2)</w:t>
            </w:r>
          </w:p>
        </w:tc>
        <w:tc>
          <w:tcPr>
            <w:tcW w:w="60" w:type="dxa"/>
            <w:tcBorders/>
            <w:shd w:fill="FFFFFF" w:val="clear"/>
            <w:vAlign w:val="center"/>
          </w:tcPr>
          <w:p>
            <w:pPr>
              <w:pStyle w:val="TableContents"/>
              <w:spacing w:before="0" w:after="283"/>
              <w:ind w:left="0" w:right="0" w:hanging="0"/>
              <w:rPr/>
            </w:pPr>
            <w:r>
              <w:rPr/>
              <w:t> </w:t>
            </w:r>
          </w:p>
        </w:tc>
        <w:tc>
          <w:tcPr>
            <w:tcW w:w="2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7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61"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21" w:type="dxa"/>
            <w:tcBorders/>
            <w:shd w:fill="FFFFFF" w:val="clear"/>
            <w:vAlign w:val="center"/>
          </w:tcPr>
          <w:p>
            <w:pPr>
              <w:pStyle w:val="TableContents"/>
              <w:spacing w:before="0" w:after="283"/>
              <w:ind w:left="0" w:right="0" w:hanging="0"/>
              <w:rPr/>
            </w:pPr>
            <w:r>
              <w:rPr/>
              <w:t> </w:t>
            </w:r>
          </w:p>
        </w:tc>
        <w:tc>
          <w:tcPr>
            <w:tcW w:w="2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24"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75" w:type="dxa"/>
            <w:tcBorders/>
            <w:shd w:fill="FFFFFF" w:val="clear"/>
            <w:vAlign w:val="center"/>
          </w:tcPr>
          <w:p>
            <w:pPr>
              <w:pStyle w:val="TableContents"/>
              <w:spacing w:before="0" w:after="283"/>
              <w:ind w:left="0" w:right="0" w:hanging="0"/>
              <w:rPr/>
            </w:pPr>
            <w:r>
              <w:rPr/>
              <w:t> </w:t>
            </w:r>
          </w:p>
        </w:tc>
      </w:tr>
      <w:tr>
        <w:trPr/>
        <w:tc>
          <w:tcPr>
            <w:tcW w:w="6005"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Total</w:t>
            </w:r>
          </w:p>
        </w:tc>
        <w:tc>
          <w:tcPr>
            <w:tcW w:w="60" w:type="dxa"/>
            <w:tcBorders/>
            <w:shd w:fill="CCEEFF" w:val="clear"/>
            <w:vAlign w:val="center"/>
          </w:tcPr>
          <w:p>
            <w:pPr>
              <w:pStyle w:val="TableContents"/>
              <w:spacing w:before="0" w:after="0"/>
              <w:ind w:left="0" w:right="0" w:hanging="0"/>
              <w:rPr/>
            </w:pPr>
            <w:r>
              <w:rPr/>
              <w:t> </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37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(7</w:t>
            </w:r>
          </w:p>
        </w:tc>
        <w:tc>
          <w:tcPr>
            <w:tcW w:w="161"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121" w:type="dxa"/>
            <w:tcBorders/>
            <w:shd w:fill="CCEEFF" w:val="clear"/>
            <w:vAlign w:val="center"/>
          </w:tcPr>
          <w:p>
            <w:pPr>
              <w:pStyle w:val="TableContents"/>
              <w:spacing w:before="0" w:after="0"/>
              <w:ind w:left="0" w:right="0" w:hanging="0"/>
              <w:rPr/>
            </w:pPr>
            <w:r>
              <w:rPr/>
              <w:t> </w:t>
            </w:r>
          </w:p>
        </w:tc>
        <w:tc>
          <w:tcPr>
            <w:tcW w:w="252" w:type="dxa"/>
            <w:tcBorders>
              <w:bottom w:val="double" w:sz="6" w:space="0" w:color="000000"/>
            </w:tcBorders>
            <w:shd w:fill="CCEEFF" w:val="clear"/>
            <w:tcMar>
              <w:bottom w:w="28" w:type="dxa"/>
            </w:tcM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5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CCEEFF" w:val="clear"/>
            <w:vAlign w:val="center"/>
          </w:tcPr>
          <w:p>
            <w:pPr>
              <w:pStyle w:val="TableContents"/>
              <w:spacing w:before="0" w:after="0"/>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lineRule="auto" w:line="288" w:before="0" w:after="0"/>
              <w:ind w:left="0" w:right="0" w:hanging="0"/>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w:t>
            </w:r>
          </w:p>
        </w:tc>
        <w:tc>
          <w:tcPr>
            <w:tcW w:w="10002" w:type="dxa"/>
            <w:tcBorders/>
            <w:shd w:fill="auto" w:val="clear"/>
            <w:vAlign w:val="center"/>
          </w:tcPr>
          <w:p>
            <w:pPr>
              <w:pStyle w:val="TableContents"/>
              <w:spacing w:before="0" w:after="283"/>
              <w:rPr/>
            </w:pPr>
            <w:r>
              <w:rPr>
                <w:rFonts w:ascii="Calibri;Arial;sans-serif" w:hAnsi="Calibri;Arial;sans-serif"/>
                <w:sz w:val="20"/>
              </w:rPr>
              <w:t xml:space="preserve">Refer to Note </w:t>
            </w:r>
            <w:r>
              <w:rPr>
                <w:rStyle w:val="Emphasis"/>
                <w:rFonts w:ascii="Calibri;Arial;sans-serif" w:hAnsi="Calibri;Arial;sans-serif"/>
                <w:sz w:val="20"/>
              </w:rPr>
              <w:t>17,</w:t>
            </w:r>
            <w:r>
              <w:rPr>
                <w:rFonts w:ascii="Calibri;Arial;sans-serif" w:hAnsi="Calibri;Arial;sans-serif"/>
                <w:sz w:val="20"/>
              </w:rPr>
              <w:t xml:space="preserve"> "Financial Instruments". </w:t>
            </w:r>
          </w:p>
        </w:tc>
      </w:tr>
      <w:tr>
        <w:trPr/>
        <w:tc>
          <w:tcPr>
            <w:tcW w:w="203" w:type="dxa"/>
            <w:tcBorders/>
            <w:shd w:fill="auto" w:val="clear"/>
            <w:vAlign w:val="center"/>
          </w:tcPr>
          <w:p>
            <w:pPr>
              <w:pStyle w:val="TableContents"/>
              <w:spacing w:lineRule="auto" w:line="288" w:before="0" w:after="0"/>
              <w:ind w:left="0" w:right="0" w:hanging="0"/>
              <w:rPr/>
            </w:pPr>
            <w:r>
              <w:rPr>
                <w:rFonts w:ascii="Calibri;Arial;sans-serif" w:hAnsi="Calibri;Arial;sans-serif"/>
                <w:caps w:val="false"/>
                <w:smallCaps w:val="false"/>
                <w:sz w:val="20"/>
              </w:rPr>
              <w:t>(</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w:t>
            </w:r>
          </w:p>
        </w:tc>
        <w:tc>
          <w:tcPr>
            <w:tcW w:w="10002" w:type="dxa"/>
            <w:tcBorders/>
            <w:shd w:fill="auto" w:val="clear"/>
            <w:vAlign w:val="center"/>
          </w:tcPr>
          <w:p>
            <w:pPr>
              <w:pStyle w:val="TableContents"/>
              <w:spacing w:before="0" w:after="0"/>
              <w:ind w:left="0" w:right="0" w:hanging="0"/>
              <w:rPr/>
            </w:pPr>
            <w:r>
              <w:rPr>
                <w:rFonts w:ascii="Calibri;Arial;sans-serif" w:hAnsi="Calibri;Arial;sans-serif"/>
                <w:caps w:val="false"/>
                <w:smallCaps w:val="false"/>
                <w:sz w:val="20"/>
              </w:rPr>
              <w:t xml:space="preserve">Interest income associated with a refund received in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from a governmental authority in a location outside the U.S that was previously held in order to guarantee potential tax disputes in that jurisdiction.</w:t>
            </w:r>
          </w:p>
        </w:tc>
      </w:tr>
    </w:tbl>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10:</w:t>
      </w:r>
      <w:r>
        <w:rPr>
          <w:rFonts w:ascii="Calibri;Arial;sans-serif" w:hAnsi="Calibri;Arial;sans-serif"/>
          <w:b/>
          <w:caps w:val="false"/>
          <w:smallCaps w:val="false"/>
          <w:sz w:val="20"/>
        </w:rPr>
        <w:t xml:space="preserve">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income tax provision and effective tax rate were as follows:</w:t>
      </w:r>
    </w:p>
    <w:p>
      <w:pPr>
        <w:pStyle w:val="TextBody"/>
        <w:spacing w:before="0" w:after="0"/>
        <w:ind w:left="0" w:right="0" w:hanging="0"/>
        <w:rPr>
          <w:caps w:val="false"/>
          <w:smallCaps w:val="false"/>
        </w:rPr>
      </w:pPr>
      <w:r>
        <w:rPr>
          <w:caps w:val="false"/>
          <w:smallCaps w:val="false"/>
        </w:rPr>
        <w:t> </w:t>
      </w:r>
    </w:p>
    <w:tbl>
      <w:tblPr>
        <w:tblW w:w="6116" w:type="dxa"/>
        <w:jc w:val="left"/>
        <w:tblInd w:w="0" w:type="dxa"/>
        <w:tblCellMar>
          <w:top w:w="0" w:type="dxa"/>
          <w:left w:w="0" w:type="dxa"/>
          <w:bottom w:w="0" w:type="dxa"/>
          <w:right w:w="0" w:type="dxa"/>
        </w:tblCellMar>
      </w:tblPr>
      <w:tblGrid>
        <w:gridCol w:w="4145"/>
        <w:gridCol w:w="60"/>
        <w:gridCol w:w="151"/>
        <w:gridCol w:w="460"/>
        <w:gridCol w:w="187"/>
        <w:gridCol w:w="72"/>
        <w:gridCol w:w="151"/>
        <w:gridCol w:w="660"/>
        <w:gridCol w:w="230"/>
      </w:tblGrid>
      <w:tr>
        <w:trPr/>
        <w:tc>
          <w:tcPr>
            <w:tcW w:w="4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1"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230" w:type="dxa"/>
            <w:tcBorders/>
            <w:shd w:fill="FFFFFF" w:val="clear"/>
            <w:vAlign w:val="center"/>
          </w:tcPr>
          <w:p>
            <w:pPr>
              <w:pStyle w:val="TableContents"/>
              <w:spacing w:before="0" w:after="283"/>
              <w:rPr/>
            </w:pPr>
            <w:r>
              <w:rPr/>
              <w:t> </w:t>
            </w:r>
          </w:p>
        </w:tc>
      </w:tr>
      <w:tr>
        <w:trPr/>
        <w:tc>
          <w:tcPr>
            <w:tcW w:w="41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230" w:type="dxa"/>
            <w:tcBorders/>
            <w:shd w:fill="FFFFFF" w:val="clear"/>
            <w:vAlign w:val="center"/>
          </w:tcPr>
          <w:p>
            <w:pPr>
              <w:pStyle w:val="TableContents"/>
              <w:spacing w:before="0" w:after="283"/>
              <w:rPr/>
            </w:pPr>
            <w:r>
              <w:rPr/>
              <w:t> </w:t>
            </w:r>
          </w:p>
        </w:tc>
      </w:tr>
      <w:tr>
        <w:trPr/>
        <w:tc>
          <w:tcPr>
            <w:tcW w:w="41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1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87"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81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230" w:type="dxa"/>
            <w:tcBorders/>
            <w:shd w:fill="FFFFFF"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Earnings (loss) from operations before income taxes</w:t>
            </w:r>
          </w:p>
        </w:tc>
        <w:tc>
          <w:tcPr>
            <w:tcW w:w="60"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6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87"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6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23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1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Effective tax rate</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19.5</w:t>
            </w:r>
          </w:p>
        </w:tc>
        <w:tc>
          <w:tcPr>
            <w:tcW w:w="18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72"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(200.0</w:t>
            </w:r>
          </w:p>
        </w:tc>
        <w:tc>
          <w:tcPr>
            <w:tcW w:w="23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1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ind w:left="0" w:right="0" w:hanging="0"/>
              <w:rPr/>
            </w:pPr>
            <w:r>
              <w:rPr/>
              <w:t> </w:t>
            </w:r>
          </w:p>
        </w:tc>
        <w:tc>
          <w:tcPr>
            <w:tcW w:w="46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87"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ind w:left="0" w:right="0" w:hanging="0"/>
              <w:rPr/>
            </w:pPr>
            <w:r>
              <w:rPr/>
              <w:t> </w:t>
            </w:r>
          </w:p>
        </w:tc>
        <w:tc>
          <w:tcPr>
            <w:tcW w:w="66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30" w:type="dxa"/>
            <w:tcBorders/>
            <w:shd w:fill="CCEEFF" w:val="clear"/>
            <w:vAlign w:val="center"/>
          </w:tcPr>
          <w:p>
            <w:pPr>
              <w:pStyle w:val="TableContents"/>
              <w:spacing w:before="0" w:after="283"/>
              <w:rPr/>
            </w:pPr>
            <w:r>
              <w:rPr/>
              <w:t> </w:t>
            </w:r>
          </w:p>
        </w:tc>
      </w:tr>
      <w:tr>
        <w:trPr/>
        <w:tc>
          <w:tcPr>
            <w:tcW w:w="41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 at U.S. statutory tax rate</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87"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230" w:type="dxa"/>
            <w:tcBorders/>
            <w:shd w:fill="FFFFFF"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Difference between tax at effective vs. statutory rate</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8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23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provision associated with foreign withholding taxes on undistributed earnings.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2022</w:t>
      </w:r>
      <w:r>
        <w:rPr>
          <w:rFonts w:ascii="Calibri;Arial;sans-serif" w:hAnsi="Calibri;Arial;sans-serif"/>
          <w:caps w:val="false"/>
          <w:smallCaps w:val="false"/>
          <w:sz w:val="20"/>
        </w:rPr>
        <w:t>, the difference between Kodak’s effective tax rate and the U.S. statutory rate of 21.0% is primarily attributable to: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impact related to existing valuation allowances associated with changes in net deferred tax assets from current earnings and losses,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results from operations in jurisdictions outside the U.S.,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a benefit associated with foreign withholding taxes on undistributed earnings and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a settlement with a taxing authority in a location outside the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During the quarter ended </w:t>
      </w:r>
      <w:r>
        <w:rPr>
          <w:rStyle w:val="Emphasis"/>
          <w:rFonts w:ascii="Calibri;Arial;sans-serif" w:hAnsi="Calibri;Arial;sans-serif"/>
          <w:caps w:val="false"/>
          <w:smallCaps w:val="false"/>
          <w:sz w:val="20"/>
        </w:rPr>
        <w:t xml:space="preserve">March 31, 2022, </w:t>
      </w:r>
      <w:r>
        <w:rPr>
          <w:rFonts w:ascii="Calibri;Arial;sans-serif" w:hAnsi="Calibri;Arial;sans-serif"/>
          <w:caps w:val="false"/>
          <w:smallCaps w:val="false"/>
          <w:sz w:val="20"/>
        </w:rPr>
        <w:t xml:space="preserve">Kodak agreed to terms with a taxing authority outside the U.S. and settled open tax audits for years 2015 through </w:t>
      </w:r>
      <w:r>
        <w:rPr>
          <w:rStyle w:val="Emphasis"/>
          <w:rFonts w:ascii="Calibri;Arial;sans-serif" w:hAnsi="Calibri;Arial;sans-serif"/>
          <w:caps w:val="false"/>
          <w:smallCaps w:val="false"/>
          <w:sz w:val="20"/>
        </w:rPr>
        <w:t>2018.</w:t>
      </w:r>
      <w:r>
        <w:rPr>
          <w:rFonts w:ascii="Calibri;Arial;sans-serif" w:hAnsi="Calibri;Arial;sans-serif"/>
          <w:caps w:val="false"/>
          <w:smallCaps w:val="false"/>
          <w:sz w:val="20"/>
        </w:rPr>
        <w:t xml:space="preserve"> This settlement included a cash payment of $2 million which is reflected in the provision for taxes in the prior year-to-date period, and a decrease in net deferred tax assets of $3 million which was fully offset by a corresponding change in the valuation allowance.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11:</w:t>
      </w:r>
      <w:r>
        <w:rPr>
          <w:rFonts w:ascii="Calibri;Arial;sans-serif" w:hAnsi="Calibri;Arial;sans-serif"/>
          <w:b/>
          <w:caps w:val="false"/>
          <w:smallCaps w:val="false"/>
          <w:sz w:val="20"/>
        </w:rPr>
        <w:t xml:space="preserve"> RETIREMENT PLANS AND OTHER POSTRETIREMENT BENEFITS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Components of the net periodic benefit cost for all major U.S. and non-U.S. defined benefit plans are as follows:</w:t>
      </w:r>
    </w:p>
    <w:p>
      <w:pPr>
        <w:pStyle w:val="TextBody"/>
        <w:spacing w:before="0" w:after="0"/>
        <w:ind w:left="0" w:right="0" w:hanging="0"/>
        <w:rPr>
          <w:caps w:val="false"/>
          <w:smallCaps w:val="false"/>
        </w:rPr>
      </w:pPr>
      <w:r>
        <w:rPr>
          <w:caps w:val="false"/>
          <w:smallCaps w:val="false"/>
        </w:rPr>
        <w:t> </w:t>
      </w:r>
    </w:p>
    <w:tbl>
      <w:tblPr>
        <w:tblW w:w="5680" w:type="dxa"/>
        <w:jc w:val="left"/>
        <w:tblInd w:w="0" w:type="dxa"/>
        <w:tblCellMar>
          <w:top w:w="0" w:type="dxa"/>
          <w:left w:w="0" w:type="dxa"/>
          <w:bottom w:w="0" w:type="dxa"/>
          <w:right w:w="0" w:type="dxa"/>
        </w:tblCellMar>
      </w:tblPr>
      <w:tblGrid>
        <w:gridCol w:w="2825"/>
        <w:gridCol w:w="60"/>
        <w:gridCol w:w="125"/>
        <w:gridCol w:w="290"/>
        <w:gridCol w:w="80"/>
        <w:gridCol w:w="60"/>
        <w:gridCol w:w="235"/>
        <w:gridCol w:w="490"/>
        <w:gridCol w:w="80"/>
        <w:gridCol w:w="60"/>
        <w:gridCol w:w="125"/>
        <w:gridCol w:w="290"/>
        <w:gridCol w:w="80"/>
        <w:gridCol w:w="60"/>
        <w:gridCol w:w="235"/>
        <w:gridCol w:w="490"/>
        <w:gridCol w:w="95"/>
      </w:tblGrid>
      <w:tr>
        <w:trPr/>
        <w:tc>
          <w:tcPr>
            <w:tcW w:w="2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0" w:type="dxa"/>
            <w:gridSpan w:val="14"/>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95" w:type="dxa"/>
            <w:tcBorders/>
            <w:shd w:fill="FFFF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00"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95" w:type="dxa"/>
            <w:tcBorders/>
            <w:shd w:fill="FFFF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8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4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Non-U.S.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U.S.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Non-U.S.</w:t>
            </w:r>
          </w:p>
        </w:tc>
        <w:tc>
          <w:tcPr>
            <w:tcW w:w="95" w:type="dxa"/>
            <w:tcBorders/>
            <w:shd w:fill="FFFFFF" w:val="clear"/>
            <w:vAlign w:val="center"/>
          </w:tcPr>
          <w:p>
            <w:pPr>
              <w:pStyle w:val="TableContents"/>
              <w:spacing w:before="0" w:after="283"/>
              <w:rPr/>
            </w:pPr>
            <w:r>
              <w:rPr/>
              <w:t> </w:t>
            </w:r>
          </w:p>
        </w:tc>
      </w:tr>
      <w:tr>
        <w:trPr/>
        <w:tc>
          <w:tcPr>
            <w:tcW w:w="2825" w:type="dxa"/>
            <w:tcBorders/>
            <w:shd w:fill="CCEEFF"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Major defined benefit plans: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4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49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Service cost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5"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spacing w:before="0" w:after="283"/>
              <w:rPr/>
            </w:pPr>
            <w:r>
              <w:rPr/>
              <w:t> </w:t>
            </w:r>
          </w:p>
        </w:tc>
      </w:tr>
      <w:tr>
        <w:trPr/>
        <w:tc>
          <w:tcPr>
            <w:tcW w:w="28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Interest cost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2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ind w:left="0" w:right="0" w:hanging="0"/>
              <w:rPr/>
            </w:pPr>
            <w:r>
              <w:rPr/>
              <w:t> </w:t>
            </w:r>
          </w:p>
        </w:tc>
        <w:tc>
          <w:tcPr>
            <w:tcW w:w="4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2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ind w:left="0" w:right="0" w:hanging="0"/>
              <w:rPr/>
            </w:pPr>
            <w:r>
              <w:rPr/>
              <w:t> </w:t>
            </w:r>
          </w:p>
        </w:tc>
        <w:tc>
          <w:tcPr>
            <w:tcW w:w="4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Expected return on plan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(64</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ind w:left="0" w:right="0" w:hanging="0"/>
              <w:rPr/>
            </w:pPr>
            <w:r>
              <w:rPr/>
              <w:t> </w:t>
            </w:r>
          </w:p>
        </w:tc>
        <w:tc>
          <w:tcPr>
            <w:tcW w:w="4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(44</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ind w:left="0" w:right="0" w:hanging="0"/>
              <w:rPr/>
            </w:pPr>
            <w:r>
              <w:rPr/>
              <w:t> </w:t>
            </w:r>
          </w:p>
        </w:tc>
        <w:tc>
          <w:tcPr>
            <w:tcW w:w="4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28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Amortization of:</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4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49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Prior service cost (credit)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ind w:left="0" w:right="0" w:hanging="0"/>
              <w:rPr/>
            </w:pPr>
            <w:r>
              <w:rPr/>
              <w:t> </w:t>
            </w:r>
          </w:p>
        </w:tc>
        <w:tc>
          <w:tcPr>
            <w:tcW w:w="490"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ind w:left="0" w:right="0" w:hanging="0"/>
              <w:rPr/>
            </w:pPr>
            <w:r>
              <w:rPr/>
              <w:t> </w:t>
            </w:r>
          </w:p>
        </w:tc>
        <w:tc>
          <w:tcPr>
            <w:tcW w:w="490" w:type="dxa"/>
            <w:tcBorders/>
            <w:shd w:fill="FFFFFF" w:val="clear"/>
            <w:vAlign w:val="center"/>
          </w:tcPr>
          <w:p>
            <w:pPr>
              <w:pStyle w:val="TableContents"/>
              <w:spacing w:before="0" w:after="283"/>
              <w:ind w:left="0" w:right="0" w:hanging="0"/>
              <w:jc w:val="right"/>
              <w:rPr/>
            </w:pPr>
            <w:r>
              <w:rPr/>
              <w:t>—</w:t>
            </w:r>
          </w:p>
        </w:tc>
        <w:tc>
          <w:tcPr>
            <w:tcW w:w="95" w:type="dxa"/>
            <w:tcBorders/>
            <w:shd w:fill="FFFFFF" w:val="clear"/>
            <w:vAlign w:val="center"/>
          </w:tcPr>
          <w:p>
            <w:pPr>
              <w:pStyle w:val="TableContents"/>
              <w:spacing w:before="0" w:after="283"/>
              <w:rPr/>
            </w:pPr>
            <w:r>
              <w:rPr/>
              <w:t> </w:t>
            </w:r>
          </w:p>
        </w:tc>
      </w:tr>
      <w:tr>
        <w:trPr/>
        <w:tc>
          <w:tcPr>
            <w:tcW w:w="282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Actuarial (gain) loss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spacing w:before="0" w:after="283"/>
              <w:rPr/>
            </w:pPr>
            <w:r>
              <w:rPr/>
              <w:t> </w:t>
            </w:r>
          </w:p>
        </w:tc>
      </w:tr>
      <w:tr>
        <w:trPr/>
        <w:tc>
          <w:tcPr>
            <w:tcW w:w="28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net pension (income) expense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(37</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23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(28</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23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12:</w:t>
      </w:r>
      <w:r>
        <w:rPr>
          <w:rFonts w:ascii="Calibri;Arial;sans-serif" w:hAnsi="Calibri;Arial;sans-serif"/>
          <w:b/>
          <w:caps w:val="false"/>
          <w:smallCaps w:val="false"/>
          <w:sz w:val="20"/>
        </w:rPr>
        <w:t xml:space="preserve"> EARNINGS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 reconciliation of the amounts used to calculate basic and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 xml:space="preserve"> follows:</w:t>
      </w:r>
    </w:p>
    <w:p>
      <w:pPr>
        <w:pStyle w:val="TextBody"/>
        <w:spacing w:before="0" w:after="0"/>
        <w:ind w:left="0" w:right="0" w:hanging="0"/>
        <w:rPr>
          <w:caps w:val="false"/>
          <w:smallCaps w:val="false"/>
        </w:rPr>
      </w:pPr>
      <w:r>
        <w:rPr>
          <w:caps w:val="false"/>
          <w:smallCaps w:val="false"/>
        </w:rPr>
        <w:t> </w:t>
      </w:r>
    </w:p>
    <w:tbl>
      <w:tblPr>
        <w:tblW w:w="6792" w:type="dxa"/>
        <w:jc w:val="left"/>
        <w:tblInd w:w="0" w:type="dxa"/>
        <w:tblCellMar>
          <w:top w:w="0" w:type="dxa"/>
          <w:left w:w="0" w:type="dxa"/>
          <w:bottom w:w="0" w:type="dxa"/>
          <w:right w:w="0" w:type="dxa"/>
        </w:tblCellMar>
      </w:tblPr>
      <w:tblGrid>
        <w:gridCol w:w="4955"/>
        <w:gridCol w:w="60"/>
        <w:gridCol w:w="239"/>
        <w:gridCol w:w="440"/>
        <w:gridCol w:w="153"/>
        <w:gridCol w:w="114"/>
        <w:gridCol w:w="239"/>
        <w:gridCol w:w="497"/>
        <w:gridCol w:w="95"/>
      </w:tblGrid>
      <w:tr>
        <w:trPr/>
        <w:tc>
          <w:tcPr>
            <w:tcW w:w="49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95" w:type="dxa"/>
            <w:tcBorders/>
            <w:shd w:fill="FFFFFF" w:val="clear"/>
            <w:vAlign w:val="center"/>
          </w:tcPr>
          <w:p>
            <w:pPr>
              <w:pStyle w:val="TableContents"/>
              <w:spacing w:before="0" w:after="283"/>
              <w:rPr/>
            </w:pPr>
            <w:r>
              <w:rPr/>
              <w:t> </w:t>
            </w:r>
          </w:p>
        </w:tc>
      </w:tr>
      <w:tr>
        <w:trPr/>
        <w:tc>
          <w:tcPr>
            <w:tcW w:w="49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95" w:type="dxa"/>
            <w:tcBorders/>
            <w:shd w:fill="FFFFFF" w:val="clear"/>
            <w:vAlign w:val="center"/>
          </w:tcPr>
          <w:p>
            <w:pPr>
              <w:pStyle w:val="TableContents"/>
              <w:spacing w:before="0" w:after="283"/>
              <w:rPr/>
            </w:pPr>
            <w:r>
              <w:rPr/>
              <w:t> </w:t>
            </w:r>
          </w:p>
        </w:tc>
      </w:tr>
      <w:tr>
        <w:trPr/>
        <w:tc>
          <w:tcPr>
            <w:tcW w:w="49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73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spacing w:before="0" w:after="283"/>
              <w:rPr/>
            </w:pPr>
            <w:r>
              <w:rPr/>
              <w:t> </w:t>
            </w:r>
          </w:p>
        </w:tc>
      </w:tr>
      <w:tr>
        <w:trPr/>
        <w:tc>
          <w:tcPr>
            <w:tcW w:w="495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 (loss)</w:t>
            </w:r>
          </w:p>
        </w:tc>
        <w:tc>
          <w:tcPr>
            <w:tcW w:w="60" w:type="dxa"/>
            <w:tcBorders/>
            <w:shd w:fill="CCEEFF" w:val="clear"/>
            <w:vAlign w:val="center"/>
          </w:tcPr>
          <w:p>
            <w:pPr>
              <w:pStyle w:val="TableContents"/>
              <w:spacing w:before="0" w:after="283"/>
              <w:ind w:left="0" w:right="0" w:hanging="0"/>
              <w:rPr/>
            </w:pPr>
            <w:r>
              <w:rPr/>
              <w:t> </w:t>
            </w:r>
          </w:p>
        </w:tc>
        <w:tc>
          <w:tcPr>
            <w:tcW w:w="23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153"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ind w:left="0" w:right="0" w:hanging="0"/>
              <w:rPr/>
            </w:pPr>
            <w:r>
              <w:rPr/>
              <w:t> </w:t>
            </w:r>
          </w:p>
        </w:tc>
        <w:tc>
          <w:tcPr>
            <w:tcW w:w="23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9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Less: Series B Preferred stock cash dividends</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95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Less: Series C Preferred stock in-kind dividends</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ind w:left="0" w:right="0" w:hanging="0"/>
              <w:rPr/>
            </w:pPr>
            <w:r>
              <w:rPr/>
              <w:t> </w:t>
            </w:r>
          </w:p>
        </w:tc>
        <w:tc>
          <w:tcPr>
            <w:tcW w:w="49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9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Less: Preferred stock deemed dividends</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4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3"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ind w:left="0" w:right="0" w:hanging="0"/>
              <w:rPr/>
            </w:pPr>
            <w:r>
              <w:rPr/>
              <w:t> </w:t>
            </w:r>
          </w:p>
        </w:tc>
        <w:tc>
          <w:tcPr>
            <w:tcW w:w="497"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95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Less: Earnings attributable to Series C Preferred shareholders</w:t>
            </w:r>
          </w:p>
        </w:tc>
        <w:tc>
          <w:tcPr>
            <w:tcW w:w="60" w:type="dxa"/>
            <w:tcBorders/>
            <w:shd w:fill="CCEEFF" w:val="clear"/>
            <w:vAlign w:val="center"/>
          </w:tcPr>
          <w:p>
            <w:pPr>
              <w:pStyle w:val="TableContents"/>
              <w:spacing w:before="0" w:after="283"/>
              <w:rPr/>
            </w:pPr>
            <w:r>
              <w:rPr/>
              <w:t> </w:t>
            </w:r>
          </w:p>
        </w:tc>
        <w:tc>
          <w:tcPr>
            <w:tcW w:w="2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4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5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CCEEFF" w:val="clear"/>
            <w:vAlign w:val="center"/>
          </w:tcPr>
          <w:p>
            <w:pPr>
              <w:pStyle w:val="TableContents"/>
              <w:spacing w:before="0" w:after="283"/>
              <w:rPr/>
            </w:pPr>
            <w:r>
              <w:rPr/>
              <w:t> </w:t>
            </w:r>
          </w:p>
        </w:tc>
        <w:tc>
          <w:tcPr>
            <w:tcW w:w="2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97"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95" w:type="dxa"/>
            <w:tcBorders/>
            <w:shd w:fill="CCEEFF" w:val="clear"/>
            <w:vAlign w:val="center"/>
          </w:tcPr>
          <w:p>
            <w:pPr>
              <w:pStyle w:val="TableContents"/>
              <w:spacing w:before="0" w:after="283"/>
              <w:rPr/>
            </w:pPr>
            <w:r>
              <w:rPr/>
              <w:t> </w:t>
            </w:r>
          </w:p>
        </w:tc>
      </w:tr>
      <w:tr>
        <w:trPr/>
        <w:tc>
          <w:tcPr>
            <w:tcW w:w="49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 (loss) available to common shareholders - basic</w:t>
            </w:r>
          </w:p>
        </w:tc>
        <w:tc>
          <w:tcPr>
            <w:tcW w:w="60" w:type="dxa"/>
            <w:tcBorders/>
            <w:shd w:fill="FFFFFF" w:val="clear"/>
            <w:vAlign w:val="center"/>
          </w:tcPr>
          <w:p>
            <w:pPr>
              <w:pStyle w:val="TableContents"/>
              <w:spacing w:before="0" w:after="283"/>
              <w:ind w:left="0" w:right="0" w:hanging="0"/>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26</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9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r>
      <w:tr>
        <w:trPr/>
        <w:tc>
          <w:tcPr>
            <w:tcW w:w="4955" w:type="dxa"/>
            <w:tcBorders/>
            <w:shd w:fill="FFFF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Effect of dilutive securities:</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right"/>
              <w:rPr/>
            </w:pPr>
            <w:r>
              <w:rPr/>
              <w:t> </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rPr/>
            </w:pPr>
            <w:r>
              <w:rPr/>
              <w:t> </w:t>
            </w:r>
          </w:p>
        </w:tc>
        <w:tc>
          <w:tcPr>
            <w:tcW w:w="497"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r>
      <w:tr>
        <w:trPr/>
        <w:tc>
          <w:tcPr>
            <w:tcW w:w="4955" w:type="dxa"/>
            <w:tcBorders/>
            <w:shd w:fill="CCEEFF" w:val="clear"/>
            <w:vAlign w:val="center"/>
          </w:tcPr>
          <w:p>
            <w:pPr>
              <w:pStyle w:val="TableContents"/>
              <w:spacing w:before="0" w:after="0"/>
              <w:ind w:left="180" w:right="0" w:hanging="0"/>
              <w:rPr>
                <w:rFonts w:ascii="Calibri;Arial;sans-serif" w:hAnsi="Calibri;Arial;sans-serif"/>
                <w:sz w:val="20"/>
              </w:rPr>
            </w:pPr>
            <w:r>
              <w:rPr>
                <w:rFonts w:ascii="Calibri;Arial;sans-serif" w:hAnsi="Calibri;Arial;sans-serif"/>
                <w:sz w:val="20"/>
              </w:rPr>
              <w:t>Add back: Series B preferred stock cash and deemed dividends</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440"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1</w:t>
            </w:r>
          </w:p>
        </w:tc>
        <w:tc>
          <w:tcPr>
            <w:tcW w:w="153"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497"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rPr/>
            </w:pPr>
            <w:r>
              <w:rPr/>
              <w:t> </w:t>
            </w:r>
          </w:p>
        </w:tc>
      </w:tr>
      <w:tr>
        <w:trPr/>
        <w:tc>
          <w:tcPr>
            <w:tcW w:w="4955" w:type="dxa"/>
            <w:tcBorders/>
            <w:shd w:fill="FFFFFF" w:val="clear"/>
            <w:vAlign w:val="center"/>
          </w:tcPr>
          <w:p>
            <w:pPr>
              <w:pStyle w:val="TableContents"/>
              <w:spacing w:before="0" w:after="0"/>
              <w:ind w:left="180" w:right="0" w:hanging="0"/>
              <w:rPr>
                <w:rFonts w:ascii="Calibri;Arial;sans-serif" w:hAnsi="Calibri;Arial;sans-serif"/>
                <w:sz w:val="20"/>
              </w:rPr>
            </w:pPr>
            <w:r>
              <w:rPr>
                <w:rFonts w:ascii="Calibri;Arial;sans-serif" w:hAnsi="Calibri;Arial;sans-serif"/>
                <w:sz w:val="20"/>
              </w:rPr>
              <w:t>Add back: 2021 Convertible Notes interest expense</w:t>
            </w:r>
          </w:p>
        </w:tc>
        <w:tc>
          <w:tcPr>
            <w:tcW w:w="60" w:type="dxa"/>
            <w:tcBorders/>
            <w:shd w:fill="FFFFFF" w:val="clear"/>
            <w:vAlign w:val="center"/>
          </w:tcPr>
          <w:p>
            <w:pPr>
              <w:pStyle w:val="TableContents"/>
              <w:spacing w:before="0" w:after="283"/>
              <w:ind w:left="0" w:right="0" w:hanging="0"/>
              <w:rPr/>
            </w:pPr>
            <w:r>
              <w:rPr/>
              <w:t> </w:t>
            </w:r>
          </w:p>
        </w:tc>
        <w:tc>
          <w:tcPr>
            <w:tcW w:w="2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40" w:type="dxa"/>
            <w:tcBorders>
              <w:bottom w:val="single" w:sz="2" w:space="0" w:color="000000"/>
            </w:tcBorders>
            <w:shd w:fill="FFFF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1</w:t>
            </w:r>
          </w:p>
        </w:tc>
        <w:tc>
          <w:tcPr>
            <w:tcW w:w="153"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2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97" w:type="dxa"/>
            <w:tcBorders>
              <w:bottom w:val="single" w:sz="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rPr/>
            </w:pPr>
            <w:r>
              <w:rPr/>
              <w:t> </w:t>
            </w:r>
          </w:p>
        </w:tc>
      </w:tr>
      <w:tr>
        <w:trPr/>
        <w:tc>
          <w:tcPr>
            <w:tcW w:w="4955"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Net earnings (loss) available to common shareholders - diluted</w:t>
            </w:r>
          </w:p>
        </w:tc>
        <w:tc>
          <w:tcPr>
            <w:tcW w:w="60" w:type="dxa"/>
            <w:tcBorders/>
            <w:shd w:fill="CCEEFF" w:val="clear"/>
            <w:vAlign w:val="center"/>
          </w:tcPr>
          <w:p>
            <w:pPr>
              <w:pStyle w:val="TableContents"/>
              <w:spacing w:before="0" w:after="283"/>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440" w:type="dxa"/>
            <w:tcBorders>
              <w:bottom w:val="double" w:sz="6" w:space="0" w:color="000000"/>
            </w:tcBorders>
            <w:shd w:fill="CCEE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28</w:t>
            </w:r>
          </w:p>
        </w:tc>
        <w:tc>
          <w:tcPr>
            <w:tcW w:w="153"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ind w:left="0" w:right="0" w:hanging="0"/>
              <w:rPr/>
            </w:pPr>
            <w:r>
              <w:rPr/>
              <w:t> </w:t>
            </w:r>
          </w:p>
        </w:tc>
        <w:tc>
          <w:tcPr>
            <w:tcW w:w="239" w:type="dxa"/>
            <w:tcBorders>
              <w:bottom w:val="double" w:sz="6" w:space="0" w:color="000000"/>
            </w:tcBorders>
            <w:shd w:fill="CCEEFF" w:val="clear"/>
            <w:tcMar>
              <w:bottom w:w="28" w:type="dxa"/>
            </w:tcM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497" w:type="dxa"/>
            <w:tcBorders>
              <w:bottom w:val="double" w:sz="6" w:space="0" w:color="000000"/>
            </w:tcBorders>
            <w:shd w:fill="CCEE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(6</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bl>
    <w:p>
      <w:pPr>
        <w:pStyle w:val="TextBody"/>
        <w:spacing w:before="0" w:after="0"/>
        <w:ind w:left="0" w:right="0" w:hanging="0"/>
        <w:rPr>
          <w:caps w:val="false"/>
          <w:smallCaps w:val="false"/>
        </w:rPr>
      </w:pPr>
      <w:r>
        <w:rPr>
          <w:caps w:val="false"/>
          <w:smallCaps w:val="false"/>
        </w:rPr>
        <w:t> </w:t>
      </w:r>
    </w:p>
    <w:tbl>
      <w:tblPr>
        <w:tblW w:w="4659" w:type="dxa"/>
        <w:jc w:val="left"/>
        <w:tblInd w:w="0" w:type="dxa"/>
        <w:tblCellMar>
          <w:top w:w="0" w:type="dxa"/>
          <w:left w:w="0" w:type="dxa"/>
          <w:bottom w:w="0" w:type="dxa"/>
          <w:right w:w="0" w:type="dxa"/>
        </w:tblCellMar>
      </w:tblPr>
      <w:tblGrid>
        <w:gridCol w:w="2840"/>
        <w:gridCol w:w="60"/>
        <w:gridCol w:w="101"/>
        <w:gridCol w:w="640"/>
        <w:gridCol w:w="101"/>
        <w:gridCol w:w="101"/>
        <w:gridCol w:w="101"/>
        <w:gridCol w:w="640"/>
        <w:gridCol w:w="75"/>
      </w:tblGrid>
      <w:tr>
        <w:trPr/>
        <w:tc>
          <w:tcPr>
            <w:tcW w:w="28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4"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28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4"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75" w:type="dxa"/>
            <w:tcBorders/>
            <w:shd w:fill="FFFFFF" w:val="clear"/>
            <w:vAlign w:val="center"/>
          </w:tcPr>
          <w:p>
            <w:pPr>
              <w:pStyle w:val="TableContents"/>
              <w:spacing w:before="0" w:after="283"/>
              <w:rPr/>
            </w:pPr>
            <w:r>
              <w:rPr/>
              <w:t> </w:t>
            </w:r>
          </w:p>
        </w:tc>
      </w:tr>
      <w:tr>
        <w:trPr/>
        <w:tc>
          <w:tcPr>
            <w:tcW w:w="284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 of shares)</w:t>
            </w:r>
          </w:p>
        </w:tc>
        <w:tc>
          <w:tcPr>
            <w:tcW w:w="60" w:type="dxa"/>
            <w:tcBorders/>
            <w:shd w:fill="FFFFFF" w:val="clear"/>
            <w:vAlign w:val="center"/>
          </w:tcPr>
          <w:p>
            <w:pPr>
              <w:pStyle w:val="TableContents"/>
              <w:spacing w:before="0" w:after="283"/>
              <w:ind w:left="0" w:right="0" w:hanging="0"/>
              <w:rPr/>
            </w:pPr>
            <w:r>
              <w:rPr/>
              <w:t> </w:t>
            </w:r>
          </w:p>
        </w:tc>
        <w:tc>
          <w:tcPr>
            <w:tcW w:w="74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74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Weighted average shares — basic</w:t>
            </w:r>
          </w:p>
        </w:tc>
        <w:tc>
          <w:tcPr>
            <w:tcW w:w="60"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6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79.1</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6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78.7</w:t>
            </w:r>
          </w:p>
        </w:tc>
        <w:tc>
          <w:tcPr>
            <w:tcW w:w="75" w:type="dxa"/>
            <w:tcBorders/>
            <w:shd w:fill="CCEEFF" w:val="clear"/>
            <w:vAlign w:val="center"/>
          </w:tcPr>
          <w:p>
            <w:pPr>
              <w:pStyle w:val="TableContents"/>
              <w:spacing w:before="0" w:after="283"/>
              <w:rPr/>
            </w:pPr>
            <w:r>
              <w:rPr/>
              <w:t> </w:t>
            </w:r>
          </w:p>
        </w:tc>
      </w:tr>
      <w:tr>
        <w:trPr/>
        <w:tc>
          <w:tcPr>
            <w:tcW w:w="284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Effect of dilutive securities</w:t>
            </w:r>
          </w:p>
        </w:tc>
        <w:tc>
          <w:tcPr>
            <w:tcW w:w="60"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640"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64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Employee stock options</w:t>
            </w:r>
          </w:p>
        </w:tc>
        <w:tc>
          <w:tcPr>
            <w:tcW w:w="60"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64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0.4</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ind w:left="0" w:right="0" w:hanging="0"/>
              <w:rPr/>
            </w:pPr>
            <w:r>
              <w:rPr/>
              <w:t> </w:t>
            </w:r>
          </w:p>
        </w:tc>
        <w:tc>
          <w:tcPr>
            <w:tcW w:w="640" w:type="dxa"/>
            <w:tcBorders/>
            <w:shd w:fill="CCEEFF" w:val="clear"/>
            <w:vAlign w:val="center"/>
          </w:tcPr>
          <w:p>
            <w:pPr>
              <w:pStyle w:val="TableContents"/>
              <w:spacing w:before="0" w:after="283"/>
              <w:ind w:left="0" w:right="0" w:hanging="0"/>
              <w:jc w:val="right"/>
              <w:rPr/>
            </w:pPr>
            <w:r>
              <w:rPr/>
              <w:t>—</w:t>
            </w:r>
          </w:p>
        </w:tc>
        <w:tc>
          <w:tcPr>
            <w:tcW w:w="75" w:type="dxa"/>
            <w:tcBorders/>
            <w:shd w:fill="CCEEFF" w:val="clear"/>
            <w:vAlign w:val="center"/>
          </w:tcPr>
          <w:p>
            <w:pPr>
              <w:pStyle w:val="TableContents"/>
              <w:spacing w:before="0" w:after="283"/>
              <w:rPr/>
            </w:pPr>
            <w:r>
              <w:rPr/>
              <w:t> </w:t>
            </w:r>
          </w:p>
        </w:tc>
      </w:tr>
      <w:tr>
        <w:trPr/>
        <w:tc>
          <w:tcPr>
            <w:tcW w:w="2840"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Unvested restricted stock units</w:t>
            </w:r>
          </w:p>
        </w:tc>
        <w:tc>
          <w:tcPr>
            <w:tcW w:w="60"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64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0.7</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640" w:type="dxa"/>
            <w:tcBorders/>
            <w:shd w:fill="FFFFFF" w:val="clear"/>
            <w:vAlign w:val="center"/>
          </w:tcPr>
          <w:p>
            <w:pPr>
              <w:pStyle w:val="TableContents"/>
              <w:spacing w:before="0" w:after="283"/>
              <w:ind w:left="0" w:right="0" w:hanging="0"/>
              <w:jc w:val="right"/>
              <w:rPr/>
            </w:pPr>
            <w:r>
              <w:rPr/>
              <w:t>—</w:t>
            </w:r>
          </w:p>
        </w:tc>
        <w:tc>
          <w:tcPr>
            <w:tcW w:w="75" w:type="dxa"/>
            <w:tcBorders/>
            <w:shd w:fill="FFFFFF"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ind w:left="180" w:right="0" w:hanging="0"/>
              <w:rPr>
                <w:rFonts w:ascii="Calibri;Arial;sans-serif" w:hAnsi="Calibri;Arial;sans-serif"/>
                <w:sz w:val="20"/>
              </w:rPr>
            </w:pPr>
            <w:r>
              <w:rPr>
                <w:rFonts w:ascii="Calibri;Arial;sans-serif" w:hAnsi="Calibri;Arial;sans-serif"/>
                <w:sz w:val="20"/>
              </w:rPr>
              <w:t>Series B Preferred Stock</w:t>
            </w:r>
          </w:p>
        </w:tc>
        <w:tc>
          <w:tcPr>
            <w:tcW w:w="60"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9.5</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64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2840" w:type="dxa"/>
            <w:tcBorders/>
            <w:shd w:fill="FFFFFF" w:val="clear"/>
            <w:vAlign w:val="center"/>
          </w:tcPr>
          <w:p>
            <w:pPr>
              <w:pStyle w:val="TableContents"/>
              <w:spacing w:before="0" w:after="0"/>
              <w:ind w:left="180" w:right="0" w:hanging="0"/>
              <w:rPr>
                <w:rFonts w:ascii="Calibri;Arial;sans-serif" w:hAnsi="Calibri;Arial;sans-serif"/>
                <w:sz w:val="20"/>
              </w:rPr>
            </w:pPr>
            <w:r>
              <w:rPr>
                <w:rFonts w:ascii="Calibri;Arial;sans-serif" w:hAnsi="Calibri;Arial;sans-serif"/>
                <w:sz w:val="20"/>
              </w:rPr>
              <w:t>2021 Convertible Notes</w:t>
            </w:r>
          </w:p>
        </w:tc>
        <w:tc>
          <w:tcPr>
            <w:tcW w:w="60" w:type="dxa"/>
            <w:tcBorders/>
            <w:shd w:fill="FFFFFF" w:val="clear"/>
            <w:vAlign w:val="center"/>
          </w:tcPr>
          <w:p>
            <w:pPr>
              <w:pStyle w:val="TableContents"/>
              <w:spacing w:before="0" w:after="283"/>
              <w:ind w:left="0" w:right="0" w:hanging="0"/>
              <w:rPr/>
            </w:pPr>
            <w:r>
              <w:rPr/>
              <w:t> </w:t>
            </w:r>
          </w:p>
        </w:tc>
        <w:tc>
          <w:tcPr>
            <w:tcW w:w="10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40" w:type="dxa"/>
            <w:tcBorders>
              <w:bottom w:val="single" w:sz="2" w:space="0" w:color="000000"/>
            </w:tcBorders>
            <w:shd w:fill="FFFFFF" w:val="clear"/>
            <w:tcMar>
              <w:bottom w:w="28" w:type="dxa"/>
            </w:tcMar>
            <w:vAlign w:val="center"/>
          </w:tcPr>
          <w:p>
            <w:pPr>
              <w:pStyle w:val="TableContents"/>
              <w:spacing w:before="0" w:after="0"/>
              <w:jc w:val="right"/>
              <w:rPr>
                <w:rFonts w:ascii="Calibri;Arial;sans-serif" w:hAnsi="Calibri;Arial;sans-serif"/>
                <w:sz w:val="20"/>
              </w:rPr>
            </w:pPr>
            <w:r>
              <w:rPr>
                <w:rFonts w:ascii="Calibri;Arial;sans-serif" w:hAnsi="Calibri;Arial;sans-serif"/>
                <w:sz w:val="20"/>
              </w:rPr>
              <w:t>2.5</w:t>
            </w:r>
          </w:p>
        </w:tc>
        <w:tc>
          <w:tcPr>
            <w:tcW w:w="101" w:type="dxa"/>
            <w:tcBorders/>
            <w:shd w:fill="FFFFFF" w:val="clear"/>
            <w:vAlign w:val="center"/>
          </w:tcPr>
          <w:p>
            <w:pPr>
              <w:pStyle w:val="TableContents"/>
              <w:spacing w:before="0" w:after="283"/>
              <w:rPr/>
            </w:pPr>
            <w:r>
              <w:rPr/>
              <w:t> </w:t>
            </w:r>
          </w:p>
        </w:tc>
        <w:tc>
          <w:tcPr>
            <w:tcW w:w="101" w:type="dxa"/>
            <w:tcBorders/>
            <w:shd w:fill="FFFFFF" w:val="clear"/>
            <w:vAlign w:val="center"/>
          </w:tcPr>
          <w:p>
            <w:pPr>
              <w:pStyle w:val="TableContents"/>
              <w:spacing w:before="0" w:after="283"/>
              <w:ind w:left="0" w:right="0" w:hanging="0"/>
              <w:rPr/>
            </w:pPr>
            <w:r>
              <w:rPr/>
              <w:t> </w:t>
            </w:r>
          </w:p>
        </w:tc>
        <w:tc>
          <w:tcPr>
            <w:tcW w:w="10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40" w:type="dxa"/>
            <w:tcBorders>
              <w:bottom w:val="single" w:sz="2" w:space="0" w:color="000000"/>
            </w:tcBorders>
            <w:shd w:fill="FFFFFF" w:val="clear"/>
            <w:tcMar>
              <w:bottom w:w="28" w:type="dxa"/>
            </w:tcMar>
            <w:vAlign w:val="center"/>
          </w:tcPr>
          <w:p>
            <w:pPr>
              <w:pStyle w:val="TableContents"/>
              <w:spacing w:before="0" w:after="0"/>
              <w:jc w:val="right"/>
              <w:rPr/>
            </w:pPr>
            <w:r>
              <w:rPr/>
              <w:t>—</w:t>
            </w:r>
          </w:p>
        </w:tc>
        <w:tc>
          <w:tcPr>
            <w:tcW w:w="75" w:type="dxa"/>
            <w:tcBorders/>
            <w:shd w:fill="FFFFFF"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Weighted average shares — diluted</w:t>
            </w:r>
          </w:p>
        </w:tc>
        <w:tc>
          <w:tcPr>
            <w:tcW w:w="60" w:type="dxa"/>
            <w:tcBorders/>
            <w:shd w:fill="CCEEFF" w:val="clear"/>
            <w:vAlign w:val="center"/>
          </w:tcPr>
          <w:p>
            <w:pPr>
              <w:pStyle w:val="TableContents"/>
              <w:spacing w:before="0" w:after="283"/>
              <w:rPr/>
            </w:pPr>
            <w:r>
              <w:rPr/>
              <w:t> </w:t>
            </w:r>
          </w:p>
        </w:tc>
        <w:tc>
          <w:tcPr>
            <w:tcW w:w="10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92.2</w:t>
            </w:r>
          </w:p>
        </w:tc>
        <w:tc>
          <w:tcPr>
            <w:tcW w:w="101" w:type="dxa"/>
            <w:tcBorders/>
            <w:shd w:fill="CCEEFF" w:val="clear"/>
            <w:vAlign w:val="center"/>
          </w:tcPr>
          <w:p>
            <w:pPr>
              <w:pStyle w:val="TableContents"/>
              <w:spacing w:before="0" w:after="283"/>
              <w:rPr/>
            </w:pPr>
            <w:r>
              <w:rPr/>
              <w:t> </w:t>
            </w:r>
          </w:p>
        </w:tc>
        <w:tc>
          <w:tcPr>
            <w:tcW w:w="101" w:type="dxa"/>
            <w:tcBorders/>
            <w:shd w:fill="CCEEFF" w:val="clear"/>
            <w:vAlign w:val="center"/>
          </w:tcPr>
          <w:p>
            <w:pPr>
              <w:pStyle w:val="TableContents"/>
              <w:spacing w:before="0" w:after="283"/>
              <w:rPr/>
            </w:pPr>
            <w:r>
              <w:rPr/>
              <w:t> </w:t>
            </w:r>
          </w:p>
        </w:tc>
        <w:tc>
          <w:tcPr>
            <w:tcW w:w="10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64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78.7</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the assumed conversion of 1.1 million shares of Series C Preferred Stock,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vesting of 0.1 million unvested restricted stock units and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exercise of 4.3 million outstanding employee stock options because the effects would have been anti-dilutive.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As a result of the net loss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2022</w:t>
      </w:r>
      <w:r>
        <w:rPr>
          <w:rFonts w:ascii="Calibri;Arial;sans-serif" w:hAnsi="Calibri;Arial;sans-serif"/>
          <w:caps w:val="false"/>
          <w:smallCaps w:val="false"/>
          <w:sz w:val="20"/>
        </w:rPr>
        <w:t>, Kodak calculated diluted earnings per share using weighted-average basic shares outstanding.  If Kodak reported income available to common shareholders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2022</w:t>
      </w:r>
      <w:r>
        <w:rPr>
          <w:rFonts w:ascii="Calibri;Arial;sans-serif" w:hAnsi="Calibri;Arial;sans-serif"/>
          <w:caps w:val="false"/>
          <w:smallCaps w:val="false"/>
          <w:sz w:val="20"/>
        </w:rPr>
        <w:t>, the calculation of diluted earnings per share would have included the assumed vesting of 0.5 million unvested restricted stock units and the assumed exercise of 0.9 million outstanding stock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The computation of diluted earnings per share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2022</w:t>
      </w:r>
      <w:r>
        <w:rPr>
          <w:rFonts w:ascii="Calibri;Arial;sans-serif" w:hAnsi="Calibri;Arial;sans-serif"/>
          <w:caps w:val="false"/>
          <w:smallCaps w:val="false"/>
          <w:sz w:val="20"/>
        </w:rPr>
        <w:t xml:space="preserve"> excluded the impact of (</w:t>
      </w:r>
      <w:r>
        <w:rPr>
          <w:rStyle w:val="Emphasis"/>
          <w:rFonts w:ascii="Calibri;Arial;sans-serif" w:hAnsi="Calibri;Arial;sans-serif"/>
          <w:caps w:val="false"/>
          <w:smallCaps w:val="false"/>
          <w:sz w:val="20"/>
        </w:rPr>
        <w:t>1</w:t>
      </w:r>
      <w:r>
        <w:rPr>
          <w:rFonts w:ascii="Calibri;Arial;sans-serif" w:hAnsi="Calibri;Arial;sans-serif"/>
          <w:caps w:val="false"/>
          <w:smallCaps w:val="false"/>
          <w:sz w:val="20"/>
        </w:rPr>
        <w:t xml:space="preserve">) the assumed conversion of $25 million of Convertible Notes issued in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the assumed conversion of 1.0 million shares of Series B Preferred Stock,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the assumed conversion of 1.0 million shares of Series C Preferred Stock, (</w:t>
      </w:r>
      <w:r>
        <w:rPr>
          <w:rStyle w:val="Emphasis"/>
          <w:rFonts w:ascii="Calibri;Arial;sans-serif" w:hAnsi="Calibri;Arial;sans-serif"/>
          <w:caps w:val="false"/>
          <w:smallCaps w:val="false"/>
          <w:sz w:val="20"/>
        </w:rPr>
        <w:t>4</w:t>
      </w:r>
      <w:r>
        <w:rPr>
          <w:rFonts w:ascii="Calibri;Arial;sans-serif" w:hAnsi="Calibri;Arial;sans-serif"/>
          <w:caps w:val="false"/>
          <w:smallCaps w:val="false"/>
          <w:sz w:val="20"/>
        </w:rPr>
        <w:t>) the assumed exercise of 3.8 million outstanding employee stock options and (</w:t>
      </w:r>
      <w:r>
        <w:rPr>
          <w:rStyle w:val="Emphasis"/>
          <w:rFonts w:ascii="Calibri;Arial;sans-serif" w:hAnsi="Calibri;Arial;sans-serif"/>
          <w:caps w:val="false"/>
          <w:smallCaps w:val="false"/>
          <w:sz w:val="20"/>
        </w:rPr>
        <w:t>5</w:t>
      </w:r>
      <w:r>
        <w:rPr>
          <w:rFonts w:ascii="Calibri;Arial;sans-serif" w:hAnsi="Calibri;Arial;sans-serif"/>
          <w:caps w:val="false"/>
          <w:smallCaps w:val="false"/>
          <w:sz w:val="20"/>
        </w:rPr>
        <w:t>) the assumed vesting of 0.4 million unvested restricted stock units because the effects would have been anti-dilutive.</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13:</w:t>
      </w:r>
      <w:r>
        <w:rPr>
          <w:rFonts w:ascii="Calibri;Arial;sans-serif" w:hAnsi="Calibri;Arial;sans-serif"/>
          <w:b/>
          <w:caps w:val="false"/>
          <w:smallCaps w:val="false"/>
          <w:sz w:val="20"/>
        </w:rPr>
        <w:t xml:space="preserve"> 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On </w:t>
      </w:r>
      <w:r>
        <w:rPr>
          <w:rStyle w:val="Emphasis"/>
          <w:rFonts w:ascii="Calibri;Arial;sans-serif" w:hAnsi="Calibri;Arial;sans-serif"/>
          <w:caps w:val="false"/>
          <w:smallCaps w:val="false"/>
          <w:sz w:val="20"/>
        </w:rPr>
        <w:t xml:space="preserve">February 16, 2023, </w:t>
      </w:r>
      <w:r>
        <w:rPr>
          <w:rFonts w:ascii="Calibri;Arial;sans-serif" w:hAnsi="Calibri;Arial;sans-serif"/>
          <w:caps w:val="false"/>
          <w:smallCaps w:val="false"/>
          <w:sz w:val="20"/>
        </w:rPr>
        <w:t xml:space="preserve">the Compensation, Nominating and Governance Committee of the Board of Directors approved extending the expiration dates for non-qualified stock options awarded between </w:t>
      </w:r>
      <w:r>
        <w:rPr>
          <w:rStyle w:val="Emphasis"/>
          <w:rFonts w:ascii="Calibri;Arial;sans-serif" w:hAnsi="Calibri;Arial;sans-serif"/>
          <w:caps w:val="false"/>
          <w:smallCaps w:val="false"/>
          <w:sz w:val="20"/>
        </w:rPr>
        <w:t>2016</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2020</w:t>
      </w:r>
      <w:r>
        <w:rPr>
          <w:rFonts w:ascii="Calibri;Arial;sans-serif" w:hAnsi="Calibri;Arial;sans-serif"/>
          <w:caps w:val="false"/>
          <w:smallCaps w:val="false"/>
          <w:sz w:val="20"/>
        </w:rPr>
        <w:t xml:space="preserve"> to currently active employees.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other terms were modified. The contractual terms were extended from approximately seven years to approximately ten years. The change in the terms of the awards was accounted for as a modification. The fair value of the awards was calculated using a binomial lattice-based valuation model. The key assumptions used in the fair value calculations were:</w:t>
      </w:r>
    </w:p>
    <w:p>
      <w:pPr>
        <w:pStyle w:val="TextBody"/>
        <w:spacing w:before="0" w:after="0"/>
        <w:ind w:left="0" w:right="0" w:hanging="0"/>
        <w:rPr>
          <w:caps w:val="false"/>
          <w:smallCaps w:val="false"/>
        </w:rPr>
      </w:pPr>
      <w:r>
        <w:rPr>
          <w:caps w:val="false"/>
          <w:smallCaps w:val="false"/>
        </w:rPr>
        <w:t> </w:t>
      </w:r>
    </w:p>
    <w:tbl>
      <w:tblPr>
        <w:tblW w:w="6930" w:type="dxa"/>
        <w:jc w:val="left"/>
        <w:tblInd w:w="0" w:type="dxa"/>
        <w:tblCellMar>
          <w:top w:w="0" w:type="dxa"/>
          <w:left w:w="0" w:type="dxa"/>
          <w:bottom w:w="0" w:type="dxa"/>
          <w:right w:w="0" w:type="dxa"/>
        </w:tblCellMar>
      </w:tblPr>
      <w:tblGrid>
        <w:gridCol w:w="3755"/>
        <w:gridCol w:w="60"/>
        <w:gridCol w:w="1580"/>
        <w:gridCol w:w="60"/>
        <w:gridCol w:w="1475"/>
      </w:tblGrid>
      <w:tr>
        <w:trPr/>
        <w:tc>
          <w:tcPr>
            <w:tcW w:w="3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15" w:type="dxa"/>
            <w:gridSpan w:val="3"/>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February 16, 2023</w:t>
            </w:r>
          </w:p>
        </w:tc>
      </w:tr>
      <w:tr>
        <w:trPr/>
        <w:tc>
          <w:tcPr>
            <w:tcW w:w="3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15" w:type="dxa"/>
            <w:gridSpan w:val="3"/>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Option Award</w:t>
            </w:r>
          </w:p>
        </w:tc>
      </w:tr>
      <w:tr>
        <w:trPr/>
        <w:tc>
          <w:tcPr>
            <w:tcW w:w="3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15" w:type="dxa"/>
            <w:gridSpan w:val="3"/>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Modifications</w:t>
            </w:r>
          </w:p>
        </w:tc>
      </w:tr>
      <w:tr>
        <w:trPr/>
        <w:tc>
          <w:tcPr>
            <w:tcW w:w="37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80"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Immediately Before</w:t>
            </w:r>
          </w:p>
        </w:tc>
        <w:tc>
          <w:tcPr>
            <w:tcW w:w="60" w:type="dxa"/>
            <w:tcBorders/>
            <w:shd w:fill="FFFFFF" w:val="clear"/>
            <w:vAlign w:val="center"/>
          </w:tcPr>
          <w:p>
            <w:pPr>
              <w:pStyle w:val="TableContents"/>
              <w:spacing w:before="0" w:after="283"/>
              <w:rPr/>
            </w:pPr>
            <w:r>
              <w:rPr/>
              <w:t> </w:t>
            </w:r>
          </w:p>
        </w:tc>
        <w:tc>
          <w:tcPr>
            <w:tcW w:w="1475" w:type="dxa"/>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Immediately After</w:t>
            </w:r>
          </w:p>
        </w:tc>
      </w:tr>
      <w:tr>
        <w:trPr/>
        <w:tc>
          <w:tcPr>
            <w:tcW w:w="375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Range of fair values</w:t>
            </w:r>
          </w:p>
        </w:tc>
        <w:tc>
          <w:tcPr>
            <w:tcW w:w="60" w:type="dxa"/>
            <w:tcBorders/>
            <w:shd w:fill="CCEEFF" w:val="clear"/>
            <w:vAlign w:val="center"/>
          </w:tcPr>
          <w:p>
            <w:pPr>
              <w:pStyle w:val="TableContents"/>
              <w:spacing w:before="0" w:after="283"/>
              <w:rPr/>
            </w:pPr>
            <w:r>
              <w:rPr/>
              <w:t> </w:t>
            </w:r>
          </w:p>
        </w:tc>
        <w:tc>
          <w:tcPr>
            <w:tcW w:w="1580" w:type="dxa"/>
            <w:tcBorders/>
            <w:shd w:fill="CCEE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0.000 -2.1414</w:t>
            </w:r>
          </w:p>
        </w:tc>
        <w:tc>
          <w:tcPr>
            <w:tcW w:w="60" w:type="dxa"/>
            <w:tcBorders/>
            <w:shd w:fill="CCEEFF" w:val="clear"/>
            <w:vAlign w:val="center"/>
          </w:tcPr>
          <w:p>
            <w:pPr>
              <w:pStyle w:val="TableContents"/>
              <w:spacing w:before="0" w:after="283"/>
              <w:rPr/>
            </w:pPr>
            <w:r>
              <w:rPr/>
              <w:t> </w:t>
            </w:r>
          </w:p>
        </w:tc>
        <w:tc>
          <w:tcPr>
            <w:tcW w:w="1475" w:type="dxa"/>
            <w:tcBorders/>
            <w:shd w:fill="CCEE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1.322 -2.2424</w:t>
            </w:r>
          </w:p>
        </w:tc>
      </w:tr>
      <w:tr>
        <w:trPr/>
        <w:tc>
          <w:tcPr>
            <w:tcW w:w="37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Range of risk-free interest rates</w:t>
            </w:r>
          </w:p>
        </w:tc>
        <w:tc>
          <w:tcPr>
            <w:tcW w:w="60" w:type="dxa"/>
            <w:tcBorders/>
            <w:shd w:fill="FFFFFF" w:val="clear"/>
            <w:vAlign w:val="center"/>
          </w:tcPr>
          <w:p>
            <w:pPr>
              <w:pStyle w:val="TableContents"/>
              <w:spacing w:before="0" w:after="283"/>
              <w:rPr/>
            </w:pPr>
            <w:r>
              <w:rPr/>
              <w:t> </w:t>
            </w:r>
          </w:p>
        </w:tc>
        <w:tc>
          <w:tcPr>
            <w:tcW w:w="1580" w:type="dxa"/>
            <w:tcBorders/>
            <w:shd w:fill="FFFF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3.82% - 4.99%</w:t>
            </w:r>
          </w:p>
        </w:tc>
        <w:tc>
          <w:tcPr>
            <w:tcW w:w="60" w:type="dxa"/>
            <w:tcBorders/>
            <w:shd w:fill="FFFFFF" w:val="clear"/>
            <w:vAlign w:val="center"/>
          </w:tcPr>
          <w:p>
            <w:pPr>
              <w:pStyle w:val="TableContents"/>
              <w:spacing w:before="0" w:after="283"/>
              <w:rPr/>
            </w:pPr>
            <w:r>
              <w:rPr/>
              <w:t> </w:t>
            </w:r>
          </w:p>
        </w:tc>
        <w:tc>
          <w:tcPr>
            <w:tcW w:w="1475" w:type="dxa"/>
            <w:tcBorders/>
            <w:shd w:fill="FFFF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3.82% - 4.99%</w:t>
            </w:r>
          </w:p>
        </w:tc>
      </w:tr>
      <w:tr>
        <w:trPr/>
        <w:tc>
          <w:tcPr>
            <w:tcW w:w="37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Range of remaining contractual terms (in years)</w:t>
            </w:r>
          </w:p>
        </w:tc>
        <w:tc>
          <w:tcPr>
            <w:tcW w:w="60" w:type="dxa"/>
            <w:tcBorders/>
            <w:shd w:fill="CCEEFF" w:val="clear"/>
            <w:vAlign w:val="center"/>
          </w:tcPr>
          <w:p>
            <w:pPr>
              <w:pStyle w:val="TableContents"/>
              <w:spacing w:before="0" w:after="283"/>
              <w:rPr/>
            </w:pPr>
            <w:r>
              <w:rPr/>
              <w:t> </w:t>
            </w:r>
          </w:p>
        </w:tc>
        <w:tc>
          <w:tcPr>
            <w:tcW w:w="1580" w:type="dxa"/>
            <w:tcBorders/>
            <w:shd w:fill="CCEE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0.37 - 4.25</w:t>
            </w:r>
          </w:p>
        </w:tc>
        <w:tc>
          <w:tcPr>
            <w:tcW w:w="60" w:type="dxa"/>
            <w:tcBorders/>
            <w:shd w:fill="CCEEFF" w:val="clear"/>
            <w:vAlign w:val="center"/>
          </w:tcPr>
          <w:p>
            <w:pPr>
              <w:pStyle w:val="TableContents"/>
              <w:spacing w:before="0" w:after="283"/>
              <w:rPr/>
            </w:pPr>
            <w:r>
              <w:rPr/>
              <w:t> </w:t>
            </w:r>
          </w:p>
        </w:tc>
        <w:tc>
          <w:tcPr>
            <w:tcW w:w="1475" w:type="dxa"/>
            <w:tcBorders/>
            <w:shd w:fill="CCEE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3.37 - 7.25</w:t>
            </w:r>
          </w:p>
        </w:tc>
      </w:tr>
      <w:tr>
        <w:trPr/>
        <w:tc>
          <w:tcPr>
            <w:tcW w:w="375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Range of weighted volatilities</w:t>
            </w:r>
          </w:p>
        </w:tc>
        <w:tc>
          <w:tcPr>
            <w:tcW w:w="60" w:type="dxa"/>
            <w:tcBorders/>
            <w:shd w:fill="FFFFFF" w:val="clear"/>
            <w:vAlign w:val="center"/>
          </w:tcPr>
          <w:p>
            <w:pPr>
              <w:pStyle w:val="TableContents"/>
              <w:spacing w:before="0" w:after="283"/>
              <w:rPr/>
            </w:pPr>
            <w:r>
              <w:rPr/>
              <w:t> </w:t>
            </w:r>
          </w:p>
        </w:tc>
        <w:tc>
          <w:tcPr>
            <w:tcW w:w="1580" w:type="dxa"/>
            <w:tcBorders/>
            <w:shd w:fill="FFFF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66.96% - 103.39%</w:t>
            </w:r>
          </w:p>
        </w:tc>
        <w:tc>
          <w:tcPr>
            <w:tcW w:w="60" w:type="dxa"/>
            <w:tcBorders/>
            <w:shd w:fill="FFFFFF" w:val="clear"/>
            <w:vAlign w:val="center"/>
          </w:tcPr>
          <w:p>
            <w:pPr>
              <w:pStyle w:val="TableContents"/>
              <w:spacing w:before="0" w:after="283"/>
              <w:rPr/>
            </w:pPr>
            <w:r>
              <w:rPr/>
              <w:t> </w:t>
            </w:r>
          </w:p>
        </w:tc>
        <w:tc>
          <w:tcPr>
            <w:tcW w:w="1475" w:type="dxa"/>
            <w:tcBorders/>
            <w:shd w:fill="FFFF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66.96% - 103.39%</w:t>
            </w:r>
          </w:p>
        </w:tc>
      </w:tr>
      <w:tr>
        <w:trPr/>
        <w:tc>
          <w:tcPr>
            <w:tcW w:w="375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Expected dividend yield</w:t>
            </w:r>
          </w:p>
        </w:tc>
        <w:tc>
          <w:tcPr>
            <w:tcW w:w="60" w:type="dxa"/>
            <w:tcBorders/>
            <w:shd w:fill="CCEEFF" w:val="clear"/>
            <w:vAlign w:val="center"/>
          </w:tcPr>
          <w:p>
            <w:pPr>
              <w:pStyle w:val="TableContents"/>
              <w:spacing w:before="0" w:after="283"/>
              <w:rPr/>
            </w:pPr>
            <w:r>
              <w:rPr/>
              <w:t> </w:t>
            </w:r>
          </w:p>
        </w:tc>
        <w:tc>
          <w:tcPr>
            <w:tcW w:w="1580" w:type="dxa"/>
            <w:tcBorders/>
            <w:shd w:fill="CCEE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c>
          <w:tcPr>
            <w:tcW w:w="60" w:type="dxa"/>
            <w:tcBorders/>
            <w:shd w:fill="CCEEFF" w:val="clear"/>
            <w:vAlign w:val="center"/>
          </w:tcPr>
          <w:p>
            <w:pPr>
              <w:pStyle w:val="TableContents"/>
              <w:spacing w:before="0" w:after="283"/>
              <w:rPr/>
            </w:pPr>
            <w:r>
              <w:rPr/>
              <w:t> </w:t>
            </w:r>
          </w:p>
        </w:tc>
        <w:tc>
          <w:tcPr>
            <w:tcW w:w="1475" w:type="dxa"/>
            <w:tcBorders/>
            <w:shd w:fill="CCEEFF" w:val="clear"/>
            <w:vAlign w:val="center"/>
          </w:tcPr>
          <w:p>
            <w:pPr>
              <w:pStyle w:val="TableContents"/>
              <w:spacing w:before="0" w:after="0"/>
              <w:ind w:left="0" w:right="0" w:hanging="0"/>
              <w:jc w:val="center"/>
              <w:rPr>
                <w:rFonts w:ascii="Calibri;Arial;sans-serif" w:hAnsi="Calibri;Arial;sans-serif"/>
                <w:caps w:val="false"/>
                <w:smallCaps w:val="false"/>
                <w:sz w:val="20"/>
              </w:rPr>
            </w:pPr>
            <w:r>
              <w:rPr>
                <w:rFonts w:ascii="Calibri;Arial;sans-serif" w:hAnsi="Calibri;Arial;sans-serif"/>
                <w:caps w:val="false"/>
                <w:smallCaps w:val="false"/>
                <w:sz w:val="20"/>
              </w:rPr>
              <w:t>0.00%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As a result of the modification, Kodak recognized $3 million of incremental compensation expense in the </w:t>
      </w:r>
      <w:r>
        <w:rPr>
          <w:rStyle w:val="Emphasis"/>
          <w:rFonts w:ascii="Calibri;Arial;sans-serif" w:hAnsi="Calibri;Arial;sans-serif"/>
          <w:caps w:val="false"/>
          <w:smallCaps w:val="false"/>
          <w:sz w:val="20"/>
        </w:rPr>
        <w:t>first</w:t>
      </w:r>
      <w:r>
        <w:rPr>
          <w:rFonts w:ascii="Calibri;Arial;sans-serif" w:hAnsi="Calibri;Arial;sans-serif"/>
          <w:caps w:val="false"/>
          <w:smallCaps w:val="false"/>
          <w:sz w:val="20"/>
        </w:rPr>
        <w:t xml:space="preserve"> quarter of </w:t>
      </w:r>
      <w:r>
        <w:rPr>
          <w:rStyle w:val="Emphasis"/>
          <w:rFonts w:ascii="Calibri;Arial;sans-serif" w:hAnsi="Calibri;Arial;sans-serif"/>
          <w:caps w:val="false"/>
          <w:smallCaps w:val="false"/>
          <w:sz w:val="20"/>
        </w:rPr>
        <w:t>2023,</w:t>
      </w:r>
      <w:r>
        <w:rPr>
          <w:rFonts w:ascii="Calibri;Arial;sans-serif" w:hAnsi="Calibri;Arial;sans-serif"/>
          <w:caps w:val="false"/>
          <w:smallCaps w:val="false"/>
          <w:sz w:val="20"/>
        </w:rPr>
        <w:t xml:space="preserve"> reflecting the incremental fair value of the modified awards over the fair value of the original awards immediately before the modification. The incremental compensation expense (less than $1 million) for awards that had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yet vested is being recognized ratably over the remaining service period.</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14:</w:t>
      </w:r>
      <w:r>
        <w:rPr>
          <w:rFonts w:ascii="Calibri;Arial;sans-serif" w:hAnsi="Calibri;Arial;sans-serif"/>
          <w:b/>
          <w:caps w:val="false"/>
          <w:smallCaps w:val="false"/>
          <w:sz w:val="20"/>
        </w:rPr>
        <w:t xml:space="preserve"> SHAREHOLDERS</w:t>
      </w:r>
      <w:r>
        <w:rPr>
          <w:rFonts w:ascii="Calibri;Arial;sans-serif" w:hAnsi="Calibri;Arial;sans-serif"/>
          <w:caps w:val="false"/>
          <w:smallCaps w:val="false"/>
          <w:sz w:val="20"/>
        </w:rPr>
        <w:t xml:space="preserve">’ </w:t>
      </w:r>
      <w:r>
        <w:rPr>
          <w:rFonts w:ascii="Calibri;Arial;sans-serif" w:hAnsi="Calibri;Arial;sans-serif"/>
          <w:b/>
          <w:caps w:val="false"/>
          <w:smallCaps w:val="false"/>
          <w:sz w:val="20"/>
        </w:rPr>
        <w:t>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Company has 560 million shares of authorized stock, consisting of: (i) 500 million shares of common stock, par value $0.01 per share and (ii) 60 million shares of preferred stock, no par value, issuable in </w:t>
      </w:r>
      <w:r>
        <w:rPr>
          <w:rStyle w:val="Emphasis"/>
          <w:rFonts w:ascii="Calibri;Arial;sans-serif" w:hAnsi="Calibri;Arial;sans-serif"/>
          <w:caps w:val="false"/>
          <w:smallCaps w:val="false"/>
          <w:sz w:val="20"/>
        </w:rPr>
        <w:t>one</w:t>
      </w:r>
      <w:r>
        <w:rPr>
          <w:rFonts w:ascii="Calibri;Arial;sans-serif" w:hAnsi="Calibri;Arial;sans-serif"/>
          <w:caps w:val="false"/>
          <w:smallCaps w:val="false"/>
          <w:sz w:val="20"/>
        </w:rPr>
        <w:t xml:space="preserve"> or more series.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Common Stock</w:t>
      </w:r>
    </w:p>
    <w:p>
      <w:pPr>
        <w:pStyle w:val="TextBody"/>
        <w:spacing w:before="0" w:after="0"/>
        <w:ind w:left="0" w:right="0" w:hanging="0"/>
        <w:rPr/>
      </w:pPr>
      <w:r>
        <w:rPr>
          <w:rFonts w:ascii="Calibri;Arial;sans-serif" w:hAnsi="Calibri;Arial;sans-serif"/>
          <w:caps w:val="false"/>
          <w:smallCaps w:val="false"/>
          <w:sz w:val="20"/>
        </w:rPr>
        <w:t xml:space="preserve">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there were 79.3 million and 79.1 million shares of common stock outstanding,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Preferred Stock</w:t>
      </w:r>
    </w:p>
    <w:p>
      <w:pPr>
        <w:pStyle w:val="TextBody"/>
        <w:spacing w:before="0" w:after="0"/>
        <w:ind w:left="0" w:right="0" w:hanging="0"/>
        <w:rPr/>
      </w:pPr>
      <w:r>
        <w:rPr>
          <w:rFonts w:ascii="Calibri;Arial;sans-serif" w:hAnsi="Calibri;Arial;sans-serif"/>
          <w:caps w:val="false"/>
          <w:smallCaps w:val="false"/>
          <w:sz w:val="20"/>
        </w:rPr>
        <w:t xml:space="preserve">Preferred stock issued and outstanding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and </w:t>
      </w:r>
      <w:r>
        <w:rPr>
          <w:rStyle w:val="Emphasis"/>
          <w:rFonts w:ascii="Calibri;Arial;sans-serif" w:hAnsi="Calibri;Arial;sans-serif"/>
          <w:caps w:val="false"/>
          <w:smallCaps w:val="false"/>
          <w:sz w:val="20"/>
        </w:rPr>
        <w:t xml:space="preserve"> December 31, 2022</w:t>
      </w:r>
      <w:r>
        <w:rPr>
          <w:rFonts w:ascii="Calibri;Arial;sans-serif" w:hAnsi="Calibri;Arial;sans-serif"/>
          <w:caps w:val="false"/>
          <w:smallCaps w:val="false"/>
          <w:sz w:val="20"/>
        </w:rPr>
        <w:t xml:space="preserve"> consisted of 1.0 million shares of Series B Preferred Stock and </w:t>
      </w:r>
      <w:r>
        <w:rPr>
          <w:rStyle w:val="Emphasis"/>
          <w:rFonts w:ascii="Calibri;Arial;sans-serif" w:hAnsi="Calibri;Arial;sans-serif"/>
          <w:caps w:val="false"/>
          <w:smallCaps w:val="false"/>
          <w:sz w:val="20"/>
        </w:rPr>
        <w:t>1.1</w:t>
      </w:r>
      <w:r>
        <w:rPr>
          <w:rFonts w:ascii="Calibri;Arial;sans-serif" w:hAnsi="Calibri;Arial;sans-serif"/>
          <w:caps w:val="false"/>
          <w:smallCaps w:val="false"/>
          <w:sz w:val="20"/>
        </w:rPr>
        <w:t xml:space="preserve"> million shares of Series C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Treasury Stock</w:t>
      </w:r>
    </w:p>
    <w:p>
      <w:pPr>
        <w:pStyle w:val="TextBody"/>
        <w:spacing w:before="0" w:after="0"/>
        <w:ind w:left="0" w:right="0" w:hanging="0"/>
        <w:rPr/>
      </w:pPr>
      <w:r>
        <w:rPr>
          <w:rFonts w:ascii="Calibri;Arial;sans-serif" w:hAnsi="Calibri;Arial;sans-serif"/>
          <w:caps w:val="false"/>
          <w:smallCaps w:val="false"/>
          <w:sz w:val="20"/>
        </w:rPr>
        <w:t>Treasury stock consisted of approximately 0.9 million shares as of both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15:</w:t>
      </w:r>
      <w:r>
        <w:rPr>
          <w:rFonts w:ascii="Calibri;Arial;sans-serif" w:hAnsi="Calibri;Arial;sans-serif"/>
          <w:b/>
          <w:caps w:val="false"/>
          <w:smallCaps w:val="false"/>
          <w:sz w:val="20"/>
        </w:rPr>
        <w:t xml:space="preserve"> OTHER COMPREHENSIVE (LOSS)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changes in Other comprehensive (loss) income by component, were as follows:</w:t>
      </w:r>
    </w:p>
    <w:p>
      <w:pPr>
        <w:pStyle w:val="TextBody"/>
        <w:spacing w:before="0" w:after="0"/>
        <w:ind w:left="0" w:right="0" w:hanging="0"/>
        <w:rPr>
          <w:caps w:val="false"/>
          <w:smallCaps w:val="false"/>
        </w:rPr>
      </w:pPr>
      <w:r>
        <w:rPr>
          <w:caps w:val="false"/>
          <w:smallCaps w:val="false"/>
        </w:rPr>
        <w:t> </w:t>
      </w:r>
    </w:p>
    <w:tbl>
      <w:tblPr>
        <w:tblW w:w="7063" w:type="dxa"/>
        <w:jc w:val="left"/>
        <w:tblInd w:w="0" w:type="dxa"/>
        <w:tblCellMar>
          <w:top w:w="0" w:type="dxa"/>
          <w:left w:w="0" w:type="dxa"/>
          <w:bottom w:w="0" w:type="dxa"/>
          <w:right w:w="0" w:type="dxa"/>
        </w:tblCellMar>
      </w:tblPr>
      <w:tblGrid>
        <w:gridCol w:w="5225"/>
        <w:gridCol w:w="60"/>
        <w:gridCol w:w="231"/>
        <w:gridCol w:w="481"/>
        <w:gridCol w:w="148"/>
        <w:gridCol w:w="111"/>
        <w:gridCol w:w="231"/>
        <w:gridCol w:w="481"/>
        <w:gridCol w:w="95"/>
      </w:tblGrid>
      <w:tr>
        <w:trPr/>
        <w:tc>
          <w:tcPr>
            <w:tcW w:w="52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3"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95" w:type="dxa"/>
            <w:tcBorders/>
            <w:shd w:fill="FFFF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95" w:type="dxa"/>
            <w:tcBorders/>
            <w:shd w:fill="FFFF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1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48"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ind w:left="0" w:right="0" w:hanging="0"/>
              <w:rPr/>
            </w:pPr>
            <w:r>
              <w:rPr/>
              <w:t> </w:t>
            </w:r>
          </w:p>
        </w:tc>
        <w:tc>
          <w:tcPr>
            <w:tcW w:w="71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Currency translation adjustments</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481" w:type="dxa"/>
            <w:tcBorders/>
            <w:shd w:fill="CCEEFF" w:val="clear"/>
            <w:vAlign w:val="center"/>
          </w:tcPr>
          <w:p>
            <w:pPr>
              <w:pStyle w:val="TableContents"/>
              <w:spacing w:before="0" w:after="0"/>
              <w:ind w:left="0" w:right="0" w:hanging="0"/>
              <w:rPr/>
            </w:pPr>
            <w:r>
              <w:rPr/>
              <w:t> </w:t>
            </w:r>
          </w:p>
        </w:tc>
        <w:tc>
          <w:tcPr>
            <w:tcW w:w="148" w:type="dxa"/>
            <w:tcBorders/>
            <w:shd w:fill="CCEEFF" w:val="clear"/>
            <w:vAlign w:val="center"/>
          </w:tcPr>
          <w:p>
            <w:pPr>
              <w:pStyle w:val="TableContents"/>
              <w:spacing w:before="0" w:after="0"/>
              <w:ind w:left="0" w:right="0" w:hanging="0"/>
              <w:rPr/>
            </w:pPr>
            <w:r>
              <w:rPr/>
              <w:t> </w:t>
            </w:r>
          </w:p>
        </w:tc>
        <w:tc>
          <w:tcPr>
            <w:tcW w:w="111" w:type="dxa"/>
            <w:tcBorders/>
            <w:shd w:fill="CCEEFF" w:val="clear"/>
            <w:vAlign w:val="center"/>
          </w:tcPr>
          <w:p>
            <w:pPr>
              <w:pStyle w:val="TableContents"/>
              <w:spacing w:before="0" w:after="0"/>
              <w:rPr/>
            </w:pPr>
            <w:r>
              <w:rPr/>
              <w:t> </w:t>
            </w:r>
          </w:p>
        </w:tc>
        <w:tc>
          <w:tcPr>
            <w:tcW w:w="231" w:type="dxa"/>
            <w:tcBorders/>
            <w:shd w:fill="CCEEFF" w:val="clear"/>
            <w:vAlign w:val="center"/>
          </w:tcPr>
          <w:p>
            <w:pPr>
              <w:pStyle w:val="TableContents"/>
              <w:spacing w:before="0" w:after="283"/>
              <w:rPr/>
            </w:pPr>
            <w:r>
              <w:rPr/>
              <w:t> </w:t>
            </w:r>
          </w:p>
        </w:tc>
        <w:tc>
          <w:tcPr>
            <w:tcW w:w="481"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Currency translation adjustments</w:t>
            </w:r>
          </w:p>
        </w:tc>
        <w:tc>
          <w:tcPr>
            <w:tcW w:w="60" w:type="dxa"/>
            <w:tcBorders/>
            <w:shd w:fill="FFFFFF" w:val="clear"/>
            <w:vAlign w:val="center"/>
          </w:tcPr>
          <w:p>
            <w:pPr>
              <w:pStyle w:val="TableContents"/>
              <w:spacing w:before="0" w:after="283"/>
              <w:ind w:left="0" w:right="0" w:hanging="0"/>
              <w:rPr/>
            </w:pPr>
            <w:r>
              <w:rPr/>
              <w:t> </w:t>
            </w:r>
          </w:p>
        </w:tc>
        <w:tc>
          <w:tcPr>
            <w:tcW w:w="231" w:type="dxa"/>
            <w:tcBorders>
              <w:bottom w:val="single" w:sz="2"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rStyle w:val="Emphasis"/>
                <w:rFonts w:ascii="Calibri;Arial;sans-serif" w:hAnsi="Calibri;Arial;sans-serif"/>
                <w:sz w:val="20"/>
              </w:rPr>
              <w:t>(1</w:t>
            </w:r>
          </w:p>
        </w:tc>
        <w:tc>
          <w:tcPr>
            <w:tcW w:w="148"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spacing w:before="0" w:after="283"/>
              <w:ind w:left="0" w:right="0" w:hanging="0"/>
              <w:rPr/>
            </w:pPr>
            <w:r>
              <w:rPr/>
              <w:t> </w:t>
            </w:r>
          </w:p>
        </w:tc>
        <w:tc>
          <w:tcPr>
            <w:tcW w:w="231" w:type="dxa"/>
            <w:tcBorders>
              <w:bottom w:val="single" w:sz="2"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 </w:t>
            </w:r>
          </w:p>
        </w:tc>
        <w:tc>
          <w:tcPr>
            <w:tcW w:w="148" w:type="dxa"/>
            <w:tcBorders/>
            <w:shd w:fill="CCEEFF" w:val="clear"/>
            <w:vAlign w:val="center"/>
          </w:tcPr>
          <w:p>
            <w:pPr>
              <w:pStyle w:val="TableContents"/>
              <w:spacing w:before="0" w:after="0"/>
              <w:ind w:left="0" w:right="0" w:hanging="0"/>
              <w:rPr/>
            </w:pPr>
            <w:r>
              <w:rPr/>
              <w:t> </w:t>
            </w:r>
          </w:p>
        </w:tc>
        <w:tc>
          <w:tcPr>
            <w:tcW w:w="111" w:type="dxa"/>
            <w:tcBorders/>
            <w:shd w:fill="CCEEFF" w:val="clear"/>
            <w:vAlign w:val="center"/>
          </w:tcPr>
          <w:p>
            <w:pPr>
              <w:pStyle w:val="TableContents"/>
              <w:spacing w:before="0" w:after="0"/>
              <w:rPr/>
            </w:pPr>
            <w:r>
              <w:rPr/>
              <w:t> </w:t>
            </w:r>
          </w:p>
        </w:tc>
        <w:tc>
          <w:tcPr>
            <w:tcW w:w="231" w:type="dxa"/>
            <w:tcBorders/>
            <w:shd w:fill="CCEEFF" w:val="clear"/>
            <w:vAlign w:val="center"/>
          </w:tcPr>
          <w:p>
            <w:pPr>
              <w:pStyle w:val="TableContents"/>
              <w:spacing w:before="0" w:after="283"/>
              <w:rPr/>
            </w:pPr>
            <w:r>
              <w:rPr/>
              <w:t> </w:t>
            </w:r>
          </w:p>
        </w:tc>
        <w:tc>
          <w:tcPr>
            <w:tcW w:w="48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changes</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481"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481" w:type="dxa"/>
            <w:tcBorders/>
            <w:shd w:fill="FFFFFF" w:val="clear"/>
            <w:vAlign w:val="center"/>
          </w:tcPr>
          <w:p>
            <w:pPr>
              <w:pStyle w:val="TableContents"/>
              <w:spacing w:before="0" w:after="283"/>
              <w:rPr/>
            </w:pPr>
            <w:r>
              <w:rPr/>
              <w:t> </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481"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481"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lineRule="auto" w:line="288"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Amortization of prior service cost (credit) (1)</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48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8"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48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lineRule="auto" w:line="288"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Amortization of actuarial (gains) losses (1)</w:t>
            </w:r>
          </w:p>
        </w:tc>
        <w:tc>
          <w:tcPr>
            <w:tcW w:w="60" w:type="dxa"/>
            <w:tcBorders/>
            <w:shd w:fill="CCEEFF" w:val="clear"/>
            <w:vAlign w:val="center"/>
          </w:tcPr>
          <w:p>
            <w:pPr>
              <w:pStyle w:val="TableContents"/>
              <w:spacing w:before="0" w:after="283"/>
              <w:rPr/>
            </w:pPr>
            <w:r>
              <w:rPr/>
              <w:t> </w:t>
            </w:r>
          </w:p>
        </w:tc>
        <w:tc>
          <w:tcPr>
            <w:tcW w:w="2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8"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spacing w:before="0" w:after="283"/>
              <w:rPr/>
            </w:pPr>
            <w:r>
              <w:rPr/>
              <w:t> </w:t>
            </w:r>
          </w:p>
        </w:tc>
        <w:tc>
          <w:tcPr>
            <w:tcW w:w="2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reclassification adjustments</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48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8"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481" w:type="dxa"/>
            <w:tcBorders/>
            <w:shd w:fill="FFFFFF" w:val="clear"/>
            <w:vAlign w:val="center"/>
          </w:tcPr>
          <w:p>
            <w:pPr>
              <w:pStyle w:val="TableContents"/>
              <w:spacing w:before="0" w:after="283"/>
              <w:ind w:left="0" w:right="0" w:hanging="0"/>
              <w:jc w:val="right"/>
              <w:rPr/>
            </w:pPr>
            <w:r>
              <w:rPr/>
              <w:t>—</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Tax provision</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481" w:type="dxa"/>
            <w:tcBorders/>
            <w:shd w:fill="CCEEFF" w:val="clear"/>
            <w:vAlign w:val="center"/>
          </w:tcPr>
          <w:p>
            <w:pPr>
              <w:pStyle w:val="TableContents"/>
              <w:spacing w:before="0" w:after="283"/>
              <w:ind w:left="0" w:right="0" w:hanging="0"/>
              <w:jc w:val="right"/>
              <w:rPr/>
            </w:pPr>
            <w:r>
              <w:rPr/>
              <w:t>—</w:t>
            </w:r>
          </w:p>
        </w:tc>
        <w:tc>
          <w:tcPr>
            <w:tcW w:w="148" w:type="dxa"/>
            <w:tcBorders/>
            <w:shd w:fill="CCEEFF" w:val="clear"/>
            <w:vAlign w:val="center"/>
          </w:tcPr>
          <w:p>
            <w:pPr>
              <w:pStyle w:val="TableContents"/>
              <w:spacing w:before="0" w:after="283"/>
              <w:rPr/>
            </w:pPr>
            <w:r>
              <w:rPr/>
              <w:t> </w:t>
            </w:r>
          </w:p>
        </w:tc>
        <w:tc>
          <w:tcPr>
            <w:tcW w:w="111"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481" w:type="dxa"/>
            <w:tcBorders/>
            <w:shd w:fill="CCEEFF" w:val="clear"/>
            <w:vAlign w:val="center"/>
          </w:tcPr>
          <w:p>
            <w:pPr>
              <w:pStyle w:val="TableContents"/>
              <w:spacing w:before="0" w:after="283"/>
              <w:ind w:left="0" w:right="0" w:hanging="0"/>
              <w:jc w:val="right"/>
              <w:rPr/>
            </w:pPr>
            <w:r>
              <w:rPr/>
              <w:t>—</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Reclassification adjustments, net of tax</w:t>
            </w:r>
          </w:p>
        </w:tc>
        <w:tc>
          <w:tcPr>
            <w:tcW w:w="60" w:type="dxa"/>
            <w:tcBorders/>
            <w:shd w:fill="FFFFFF" w:val="clear"/>
            <w:vAlign w:val="center"/>
          </w:tcPr>
          <w:p>
            <w:pPr>
              <w:pStyle w:val="TableContents"/>
              <w:spacing w:before="0" w:after="283"/>
              <w:rPr/>
            </w:pPr>
            <w:r>
              <w:rPr/>
              <w:t> </w:t>
            </w:r>
          </w:p>
        </w:tc>
        <w:tc>
          <w:tcPr>
            <w:tcW w:w="23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8"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spacing w:before="0" w:after="283"/>
              <w:rPr/>
            </w:pPr>
            <w:r>
              <w:rPr/>
              <w:t> </w:t>
            </w:r>
          </w:p>
        </w:tc>
        <w:tc>
          <w:tcPr>
            <w:tcW w:w="23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1"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and other postretirement benefit plan changes, net of tax</w:t>
            </w:r>
          </w:p>
        </w:tc>
        <w:tc>
          <w:tcPr>
            <w:tcW w:w="60" w:type="dxa"/>
            <w:tcBorders/>
            <w:shd w:fill="CCEEFF" w:val="clear"/>
            <w:vAlign w:val="center"/>
          </w:tcPr>
          <w:p>
            <w:pPr>
              <w:pStyle w:val="TableContents"/>
              <w:spacing w:before="0" w:after="283"/>
              <w:rPr/>
            </w:pPr>
            <w:r>
              <w:rPr/>
              <w:t> </w:t>
            </w:r>
          </w:p>
        </w:tc>
        <w:tc>
          <w:tcPr>
            <w:tcW w:w="2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8"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1" w:type="dxa"/>
            <w:tcBorders/>
            <w:shd w:fill="CCEEFF" w:val="clear"/>
            <w:vAlign w:val="center"/>
          </w:tcPr>
          <w:p>
            <w:pPr>
              <w:pStyle w:val="TableContents"/>
              <w:spacing w:before="0" w:after="283"/>
              <w:rPr/>
            </w:pPr>
            <w:r>
              <w:rPr/>
              <w:t> </w:t>
            </w:r>
          </w:p>
        </w:tc>
        <w:tc>
          <w:tcPr>
            <w:tcW w:w="2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81"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comprehensive (loss) income</w:t>
            </w:r>
          </w:p>
        </w:tc>
        <w:tc>
          <w:tcPr>
            <w:tcW w:w="60" w:type="dxa"/>
            <w:tcBorders/>
            <w:shd w:fill="FFFFFF" w:val="clear"/>
            <w:vAlign w:val="center"/>
          </w:tcPr>
          <w:p>
            <w:pPr>
              <w:pStyle w:val="TableContents"/>
              <w:spacing w:before="0" w:after="283"/>
              <w:ind w:left="0" w:right="0" w:hanging="0"/>
              <w:rPr/>
            </w:pPr>
            <w:r>
              <w:rPr/>
              <w:t> </w:t>
            </w:r>
          </w:p>
        </w:tc>
        <w:tc>
          <w:tcPr>
            <w:tcW w:w="231"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8"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1" w:type="dxa"/>
            <w:tcBorders/>
            <w:shd w:fill="FFFFFF" w:val="clear"/>
            <w:vAlign w:val="center"/>
          </w:tcPr>
          <w:p>
            <w:pPr>
              <w:pStyle w:val="TableContents"/>
              <w:spacing w:before="0" w:after="283"/>
              <w:ind w:left="0" w:right="0" w:hanging="0"/>
              <w:rPr/>
            </w:pPr>
            <w:r>
              <w:rPr/>
              <w:t> </w:t>
            </w:r>
          </w:p>
        </w:tc>
        <w:tc>
          <w:tcPr>
            <w:tcW w:w="231"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8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9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9640" w:type="dxa"/>
        <w:jc w:val="left"/>
        <w:tblInd w:w="0" w:type="dxa"/>
        <w:tblCellMar>
          <w:top w:w="0" w:type="dxa"/>
          <w:left w:w="0" w:type="dxa"/>
          <w:bottom w:w="0" w:type="dxa"/>
          <w:right w:w="0" w:type="dxa"/>
        </w:tblCellMar>
      </w:tblPr>
      <w:tblGrid>
        <w:gridCol w:w="260"/>
        <w:gridCol w:w="9380"/>
      </w:tblGrid>
      <w:tr>
        <w:trPr/>
        <w:tc>
          <w:tcPr>
            <w:tcW w:w="260" w:type="dxa"/>
            <w:tcBorders/>
            <w:shd w:fill="auto" w:val="clear"/>
            <w:vAlign w:val="center"/>
          </w:tcPr>
          <w:p>
            <w:pPr>
              <w:pStyle w:val="TableContents"/>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9380" w:type="dxa"/>
            <w:tcBorders/>
            <w:shd w:fill="auto" w:val="clear"/>
            <w:vAlign w:val="center"/>
          </w:tcPr>
          <w:p>
            <w:pPr>
              <w:pStyle w:val="TableContents"/>
              <w:spacing w:before="0" w:after="0"/>
              <w:ind w:left="0" w:right="0" w:hanging="0"/>
              <w:jc w:val="left"/>
              <w:rPr/>
            </w:pPr>
            <w:r>
              <w:rPr>
                <w:rFonts w:ascii="Calibri;Arial;sans-serif" w:hAnsi="Calibri;Arial;sans-serif"/>
                <w:sz w:val="20"/>
              </w:rPr>
              <w:t xml:space="preserve">Reclassified to Total Net Periodic Benefit Cost - refer to Note </w:t>
            </w:r>
            <w:r>
              <w:rPr>
                <w:rStyle w:val="Emphasis"/>
                <w:rFonts w:ascii="Calibri;Arial;sans-serif" w:hAnsi="Calibri;Arial;sans-serif"/>
                <w:sz w:val="20"/>
              </w:rPr>
              <w:t>11,</w:t>
            </w:r>
            <w:r>
              <w:rPr>
                <w:rFonts w:ascii="Calibri;Arial;sans-serif" w:hAnsi="Calibri;Arial;sans-serif"/>
                <w:sz w:val="20"/>
              </w:rPr>
              <w:t xml:space="preserve"> "Retirement Plans and Other Postretirement Benefits".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16:</w:t>
      </w:r>
      <w:r>
        <w:rPr>
          <w:rFonts w:ascii="Calibri;Arial;sans-serif" w:hAnsi="Calibri;Arial;sans-serif"/>
          <w:b/>
          <w:caps w:val="false"/>
          <w:smallCaps w:val="false"/>
          <w:sz w:val="20"/>
        </w:rPr>
        <w:t xml:space="preserve"> SEGMENT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b/>
          <w:i/>
          <w:caps w:val="false"/>
          <w:smallCaps w:val="false"/>
          <w:sz w:val="20"/>
        </w:rPr>
        <w:t>Change in Segments </w:t>
      </w:r>
      <w:r>
        <w:rPr>
          <w:rFonts w:ascii="Calibri;Arial;sans-serif" w:hAnsi="Calibri;Arial;sans-serif"/>
          <w:caps w:val="false"/>
          <w:smallCaps w:val="false"/>
          <w:sz w:val="20"/>
        </w:rPr>
        <w:br/>
        <w:t xml:space="preserve">Effective </w:t>
      </w:r>
      <w:r>
        <w:rPr>
          <w:rStyle w:val="Emphasis"/>
          <w:rFonts w:ascii="Calibri;Arial;sans-serif" w:hAnsi="Calibri;Arial;sans-serif"/>
          <w:caps w:val="false"/>
          <w:smallCaps w:val="false"/>
          <w:sz w:val="20"/>
        </w:rPr>
        <w:t xml:space="preserve">February 2023 </w:t>
      </w:r>
      <w:r>
        <w:rPr>
          <w:rFonts w:ascii="Calibri;Arial;sans-serif" w:hAnsi="Calibri;Arial;sans-serif"/>
          <w:caps w:val="false"/>
          <w:smallCaps w:val="false"/>
          <w:sz w:val="20"/>
        </w:rPr>
        <w:t xml:space="preserve">Kodak changed its organizational structure. The Traditional Printing segment and the Digital Printing segment were combined into one segment, named the Print segment.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changes were made to Kodak's other segments.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w:t>
      </w:r>
      <w:r>
        <w:rPr>
          <w:rFonts w:ascii="Calibri;Arial;sans-serif" w:hAnsi="Calibri;Arial;sans-serif"/>
          <w:caps w:val="false"/>
          <w:smallCaps w:val="false"/>
          <w:sz w:val="20"/>
        </w:rPr>
        <w:t xml:space="preserve"> The Advanced Materials and Chemicals segment is comprised of three lines of business: Industrial Film and Chemicals, Motion Picture and Advanced Materials and Functional Printing.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Segment financial information is shown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spacing w:before="0" w:after="0"/>
        <w:ind w:left="0" w:right="0" w:hanging="0"/>
        <w:rPr>
          <w:caps w:val="false"/>
          <w:smallCaps w:val="false"/>
        </w:rPr>
      </w:pPr>
      <w:r>
        <w:rPr>
          <w:caps w:val="false"/>
          <w:smallCaps w:val="false"/>
        </w:rPr>
        <w:t> </w:t>
      </w:r>
    </w:p>
    <w:tbl>
      <w:tblPr>
        <w:tblW w:w="4582" w:type="dxa"/>
        <w:jc w:val="left"/>
        <w:tblInd w:w="0" w:type="dxa"/>
        <w:tblCellMar>
          <w:top w:w="0" w:type="dxa"/>
          <w:left w:w="0" w:type="dxa"/>
          <w:bottom w:w="0" w:type="dxa"/>
          <w:right w:w="0" w:type="dxa"/>
        </w:tblCellMar>
      </w:tblPr>
      <w:tblGrid>
        <w:gridCol w:w="2765"/>
        <w:gridCol w:w="60"/>
        <w:gridCol w:w="202"/>
        <w:gridCol w:w="542"/>
        <w:gridCol w:w="97"/>
        <w:gridCol w:w="97"/>
        <w:gridCol w:w="202"/>
        <w:gridCol w:w="542"/>
        <w:gridCol w:w="75"/>
      </w:tblGrid>
      <w:tr>
        <w:trPr/>
        <w:tc>
          <w:tcPr>
            <w:tcW w:w="2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2"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75" w:type="dxa"/>
            <w:tcBorders/>
            <w:shd w:fill="FFFF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ind w:left="0" w:right="0" w:hanging="0"/>
              <w:rPr/>
            </w:pPr>
            <w:r>
              <w:rPr/>
              <w:t> </w:t>
            </w:r>
          </w:p>
        </w:tc>
        <w:tc>
          <w:tcPr>
            <w:tcW w:w="7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4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75" w:type="dxa"/>
            <w:tcBorders/>
            <w:shd w:fill="CCEE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54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542"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75" w:type="dxa"/>
            <w:tcBorders/>
            <w:shd w:fill="FFFFFF"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ind w:left="0" w:right="0" w:hanging="0"/>
              <w:rPr/>
            </w:pPr>
            <w:r>
              <w:rPr/>
              <w:t> </w:t>
            </w:r>
          </w:p>
        </w:tc>
        <w:tc>
          <w:tcPr>
            <w:tcW w:w="54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ind w:left="0" w:right="0" w:hanging="0"/>
              <w:rPr/>
            </w:pPr>
            <w:r>
              <w:rPr/>
              <w:t> </w:t>
            </w:r>
          </w:p>
        </w:tc>
        <w:tc>
          <w:tcPr>
            <w:tcW w:w="542"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CCEE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spacing w:before="0" w:after="283"/>
              <w:rPr/>
            </w:pPr>
            <w:r>
              <w:rPr/>
              <w:t> </w:t>
            </w:r>
          </w:p>
        </w:tc>
        <w:tc>
          <w:tcPr>
            <w:tcW w:w="20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7" w:type="dxa"/>
            <w:tcBorders/>
            <w:shd w:fill="FFFFFF" w:val="clear"/>
            <w:vAlign w:val="center"/>
          </w:tcPr>
          <w:p>
            <w:pPr>
              <w:pStyle w:val="TableContents"/>
              <w:spacing w:before="0" w:after="283"/>
              <w:rPr/>
            </w:pPr>
            <w:r>
              <w:rPr/>
              <w:t> </w:t>
            </w:r>
          </w:p>
        </w:tc>
        <w:tc>
          <w:tcPr>
            <w:tcW w:w="97" w:type="dxa"/>
            <w:tcBorders/>
            <w:shd w:fill="FFFFFF" w:val="clear"/>
            <w:vAlign w:val="center"/>
          </w:tcPr>
          <w:p>
            <w:pPr>
              <w:pStyle w:val="TableContents"/>
              <w:spacing w:before="0" w:after="283"/>
              <w:rPr/>
            </w:pPr>
            <w:r>
              <w:rPr/>
              <w:t> </w:t>
            </w:r>
          </w:p>
        </w:tc>
        <w:tc>
          <w:tcPr>
            <w:tcW w:w="20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FFFFFF"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total</w:t>
            </w:r>
          </w:p>
        </w:tc>
        <w:tc>
          <w:tcPr>
            <w:tcW w:w="60" w:type="dxa"/>
            <w:tcBorders/>
            <w:shd w:fill="CCEEFF" w:val="clear"/>
            <w:vAlign w:val="center"/>
          </w:tcPr>
          <w:p>
            <w:pPr>
              <w:pStyle w:val="TableContents"/>
              <w:spacing w:before="0" w:after="283"/>
              <w:ind w:left="0" w:right="0" w:hanging="0"/>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97"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ind w:left="0" w:right="0" w:hanging="0"/>
              <w:rPr/>
            </w:pPr>
            <w:r>
              <w:rPr/>
              <w:t> </w:t>
            </w:r>
          </w:p>
        </w:tc>
        <w:tc>
          <w:tcPr>
            <w:tcW w:w="202"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4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290</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(Loss) from Operations Before Income Taxes</w:t>
      </w:r>
    </w:p>
    <w:p>
      <w:pPr>
        <w:pStyle w:val="TextBody"/>
        <w:spacing w:before="0" w:after="0"/>
        <w:ind w:left="0" w:right="0" w:hanging="0"/>
        <w:rPr>
          <w:caps w:val="false"/>
          <w:smallCaps w:val="false"/>
        </w:rPr>
      </w:pPr>
      <w:r>
        <w:rPr>
          <w:caps w:val="false"/>
          <w:smallCaps w:val="false"/>
        </w:rPr>
        <w:t> </w:t>
      </w:r>
    </w:p>
    <w:tbl>
      <w:tblPr>
        <w:tblW w:w="7063" w:type="dxa"/>
        <w:jc w:val="left"/>
        <w:tblInd w:w="0" w:type="dxa"/>
        <w:tblCellMar>
          <w:top w:w="0" w:type="dxa"/>
          <w:left w:w="0" w:type="dxa"/>
          <w:bottom w:w="0" w:type="dxa"/>
          <w:right w:w="0" w:type="dxa"/>
        </w:tblCellMar>
      </w:tblPr>
      <w:tblGrid>
        <w:gridCol w:w="5225"/>
        <w:gridCol w:w="60"/>
        <w:gridCol w:w="224"/>
        <w:gridCol w:w="519"/>
        <w:gridCol w:w="143"/>
        <w:gridCol w:w="107"/>
        <w:gridCol w:w="224"/>
        <w:gridCol w:w="466"/>
        <w:gridCol w:w="95"/>
      </w:tblGrid>
      <w:tr>
        <w:trPr/>
        <w:tc>
          <w:tcPr>
            <w:tcW w:w="52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3"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95" w:type="dxa"/>
            <w:tcBorders/>
            <w:shd w:fill="FFFF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95" w:type="dxa"/>
            <w:tcBorders/>
            <w:shd w:fill="FFFF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4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ind w:left="0" w:right="0" w:hanging="0"/>
              <w:rPr/>
            </w:pPr>
            <w:r>
              <w:rPr/>
              <w:t> </w:t>
            </w:r>
          </w:p>
        </w:tc>
        <w:tc>
          <w:tcPr>
            <w:tcW w:w="69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6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519" w:type="dxa"/>
            <w:tcBorders/>
            <w:shd w:fill="FFFFFF" w:val="clear"/>
            <w:vAlign w:val="center"/>
          </w:tcPr>
          <w:p>
            <w:pPr>
              <w:pStyle w:val="TableContents"/>
              <w:spacing w:before="0" w:after="283"/>
              <w:ind w:left="0" w:right="0" w:hanging="0"/>
              <w:jc w:val="right"/>
              <w:rPr/>
            </w:pPr>
            <w:r>
              <w:rPr/>
              <w:t>—</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46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Total of reportable segments</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51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46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51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4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46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51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3"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466" w:type="dxa"/>
            <w:tcBorders/>
            <w:shd w:fill="FFFFFF" w:val="clear"/>
            <w:vAlign w:val="center"/>
          </w:tcPr>
          <w:p>
            <w:pPr>
              <w:pStyle w:val="TableContents"/>
              <w:spacing w:before="0" w:after="283"/>
              <w:ind w:left="0" w:right="0" w:hanging="0"/>
              <w:jc w:val="right"/>
              <w:rPr/>
            </w:pPr>
            <w:r>
              <w:rPr/>
              <w:t>—</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51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46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(1)</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51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46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Idle costs (2)</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519" w:type="dxa"/>
            <w:tcBorders/>
            <w:shd w:fill="CCEEFF" w:val="clear"/>
            <w:vAlign w:val="center"/>
          </w:tcPr>
          <w:p>
            <w:pPr>
              <w:pStyle w:val="TableContents"/>
              <w:spacing w:before="0" w:after="283"/>
              <w:ind w:left="0" w:right="0" w:hanging="0"/>
              <w:jc w:val="right"/>
              <w:rPr/>
            </w:pPr>
            <w:r>
              <w:rPr/>
              <w:t>—</w:t>
            </w:r>
          </w:p>
        </w:tc>
        <w:tc>
          <w:tcPr>
            <w:tcW w:w="14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46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lineRule="auto" w:line="288" w:before="0" w:after="0"/>
              <w:ind w:left="0" w:right="0" w:hanging="0"/>
              <w:rPr>
                <w:rFonts w:ascii="Calibri;Arial;sans-serif" w:hAnsi="Calibri;Arial;sans-serif"/>
                <w:sz w:val="20"/>
              </w:rPr>
            </w:pPr>
            <w:r>
              <w:rPr>
                <w:rFonts w:ascii="Calibri;Arial;sans-serif" w:hAnsi="Calibri;Arial;sans-serif"/>
                <w:sz w:val="20"/>
              </w:rPr>
              <w:t>Other operating expense (3)</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rPr/>
            </w:pPr>
            <w:r>
              <w:rPr/>
              <w:t> </w:t>
            </w:r>
          </w:p>
        </w:tc>
        <w:tc>
          <w:tcPr>
            <w:tcW w:w="519" w:type="dxa"/>
            <w:tcBorders/>
            <w:shd w:fill="FFFF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(1</w:t>
            </w:r>
          </w:p>
        </w:tc>
        <w:tc>
          <w:tcPr>
            <w:tcW w:w="143"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rPr/>
            </w:pPr>
            <w:r>
              <w:rPr/>
              <w:t> </w:t>
            </w:r>
          </w:p>
        </w:tc>
        <w:tc>
          <w:tcPr>
            <w:tcW w:w="466"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Interest expense (3)</w:t>
            </w:r>
          </w:p>
        </w:tc>
        <w:tc>
          <w:tcPr>
            <w:tcW w:w="60"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51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43"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07" w:type="dxa"/>
            <w:tcBorders/>
            <w:shd w:fill="CCEEFF" w:val="clear"/>
            <w:vAlign w:val="center"/>
          </w:tcPr>
          <w:p>
            <w:pPr>
              <w:pStyle w:val="TableContents"/>
              <w:spacing w:before="0" w:after="283"/>
              <w:rPr/>
            </w:pPr>
            <w:r>
              <w:rPr/>
              <w:t> </w:t>
            </w:r>
          </w:p>
        </w:tc>
        <w:tc>
          <w:tcPr>
            <w:tcW w:w="224" w:type="dxa"/>
            <w:tcBorders/>
            <w:shd w:fill="CCEEFF" w:val="clear"/>
            <w:vAlign w:val="center"/>
          </w:tcPr>
          <w:p>
            <w:pPr>
              <w:pStyle w:val="TableContents"/>
              <w:spacing w:before="0" w:after="283"/>
              <w:ind w:left="0" w:right="0" w:hanging="0"/>
              <w:rPr/>
            </w:pPr>
            <w:r>
              <w:rPr/>
              <w:t> </w:t>
            </w:r>
          </w:p>
        </w:tc>
        <w:tc>
          <w:tcPr>
            <w:tcW w:w="46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(3)</w:t>
            </w:r>
          </w:p>
        </w:tc>
        <w:tc>
          <w:tcPr>
            <w:tcW w:w="60"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51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rPr/>
            </w:pPr>
            <w:r>
              <w:rPr/>
              <w:t> </w:t>
            </w:r>
          </w:p>
        </w:tc>
        <w:tc>
          <w:tcPr>
            <w:tcW w:w="224" w:type="dxa"/>
            <w:tcBorders/>
            <w:shd w:fill="FFFFFF" w:val="clear"/>
            <w:vAlign w:val="center"/>
          </w:tcPr>
          <w:p>
            <w:pPr>
              <w:pStyle w:val="TableContents"/>
              <w:spacing w:before="0" w:after="283"/>
              <w:ind w:left="0" w:right="0" w:hanging="0"/>
              <w:rPr/>
            </w:pPr>
            <w:r>
              <w:rPr/>
              <w:t> </w:t>
            </w:r>
          </w:p>
        </w:tc>
        <w:tc>
          <w:tcPr>
            <w:tcW w:w="46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income (charges), net (3)</w:t>
            </w:r>
          </w:p>
        </w:tc>
        <w:tc>
          <w:tcPr>
            <w:tcW w:w="60"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3" w:type="dxa"/>
            <w:tcBorders/>
            <w:shd w:fill="CCEEFF" w:val="clear"/>
            <w:vAlign w:val="center"/>
          </w:tcPr>
          <w:p>
            <w:pPr>
              <w:pStyle w:val="TableContents"/>
              <w:spacing w:before="0" w:after="283"/>
              <w:rPr/>
            </w:pPr>
            <w:r>
              <w:rPr/>
              <w:t> </w:t>
            </w:r>
          </w:p>
        </w:tc>
        <w:tc>
          <w:tcPr>
            <w:tcW w:w="107" w:type="dxa"/>
            <w:tcBorders/>
            <w:shd w:fill="CCEEFF" w:val="clear"/>
            <w:vAlign w:val="center"/>
          </w:tcPr>
          <w:p>
            <w:pPr>
              <w:pStyle w:val="TableContents"/>
              <w:spacing w:before="0" w:after="283"/>
              <w:rPr/>
            </w:pPr>
            <w:r>
              <w:rPr/>
              <w:t> </w:t>
            </w:r>
          </w:p>
        </w:tc>
        <w:tc>
          <w:tcPr>
            <w:tcW w:w="22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earnings (loss) from operations before income taxes</w:t>
            </w:r>
          </w:p>
        </w:tc>
        <w:tc>
          <w:tcPr>
            <w:tcW w:w="60" w:type="dxa"/>
            <w:tcBorders/>
            <w:shd w:fill="FFFFFF" w:val="clear"/>
            <w:vAlign w:val="center"/>
          </w:tcPr>
          <w:p>
            <w:pPr>
              <w:pStyle w:val="TableContents"/>
              <w:spacing w:before="0" w:after="283"/>
              <w:ind w:left="0" w:right="0" w:hanging="0"/>
              <w:rPr/>
            </w:pPr>
            <w:r>
              <w:rPr/>
              <w:t> </w:t>
            </w:r>
          </w:p>
        </w:tc>
        <w:tc>
          <w:tcPr>
            <w:tcW w:w="22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1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43" w:type="dxa"/>
            <w:tcBorders/>
            <w:shd w:fill="FFFFFF" w:val="clear"/>
            <w:vAlign w:val="center"/>
          </w:tcPr>
          <w:p>
            <w:pPr>
              <w:pStyle w:val="TableContents"/>
              <w:spacing w:before="0" w:after="283"/>
              <w:rPr/>
            </w:pPr>
            <w:r>
              <w:rPr/>
              <w:t> </w:t>
            </w:r>
          </w:p>
        </w:tc>
        <w:tc>
          <w:tcPr>
            <w:tcW w:w="107" w:type="dxa"/>
            <w:tcBorders/>
            <w:shd w:fill="FFFFFF" w:val="clear"/>
            <w:vAlign w:val="center"/>
          </w:tcPr>
          <w:p>
            <w:pPr>
              <w:pStyle w:val="TableContents"/>
              <w:spacing w:before="0" w:after="283"/>
              <w:ind w:left="0" w:right="0" w:hanging="0"/>
              <w:rPr/>
            </w:pPr>
            <w:r>
              <w:rPr/>
              <w:t> </w:t>
            </w:r>
          </w:p>
        </w:tc>
        <w:tc>
          <w:tcPr>
            <w:tcW w:w="224"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1</w:t>
            </w:r>
            <w:r>
              <w:rPr>
                <w:rFonts w:ascii="Calibri;Arial;sans-serif" w:hAnsi="Calibri;Arial;sans-serif"/>
                <w:sz w:val="20"/>
              </w:rPr>
              <w:t>)</w:t>
            </w:r>
          </w:p>
        </w:tc>
        <w:tc>
          <w:tcPr>
            <w:tcW w:w="10044" w:type="dxa"/>
            <w:tcBorders/>
            <w:shd w:fill="auto" w:val="clear"/>
            <w:vAlign w:val="center"/>
          </w:tcPr>
          <w:p>
            <w:pPr>
              <w:pStyle w:val="TableContents"/>
              <w:spacing w:before="0" w:after="0"/>
              <w:ind w:left="0" w:right="0" w:hanging="0"/>
              <w:jc w:val="left"/>
              <w:rPr/>
            </w:pPr>
            <w:r>
              <w:rPr>
                <w:rFonts w:ascii="Calibri;Arial;sans-serif" w:hAnsi="Calibri;Arial;sans-serif"/>
                <w:sz w:val="20"/>
              </w:rPr>
              <w:t xml:space="preserve">Consulting and other costs are primarily professional services and internal costs associated with certain corporate strategic initiatives, investigations and litigation.  Consulting and other costs include $10 million of income in the </w:t>
            </w:r>
            <w:r>
              <w:rPr>
                <w:rStyle w:val="Emphasis"/>
                <w:rFonts w:ascii="Calibri;Arial;sans-serif" w:hAnsi="Calibri;Arial;sans-serif"/>
                <w:sz w:val="20"/>
              </w:rPr>
              <w:t>three</w:t>
            </w:r>
            <w:r>
              <w:rPr>
                <w:rFonts w:ascii="Calibri;Arial;sans-serif" w:hAnsi="Calibri;Arial;sans-serif"/>
                <w:sz w:val="20"/>
              </w:rPr>
              <w:t xml:space="preserve"> months ended </w:t>
            </w:r>
            <w:r>
              <w:rPr>
                <w:rStyle w:val="Emphasis"/>
                <w:rFonts w:ascii="Calibri;Arial;sans-serif" w:hAnsi="Calibri;Arial;sans-serif"/>
                <w:sz w:val="20"/>
              </w:rPr>
              <w:t>March 31, 2023 </w:t>
            </w:r>
            <w:r>
              <w:rPr>
                <w:rFonts w:ascii="Calibri;Arial;sans-serif" w:hAnsi="Calibri;Arial;sans-serif"/>
                <w:sz w:val="20"/>
              </w:rPr>
              <w:t xml:space="preserve">representing insurance reimbursement of legal costs previously paid by the Company associated with investigations and litigation matters. Kodak received $15 million of insurance reimbursement proceeds in the </w:t>
            </w:r>
            <w:r>
              <w:rPr>
                <w:rStyle w:val="Emphasis"/>
                <w:rFonts w:ascii="Calibri;Arial;sans-serif" w:hAnsi="Calibri;Arial;sans-serif"/>
                <w:sz w:val="20"/>
              </w:rPr>
              <w:t>first</w:t>
            </w:r>
            <w:r>
              <w:rPr>
                <w:rFonts w:ascii="Calibri;Arial;sans-serif" w:hAnsi="Calibri;Arial;sans-serif"/>
                <w:sz w:val="20"/>
              </w:rPr>
              <w:t xml:space="preserve"> quarter of </w:t>
            </w:r>
            <w:r>
              <w:rPr>
                <w:rStyle w:val="Emphasis"/>
                <w:rFonts w:ascii="Calibri;Arial;sans-serif" w:hAnsi="Calibri;Arial;sans-serif"/>
                <w:sz w:val="20"/>
              </w:rPr>
              <w:t>2023,</w:t>
            </w:r>
            <w:r>
              <w:rPr>
                <w:rFonts w:ascii="Calibri;Arial;sans-serif" w:hAnsi="Calibri;Arial;sans-serif"/>
                <w:sz w:val="20"/>
              </w:rPr>
              <w:t xml:space="preserve"> of which $5 million was recorded in Other current assets in the Consolidated Statement of Financial Position as of </w:t>
            </w:r>
            <w:r>
              <w:rPr>
                <w:rStyle w:val="Emphasis"/>
                <w:rFonts w:ascii="Calibri;Arial;sans-serif" w:hAnsi="Calibri;Arial;sans-serif"/>
                <w:sz w:val="20"/>
              </w:rPr>
              <w:t>December 31, 2022.</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2</w:t>
            </w:r>
            <w:r>
              <w:rPr>
                <w:rFonts w:ascii="Calibri;Arial;sans-serif" w:hAnsi="Calibri;Arial;sans-serif"/>
                <w:sz w:val="20"/>
              </w:rPr>
              <w:t>)</w:t>
            </w:r>
          </w:p>
        </w:tc>
        <w:tc>
          <w:tcPr>
            <w:tcW w:w="10010" w:type="dxa"/>
            <w:tcBorders/>
            <w:shd w:fill="auto" w:val="clear"/>
            <w:vAlign w:val="center"/>
          </w:tcPr>
          <w:p>
            <w:pPr>
              <w:pStyle w:val="TableContents"/>
              <w:spacing w:before="0" w:after="0"/>
              <w:ind w:left="0" w:right="0" w:hanging="0"/>
              <w:jc w:val="left"/>
              <w:rPr/>
            </w:pPr>
            <w:r>
              <w:rPr>
                <w:rFonts w:ascii="Calibri;Arial;sans-serif" w:hAnsi="Calibri;Arial;sans-serif"/>
                <w:sz w:val="20"/>
              </w:rPr>
              <w:t xml:space="preserve">Consists of </w:t>
            </w:r>
            <w:r>
              <w:rPr>
                <w:rStyle w:val="Emphasis"/>
                <w:rFonts w:ascii="Calibri;Arial;sans-serif" w:hAnsi="Calibri;Arial;sans-serif"/>
                <w:sz w:val="20"/>
              </w:rPr>
              <w:t>third</w:t>
            </w:r>
            <w:r>
              <w:rPr>
                <w:rFonts w:ascii="Calibri;Arial;sans-serif" w:hAnsi="Calibri;Arial;sans-serif"/>
                <w:sz w:val="20"/>
              </w:rPr>
              <w:t xml:space="preserve">-party costs such as security, maintenance and utilities required to maintain land and buildings in certain locations </w:t>
            </w:r>
            <w:r>
              <w:rPr>
                <w:rStyle w:val="Emphasis"/>
                <w:rFonts w:ascii="Calibri;Arial;sans-serif" w:hAnsi="Calibri;Arial;sans-serif"/>
                <w:sz w:val="20"/>
              </w:rPr>
              <w:t>not</w:t>
            </w:r>
            <w:r>
              <w:rPr>
                <w:rFonts w:ascii="Calibri;Arial;sans-serif" w:hAnsi="Calibri;Arial;sans-serif"/>
                <w:sz w:val="20"/>
              </w:rPr>
              <w:t xml:space="preserve"> used in any Kodak operations and the costs, net of any rental income received, of underutilized portions of certain properties.</w:t>
            </w:r>
          </w:p>
        </w:tc>
      </w:tr>
    </w:tbl>
    <w:p>
      <w:pPr>
        <w:pStyle w:val="TextBody"/>
        <w:spacing w:before="0" w:after="0"/>
        <w:ind w:left="0" w:right="0" w:hanging="0"/>
        <w:rPr/>
      </w:pPr>
      <w:r>
        <w:rPr/>
        <w:t> </w:t>
      </w:r>
    </w:p>
    <w:tbl>
      <w:tblPr>
        <w:tblW w:w="4840" w:type="dxa"/>
        <w:jc w:val="left"/>
        <w:tblInd w:w="0" w:type="dxa"/>
        <w:tblCellMar>
          <w:top w:w="0" w:type="dxa"/>
          <w:left w:w="0" w:type="dxa"/>
          <w:bottom w:w="0" w:type="dxa"/>
          <w:right w:w="0" w:type="dxa"/>
        </w:tblCellMar>
      </w:tblPr>
      <w:tblGrid>
        <w:gridCol w:w="260"/>
        <w:gridCol w:w="4580"/>
      </w:tblGrid>
      <w:tr>
        <w:trPr/>
        <w:tc>
          <w:tcPr>
            <w:tcW w:w="260" w:type="dxa"/>
            <w:tcBorders/>
            <w:shd w:fill="auto" w:val="clear"/>
            <w:vAlign w:val="center"/>
          </w:tcPr>
          <w:p>
            <w:pPr>
              <w:pStyle w:val="TableContents"/>
              <w:spacing w:lineRule="auto" w:line="288" w:before="0" w:after="0"/>
              <w:ind w:left="0" w:right="0" w:hanging="0"/>
              <w:jc w:val="left"/>
              <w:rPr/>
            </w:pPr>
            <w:r>
              <w:rPr>
                <w:rFonts w:ascii="Calibri;Arial;sans-serif" w:hAnsi="Calibri;Arial;sans-serif"/>
                <w:sz w:val="20"/>
              </w:rPr>
              <w:t>(</w:t>
            </w:r>
            <w:r>
              <w:rPr>
                <w:rStyle w:val="Emphasis"/>
                <w:rFonts w:ascii="Calibri;Arial;sans-serif" w:hAnsi="Calibri;Arial;sans-serif"/>
                <w:sz w:val="20"/>
              </w:rPr>
              <w:t>3</w:t>
            </w:r>
            <w:r>
              <w:rPr>
                <w:rFonts w:ascii="Calibri;Arial;sans-serif" w:hAnsi="Calibri;Arial;sans-serif"/>
                <w:sz w:val="20"/>
              </w:rPr>
              <w:t>)</w:t>
            </w:r>
          </w:p>
        </w:tc>
        <w:tc>
          <w:tcPr>
            <w:tcW w:w="4580" w:type="dxa"/>
            <w:tcBorders/>
            <w:shd w:fill="auto" w:val="clear"/>
            <w:vAlign w:val="center"/>
          </w:tcPr>
          <w:p>
            <w:pPr>
              <w:pStyle w:val="TableContents"/>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spacing w:before="0" w:after="0"/>
        <w:ind w:left="0" w:right="0" w:hanging="0"/>
        <w:rPr/>
      </w:pPr>
      <w:r>
        <w:rPr/>
        <w:t> </w:t>
      </w:r>
    </w:p>
    <w:p>
      <w:pPr>
        <w:pStyle w:val="TextBody"/>
        <w:spacing w:before="0" w:after="0"/>
        <w:ind w:left="0" w:right="0" w:hanging="0"/>
        <w:rPr/>
      </w:pPr>
      <w:r>
        <w:rPr>
          <w:rFonts w:ascii="Calibri;Arial;sans-serif" w:hAnsi="Calibri;Arial;sans-serif"/>
          <w:sz w:val="20"/>
        </w:rPr>
        <w:t xml:space="preserve">Kodak increased employee benefit reserves by approximately $1 million in the </w:t>
      </w:r>
      <w:r>
        <w:rPr>
          <w:rStyle w:val="Emphasis"/>
          <w:rFonts w:ascii="Calibri;Arial;sans-serif" w:hAnsi="Calibri;Arial;sans-serif"/>
          <w:sz w:val="20"/>
        </w:rPr>
        <w:t>three</w:t>
      </w:r>
      <w:r>
        <w:rPr>
          <w:rFonts w:ascii="Calibri;Arial;sans-serif" w:hAnsi="Calibri;Arial;sans-serif"/>
          <w:sz w:val="20"/>
        </w:rPr>
        <w:t xml:space="preserve"> months ended </w:t>
      </w:r>
      <w:r>
        <w:rPr>
          <w:rStyle w:val="Emphasis"/>
          <w:rFonts w:ascii="Calibri;Arial;sans-serif" w:hAnsi="Calibri;Arial;sans-serif"/>
          <w:sz w:val="20"/>
        </w:rPr>
        <w:t xml:space="preserve">March 31, 2023 </w:t>
      </w:r>
      <w:r>
        <w:rPr>
          <w:rFonts w:ascii="Calibri;Arial;sans-serif" w:hAnsi="Calibri;Arial;sans-serif"/>
          <w:sz w:val="20"/>
        </w:rPr>
        <w:t xml:space="preserve">composed of an increase in workers' compensation reserves ($2 million) driven by changes in discount rates and a decrease in other employee benefit reserves ($1 million), primarily driven by a reduction in bonus accruals. The increase in reserves in the </w:t>
      </w:r>
      <w:r>
        <w:rPr>
          <w:rStyle w:val="Emphasis"/>
          <w:rFonts w:ascii="Calibri;Arial;sans-serif" w:hAnsi="Calibri;Arial;sans-serif"/>
          <w:sz w:val="20"/>
        </w:rPr>
        <w:t>three</w:t>
      </w:r>
      <w:r>
        <w:rPr>
          <w:rFonts w:ascii="Calibri;Arial;sans-serif" w:hAnsi="Calibri;Arial;sans-serif"/>
          <w:sz w:val="20"/>
        </w:rPr>
        <w:t xml:space="preserve"> months ended </w:t>
      </w:r>
      <w:r>
        <w:rPr>
          <w:rStyle w:val="Emphasis"/>
          <w:rFonts w:ascii="Calibri;Arial;sans-serif" w:hAnsi="Calibri;Arial;sans-serif"/>
          <w:sz w:val="20"/>
        </w:rPr>
        <w:t>March 31, 2023 </w:t>
      </w:r>
      <w:r>
        <w:rPr>
          <w:rFonts w:ascii="Calibri;Arial;sans-serif" w:hAnsi="Calibri;Arial;sans-serif"/>
          <w:sz w:val="20"/>
        </w:rPr>
        <w:t>impacted gross profit by approximately $1 million. </w:t>
      </w:r>
    </w:p>
    <w:p>
      <w:pPr>
        <w:pStyle w:val="TextBody"/>
        <w:spacing w:before="0" w:after="0"/>
        <w:ind w:left="0" w:right="0" w:hanging="0"/>
        <w:rPr/>
      </w:pPr>
      <w:r>
        <w:rPr/>
        <w:t> </w:t>
      </w:r>
    </w:p>
    <w:p>
      <w:pPr>
        <w:pStyle w:val="TextBody"/>
        <w:spacing w:before="0" w:after="0"/>
        <w:ind w:left="0" w:right="0" w:hanging="0"/>
        <w:rPr/>
      </w:pPr>
      <w:r>
        <w:rPr>
          <w:rFonts w:ascii="Calibri;Arial;sans-serif" w:hAnsi="Calibri;Arial;sans-serif"/>
          <w:caps w:val="false"/>
          <w:smallCaps w:val="false"/>
          <w:sz w:val="20"/>
        </w:rPr>
        <w:t xml:space="preserve">Kodak decreased workers’ compensation reserves by approximately $4 million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2022, </w:t>
      </w:r>
      <w:r>
        <w:rPr>
          <w:rFonts w:ascii="Calibri;Arial;sans-serif" w:hAnsi="Calibri;Arial;sans-serif"/>
          <w:caps w:val="false"/>
          <w:smallCaps w:val="false"/>
          <w:sz w:val="20"/>
        </w:rPr>
        <w:t xml:space="preserve">driven by changes in discount rates. The decrease in reserves in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2022 </w:t>
      </w:r>
      <w:r>
        <w:rPr>
          <w:rFonts w:ascii="Calibri;Arial;sans-serif" w:hAnsi="Calibri;Arial;sans-serif"/>
          <w:caps w:val="false"/>
          <w:smallCaps w:val="false"/>
          <w:sz w:val="20"/>
        </w:rPr>
        <w:t>impacted gross profit by approximately $3 million and Selling, general and administrative expenses by approximately $1 million.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Segment Measure of Profit and Loss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before interest, taxes, depreciation and amortization (“Operational EBITDA”).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 demonstrated in the above table, Operational EBITDA represents the earnings (loss)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other operating expense, net and other income (charges),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directly related to the other segments are reported within the Advanced Materials and Chemicals segment.</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pPr>
      <w:r>
        <w:rPr>
          <w:rFonts w:ascii="Calibri;Arial;sans-serif" w:hAnsi="Calibri;Arial;sans-serif"/>
          <w:b/>
          <w:caps w:val="false"/>
          <w:smallCaps w:val="false"/>
          <w:sz w:val="20"/>
        </w:rPr>
        <w:t xml:space="preserve">NOTE </w:t>
      </w:r>
      <w:r>
        <w:rPr>
          <w:rStyle w:val="Emphasis"/>
          <w:rFonts w:ascii="Calibri;Arial;sans-serif" w:hAnsi="Calibri;Arial;sans-serif"/>
          <w:b/>
          <w:caps w:val="false"/>
          <w:smallCaps w:val="false"/>
          <w:sz w:val="20"/>
        </w:rPr>
        <w:t>17:</w:t>
      </w:r>
      <w:r>
        <w:rPr>
          <w:rFonts w:ascii="Calibri;Arial;sans-serif" w:hAnsi="Calibri;Arial;sans-serif"/>
          <w:b/>
          <w:caps w:val="false"/>
          <w:smallCaps w:val="false"/>
          <w:sz w:val="20"/>
        </w:rPr>
        <w:t xml:space="preserve"> 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 as a result of its global operating and financing activities, is exposed to changes in foreign currency exchange rates and interest rates, which </w:t>
      </w:r>
      <w:r>
        <w:rPr>
          <w:rStyle w:val="Emphasis"/>
          <w:rFonts w:ascii="Calibri;Arial;sans-serif" w:hAnsi="Calibri;Arial;sans-serif"/>
          <w:caps w:val="false"/>
          <w:smallCaps w:val="false"/>
          <w:sz w:val="20"/>
        </w:rPr>
        <w:t xml:space="preserve">may </w:t>
      </w:r>
      <w:r>
        <w:rPr>
          <w:rFonts w:ascii="Calibri;Arial;sans-serif" w:hAnsi="Calibri;Arial;sans-serif"/>
          <w:caps w:val="false"/>
          <w:smallCaps w:val="false"/>
          <w:sz w:val="20"/>
        </w:rPr>
        <w:t xml:space="preserve">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utilize financial instruments for trading or other speculative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Kodak’s foreign currency forward contracts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designated as hedges and are marked to market through net income at the same time that the exposed assets and liabilities are remeasured through net income (both in Other (income) charges, net in the Consolidated Statement of Operations). The notional amount of such contracts open at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approximately $300 million and $308 million, respectively. The majority of the contracts of this type held by Kodak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are denominated in euros, Chinese renminbi and Japanese yen.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net effect of foreign currency forward contracts in the results of operations is shown in the following table:</w:t>
      </w:r>
    </w:p>
    <w:p>
      <w:pPr>
        <w:pStyle w:val="TextBody"/>
        <w:spacing w:before="0" w:after="0"/>
        <w:ind w:left="0" w:right="0" w:hanging="0"/>
        <w:rPr>
          <w:caps w:val="false"/>
          <w:smallCaps w:val="false"/>
        </w:rPr>
      </w:pPr>
      <w:r>
        <w:rPr>
          <w:caps w:val="false"/>
          <w:smallCaps w:val="false"/>
        </w:rPr>
        <w:t> </w:t>
      </w:r>
    </w:p>
    <w:tbl>
      <w:tblPr>
        <w:tblW w:w="6891" w:type="dxa"/>
        <w:jc w:val="left"/>
        <w:tblInd w:w="0" w:type="dxa"/>
        <w:tblCellMar>
          <w:top w:w="0" w:type="dxa"/>
          <w:left w:w="0" w:type="dxa"/>
          <w:bottom w:w="0" w:type="dxa"/>
          <w:right w:w="0" w:type="dxa"/>
        </w:tblCellMar>
      </w:tblPr>
      <w:tblGrid>
        <w:gridCol w:w="5075"/>
        <w:gridCol w:w="60"/>
        <w:gridCol w:w="339"/>
        <w:gridCol w:w="339"/>
        <w:gridCol w:w="160"/>
        <w:gridCol w:w="160"/>
        <w:gridCol w:w="339"/>
        <w:gridCol w:w="344"/>
        <w:gridCol w:w="75"/>
      </w:tblGrid>
      <w:tr>
        <w:trPr/>
        <w:tc>
          <w:tcPr>
            <w:tcW w:w="50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1"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50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1"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75" w:type="dxa"/>
            <w:tcBorders/>
            <w:shd w:fill="FFFFFF" w:val="clear"/>
            <w:vAlign w:val="center"/>
          </w:tcPr>
          <w:p>
            <w:pPr>
              <w:pStyle w:val="TableContents"/>
              <w:spacing w:before="0" w:after="283"/>
              <w:rPr/>
            </w:pPr>
            <w:r>
              <w:rPr/>
              <w:t> </w:t>
            </w:r>
          </w:p>
        </w:tc>
      </w:tr>
      <w:tr>
        <w:trPr/>
        <w:tc>
          <w:tcPr>
            <w:tcW w:w="507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7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68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507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loss from derivatives not designated as hedging instruments</w:t>
            </w:r>
          </w:p>
        </w:tc>
        <w:tc>
          <w:tcPr>
            <w:tcW w:w="60" w:type="dxa"/>
            <w:tcBorders/>
            <w:shd w:fill="CCEEFF" w:val="clear"/>
            <w:vAlign w:val="center"/>
          </w:tcPr>
          <w:p>
            <w:pPr>
              <w:pStyle w:val="TableContents"/>
              <w:spacing w:before="0" w:after="283"/>
              <w:ind w:left="0" w:right="0" w:hanging="0"/>
              <w:rPr/>
            </w:pPr>
            <w:r>
              <w:rPr/>
              <w:t> </w:t>
            </w:r>
          </w:p>
        </w:tc>
        <w:tc>
          <w:tcPr>
            <w:tcW w:w="33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33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44"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Kodak had no derivatives designated as hedging instruments for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 xml:space="preserve">March 31, 2023 </w:t>
      </w:r>
      <w:r>
        <w:rPr>
          <w:rFonts w:ascii="Calibri;Arial;sans-serif" w:hAnsi="Calibri;Arial;sans-serif"/>
          <w:caps w:val="false"/>
          <w:smallCaps w:val="false"/>
          <w:sz w:val="20"/>
        </w:rPr>
        <w:t xml:space="preserve">and </w:t>
      </w:r>
      <w:r>
        <w:rPr>
          <w:rStyle w:val="Emphasis"/>
          <w:rFonts w:ascii="Calibri;Arial;sans-serif" w:hAnsi="Calibri;Arial;sans-serif"/>
          <w:caps w:val="false"/>
          <w:smallCaps w:val="false"/>
          <w:sz w:val="20"/>
        </w:rPr>
        <w:t>2022</w:t>
      </w:r>
      <w:r>
        <w:rPr>
          <w:rFonts w:ascii="Calibri;Arial;sans-serif" w:hAnsi="Calibri;Arial;sans-serif"/>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In the event of a default under the Company’s Credit Agreements, or a default under any derivative contract or similar obligation of Kodak, subject to certain minimum thresholds, the derivative counterparties would have the right, although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the obligation, to require immediate settlement of some or all open derivative contracts at their then-current fair value, but with liability positions netted against asset positions with the same counterparty.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pPr>
      <w:r>
        <w:rPr>
          <w:rFonts w:ascii="Calibri;Arial;sans-serif" w:hAnsi="Calibri;Arial;sans-serif"/>
          <w:caps w:val="false"/>
          <w:smallCaps w:val="false"/>
          <w:sz w:val="20"/>
        </w:rPr>
        <w:t xml:space="preserve">The Company concluded that the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are considered more akin to a debt-type instrument and that the economic characteristics and risks of certain of the embedded conversion features are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Convertible Notes. The embedded conversion features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Convertible Notes and separately accounted for on a combined basis as a single derivative asset or liability. The derivative was in a liability position at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and was reported in Other long-term liabilities in the Consolidated Statement of Financial Position. The derivative is being accounted for at fair value with changes in fair value included in Other (income) charges, net in the Consolidated Statement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Company concluded that the Series B Preferred Stock and the Series C Preferred Stock are each considered more akin to a debt-type instrument and that the economic characteristics and risks of the conversion in the event of a Fundamental Change is </w:t>
      </w:r>
      <w:r>
        <w:rPr>
          <w:rStyle w:val="Emphasis"/>
          <w:rFonts w:ascii="Calibri;Arial;sans-serif" w:hAnsi="Calibri;Arial;sans-serif"/>
          <w:caps w:val="false"/>
          <w:smallCaps w:val="false"/>
          <w:sz w:val="20"/>
        </w:rPr>
        <w:t>not</w:t>
      </w:r>
      <w:r>
        <w:rPr>
          <w:rFonts w:ascii="Calibri;Arial;sans-serif" w:hAnsi="Calibri;Arial;sans-serif"/>
          <w:caps w:val="false"/>
          <w:smallCaps w:val="false"/>
          <w:sz w:val="20"/>
        </w:rPr>
        <w:t xml:space="preserve"> considered clearly and closely related to the Series B and Series C Preferred Stock. Accordingly, this embedded conversion feature was bifurcated from both the Series B and Series C Preferred Stock and both are separately accounted for as a single derivative asset or liability.  Both derivatives were in a liability position at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and were reported in Other long-term liabilities in the Consolidated Statement of Financial Position. The derivatives are being accounted for at fair value with changes in fair value included in Other (income) charges, net in the Consolidated Statement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net effect of the Preferred Stock and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embedded derivatives on the results of operations is shown in the following table:</w:t>
      </w:r>
    </w:p>
    <w:p>
      <w:pPr>
        <w:pStyle w:val="TextBody"/>
        <w:spacing w:before="0" w:after="0"/>
        <w:ind w:left="0" w:right="0" w:hanging="0"/>
        <w:rPr>
          <w:caps w:val="false"/>
          <w:smallCaps w:val="false"/>
        </w:rPr>
      </w:pPr>
      <w:r>
        <w:rPr>
          <w:caps w:val="false"/>
          <w:smallCaps w:val="false"/>
        </w:rPr>
        <w:t> </w:t>
      </w:r>
    </w:p>
    <w:tbl>
      <w:tblPr>
        <w:tblW w:w="7730" w:type="dxa"/>
        <w:jc w:val="left"/>
        <w:tblInd w:w="0" w:type="dxa"/>
        <w:tblCellMar>
          <w:top w:w="0" w:type="dxa"/>
          <w:left w:w="0" w:type="dxa"/>
          <w:bottom w:w="0" w:type="dxa"/>
          <w:right w:w="0" w:type="dxa"/>
        </w:tblCellMar>
      </w:tblPr>
      <w:tblGrid>
        <w:gridCol w:w="5930"/>
        <w:gridCol w:w="60"/>
        <w:gridCol w:w="309"/>
        <w:gridCol w:w="309"/>
        <w:gridCol w:w="148"/>
        <w:gridCol w:w="148"/>
        <w:gridCol w:w="148"/>
        <w:gridCol w:w="309"/>
        <w:gridCol w:w="309"/>
        <w:gridCol w:w="60"/>
      </w:tblGrid>
      <w:tr>
        <w:trPr/>
        <w:tc>
          <w:tcPr>
            <w:tcW w:w="59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0" w:type="dxa"/>
            <w:gridSpan w:val="7"/>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Three Months Ended</w:t>
            </w:r>
          </w:p>
        </w:tc>
        <w:tc>
          <w:tcPr>
            <w:tcW w:w="60" w:type="dxa"/>
            <w:tcBorders/>
            <w:shd w:fill="FFFF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80" w:type="dxa"/>
            <w:gridSpan w:val="7"/>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60" w:type="dxa"/>
            <w:tcBorders/>
            <w:shd w:fill="FFFF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1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48"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61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6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Net loss from Preferred Stock and Convertible Notes embedded derivatives</w:t>
            </w:r>
          </w:p>
        </w:tc>
        <w:tc>
          <w:tcPr>
            <w:tcW w:w="60" w:type="dxa"/>
            <w:tcBorders/>
            <w:shd w:fill="CCEEFF" w:val="clear"/>
            <w:vAlign w:val="center"/>
          </w:tcPr>
          <w:p>
            <w:pPr>
              <w:pStyle w:val="TableContents"/>
              <w:spacing w:before="0" w:after="283"/>
              <w:ind w:left="0" w:right="0" w:hanging="0"/>
              <w:rPr/>
            </w:pPr>
            <w:r>
              <w:rPr/>
              <w:t> </w:t>
            </w:r>
          </w:p>
        </w:tc>
        <w:tc>
          <w:tcPr>
            <w:tcW w:w="30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0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8"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309"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0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Fair Value</w:t>
      </w:r>
    </w:p>
    <w:p>
      <w:pPr>
        <w:pStyle w:val="TextBody"/>
        <w:spacing w:before="0" w:after="0"/>
        <w:ind w:left="0" w:right="0" w:hanging="0"/>
        <w:rPr/>
      </w:pPr>
      <w:r>
        <w:rPr>
          <w:rFonts w:ascii="Calibri;Arial;sans-serif" w:hAnsi="Calibri;Arial;sans-serif"/>
          <w:caps w:val="false"/>
          <w:smallCaps w:val="false"/>
          <w:sz w:val="20"/>
        </w:rPr>
        <w:t xml:space="preserve">Fair values of Kodak’s foreign currency forward contracts are determined using observable inputs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w:t>
      </w:r>
      <w:r>
        <w:rPr>
          <w:rStyle w:val="Emphasis"/>
          <w:rFonts w:ascii="Calibri;Arial;sans-serif" w:hAnsi="Calibri;Arial;sans-serif"/>
          <w:caps w:val="false"/>
          <w:smallCaps w:val="false"/>
          <w:sz w:val="20"/>
        </w:rPr>
        <w:t xml:space="preserve"> 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$0 million and $1 million, respectively. The gross fair value of foreign currency forward contracts in a liability position as of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was $2 million and $1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Transfers between levels of the fair value hierarchy are recognized based on the actual date of the event or change in circumstances that caused the transfer. There were </w:t>
      </w:r>
      <w:r>
        <w:rPr>
          <w:rStyle w:val="Emphasis"/>
          <w:rFonts w:ascii="Calibri;Arial;sans-serif" w:hAnsi="Calibri;Arial;sans-serif"/>
          <w:caps w:val="false"/>
          <w:smallCaps w:val="false"/>
          <w:sz w:val="20"/>
        </w:rPr>
        <w:t>no</w:t>
      </w:r>
      <w:r>
        <w:rPr>
          <w:rFonts w:ascii="Calibri;Arial;sans-serif" w:hAnsi="Calibri;Arial;sans-serif"/>
          <w:caps w:val="false"/>
          <w:smallCaps w:val="false"/>
          <w:sz w:val="20"/>
        </w:rPr>
        <w:t xml:space="preserve"> transfers between levels of the fair value hierarchy during the </w:t>
      </w:r>
      <w:r>
        <w:rPr>
          <w:rStyle w:val="Emphasis"/>
          <w:rFonts w:ascii="Calibri;Arial;sans-serif" w:hAnsi="Calibri;Arial;sans-serif"/>
          <w:caps w:val="false"/>
          <w:smallCaps w:val="false"/>
          <w:sz w:val="20"/>
        </w:rPr>
        <w:t>three</w:t>
      </w:r>
      <w:r>
        <w:rPr>
          <w:rFonts w:ascii="Calibri;Arial;sans-serif" w:hAnsi="Calibri;Arial;sans-serif"/>
          <w:caps w:val="false"/>
          <w:smallCaps w:val="false"/>
          <w:sz w:val="20"/>
        </w:rPr>
        <w:t xml:space="preserve"> months ended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fair values of the embedded conversion features derivatives was calculated using unobservable inputs (Level </w:t>
      </w:r>
      <w:r>
        <w:rPr>
          <w:rStyle w:val="Emphasis"/>
          <w:rFonts w:ascii="Calibri;Arial;sans-serif" w:hAnsi="Calibri;Arial;sans-serif"/>
          <w:caps w:val="false"/>
          <w:smallCaps w:val="false"/>
          <w:sz w:val="20"/>
        </w:rPr>
        <w:t>3</w:t>
      </w:r>
      <w:r>
        <w:rPr>
          <w:rFonts w:ascii="Calibri;Arial;sans-serif" w:hAnsi="Calibri;Arial;sans-serif"/>
          <w:caps w:val="false"/>
          <w:smallCaps w:val="false"/>
          <w:sz w:val="20"/>
        </w:rPr>
        <w:t xml:space="preserve"> fair measurements). The fair values of the embedded derivatives associated with the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and Series B and Series C Preferred Stock were calculated using a binomial lattice model.</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following tables present the key inputs in the determination of fair value for the embedded conversion features: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w:t>
      </w:r>
    </w:p>
    <w:p>
      <w:pPr>
        <w:pStyle w:val="TextBody"/>
        <w:spacing w:before="0" w:after="0"/>
        <w:ind w:left="0" w:right="0" w:hanging="0"/>
        <w:rPr>
          <w:caps w:val="false"/>
          <w:smallCaps w:val="false"/>
        </w:rPr>
      </w:pPr>
      <w:r>
        <w:rPr>
          <w:caps w:val="false"/>
          <w:smallCaps w:val="false"/>
        </w:rPr>
        <w:t> </w:t>
      </w:r>
    </w:p>
    <w:tbl>
      <w:tblPr>
        <w:tblW w:w="6758" w:type="dxa"/>
        <w:jc w:val="left"/>
        <w:tblInd w:w="0" w:type="dxa"/>
        <w:tblCellMar>
          <w:top w:w="0" w:type="dxa"/>
          <w:left w:w="0" w:type="dxa"/>
          <w:bottom w:w="0" w:type="dxa"/>
          <w:right w:w="0" w:type="dxa"/>
        </w:tblCellMar>
      </w:tblPr>
      <w:tblGrid>
        <w:gridCol w:w="4355"/>
        <w:gridCol w:w="60"/>
        <w:gridCol w:w="173"/>
        <w:gridCol w:w="671"/>
        <w:gridCol w:w="155"/>
        <w:gridCol w:w="60"/>
        <w:gridCol w:w="228"/>
        <w:gridCol w:w="886"/>
        <w:gridCol w:w="170"/>
      </w:tblGrid>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73"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Valuation Date</w:t>
            </w:r>
          </w:p>
        </w:tc>
        <w:tc>
          <w:tcPr>
            <w:tcW w:w="17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17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ind w:left="360" w:right="0" w:hanging="180"/>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 millions)</w:t>
            </w:r>
          </w:p>
        </w:tc>
        <w:tc>
          <w:tcPr>
            <w:tcW w:w="60" w:type="dxa"/>
            <w:tcBorders/>
            <w:shd w:fill="CCEEFF" w:val="clear"/>
            <w:vAlign w:val="center"/>
          </w:tcPr>
          <w:p>
            <w:pPr>
              <w:pStyle w:val="TableContents"/>
              <w:spacing w:before="0" w:after="283"/>
              <w:ind w:left="0" w:right="0" w:hanging="0"/>
              <w:rPr/>
            </w:pPr>
            <w:r>
              <w:rPr/>
              <w:t> </w:t>
            </w:r>
          </w:p>
        </w:tc>
        <w:tc>
          <w:tcPr>
            <w:tcW w:w="173"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8"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70" w:type="dxa"/>
            <w:tcBorders/>
            <w:shd w:fill="CCEE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spacing w:before="0" w:after="283"/>
              <w:ind w:left="0" w:right="0" w:hanging="0"/>
              <w:rPr/>
            </w:pPr>
            <w:r>
              <w:rPr/>
              <w:t> </w:t>
            </w:r>
          </w:p>
        </w:tc>
        <w:tc>
          <w:tcPr>
            <w:tcW w:w="173"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7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7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3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3.79</w:t>
            </w:r>
          </w:p>
        </w:tc>
        <w:tc>
          <w:tcPr>
            <w:tcW w:w="15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7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355" w:type="dxa"/>
            <w:tcBorders/>
            <w:shd w:fill="CCEEFF" w:val="clear"/>
            <w:vAlign w:val="center"/>
          </w:tcPr>
          <w:p>
            <w:pPr>
              <w:pStyle w:val="TableContents"/>
              <w:spacing w:before="0" w:after="0"/>
              <w:ind w:left="360" w:right="0" w:hanging="180"/>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Convertible Notes</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25.47</w:t>
            </w:r>
          </w:p>
        </w:tc>
        <w:tc>
          <w:tcPr>
            <w:tcW w:w="1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26.19</w:t>
            </w:r>
          </w:p>
        </w:tc>
        <w:tc>
          <w:tcPr>
            <w:tcW w:w="17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Series B Preferred Stock:</w:t>
      </w:r>
    </w:p>
    <w:p>
      <w:pPr>
        <w:pStyle w:val="TextBody"/>
        <w:spacing w:before="0" w:after="0"/>
        <w:ind w:left="0" w:right="0" w:hanging="0"/>
        <w:rPr>
          <w:caps w:val="false"/>
          <w:smallCaps w:val="false"/>
        </w:rPr>
      </w:pPr>
      <w:r>
        <w:rPr>
          <w:caps w:val="false"/>
          <w:smallCaps w:val="false"/>
        </w:rPr>
        <w:t> </w:t>
      </w:r>
    </w:p>
    <w:tbl>
      <w:tblPr>
        <w:tblW w:w="6758" w:type="dxa"/>
        <w:jc w:val="left"/>
        <w:tblInd w:w="0" w:type="dxa"/>
        <w:tblCellMar>
          <w:top w:w="0" w:type="dxa"/>
          <w:left w:w="0" w:type="dxa"/>
          <w:bottom w:w="0" w:type="dxa"/>
          <w:right w:w="0" w:type="dxa"/>
        </w:tblCellMar>
      </w:tblPr>
      <w:tblGrid>
        <w:gridCol w:w="4355"/>
        <w:gridCol w:w="60"/>
        <w:gridCol w:w="173"/>
        <w:gridCol w:w="671"/>
        <w:gridCol w:w="155"/>
        <w:gridCol w:w="60"/>
        <w:gridCol w:w="228"/>
        <w:gridCol w:w="886"/>
        <w:gridCol w:w="170"/>
      </w:tblGrid>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73"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Valuation Date</w:t>
            </w:r>
          </w:p>
        </w:tc>
        <w:tc>
          <w:tcPr>
            <w:tcW w:w="17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17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ind w:left="360" w:right="0" w:hanging="180"/>
              <w:rPr>
                <w:rFonts w:ascii="Calibri;Arial;sans-serif" w:hAnsi="Calibri;Arial;sans-serif"/>
                <w:caps w:val="false"/>
                <w:smallCaps w:val="false"/>
                <w:sz w:val="20"/>
              </w:rPr>
            </w:pPr>
            <w:r>
              <w:rPr>
                <w:rFonts w:ascii="Calibri;Arial;sans-serif" w:hAnsi="Calibri;Arial;sans-serif"/>
                <w:caps w:val="false"/>
                <w:smallCaps w:val="false"/>
                <w:sz w:val="20"/>
              </w:rPr>
              <w:t>Total value of embedded derivative liability ($ millions)</w:t>
            </w:r>
          </w:p>
        </w:tc>
        <w:tc>
          <w:tcPr>
            <w:tcW w:w="60" w:type="dxa"/>
            <w:tcBorders/>
            <w:shd w:fill="CCEEFF" w:val="clear"/>
            <w:vAlign w:val="center"/>
          </w:tcPr>
          <w:p>
            <w:pPr>
              <w:pStyle w:val="TableContents"/>
              <w:spacing w:before="0" w:after="283"/>
              <w:ind w:left="0" w:right="0" w:hanging="0"/>
              <w:rPr/>
            </w:pPr>
            <w:r>
              <w:rPr/>
              <w:t> </w:t>
            </w:r>
          </w:p>
        </w:tc>
        <w:tc>
          <w:tcPr>
            <w:tcW w:w="173"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8"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70" w:type="dxa"/>
            <w:tcBorders/>
            <w:shd w:fill="CCEE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spacing w:before="0" w:after="283"/>
              <w:ind w:left="0" w:right="0" w:hanging="0"/>
              <w:rPr/>
            </w:pPr>
            <w:r>
              <w:rPr/>
              <w:t> </w:t>
            </w:r>
          </w:p>
        </w:tc>
        <w:tc>
          <w:tcPr>
            <w:tcW w:w="173"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7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7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3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3.79</w:t>
            </w:r>
          </w:p>
        </w:tc>
        <w:tc>
          <w:tcPr>
            <w:tcW w:w="15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7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355" w:type="dxa"/>
            <w:tcBorders/>
            <w:shd w:fill="CCEEFF" w:val="clear"/>
            <w:vAlign w:val="center"/>
          </w:tcPr>
          <w:p>
            <w:pPr>
              <w:pStyle w:val="TableContents"/>
              <w:spacing w:before="0" w:after="0"/>
              <w:ind w:left="360" w:right="0" w:hanging="180"/>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preferred stock</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26.47</w:t>
            </w:r>
          </w:p>
        </w:tc>
        <w:tc>
          <w:tcPr>
            <w:tcW w:w="1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27.19</w:t>
            </w:r>
          </w:p>
        </w:tc>
        <w:tc>
          <w:tcPr>
            <w:tcW w:w="17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Series C Preferred Stock:</w:t>
      </w:r>
    </w:p>
    <w:p>
      <w:pPr>
        <w:pStyle w:val="TextBody"/>
        <w:spacing w:before="0" w:after="0"/>
        <w:ind w:left="0" w:right="0" w:hanging="0"/>
        <w:rPr>
          <w:caps w:val="false"/>
          <w:smallCaps w:val="false"/>
        </w:rPr>
      </w:pPr>
      <w:r>
        <w:rPr>
          <w:caps w:val="false"/>
          <w:smallCaps w:val="false"/>
        </w:rPr>
        <w:t> </w:t>
      </w:r>
    </w:p>
    <w:tbl>
      <w:tblPr>
        <w:tblW w:w="6758" w:type="dxa"/>
        <w:jc w:val="left"/>
        <w:tblInd w:w="0" w:type="dxa"/>
        <w:tblCellMar>
          <w:top w:w="0" w:type="dxa"/>
          <w:left w:w="0" w:type="dxa"/>
          <w:bottom w:w="0" w:type="dxa"/>
          <w:right w:w="0" w:type="dxa"/>
        </w:tblCellMar>
      </w:tblPr>
      <w:tblGrid>
        <w:gridCol w:w="4355"/>
        <w:gridCol w:w="60"/>
        <w:gridCol w:w="173"/>
        <w:gridCol w:w="671"/>
        <w:gridCol w:w="155"/>
        <w:gridCol w:w="60"/>
        <w:gridCol w:w="228"/>
        <w:gridCol w:w="886"/>
        <w:gridCol w:w="170"/>
      </w:tblGrid>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73" w:type="dxa"/>
            <w:gridSpan w:val="6"/>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Valuation Date</w:t>
            </w:r>
          </w:p>
        </w:tc>
        <w:tc>
          <w:tcPr>
            <w:tcW w:w="17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March 31,</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shd w:fill="FFFFFF" w:val="cle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December 31,</w:t>
            </w:r>
          </w:p>
        </w:tc>
        <w:tc>
          <w:tcPr>
            <w:tcW w:w="170" w:type="dxa"/>
            <w:tcBorders/>
            <w:shd w:fill="FFFFFF" w:val="clear"/>
            <w:vAlign w:val="center"/>
          </w:tcPr>
          <w:p>
            <w:pPr>
              <w:pStyle w:val="TableContents"/>
              <w:spacing w:before="0" w:after="283"/>
              <w:rPr/>
            </w:pPr>
            <w:r>
              <w:rPr/>
              <w:t> </w:t>
            </w:r>
          </w:p>
        </w:tc>
      </w:tr>
      <w:tr>
        <w:trPr/>
        <w:tc>
          <w:tcPr>
            <w:tcW w:w="43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Calibri;Arial;sans-serif" w:hAnsi="Calibri;Arial;sans-serif"/>
                <w:b/>
                <w:caps w:val="false"/>
                <w:smallCaps w:val="false"/>
                <w:sz w:val="20"/>
              </w:rPr>
              <w:t>2022</w:t>
            </w:r>
          </w:p>
        </w:tc>
        <w:tc>
          <w:tcPr>
            <w:tcW w:w="17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Total value of embedded derivative liability ($ millions)</w:t>
            </w:r>
          </w:p>
        </w:tc>
        <w:tc>
          <w:tcPr>
            <w:tcW w:w="6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671" w:type="dxa"/>
            <w:tcBorders/>
            <w:shd w:fill="CCEEFF" w:val="cle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155"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28"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886" w:type="dxa"/>
            <w:tcBorders/>
            <w:shd w:fill="CCEEFF" w:val="cle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1</w:t>
            </w:r>
          </w:p>
        </w:tc>
        <w:tc>
          <w:tcPr>
            <w:tcW w:w="170" w:type="dxa"/>
            <w:tcBorders/>
            <w:shd w:fill="CCEEFF" w:val="clear"/>
            <w:vAlign w:val="center"/>
          </w:tcPr>
          <w:p>
            <w:pPr>
              <w:pStyle w:val="TableContents"/>
              <w:spacing w:before="0" w:after="0"/>
              <w:rPr/>
            </w:pPr>
            <w:r>
              <w:rPr/>
              <w:t> </w:t>
            </w:r>
          </w:p>
        </w:tc>
      </w:tr>
      <w:tr>
        <w:trPr/>
        <w:tc>
          <w:tcPr>
            <w:tcW w:w="43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closing stock price</w:t>
            </w:r>
          </w:p>
        </w:tc>
        <w:tc>
          <w:tcPr>
            <w:tcW w:w="60" w:type="dxa"/>
            <w:tcBorders/>
            <w:shd w:fill="FFFFFF" w:val="clear"/>
            <w:vAlign w:val="center"/>
          </w:tcPr>
          <w:p>
            <w:pPr>
              <w:pStyle w:val="TableContents"/>
              <w:spacing w:before="0" w:after="283"/>
              <w:ind w:left="0" w:right="0" w:hanging="0"/>
              <w:rPr/>
            </w:pPr>
            <w:r>
              <w:rPr/>
              <w:t> </w:t>
            </w:r>
          </w:p>
        </w:tc>
        <w:tc>
          <w:tcPr>
            <w:tcW w:w="173"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3.05</w:t>
            </w:r>
          </w:p>
        </w:tc>
        <w:tc>
          <w:tcPr>
            <w:tcW w:w="170" w:type="dxa"/>
            <w:tcBorders/>
            <w:shd w:fill="FFFFFF" w:val="clear"/>
            <w:vAlign w:val="center"/>
          </w:tcPr>
          <w:p>
            <w:pPr>
              <w:pStyle w:val="TableContents"/>
              <w:spacing w:before="0" w:after="283"/>
              <w:rPr/>
            </w:pPr>
            <w:r>
              <w:rPr/>
              <w:t> </w:t>
            </w:r>
          </w:p>
        </w:tc>
      </w:tr>
      <w:tr>
        <w:trPr/>
        <w:tc>
          <w:tcPr>
            <w:tcW w:w="435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Expected stock price volatility</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50.00</w:t>
            </w:r>
          </w:p>
        </w:tc>
        <w:tc>
          <w:tcPr>
            <w:tcW w:w="17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35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Risk free rate</w:t>
            </w:r>
          </w:p>
        </w:tc>
        <w:tc>
          <w:tcPr>
            <w:tcW w:w="60" w:type="dxa"/>
            <w:tcBorders/>
            <w:shd w:fill="FFFFFF" w:val="clear"/>
            <w:vAlign w:val="center"/>
          </w:tcPr>
          <w:p>
            <w:pPr>
              <w:pStyle w:val="TableContents"/>
              <w:spacing w:before="0" w:after="283"/>
              <w:rPr/>
            </w:pPr>
            <w:r>
              <w:rPr/>
              <w:t> </w:t>
            </w:r>
          </w:p>
        </w:tc>
        <w:tc>
          <w:tcPr>
            <w:tcW w:w="173" w:type="dxa"/>
            <w:tcBorders/>
            <w:shd w:fill="FFFFFF" w:val="clear"/>
            <w:vAlign w:val="center"/>
          </w:tcPr>
          <w:p>
            <w:pPr>
              <w:pStyle w:val="TableContents"/>
              <w:spacing w:before="0" w:after="283"/>
              <w:ind w:left="0" w:right="0" w:hanging="0"/>
              <w:rPr/>
            </w:pPr>
            <w:r>
              <w:rPr/>
              <w:t> </w:t>
            </w:r>
          </w:p>
        </w:tc>
        <w:tc>
          <w:tcPr>
            <w:tcW w:w="671"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3.79</w:t>
            </w:r>
          </w:p>
        </w:tc>
        <w:tc>
          <w:tcPr>
            <w:tcW w:w="15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886"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4.17</w:t>
            </w:r>
          </w:p>
        </w:tc>
        <w:tc>
          <w:tcPr>
            <w:tcW w:w="17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4355"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Implied credit spread on the preferred stock</w:t>
            </w:r>
          </w:p>
        </w:tc>
        <w:tc>
          <w:tcPr>
            <w:tcW w:w="60" w:type="dxa"/>
            <w:tcBorders/>
            <w:shd w:fill="CCEEFF" w:val="clear"/>
            <w:vAlign w:val="center"/>
          </w:tcPr>
          <w:p>
            <w:pPr>
              <w:pStyle w:val="TableContents"/>
              <w:spacing w:before="0" w:after="283"/>
              <w:rPr/>
            </w:pPr>
            <w:r>
              <w:rPr/>
              <w:t> </w:t>
            </w:r>
          </w:p>
        </w:tc>
        <w:tc>
          <w:tcPr>
            <w:tcW w:w="173" w:type="dxa"/>
            <w:tcBorders/>
            <w:shd w:fill="CCEEFF" w:val="clear"/>
            <w:vAlign w:val="center"/>
          </w:tcPr>
          <w:p>
            <w:pPr>
              <w:pStyle w:val="TableContents"/>
              <w:spacing w:before="0" w:after="283"/>
              <w:ind w:left="0" w:right="0" w:hanging="0"/>
              <w:rPr/>
            </w:pPr>
            <w:r>
              <w:rPr/>
              <w:t> </w:t>
            </w:r>
          </w:p>
        </w:tc>
        <w:tc>
          <w:tcPr>
            <w:tcW w:w="671"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28.47</w:t>
            </w:r>
          </w:p>
        </w:tc>
        <w:tc>
          <w:tcPr>
            <w:tcW w:w="15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886"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29.19</w:t>
            </w:r>
          </w:p>
        </w:tc>
        <w:tc>
          <w:tcPr>
            <w:tcW w:w="17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Fundamental Change values at issuance were calculated as the difference between the total value of the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Series B or Series C Preferred Stock, as applicable, and the sum of the net present value of the cash flows if the </w:t>
      </w:r>
      <w:r>
        <w:rPr>
          <w:rStyle w:val="Emphasis"/>
          <w:rFonts w:ascii="Calibri;Arial;sans-serif" w:hAnsi="Calibri;Arial;sans-serif"/>
          <w:caps w:val="false"/>
          <w:smallCaps w:val="false"/>
          <w:sz w:val="20"/>
        </w:rPr>
        <w:t>2021</w:t>
      </w:r>
      <w:r>
        <w:rPr>
          <w:rFonts w:ascii="Calibri;Arial;sans-serif" w:hAnsi="Calibri;Arial;sans-serif"/>
          <w:caps w:val="false"/>
          <w:smallCaps w:val="false"/>
          <w:sz w:val="20"/>
        </w:rPr>
        <w:t xml:space="preserve"> Convertible Notes are repaid at their maturity date or Series B and Series C Preferred Stock are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rFonts w:ascii="Calibri;Arial;sans-serif" w:hAnsi="Calibri;Arial;sans-serif"/>
          <w:caps w:val="false"/>
          <w:smallCaps w:val="false"/>
          <w:sz w:val="20"/>
        </w:rPr>
        <w:t xml:space="preserve">The fair values of long-term debt (Level </w:t>
      </w:r>
      <w:r>
        <w:rPr>
          <w:rStyle w:val="Emphasis"/>
          <w:rFonts w:ascii="Calibri;Arial;sans-serif" w:hAnsi="Calibri;Arial;sans-serif"/>
          <w:caps w:val="false"/>
          <w:smallCaps w:val="false"/>
          <w:sz w:val="20"/>
        </w:rPr>
        <w:t>2</w:t>
      </w:r>
      <w:r>
        <w:rPr>
          <w:rFonts w:ascii="Calibri;Arial;sans-serif" w:hAnsi="Calibri;Arial;sans-serif"/>
          <w:caps w:val="false"/>
          <w:smallCaps w:val="false"/>
          <w:sz w:val="20"/>
        </w:rPr>
        <w:t xml:space="preserve"> fair value measurements) are determined by reference to quoted market prices of similar instruments, if available, or by pricing models based on the value of related cash flows discounted at current market interest rates. The fair values of long-term borrowings were $281 million and $271 million at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 xml:space="preserve">, respectively.  The carrying values of cash and cash equivalents, restricted cash and the current portion of long-term debt approximate their fair values at both </w:t>
      </w:r>
      <w:r>
        <w:rPr>
          <w:rStyle w:val="Emphasis"/>
          <w:rFonts w:ascii="Calibri;Arial;sans-serif" w:hAnsi="Calibri;Arial;sans-serif"/>
          <w:caps w:val="false"/>
          <w:smallCaps w:val="false"/>
          <w:sz w:val="20"/>
        </w:rPr>
        <w:t>March 31, 2023</w:t>
      </w:r>
      <w:r>
        <w:rPr>
          <w:rFonts w:ascii="Calibri;Arial;sans-serif" w:hAnsi="Calibri;Arial;sans-serif"/>
          <w:caps w:val="false"/>
          <w:smallCaps w:val="false"/>
          <w:sz w:val="20"/>
        </w:rPr>
        <w:t xml:space="preserve"> and </w:t>
      </w:r>
      <w:r>
        <w:rPr>
          <w:rStyle w:val="Emphasis"/>
          <w:rFonts w:ascii="Calibri;Arial;sans-serif" w:hAnsi="Calibri;Arial;sans-serif"/>
          <w:caps w:val="false"/>
          <w:smallCaps w:val="false"/>
          <w:sz w:val="20"/>
        </w:rPr>
        <w:t>December 31, 2022</w:t>
      </w:r>
      <w:r>
        <w:rPr>
          <w:rFonts w:ascii="Calibri;Arial;sans-serif" w:hAnsi="Calibri;Arial;sans-serif"/>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rFonts w:ascii="Calibri;Arial;sans-serif" w:hAnsi="Calibri;Arial;sans-serif"/>
          <w:caps w:val="false"/>
          <w:smallCaps w:val="false"/>
          <w:sz w:val="20"/>
        </w:rPr>
      </w:pPr>
      <w:bookmarkStart w:id="11" w:name="MDA"/>
      <w:bookmarkEnd w:id="11"/>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2. Management</w:t>
      </w:r>
      <w:r>
        <w:rPr>
          <w:rFonts w:ascii="Calibri;Arial;sans-serif" w:hAnsi="Calibri;Arial;sans-serif"/>
          <w:caps w:val="false"/>
          <w:smallCaps w:val="false"/>
          <w:sz w:val="20"/>
        </w:rPr>
        <w:t>’</w:t>
      </w:r>
      <w:r>
        <w:rPr>
          <w:rFonts w:ascii="Calibri;Arial;sans-serif" w:hAnsi="Calibri;Arial;sans-serif"/>
          <w:b/>
          <w:caps w:val="false"/>
          <w:smallCaps w:val="false"/>
          <w:sz w:val="20"/>
        </w:rPr>
        <w: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CAUTIONARY STATEMENT PURSUANT TO SAFE HARBOR PROVISIONS OF THE PRIVATE SECURITIES LITIGATION REFORM ACT OF 1995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This report on Form 10-Q includes “forward–looking statements” as that term is defined under the Private Securities Litigation Reform Act of 1995.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to differ materially from historical results or those expressed in or implied by such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2022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Continued sufficient availability of borrowings and letters of credit under the 2023 Amended ABL Credit Agreement and 2023 Amended L/C Facility Agreement, Kodak’s ability to obtain additional or alternate financing if and as needed, Kodak’s continued ability to manage world-wide cash through inter-company loans, distributions and other mechanisms, and Kodak's ability to provide or facilitate financing for its customers;</w:t>
            </w:r>
          </w:p>
        </w:tc>
      </w:tr>
    </w:tbl>
    <w:p>
      <w:pPr>
        <w:pStyle w:val="TextBody"/>
        <w:spacing w:before="0" w:after="0"/>
        <w:ind w:left="0" w:right="0" w:hanging="0"/>
        <w:rPr>
          <w:caps w:val="false"/>
          <w:smallCaps w:val="false"/>
        </w:rPr>
      </w:pPr>
      <w:r>
        <w:rPr>
          <w:caps w:val="false"/>
          <w:smallCaps w:val="false"/>
        </w:rPr>
        <w:t> </w:t>
      </w:r>
    </w:p>
    <w:tbl>
      <w:tblPr>
        <w:tblW w:w="9070" w:type="dxa"/>
        <w:jc w:val="left"/>
        <w:tblInd w:w="0" w:type="dxa"/>
        <w:tblCellMar>
          <w:top w:w="0" w:type="dxa"/>
          <w:left w:w="0" w:type="dxa"/>
          <w:bottom w:w="0" w:type="dxa"/>
          <w:right w:w="0" w:type="dxa"/>
        </w:tblCellMar>
      </w:tblPr>
      <w:tblGrid>
        <w:gridCol w:w="75"/>
        <w:gridCol w:w="170"/>
        <w:gridCol w:w="88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882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improve and sustain its operating structure, cash flow, profitability and other financial results;</w:t>
            </w:r>
          </w:p>
        </w:tc>
      </w:tr>
    </w:tbl>
    <w:p>
      <w:pPr>
        <w:pStyle w:val="TextBody"/>
        <w:spacing w:before="0" w:after="0"/>
        <w:ind w:left="0" w:right="0" w:hanging="0"/>
        <w:rPr/>
      </w:pPr>
      <w:r>
        <w:rPr/>
        <w:t> </w:t>
      </w:r>
    </w:p>
    <w:tbl>
      <w:tblPr>
        <w:tblW w:w="8455" w:type="dxa"/>
        <w:jc w:val="left"/>
        <w:tblInd w:w="0" w:type="dxa"/>
        <w:tblCellMar>
          <w:top w:w="0" w:type="dxa"/>
          <w:left w:w="0" w:type="dxa"/>
          <w:bottom w:w="0" w:type="dxa"/>
          <w:right w:w="0" w:type="dxa"/>
        </w:tblCellMar>
      </w:tblPr>
      <w:tblGrid>
        <w:gridCol w:w="75"/>
        <w:gridCol w:w="170"/>
        <w:gridCol w:w="82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821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achieve strategic objectives, cash forecasts, financial projections and projected growth;</w:t>
            </w:r>
          </w:p>
        </w:tc>
      </w:tr>
    </w:tbl>
    <w:p>
      <w:pPr>
        <w:pStyle w:val="TextBody"/>
        <w:spacing w:before="0" w:after="0"/>
        <w:ind w:left="0" w:right="0" w:hanging="0"/>
        <w:rPr/>
      </w:pPr>
      <w:r>
        <w:rPr/>
        <w:t> </w:t>
      </w:r>
    </w:p>
    <w:tbl>
      <w:tblPr>
        <w:tblW w:w="7615" w:type="dxa"/>
        <w:jc w:val="left"/>
        <w:tblInd w:w="0" w:type="dxa"/>
        <w:tblCellMar>
          <w:top w:w="0" w:type="dxa"/>
          <w:left w:w="0" w:type="dxa"/>
          <w:bottom w:w="0" w:type="dxa"/>
          <w:right w:w="0" w:type="dxa"/>
        </w:tblCellMar>
      </w:tblPr>
      <w:tblGrid>
        <w:gridCol w:w="75"/>
        <w:gridCol w:w="170"/>
        <w:gridCol w:w="73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737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achieve the financial and operational results contained in its business plans;</w:t>
            </w:r>
          </w:p>
        </w:tc>
      </w:tr>
    </w:tbl>
    <w:p>
      <w:pPr>
        <w:pStyle w:val="TextBody"/>
        <w:spacing w:before="0" w:after="0"/>
        <w:ind w:left="0" w:right="0" w:hanging="0"/>
        <w:rPr/>
      </w:pPr>
      <w:r>
        <w:rPr/>
        <w:t> </w:t>
      </w:r>
    </w:p>
    <w:tbl>
      <w:tblPr>
        <w:tblW w:w="6040" w:type="dxa"/>
        <w:jc w:val="left"/>
        <w:tblInd w:w="0" w:type="dxa"/>
        <w:tblCellMar>
          <w:top w:w="0" w:type="dxa"/>
          <w:left w:w="0" w:type="dxa"/>
          <w:bottom w:w="0" w:type="dxa"/>
          <w:right w:w="0" w:type="dxa"/>
        </w:tblCellMar>
      </w:tblPr>
      <w:tblGrid>
        <w:gridCol w:w="75"/>
        <w:gridCol w:w="170"/>
        <w:gridCol w:w="57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579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comply with the covenants in its various credit facilities;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fund continued investments, capital needs, collateral requirements and restructuring payments and service its debt and Series B Preferred Stock and Series C Preferred Stock;</w:t>
            </w:r>
          </w:p>
        </w:tc>
      </w:tr>
    </w:tbl>
    <w:p>
      <w:pPr>
        <w:pStyle w:val="TextBody"/>
        <w:spacing w:before="0" w:after="0"/>
        <w:ind w:left="0" w:right="0" w:hanging="0"/>
        <w:rPr/>
      </w:pPr>
      <w:r>
        <w:rPr/>
        <w:t> </w:t>
      </w:r>
    </w:p>
    <w:tbl>
      <w:tblPr>
        <w:tblW w:w="7570" w:type="dxa"/>
        <w:jc w:val="left"/>
        <w:tblInd w:w="0" w:type="dxa"/>
        <w:tblCellMar>
          <w:top w:w="0" w:type="dxa"/>
          <w:left w:w="0" w:type="dxa"/>
          <w:bottom w:w="0" w:type="dxa"/>
          <w:right w:w="0" w:type="dxa"/>
        </w:tblCellMar>
      </w:tblPr>
      <w:tblGrid>
        <w:gridCol w:w="75"/>
        <w:gridCol w:w="170"/>
        <w:gridCol w:w="73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732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Changes in foreign currency exchange rates, commodity prices, interest rates and tariff rates;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The impact of the global economic environment, including inflationary pressures, medical epidemics such as the COVID-19 pandemic, geopolitical issues such as the war in Ukraine, and Kodak’s ability to effectively mitigate the associated increased costs of aluminum and other raw materials, energy, labor, shipping, delays in shipment and production times, and fluctuations in demand;</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COVID-19 pandemic and the war in Ukraine;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effectively anticipate technology and industry trends and develop and market new products, solutions and technologies, including products based on its technology and expertise that relate to industries in which it does not currently conduct material business;</w:t>
            </w:r>
          </w:p>
        </w:tc>
      </w:tr>
    </w:tbl>
    <w:p>
      <w:pPr>
        <w:pStyle w:val="TextBody"/>
        <w:spacing w:before="0" w:after="0"/>
        <w:ind w:left="0" w:right="0" w:hanging="0"/>
        <w:rPr/>
      </w:pPr>
      <w:r>
        <w:rPr/>
        <w:t> </w:t>
      </w:r>
    </w:p>
    <w:tbl>
      <w:tblPr>
        <w:tblW w:w="6880" w:type="dxa"/>
        <w:jc w:val="left"/>
        <w:tblInd w:w="0" w:type="dxa"/>
        <w:tblCellMar>
          <w:top w:w="0" w:type="dxa"/>
          <w:left w:w="0" w:type="dxa"/>
          <w:bottom w:w="0" w:type="dxa"/>
          <w:right w:w="0" w:type="dxa"/>
        </w:tblCellMar>
      </w:tblPr>
      <w:tblGrid>
        <w:gridCol w:w="75"/>
        <w:gridCol w:w="170"/>
        <w:gridCol w:w="66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6635" w:type="dxa"/>
            <w:tcBorders/>
            <w:shd w:fill="auto" w:val="clear"/>
            <w:vAlign w:val="center"/>
          </w:tcPr>
          <w:p>
            <w:pPr>
              <w:pStyle w:val="TableContents"/>
              <w:spacing w:before="0" w:after="283"/>
              <w:rPr>
                <w:rFonts w:ascii="Calibri;Arial;sans-serif" w:hAnsi="Calibri;Arial;sans-serif"/>
                <w:sz w:val="20"/>
              </w:rPr>
            </w:pPr>
            <w:r>
              <w:rPr>
                <w:rFonts w:ascii="Calibri;Arial;sans-serif" w:hAnsi="Calibri;Arial;sans-serif"/>
                <w:sz w:val="20"/>
              </w:rPr>
              <w:t>Kodak’s ability to effectively compete with large, well-financed industry participants;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effect strategic transactions, such as investments, acquisitions, strategic alliances, divestitures and similar transactions, or to achieve the benefits sought to be achieved from such strategic transactions;</w:t>
            </w:r>
          </w:p>
        </w:tc>
      </w:tr>
    </w:tbl>
    <w:p>
      <w:pPr>
        <w:pStyle w:val="TextBody"/>
        <w:spacing w:before="0" w:after="0"/>
        <w:ind w:left="0" w:right="0" w:hanging="0"/>
        <w:rPr/>
      </w:pPr>
      <w:r>
        <w:rPr/>
        <w:t> </w:t>
      </w:r>
    </w:p>
    <w:tbl>
      <w:tblPr>
        <w:tblW w:w="9595" w:type="dxa"/>
        <w:jc w:val="left"/>
        <w:tblInd w:w="0" w:type="dxa"/>
        <w:tblCellMar>
          <w:top w:w="0" w:type="dxa"/>
          <w:left w:w="0" w:type="dxa"/>
          <w:bottom w:w="0" w:type="dxa"/>
          <w:right w:w="0" w:type="dxa"/>
        </w:tblCellMar>
      </w:tblPr>
      <w:tblGrid>
        <w:gridCol w:w="75"/>
        <w:gridCol w:w="170"/>
        <w:gridCol w:w="93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35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Kodak's ability to discontinue, sell or spin-off certain non-core businesses or operations, or otherwise monetize assets;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The impact of the investigations, litigation and claims arising out of the circumstances surrounding the announcement on July 28, 2020, by the U.S. International Development Finance Corporation of the signing of a non‐binding letter of interest to provide a subsidiary of Kodak with a potential loan to support the launch of an initiative for the manufacture of pharmaceutical ingredients for essential generic drugs; and</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The potential impact of force majeure events, cyber‐attacks or other data security incidents that could disrupt or otherwise harm Kodak’s operations.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Future events and other factors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undertakes no obligation to update or revise forward–looking statements to reflect events or circumstances that arise after the date made or to reflect the occurrence of unanticipated events, except as required by law.</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EXECUTIVE 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is a global manufacturer focused on commercial print and advanced materials and chemicals. Kodak provides industry-leading hardware, software, consumables and services primarily to customers in commercial print, packaging, publishing, manufacturing and entertainment. With 79,000 patents earned over 130 years of research and development ("R&amp;D"), Kodak believes in the power of technology and science to enhance what the world sees and creates. Kodak’s innovative, award-winning products, combined with its customer-first approach, allows Kodak to attract customers worldwide. Kodak is committed to environmental stewardship, including industry leadership in developing sustainable solutions for print.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revenues in the three months ended March 31, 2023 were $278 million, a decrease of $12 million (4%) when compared to the three months ended March 31, 2022. Currency impacted revenue unfavorably in the three months ended March 31, 2023 compared to the three months ended March 31, 2022 ($10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Print revenues, which accounted for 75% of Kodak’s total revenues for the three months ended March 31, 2023, declined by $19 million (8%) compared to the prior year quarter. For the three months ended March 31, 2023, volume for SONORA Process Free Plates declined by 14% compared to the prior year period or 12% when including volume under a royalty based licensing agreement. In the three months ended March 31, 2023, Advanced Materials and Chemicals revenue improved $7 million (13%) compared to the prior year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Economic Environment and Other Global Events</w:t>
      </w:r>
      <w:r>
        <w:rPr>
          <w:rFonts w:ascii="Calibri;Arial;sans-serif" w:hAnsi="Calibri;Arial;sans-serif"/>
          <w:b/>
          <w:i/>
          <w:caps w:val="false"/>
          <w:smallCaps w:val="false"/>
          <w:sz w:val="20"/>
        </w:rPr>
        <w:t>:</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unfavorable foreign exchange rates, the war in Ukraine, and other global events which impact Kodak’s operations. Kodak is experiencing supply chain disruptions, shortages in materials and labor, and increased labor, material and distribution costs as well as volume declines for certain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br/>
        <w:t>Kodak has also implemented various pricing actions in response to increased labor, material and distribution costs primarily within its Print segment. In order to mitigate the impact of higher aluminum, energy and packaging costs, the segment implemented surcharges on purchases of plates largely beginning in the latter part of the second quarter of 2021 that continue to be periodically reviewed and adjusted for accordingly.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Advanced Materials and Chemicals segment has experienced labor shortages in certain manufacturing areas. Increased demand for consumer film products along with manufacturing equipment limitations and labor shortages have contributed to increased backorders. Kodak has increased headcount in this segment to better meet demand, but supply will continue to be constrained by manufacturing equipment limitations without further capital improvements.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Due to current global economic conditions and pricing actions, the Print segment is experiencing a slowdown in customer demand for plates that negatively impacted volume. Kodak has implemented various actions in response, including supply chain and workforce optimization, productivity improvements and other cost savings that are projected to mitigate the impact of lower volumes. However, the potential worsening of economic conditions and the negative impact on customer demand due to further pricing actions could unfavorably impact this segment's operating results.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continues to monitor the rapidly evolving events surrounding the war in Ukraine and the various sanctions imposed in response to the war. Kodak is in compliance with all sanctions. Kodak is experiencing worldwide supply constraints for aluminum and electronic components, and increased energy and transportation costs due in part to the war in Ukraine. The extent to which the military conflict in Ukraine will impact the global economy and Kodak's business and operations remains uncertain.  </w:t>
      </w:r>
    </w:p>
    <w:p>
      <w:pPr>
        <w:pStyle w:val="TextBody"/>
        <w:spacing w:before="0" w:after="0"/>
        <w:ind w:left="0" w:right="0" w:hanging="0"/>
        <w:rPr/>
      </w:pPr>
      <w:r>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its direct operations in Russia. The direct operations of Kodak’s Russian subsidiary do not have a material impact on the Company’s financial statements (less than 1% of total consolidated revenues and assets for 2022), and there were no material impacts on the consolidated results of operations as of and for the quarter ended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ongoing changes in global economic conditions and the impact of other global events on Kodak’s operations and financial performance remains uncertain and will depend on several factors such as the duration of supply chain disruptions and slowdown in customer demand, the ability to secure raw materials and components and the ability to offset higher labor, material and distribution costs through pricing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Kodak</w:t>
      </w:r>
      <w:r>
        <w:rPr>
          <w:rFonts w:ascii="Calibri;Arial;sans-serif" w:hAnsi="Calibri;Arial;sans-serif"/>
          <w:caps w:val="false"/>
          <w:smallCaps w:val="false"/>
          <w:sz w:val="20"/>
        </w:rPr>
        <w:t>’</w:t>
      </w:r>
      <w:r>
        <w:rPr>
          <w:rFonts w:ascii="Calibri;Arial;sans-serif" w:hAnsi="Calibri;Arial;sans-serif"/>
          <w:b/>
          <w:caps w:val="false"/>
          <w:smallCaps w:val="false"/>
          <w:sz w:val="20"/>
        </w:rPr>
        <w:t>s strategy</w:t>
      </w:r>
      <w:r>
        <w:rPr>
          <w:rFonts w:ascii="Calibri;Arial;sans-serif" w:hAnsi="Calibri;Arial;sans-serif"/>
          <w:b/>
          <w:i/>
          <w:caps w:val="false"/>
          <w:smallCaps w:val="false"/>
          <w:sz w:val="20"/>
        </w:rPr>
        <w:t>:</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film industry and segments within the print industry face competition from digital substitution. Kodak’s strategy is to:</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Focus product investment in core competency areas of print and advanced materials, leveraging Kodak’s proprietary technologies to deliver technologically advanced products in the product goods packaging, graphic communications, and functional printing markets;</w:t>
            </w:r>
          </w:p>
        </w:tc>
      </w:tr>
    </w:tbl>
    <w:p>
      <w:pPr>
        <w:pStyle w:val="TextBody"/>
        <w:spacing w:before="0" w:after="0"/>
        <w:ind w:left="0" w:right="0" w:hanging="0"/>
        <w:rPr/>
      </w:pPr>
      <w:r>
        <w:rPr/>
        <w:t> </w:t>
      </w:r>
    </w:p>
    <w:tbl>
      <w:tblPr>
        <w:tblW w:w="7825" w:type="dxa"/>
        <w:jc w:val="left"/>
        <w:tblInd w:w="0" w:type="dxa"/>
        <w:tblCellMar>
          <w:top w:w="0" w:type="dxa"/>
          <w:left w:w="0" w:type="dxa"/>
          <w:bottom w:w="0" w:type="dxa"/>
          <w:right w:w="0" w:type="dxa"/>
        </w:tblCellMar>
      </w:tblPr>
      <w:tblGrid>
        <w:gridCol w:w="75"/>
        <w:gridCol w:w="170"/>
        <w:gridCol w:w="75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758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Grow revenues through a focus on customers in Kodak’s print division, increasing overall share;</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Promote the use of film and expand the applications of Kodak’s film and chemicals to best utilize the existing infrastructure; and</w:t>
            </w:r>
          </w:p>
        </w:tc>
      </w:tr>
    </w:tbl>
    <w:p>
      <w:pPr>
        <w:pStyle w:val="TextBody"/>
        <w:spacing w:before="0" w:after="0"/>
        <w:ind w:left="0" w:right="0" w:hanging="0"/>
        <w:rPr/>
      </w:pPr>
      <w:r>
        <w:rPr/>
        <w:t> </w:t>
      </w:r>
    </w:p>
    <w:tbl>
      <w:tblPr>
        <w:tblW w:w="7405" w:type="dxa"/>
        <w:jc w:val="left"/>
        <w:tblInd w:w="0" w:type="dxa"/>
        <w:tblCellMar>
          <w:top w:w="0" w:type="dxa"/>
          <w:left w:w="0" w:type="dxa"/>
          <w:bottom w:w="0" w:type="dxa"/>
          <w:right w:w="0" w:type="dxa"/>
        </w:tblCellMar>
      </w:tblPr>
      <w:tblGrid>
        <w:gridCol w:w="75"/>
        <w:gridCol w:w="170"/>
        <w:gridCol w:w="71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71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Continue to streamline processes to drive cost reductions and improve operating leverage.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 discussion of opportunities and challenges related to Kodak’s strategy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including aluminum prices, through a combination of surcharges and price increases,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In Print's digital printing businesses, the PROSPER business is expected to grow as the legacy VERSAMARK business continues to decline as a percentage of the segment’s total revenue. The PROSPER Inkjet Systems business is expected to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The first flexible packaging printing system utilizing Kodak’s ULTRASTREAM inkjet technology was placed during the second quarter of 2022. In addition, Kodak officially launched the KODAK PROSPER ULTRA 520 Digital Press utilizing Kodak’s ULTRASTREAM inkjet technology, which offers offset print quality in a smaller footprint. Kodak's Electrophotographic Printing Solutions business ceased manufacturing NEXFINITY and ASCEND printers effective December 2022. Kodak will continue to offer ink and other consumables as well as provide service to its installed base of printers.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Advanced Materials and Chemicals is using Kodak’s deep expertise in chemistry and strengths in deposition and coating processes that come from decades of experience in film manufacturing to work on new initiatives: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w:t>
            </w:r>
          </w:p>
        </w:tc>
        <w:tc>
          <w:tcPr>
            <w:tcW w:w="1000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Electric Vehicle (“EV”)/Energy Storage Battery Material Manufacturing </w:t>
            </w:r>
            <w:r>
              <w:rPr>
                <w:rFonts w:ascii="Calibri;Arial;sans-serif" w:hAnsi="Calibri;Arial;sans-serif"/>
                <w:i/>
                <w:sz w:val="20"/>
              </w:rPr>
              <w:t xml:space="preserve">- </w:t>
            </w:r>
            <w:r>
              <w:rPr>
                <w:rFonts w:ascii="Calibri;Arial;sans-serif" w:hAnsi="Calibri;Arial;sans-serif"/>
                <w:sz w:val="20"/>
              </w:rPr>
              <w:t>Coating of substrates is a critical aspect of manufacturing materials for batteries and Kodak plans to capitalize on its expertise in coating technology to develop opportunities in this area. Kodak is currently in the process of expanding its pilot coating facility. On July 13, 2022, Kodak invested $25 million to acquire a minority preferred equity interest in Wildcat Discovery Technologies, Inc. (“Wildcat”), a private technology company that uses proprietary methods to research and develop new battery materials, including an EV battery. Kodak has also entered into an agreement to provide coating and engineering services in collaboration with Wildcat to develop and scale film coating technologies. Wildcat has granted Kodak certain rights to negotiate a production or licensing arrangement with Wildcat when and if Wildcat’s technology reaches commercial readiness.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w:t>
            </w:r>
          </w:p>
        </w:tc>
        <w:tc>
          <w:tcPr>
            <w:tcW w:w="1000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Light-Blocking Technology - Kodak plans to leverage a proprietary technology initially developed for electrophotographic toners to commercialize a carbon‐less fabric coating designed to offer superior light management, from complete blackout to selective light filtering, and coating compatibility with an unmatched range of fabrics. Kodak is installing a production-scale coating machine to coat fabrics in Eastman Business Park, located in Rochester, NY.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w:t>
            </w:r>
          </w:p>
        </w:tc>
        <w:tc>
          <w:tcPr>
            <w:tcW w:w="1000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125"/>
        <w:gridCol w:w="10005"/>
      </w:tblGrid>
      <w:tr>
        <w:trPr/>
        <w:tc>
          <w:tcPr>
            <w:tcW w:w="7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w:t>
            </w:r>
          </w:p>
        </w:tc>
        <w:tc>
          <w:tcPr>
            <w:tcW w:w="10005"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Reagent Manufacturing - Kodak plans to capitalize on its existing chemical manufacturing expertise, including current production of unregulated Key Starting Materials for pharmaceuticals, to implement an expansion into manufacturing Diagnostic Test Reagent solutions. Kodak has started construction of a lab and manufacturing facility to manufacture reagents for healthcare applications within an existing building located at Eastman Business Park.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Film and related component manufacturing operations and Kodak Research Laboratories utilize capacity at Eastman Business Park, which helps cost absorption for both Kodak operations and tenants at Eastman Business Park.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w:t>
            </w:r>
          </w:p>
        </w:tc>
        <w:tc>
          <w:tcPr>
            <w:tcW w:w="9960" w:type="dxa"/>
            <w:tcBorders/>
            <w:shd w:fill="auto"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Kodak plans to capitalize on its intellectual property through new business or licensing opportunities in 3D printing materials, smart material applications, and printed electronics markets.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rFonts w:ascii="Calibri;Arial;sans-serif" w:hAnsi="Calibri;Arial;sans-serif"/>
          <w:b/>
          <w:sz w:val="20"/>
        </w:rPr>
      </w:pPr>
      <w:r>
        <w:rPr>
          <w:rFonts w:ascii="Calibri;Arial;sans-serif" w:hAnsi="Calibri;Arial;sans-serif"/>
          <w:b/>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2023 COMPARED TO 2022</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FIRST QUARTER RESULTS OF OPERATIONS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38"/>
        <w:gridCol w:w="60"/>
        <w:gridCol w:w="125"/>
        <w:gridCol w:w="335"/>
        <w:gridCol w:w="80"/>
        <w:gridCol w:w="60"/>
        <w:gridCol w:w="72"/>
        <w:gridCol w:w="353"/>
        <w:gridCol w:w="185"/>
        <w:gridCol w:w="60"/>
        <w:gridCol w:w="125"/>
        <w:gridCol w:w="335"/>
        <w:gridCol w:w="80"/>
        <w:gridCol w:w="60"/>
        <w:gridCol w:w="72"/>
        <w:gridCol w:w="353"/>
        <w:gridCol w:w="185"/>
        <w:gridCol w:w="60"/>
        <w:gridCol w:w="231"/>
        <w:gridCol w:w="539"/>
        <w:gridCol w:w="97"/>
      </w:tblGrid>
      <w:tr>
        <w:trPr/>
        <w:tc>
          <w:tcPr>
            <w:tcW w:w="673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310"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97" w:type="dxa"/>
            <w:tcBorders/>
            <w:shd w:fill="FFFF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335"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of</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539" w:type="dxa"/>
            <w:tcBorders/>
            <w:shd w:fill="FFFFFF" w:val="clear"/>
            <w:vAlign w:val="center"/>
          </w:tcPr>
          <w:p>
            <w:pPr>
              <w:pStyle w:val="TableContents"/>
              <w:spacing w:before="0" w:after="283"/>
              <w:jc w:val="center"/>
              <w:rPr/>
            </w:pPr>
            <w:r>
              <w:rPr/>
              <w:t> </w:t>
            </w:r>
          </w:p>
        </w:tc>
        <w:tc>
          <w:tcPr>
            <w:tcW w:w="97" w:type="dxa"/>
            <w:tcBorders/>
            <w:shd w:fill="FFFF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Sales</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Sales</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97" w:type="dxa"/>
            <w:tcBorders/>
            <w:shd w:fill="FFFFFF" w:val="clear"/>
            <w:vAlign w:val="center"/>
          </w:tcPr>
          <w:p>
            <w:pPr>
              <w:pStyle w:val="TableContents"/>
              <w:spacing w:before="0" w:after="283"/>
              <w:rPr/>
            </w:pPr>
            <w:r>
              <w:rPr/>
              <w:t> </w:t>
            </w:r>
          </w:p>
        </w:tc>
      </w:tr>
      <w:tr>
        <w:trPr/>
        <w:tc>
          <w:tcPr>
            <w:tcW w:w="6738"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jc w:val="right"/>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jc w:val="right"/>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9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738"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Cost of revenues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353"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257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353" w:type="dxa"/>
            <w:tcBorders/>
            <w:shd w:fill="FFFFFF" w:val="clear"/>
            <w:vAlign w:val="center"/>
          </w:tcPr>
          <w:p>
            <w:pPr>
              <w:pStyle w:val="TableContents"/>
              <w:spacing w:before="0" w:after="283"/>
              <w:jc w:val="right"/>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w:t>
            </w:r>
          </w:p>
        </w:tc>
        <w:tc>
          <w:tcPr>
            <w:tcW w:w="9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738" w:type="dxa"/>
            <w:tcBorders/>
            <w:shd w:fill="CCEE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18</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53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17</w:t>
            </w:r>
          </w:p>
        </w:tc>
        <w:tc>
          <w:tcPr>
            <w:tcW w:w="97" w:type="dxa"/>
            <w:tcBorders/>
            <w:shd w:fill="CCEE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Selling, general and administrative expenses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53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738"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Research and development costs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539" w:type="dxa"/>
            <w:tcBorders/>
            <w:shd w:fill="CCEEFF" w:val="clear"/>
            <w:vAlign w:val="center"/>
          </w:tcPr>
          <w:p>
            <w:pPr>
              <w:pStyle w:val="TableContents"/>
              <w:spacing w:before="0" w:after="283"/>
              <w:ind w:left="0" w:right="0" w:hanging="0"/>
              <w:jc w:val="right"/>
              <w:rPr/>
            </w:pPr>
            <w:r>
              <w:rPr/>
              <w:t>—</w:t>
            </w:r>
          </w:p>
        </w:tc>
        <w:tc>
          <w:tcPr>
            <w:tcW w:w="97" w:type="dxa"/>
            <w:tcBorders/>
            <w:shd w:fill="CCEE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pPr>
            <w:r>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53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7" w:type="dxa"/>
            <w:tcBorders/>
            <w:shd w:fill="FFFFFF" w:val="clear"/>
            <w:vAlign w:val="center"/>
          </w:tcPr>
          <w:p>
            <w:pPr>
              <w:pStyle w:val="TableContents"/>
              <w:spacing w:before="0" w:after="283"/>
              <w:rPr/>
            </w:pPr>
            <w:r>
              <w:rPr/>
              <w:t> </w:t>
            </w:r>
          </w:p>
        </w:tc>
      </w:tr>
      <w:tr>
        <w:trPr/>
        <w:tc>
          <w:tcPr>
            <w:tcW w:w="6738" w:type="dxa"/>
            <w:tcBorders/>
            <w:shd w:fill="CCEE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Other operating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0</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335" w:type="dxa"/>
            <w:tcBorders/>
            <w:shd w:fill="CCEEFF" w:val="clear"/>
            <w:vAlign w:val="center"/>
          </w:tcPr>
          <w:p>
            <w:pPr>
              <w:pStyle w:val="TableContents"/>
              <w:spacing w:before="0" w:after="283"/>
              <w:jc w:val="right"/>
              <w:rPr/>
            </w:pPr>
            <w:r>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0</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539"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1</w:t>
            </w:r>
          </w:p>
        </w:tc>
        <w:tc>
          <w:tcPr>
            <w:tcW w:w="97" w:type="dxa"/>
            <w:tcBorders/>
            <w:shd w:fill="CCEE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Income (loss) from operations before interest expense, pension income excluding service cost component, other (income) charges, net and income taxes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24</w:t>
            </w:r>
          </w:p>
        </w:tc>
        <w:tc>
          <w:tcPr>
            <w:tcW w:w="97" w:type="dxa"/>
            <w:tcBorders/>
            <w:shd w:fill="FFFFFF" w:val="clear"/>
            <w:vAlign w:val="center"/>
          </w:tcPr>
          <w:p>
            <w:pPr>
              <w:pStyle w:val="TableContents"/>
              <w:spacing w:before="0" w:after="283"/>
              <w:rPr/>
            </w:pPr>
            <w:r>
              <w:rPr/>
              <w:t> </w:t>
            </w:r>
          </w:p>
        </w:tc>
      </w:tr>
      <w:tr>
        <w:trPr/>
        <w:tc>
          <w:tcPr>
            <w:tcW w:w="6738"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Interest expense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33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539"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7" w:type="dxa"/>
            <w:tcBorders/>
            <w:shd w:fill="CCEE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0"/>
              <w:ind w:left="180" w:right="0" w:hanging="180"/>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53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738"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(income) charges, net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9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6738"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Income (loss) from operations before income taxes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15</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33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(0</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539"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42</w:t>
            </w:r>
          </w:p>
        </w:tc>
        <w:tc>
          <w:tcPr>
            <w:tcW w:w="97" w:type="dxa"/>
            <w:tcBorders/>
            <w:shd w:fill="FFFFFF" w:val="clear"/>
            <w:vAlign w:val="center"/>
          </w:tcPr>
          <w:p>
            <w:pPr>
              <w:pStyle w:val="TableContents"/>
              <w:spacing w:before="0" w:after="283"/>
              <w:rPr/>
            </w:pPr>
            <w:r>
              <w:rPr/>
              <w:t> </w:t>
            </w:r>
          </w:p>
        </w:tc>
      </w:tr>
      <w:tr>
        <w:trPr/>
        <w:tc>
          <w:tcPr>
            <w:tcW w:w="6738"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Provision for income taxes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3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8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rPr/>
            </w:pPr>
            <w:r>
              <w:rPr/>
              <w:t> </w:t>
            </w:r>
          </w:p>
        </w:tc>
        <w:tc>
          <w:tcPr>
            <w:tcW w:w="23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3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97" w:type="dxa"/>
            <w:tcBorders/>
            <w:shd w:fill="CCEEFF" w:val="clear"/>
            <w:vAlign w:val="center"/>
          </w:tcPr>
          <w:p>
            <w:pPr>
              <w:pStyle w:val="TableContents"/>
              <w:spacing w:before="0" w:after="283"/>
              <w:rPr/>
            </w:pPr>
            <w:r>
              <w:rPr/>
              <w:t> </w:t>
            </w:r>
          </w:p>
        </w:tc>
      </w:tr>
      <w:tr>
        <w:trPr/>
        <w:tc>
          <w:tcPr>
            <w:tcW w:w="6738"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EARNINGS (LOSS)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12</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3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8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231"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36</w:t>
            </w:r>
          </w:p>
        </w:tc>
        <w:tc>
          <w:tcPr>
            <w:tcW w:w="97"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For the three months ended March 31, 2023 revenues declined $12 million compared with the same period in 2022, driven by lower volume in Print and Advanced Materials and Chemicals ($40 million and $2 million, respectively) and unfavorable foreign exchange impact ($10 million) partially offset by improved pricing and product mix within Print ($30 million) and Advanced Materials and Chemicals ($10 million). See segment discussions for additional details.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Gross Profit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Gross profit for the three months ended March 31, 2023 improved $17 million compared with the same period in 2022, primarily due to improved pricing and product mix within Print ($30 million) and Advanced Materials and Chemicals ($10 million). These favorable impacts were partially offset by higher manufacturing costs and lower volume in Print ($13 million), unfavorable manufacturing costs in Advanced Materials and Chemicals ($3 million) and an unfavorable foreign exchange impact ($2 million).  The improvements in gross profit were partially offset by the net change in employee benefit and workers' compensation reserves ($4 million). See segment discussions for additional details.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Selling, General and Administrative Expenses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SG&amp;A decreased $9 million in the three months ended March 31, 2023 compared to the prior year period primarily due to $10 million of income in the quarter ended March 31, 2023 representing insurance reimbursement of legal costs previously paid by the Company associated with investigations and litigation.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Research and Development Costs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R&amp;D expenses were flat for the three months ended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Pension Income Excluding Service Cost Component</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increased $10 million in the three months ended March 31, 2023. Refer to Note 11, "Retirement Plans and Other Postretirement Benefits".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Other (income) charges, net</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For details, refer to Note 9, "Other (Income) Charges".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REPORTABLE SEGMENTS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i/>
          <w:caps w:val="false"/>
          <w:smallCaps w:val="false"/>
          <w:sz w:val="20"/>
        </w:rPr>
        <w:t>Change in Segments </w:t>
      </w:r>
      <w:r>
        <w:rPr>
          <w:rFonts w:ascii="Calibri;Arial;sans-serif" w:hAnsi="Calibri;Arial;sans-serif"/>
          <w:caps w:val="false"/>
          <w:smallCaps w:val="false"/>
          <w:sz w:val="20"/>
        </w:rPr>
        <w:br/>
        <w:t>Effective February 2023 Kodak changed its organizational structure. The Traditional Printing segment and the Digital Printing segment were combined into one segment, named the Print segment. No changes were made to Kodak's other segments.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has three reportable segments: Print, Advanced Materials and Chemicals and Brand. A description of Kodak’s reportable segments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Print</w:t>
      </w:r>
      <w:r>
        <w:rPr>
          <w:rFonts w:ascii="Calibri;Arial;sans-serif" w:hAnsi="Calibri;Arial;sans-serif"/>
          <w:caps w:val="false"/>
          <w:smallCaps w:val="false"/>
          <w:sz w:val="20"/>
        </w:rPr>
        <w:t>: The Print segment is comprised of five lines of business: the Prepress Solutions business, the PROSPER business, the Software business, the Electrophotographic Printing Solutions business and the VERSAMARK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Advanced Materials and Chemicals:</w:t>
      </w:r>
      <w:r>
        <w:rPr>
          <w:rFonts w:ascii="Calibri;Arial;sans-serif" w:hAnsi="Calibri;Arial;sans-serif"/>
          <w:caps w:val="false"/>
          <w:smallCaps w:val="false"/>
          <w:sz w:val="20"/>
        </w:rPr>
        <w:t xml:space="preserve"> The Advanced Materials and Chemicals segment is comprised of three lines of business: Industrial Film and Chemicals, Motion Picture and Advanced Materials and Functional Printing.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Brand</w:t>
      </w:r>
      <w:r>
        <w:rPr>
          <w:rFonts w:ascii="Calibri;Arial;sans-serif" w:hAnsi="Calibri;Arial;sans-serif"/>
          <w:caps w:val="false"/>
          <w:smallCaps w:val="false"/>
          <w:sz w:val="20"/>
        </w:rPr>
        <w:t>: The Brand segment contains the brand licensing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All Other</w:t>
      </w:r>
      <w:r>
        <w:rPr>
          <w:rFonts w:ascii="Calibri;Arial;sans-serif" w:hAnsi="Calibri;Arial;sans-serif"/>
          <w:caps w:val="false"/>
          <w:smallCaps w:val="false"/>
          <w:sz w:val="20"/>
        </w:rPr>
        <w:t>: All Other is comprised of the operations of the Eastman Business Park, a more than 1,200-acre technology center and industrial complex.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Segment Revenues</w:t>
      </w:r>
    </w:p>
    <w:p>
      <w:pPr>
        <w:pStyle w:val="TextBody"/>
        <w:spacing w:before="0" w:after="0"/>
        <w:ind w:left="0" w:right="0" w:hanging="0"/>
        <w:rPr>
          <w:caps w:val="false"/>
          <w:smallCaps w:val="false"/>
        </w:rPr>
      </w:pPr>
      <w:r>
        <w:rPr>
          <w:caps w:val="false"/>
          <w:smallCaps w:val="false"/>
        </w:rPr>
        <w:t> </w:t>
      </w:r>
    </w:p>
    <w:tbl>
      <w:tblPr>
        <w:tblW w:w="4626" w:type="dxa"/>
        <w:jc w:val="left"/>
        <w:tblInd w:w="0" w:type="dxa"/>
        <w:tblCellMar>
          <w:top w:w="0" w:type="dxa"/>
          <w:left w:w="0" w:type="dxa"/>
          <w:bottom w:w="0" w:type="dxa"/>
          <w:right w:w="0" w:type="dxa"/>
        </w:tblCellMar>
      </w:tblPr>
      <w:tblGrid>
        <w:gridCol w:w="2765"/>
        <w:gridCol w:w="60"/>
        <w:gridCol w:w="207"/>
        <w:gridCol w:w="557"/>
        <w:gridCol w:w="99"/>
        <w:gridCol w:w="99"/>
        <w:gridCol w:w="207"/>
        <w:gridCol w:w="557"/>
        <w:gridCol w:w="75"/>
      </w:tblGrid>
      <w:tr>
        <w:trPr/>
        <w:tc>
          <w:tcPr>
            <w:tcW w:w="2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6" w:type="dxa"/>
            <w:gridSpan w:val="6"/>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75" w:type="dxa"/>
            <w:tcBorders/>
            <w:shd w:fill="FFFF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75" w:type="dxa"/>
            <w:tcBorders/>
            <w:shd w:fill="FFFF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ind w:left="0" w:right="0" w:hanging="0"/>
              <w:rPr/>
            </w:pPr>
            <w:r>
              <w:rPr/>
              <w:t> </w:t>
            </w:r>
          </w:p>
        </w:tc>
        <w:tc>
          <w:tcPr>
            <w:tcW w:w="7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75" w:type="dxa"/>
            <w:tcBorders/>
            <w:shd w:fill="CCEE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ind w:left="0" w:right="0" w:hanging="0"/>
              <w:rPr/>
            </w:pPr>
            <w:r>
              <w:rPr/>
              <w:t> </w:t>
            </w:r>
          </w:p>
        </w:tc>
        <w:tc>
          <w:tcPr>
            <w:tcW w:w="557"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7" w:type="dxa"/>
            <w:tcBorders/>
            <w:shd w:fill="FFFFFF" w:val="clear"/>
            <w:vAlign w:val="center"/>
          </w:tcPr>
          <w:p>
            <w:pPr>
              <w:pStyle w:val="TableContents"/>
              <w:spacing w:before="0" w:after="283"/>
              <w:ind w:left="0" w:right="0" w:hanging="0"/>
              <w:rPr/>
            </w:pPr>
            <w:r>
              <w:rPr/>
              <w:t> </w:t>
            </w:r>
          </w:p>
        </w:tc>
        <w:tc>
          <w:tcPr>
            <w:tcW w:w="557"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75" w:type="dxa"/>
            <w:tcBorders/>
            <w:shd w:fill="FFFFFF"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ind w:left="0" w:right="0" w:hanging="0"/>
              <w:rPr/>
            </w:pPr>
            <w:r>
              <w:rPr/>
              <w:t> </w:t>
            </w:r>
          </w:p>
        </w:tc>
        <w:tc>
          <w:tcPr>
            <w:tcW w:w="55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207" w:type="dxa"/>
            <w:tcBorders/>
            <w:shd w:fill="CCEEFF" w:val="clear"/>
            <w:vAlign w:val="center"/>
          </w:tcPr>
          <w:p>
            <w:pPr>
              <w:pStyle w:val="TableContents"/>
              <w:spacing w:before="0" w:after="283"/>
              <w:ind w:left="0" w:right="0" w:hanging="0"/>
              <w:rPr/>
            </w:pPr>
            <w:r>
              <w:rPr/>
              <w:t> </w:t>
            </w:r>
          </w:p>
        </w:tc>
        <w:tc>
          <w:tcPr>
            <w:tcW w:w="557"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CCEEFF" w:val="clear"/>
            <w:vAlign w:val="center"/>
          </w:tcPr>
          <w:p>
            <w:pPr>
              <w:pStyle w:val="TableContents"/>
              <w:spacing w:before="0" w:after="283"/>
              <w:rPr/>
            </w:pPr>
            <w:r>
              <w:rPr/>
              <w:t> </w:t>
            </w:r>
          </w:p>
        </w:tc>
      </w:tr>
      <w:tr>
        <w:trPr/>
        <w:tc>
          <w:tcPr>
            <w:tcW w:w="276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All Other</w:t>
            </w:r>
          </w:p>
        </w:tc>
        <w:tc>
          <w:tcPr>
            <w:tcW w:w="60" w:type="dxa"/>
            <w:tcBorders/>
            <w:shd w:fill="FFFFFF" w:val="clear"/>
            <w:vAlign w:val="center"/>
          </w:tcPr>
          <w:p>
            <w:pPr>
              <w:pStyle w:val="TableContents"/>
              <w:spacing w:before="0" w:after="283"/>
              <w:rPr/>
            </w:pPr>
            <w:r>
              <w:rPr/>
              <w:t> </w:t>
            </w:r>
          </w:p>
        </w:tc>
        <w:tc>
          <w:tcPr>
            <w:tcW w:w="20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99" w:type="dxa"/>
            <w:tcBorders/>
            <w:shd w:fill="FFFFFF" w:val="clear"/>
            <w:vAlign w:val="center"/>
          </w:tcPr>
          <w:p>
            <w:pPr>
              <w:pStyle w:val="TableContents"/>
              <w:spacing w:before="0" w:after="283"/>
              <w:rPr/>
            </w:pPr>
            <w:r>
              <w:rPr/>
              <w:t> </w:t>
            </w:r>
          </w:p>
        </w:tc>
        <w:tc>
          <w:tcPr>
            <w:tcW w:w="99" w:type="dxa"/>
            <w:tcBorders/>
            <w:shd w:fill="FFFFFF" w:val="clear"/>
            <w:vAlign w:val="center"/>
          </w:tcPr>
          <w:p>
            <w:pPr>
              <w:pStyle w:val="TableContents"/>
              <w:spacing w:before="0" w:after="283"/>
              <w:rPr/>
            </w:pPr>
            <w:r>
              <w:rPr/>
              <w:t> </w:t>
            </w:r>
          </w:p>
        </w:tc>
        <w:tc>
          <w:tcPr>
            <w:tcW w:w="20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75" w:type="dxa"/>
            <w:tcBorders/>
            <w:shd w:fill="FFFFFF" w:val="clear"/>
            <w:vAlign w:val="center"/>
          </w:tcPr>
          <w:p>
            <w:pPr>
              <w:pStyle w:val="TableContents"/>
              <w:spacing w:before="0" w:after="283"/>
              <w:rPr/>
            </w:pPr>
            <w:r>
              <w:rPr/>
              <w:t> </w:t>
            </w:r>
          </w:p>
        </w:tc>
      </w:tr>
      <w:tr>
        <w:trPr/>
        <w:tc>
          <w:tcPr>
            <w:tcW w:w="2765" w:type="dxa"/>
            <w:tcBorders/>
            <w:shd w:fill="CCEEFF" w:val="clear"/>
            <w:vAlign w:val="center"/>
          </w:tcPr>
          <w:p>
            <w:pPr>
              <w:pStyle w:val="TableContents"/>
              <w:spacing w:before="0" w:after="0"/>
              <w:ind w:left="36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total</w:t>
            </w:r>
          </w:p>
        </w:tc>
        <w:tc>
          <w:tcPr>
            <w:tcW w:w="60" w:type="dxa"/>
            <w:tcBorders/>
            <w:shd w:fill="CCEEFF" w:val="clear"/>
            <w:vAlign w:val="center"/>
          </w:tcPr>
          <w:p>
            <w:pPr>
              <w:pStyle w:val="TableContents"/>
              <w:spacing w:before="0" w:after="283"/>
              <w:ind w:left="0" w:right="0" w:hanging="0"/>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278</w:t>
            </w:r>
          </w:p>
        </w:tc>
        <w:tc>
          <w:tcPr>
            <w:tcW w:w="99"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ind w:left="0" w:right="0" w:hanging="0"/>
              <w:rPr/>
            </w:pPr>
            <w:r>
              <w:rPr/>
              <w:t> </w:t>
            </w:r>
          </w:p>
        </w:tc>
        <w:tc>
          <w:tcPr>
            <w:tcW w:w="20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290</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Segment Operational EBITDA and Consolidated Earnings (Loss) from Operations Before Income Taxes</w:t>
      </w:r>
    </w:p>
    <w:p>
      <w:pPr>
        <w:pStyle w:val="TextBody"/>
        <w:spacing w:before="0" w:after="0"/>
        <w:ind w:left="0" w:right="0" w:hanging="0"/>
        <w:rPr>
          <w:caps w:val="false"/>
          <w:smallCaps w:val="false"/>
        </w:rPr>
      </w:pPr>
      <w:r>
        <w:rPr>
          <w:caps w:val="false"/>
          <w:smallCaps w:val="false"/>
        </w:rPr>
        <w:t> </w:t>
      </w:r>
    </w:p>
    <w:tbl>
      <w:tblPr>
        <w:tblW w:w="7108" w:type="dxa"/>
        <w:jc w:val="left"/>
        <w:tblInd w:w="0" w:type="dxa"/>
        <w:tblCellMar>
          <w:top w:w="0" w:type="dxa"/>
          <w:left w:w="0" w:type="dxa"/>
          <w:bottom w:w="0" w:type="dxa"/>
          <w:right w:w="0" w:type="dxa"/>
        </w:tblCellMar>
      </w:tblPr>
      <w:tblGrid>
        <w:gridCol w:w="5225"/>
        <w:gridCol w:w="60"/>
        <w:gridCol w:w="230"/>
        <w:gridCol w:w="533"/>
        <w:gridCol w:w="147"/>
        <w:gridCol w:w="110"/>
        <w:gridCol w:w="230"/>
        <w:gridCol w:w="478"/>
        <w:gridCol w:w="95"/>
      </w:tblGrid>
      <w:tr>
        <w:trPr/>
        <w:tc>
          <w:tcPr>
            <w:tcW w:w="52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95" w:type="dxa"/>
            <w:tcBorders/>
            <w:shd w:fill="FFFF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95" w:type="dxa"/>
            <w:tcBorders/>
            <w:shd w:fill="FFFF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6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4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70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95" w:type="dxa"/>
            <w:tcBorders/>
            <w:shd w:fill="FFFFFF" w:val="clear"/>
            <w:vAlign w:val="center"/>
          </w:tcPr>
          <w:p>
            <w:pPr>
              <w:pStyle w:val="TableContents"/>
              <w:spacing w:before="0" w:after="283"/>
              <w:rPr/>
            </w:pPr>
            <w:r>
              <w:rPr/>
              <w:t> </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Print</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147"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533" w:type="dxa"/>
            <w:tcBorders/>
            <w:shd w:fill="FFFFFF" w:val="clear"/>
            <w:vAlign w:val="center"/>
          </w:tcPr>
          <w:p>
            <w:pPr>
              <w:pStyle w:val="TableContents"/>
              <w:spacing w:before="0" w:after="283"/>
              <w:ind w:left="0" w:right="0" w:hanging="0"/>
              <w:jc w:val="right"/>
              <w:rPr/>
            </w:pPr>
            <w:r>
              <w:rPr/>
              <w:t>—</w:t>
            </w:r>
          </w:p>
        </w:tc>
        <w:tc>
          <w:tcPr>
            <w:tcW w:w="14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Brand</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53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47"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53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4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Restructuring costs and other</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53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4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pPr>
            <w:r>
              <w:rPr/>
              <w:t>—</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Stock based compensation</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53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4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Consulting and other costs (1)</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53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10</w:t>
            </w:r>
          </w:p>
        </w:tc>
        <w:tc>
          <w:tcPr>
            <w:tcW w:w="147"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w:t>
            </w:r>
          </w:p>
        </w:tc>
        <w:tc>
          <w:tcPr>
            <w:tcW w:w="9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Idle costs (2)</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533" w:type="dxa"/>
            <w:tcBorders/>
            <w:shd w:fill="FFFFFF" w:val="clear"/>
            <w:vAlign w:val="center"/>
          </w:tcPr>
          <w:p>
            <w:pPr>
              <w:pStyle w:val="TableContents"/>
              <w:spacing w:before="0" w:after="283"/>
              <w:ind w:left="0" w:right="0" w:hanging="0"/>
              <w:jc w:val="right"/>
              <w:rPr/>
            </w:pPr>
            <w:r>
              <w:rPr/>
              <w:t>—</w:t>
            </w:r>
          </w:p>
        </w:tc>
        <w:tc>
          <w:tcPr>
            <w:tcW w:w="14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lineRule="auto" w:line="288" w:before="0" w:after="0"/>
              <w:ind w:left="0" w:right="0" w:hanging="0"/>
              <w:rPr>
                <w:rFonts w:ascii="Calibri;Arial;sans-serif" w:hAnsi="Calibri;Arial;sans-serif"/>
                <w:sz w:val="20"/>
              </w:rPr>
            </w:pPr>
            <w:r>
              <w:rPr>
                <w:rFonts w:ascii="Calibri;Arial;sans-serif" w:hAnsi="Calibri;Arial;sans-serif"/>
                <w:sz w:val="20"/>
              </w:rPr>
              <w:t>Other operating expense (3)</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533" w:type="dxa"/>
            <w:tcBorders/>
            <w:shd w:fill="CCEEFF" w:val="clear"/>
            <w:vAlign w:val="center"/>
          </w:tcPr>
          <w:p>
            <w:pPr>
              <w:pStyle w:val="TableContents"/>
              <w:spacing w:before="0" w:after="283"/>
              <w:jc w:val="right"/>
              <w:rPr>
                <w:rFonts w:ascii="Calibri;Arial;sans-serif" w:hAnsi="Calibri;Arial;sans-serif"/>
                <w:sz w:val="20"/>
              </w:rPr>
            </w:pPr>
            <w:r>
              <w:rPr>
                <w:rFonts w:ascii="Calibri;Arial;sans-serif" w:hAnsi="Calibri;Arial;sans-serif"/>
                <w:sz w:val="20"/>
              </w:rPr>
              <w:t>(1</w:t>
            </w:r>
          </w:p>
        </w:tc>
        <w:tc>
          <w:tcPr>
            <w:tcW w:w="147"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Interest expense (3)</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53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(11</w:t>
            </w:r>
          </w:p>
        </w:tc>
        <w:tc>
          <w:tcPr>
            <w:tcW w:w="147"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ind w:left="0" w:right="0" w:hanging="0"/>
              <w:rPr/>
            </w:pPr>
            <w:r>
              <w:rPr/>
              <w:t> </w:t>
            </w:r>
          </w:p>
        </w:tc>
        <w:tc>
          <w:tcPr>
            <w:tcW w:w="478"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(9</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CCEE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Pension income excluding service cost component (3)</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53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40</w:t>
            </w:r>
          </w:p>
        </w:tc>
        <w:tc>
          <w:tcPr>
            <w:tcW w:w="147"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ind w:left="0" w:right="0" w:hanging="0"/>
              <w:rPr/>
            </w:pPr>
            <w:r>
              <w:rPr/>
              <w:t> </w:t>
            </w:r>
          </w:p>
        </w:tc>
        <w:tc>
          <w:tcPr>
            <w:tcW w:w="478"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30</w:t>
            </w:r>
          </w:p>
        </w:tc>
        <w:tc>
          <w:tcPr>
            <w:tcW w:w="95" w:type="dxa"/>
            <w:tcBorders/>
            <w:shd w:fill="CCEEFF" w:val="clear"/>
            <w:vAlign w:val="center"/>
          </w:tcPr>
          <w:p>
            <w:pPr>
              <w:pStyle w:val="TableContents"/>
              <w:spacing w:before="0" w:after="283"/>
              <w:rPr/>
            </w:pPr>
            <w:r>
              <w:rPr/>
              <w:t> </w:t>
            </w:r>
          </w:p>
        </w:tc>
      </w:tr>
      <w:tr>
        <w:trPr/>
        <w:tc>
          <w:tcPr>
            <w:tcW w:w="5225" w:type="dxa"/>
            <w:tcBorders/>
            <w:shd w:fill="FFFFFF"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Other income (charges), net (3)</w:t>
            </w:r>
          </w:p>
        </w:tc>
        <w:tc>
          <w:tcPr>
            <w:tcW w:w="60" w:type="dxa"/>
            <w:tcBorders/>
            <w:shd w:fill="FFFFFF" w:val="clear"/>
            <w:vAlign w:val="center"/>
          </w:tcPr>
          <w:p>
            <w:pPr>
              <w:pStyle w:val="TableContents"/>
              <w:spacing w:before="0" w:after="283"/>
              <w:rPr/>
            </w:pPr>
            <w:r>
              <w:rPr/>
              <w:t> </w:t>
            </w:r>
          </w:p>
        </w:tc>
        <w:tc>
          <w:tcPr>
            <w:tcW w:w="2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3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14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rPr/>
            </w:pPr>
            <w:r>
              <w:rPr/>
              <w:t> </w:t>
            </w:r>
          </w:p>
        </w:tc>
        <w:tc>
          <w:tcPr>
            <w:tcW w:w="23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7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5225" w:type="dxa"/>
            <w:tcBorders/>
            <w:shd w:fill="FFFFFF" w:val="clear"/>
            <w:vAlign w:val="center"/>
          </w:tcPr>
          <w:p>
            <w:pPr>
              <w:pStyle w:val="TableContents"/>
              <w:spacing w:before="0" w:after="0"/>
              <w:ind w:left="180" w:right="0" w:hanging="0"/>
              <w:rPr>
                <w:rFonts w:ascii="Calibri;Arial;sans-serif" w:hAnsi="Calibri;Arial;sans-serif"/>
                <w:caps w:val="false"/>
                <w:smallCaps w:val="false"/>
                <w:sz w:val="20"/>
              </w:rPr>
            </w:pPr>
            <w:r>
              <w:rPr>
                <w:rFonts w:ascii="Calibri;Arial;sans-serif" w:hAnsi="Calibri;Arial;sans-serif"/>
                <w:caps w:val="false"/>
                <w:smallCaps w:val="false"/>
                <w:sz w:val="20"/>
              </w:rPr>
              <w:t>Consolidated earnings (loss) from operations before income taxes</w:t>
            </w:r>
          </w:p>
        </w:tc>
        <w:tc>
          <w:tcPr>
            <w:tcW w:w="60" w:type="dxa"/>
            <w:tcBorders/>
            <w:shd w:fill="FFFFFF" w:val="clear"/>
            <w:vAlign w:val="center"/>
          </w:tcPr>
          <w:p>
            <w:pPr>
              <w:pStyle w:val="TableContents"/>
              <w:spacing w:before="0" w:after="283"/>
              <w:ind w:left="0" w:right="0" w:hanging="0"/>
              <w:rPr/>
            </w:pPr>
            <w:r>
              <w:rPr/>
              <w:t> </w:t>
            </w:r>
          </w:p>
        </w:tc>
        <w:tc>
          <w:tcPr>
            <w:tcW w:w="230"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41</w:t>
            </w:r>
          </w:p>
        </w:tc>
        <w:tc>
          <w:tcPr>
            <w:tcW w:w="147"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ind w:left="0" w:right="0" w:hanging="0"/>
              <w:rPr/>
            </w:pPr>
            <w:r>
              <w:rPr/>
              <w:t> </w:t>
            </w:r>
          </w:p>
        </w:tc>
        <w:tc>
          <w:tcPr>
            <w:tcW w:w="230" w:type="dxa"/>
            <w:tcBorders>
              <w:bottom w:val="double" w:sz="6"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95"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6"/>
        <w:gridCol w:w="9934"/>
      </w:tblGrid>
      <w:tr>
        <w:trPr/>
        <w:tc>
          <w:tcPr>
            <w:tcW w:w="75"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lineRule="auto" w:line="288" w:before="0" w:after="0"/>
              <w:ind w:left="0" w:right="0" w:hanging="0"/>
              <w:jc w:val="left"/>
              <w:rPr>
                <w:rFonts w:ascii="Calibri;Arial;sans-serif" w:hAnsi="Calibri;Arial;sans-serif"/>
                <w:sz w:val="20"/>
              </w:rPr>
            </w:pPr>
            <w:r>
              <w:rPr>
                <w:rFonts w:ascii="Calibri;Arial;sans-serif" w:hAnsi="Calibri;Arial;sans-serif"/>
                <w:sz w:val="20"/>
              </w:rPr>
              <w:t>(1)</w:t>
            </w:r>
          </w:p>
        </w:tc>
        <w:tc>
          <w:tcPr>
            <w:tcW w:w="9934" w:type="dxa"/>
            <w:tcBorders/>
            <w:shd w:fill="auto" w:val="clear"/>
            <w:vAlign w:val="center"/>
          </w:tcPr>
          <w:p>
            <w:pPr>
              <w:pStyle w:val="TableContents"/>
              <w:spacing w:before="0" w:after="0"/>
              <w:ind w:left="0" w:right="0" w:hanging="0"/>
              <w:jc w:val="left"/>
              <w:rPr>
                <w:rFonts w:ascii="Calibri;Arial;sans-serif" w:hAnsi="Calibri;Arial;sans-serif"/>
                <w:sz w:val="20"/>
              </w:rPr>
            </w:pPr>
            <w:r>
              <w:rPr>
                <w:rFonts w:ascii="Calibri;Arial;sans-serif" w:hAnsi="Calibri;Arial;sans-serif"/>
                <w:sz w:val="20"/>
              </w:rPr>
              <w:t>Consulting and other costs are primarily professional services and internal costs associated with certain corporate strategic initiatives, investigations and litigation. Consulting and other costs include $10 million of income in the three months ended March 31, 2023 representing insurance reimbursement of legal costs. Kodak received $15 million of insurance reimbursement proceeds in the first quarter of 2023, of which $5 million was recorded in Other current assets in the Consolidated Statement of Financial Position as of December 31, 2022.</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75"/>
        <w:gridCol w:w="212"/>
        <w:gridCol w:w="9918"/>
      </w:tblGrid>
      <w:tr>
        <w:trPr/>
        <w:tc>
          <w:tcPr>
            <w:tcW w:w="75" w:type="dxa"/>
            <w:tcBorders/>
            <w:shd w:fill="auto" w:val="clear"/>
            <w:vAlign w:val="center"/>
          </w:tcPr>
          <w:p>
            <w:pPr>
              <w:pStyle w:val="TableContents"/>
              <w:spacing w:before="0" w:after="283"/>
              <w:rPr/>
            </w:pPr>
            <w:r>
              <w:rPr/>
              <w:t> </w:t>
            </w:r>
          </w:p>
        </w:tc>
        <w:tc>
          <w:tcPr>
            <w:tcW w:w="212" w:type="dxa"/>
            <w:tcBorders/>
            <w:shd w:fill="auto" w:val="clear"/>
            <w:vAlign w:val="center"/>
          </w:tcPr>
          <w:p>
            <w:pPr>
              <w:pStyle w:val="TableContents"/>
              <w:spacing w:lineRule="auto" w:line="288" w:before="0" w:after="0"/>
              <w:ind w:left="0" w:right="0" w:hanging="0"/>
              <w:jc w:val="left"/>
              <w:rPr>
                <w:rFonts w:ascii="Calibri;Arial;sans-serif" w:hAnsi="Calibri;Arial;sans-serif"/>
                <w:sz w:val="20"/>
              </w:rPr>
            </w:pPr>
            <w:r>
              <w:rPr>
                <w:rFonts w:ascii="Calibri;Arial;sans-serif" w:hAnsi="Calibri;Arial;sans-serif"/>
                <w:sz w:val="20"/>
              </w:rPr>
              <w:t>(2)</w:t>
            </w:r>
          </w:p>
        </w:tc>
        <w:tc>
          <w:tcPr>
            <w:tcW w:w="9918" w:type="dxa"/>
            <w:tcBorders/>
            <w:shd w:fill="auto" w:val="clear"/>
            <w:vAlign w:val="center"/>
          </w:tcPr>
          <w:p>
            <w:pPr>
              <w:pStyle w:val="TableContents"/>
              <w:spacing w:before="0" w:after="0"/>
              <w:ind w:left="0" w:right="0" w:hanging="0"/>
              <w:jc w:val="left"/>
              <w:rPr>
                <w:rFonts w:ascii="Calibri;Arial;sans-serif" w:hAnsi="Calibri;Arial;sans-serif"/>
                <w:sz w:val="20"/>
              </w:rPr>
            </w:pPr>
            <w:r>
              <w:rPr>
                <w:rFonts w:ascii="Calibri;Arial;sans-serif" w:hAnsi="Calibri;Arial;sans-serif"/>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tc>
      </w:tr>
    </w:tbl>
    <w:p>
      <w:pPr>
        <w:pStyle w:val="TextBody"/>
        <w:spacing w:before="0" w:after="0"/>
        <w:ind w:left="0" w:right="0" w:hanging="0"/>
        <w:rPr/>
      </w:pPr>
      <w:r>
        <w:rPr/>
        <w:t> </w:t>
      </w:r>
    </w:p>
    <w:tbl>
      <w:tblPr>
        <w:tblW w:w="4900" w:type="dxa"/>
        <w:jc w:val="left"/>
        <w:tblInd w:w="0" w:type="dxa"/>
        <w:tblCellMar>
          <w:top w:w="0" w:type="dxa"/>
          <w:left w:w="0" w:type="dxa"/>
          <w:bottom w:w="0" w:type="dxa"/>
          <w:right w:w="0" w:type="dxa"/>
        </w:tblCellMar>
      </w:tblPr>
      <w:tblGrid>
        <w:gridCol w:w="75"/>
        <w:gridCol w:w="245"/>
        <w:gridCol w:w="458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lineRule="auto" w:line="288" w:before="0" w:after="0"/>
              <w:ind w:left="0" w:right="0" w:hanging="0"/>
              <w:jc w:val="left"/>
              <w:rPr>
                <w:rFonts w:ascii="Calibri;Arial;sans-serif" w:hAnsi="Calibri;Arial;sans-serif"/>
                <w:sz w:val="20"/>
              </w:rPr>
            </w:pPr>
            <w:r>
              <w:rPr>
                <w:rFonts w:ascii="Calibri;Arial;sans-serif" w:hAnsi="Calibri;Arial;sans-serif"/>
                <w:sz w:val="20"/>
              </w:rPr>
              <w:t>(3)</w:t>
            </w:r>
          </w:p>
        </w:tc>
        <w:tc>
          <w:tcPr>
            <w:tcW w:w="4580" w:type="dxa"/>
            <w:tcBorders/>
            <w:shd w:fill="auto" w:val="clear"/>
            <w:vAlign w:val="center"/>
          </w:tcPr>
          <w:p>
            <w:pPr>
              <w:pStyle w:val="TableContents"/>
              <w:spacing w:before="0" w:after="0"/>
              <w:ind w:left="0" w:right="0" w:hanging="0"/>
              <w:jc w:val="left"/>
              <w:rPr>
                <w:rFonts w:ascii="Calibri;Arial;sans-serif" w:hAnsi="Calibri;Arial;sans-serif"/>
                <w:sz w:val="20"/>
              </w:rPr>
            </w:pPr>
            <w:r>
              <w:rPr>
                <w:rFonts w:ascii="Calibri;Arial;sans-serif" w:hAnsi="Calibri;Arial;sans-serif"/>
                <w:sz w:val="20"/>
              </w:rPr>
              <w:t>As reported in the Consolidated Statement of Operations.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Calibri;Arial;sans-serif" w:hAnsi="Calibri;Arial;sans-serif"/>
          <w:sz w:val="20"/>
        </w:rPr>
      </w:pPr>
      <w:r>
        <w:rPr>
          <w:rFonts w:ascii="Calibri;Arial;sans-serif" w:hAnsi="Calibri;Arial;sans-serif"/>
          <w:sz w:val="20"/>
        </w:rPr>
        <w:t>Kodak increased employee benefit reserves by approximately $1 million in the three months ended March 31, 2023 composed of an increase in workers' compensation reserves ($2 million) driven by changes in discount rates partially offset by a decrease in other employee benefit reserves ($1 million), primarily driven by a reduction in bonus accruals. The increase in reserves in the three months ended March 31, 2023 impacted gross profit by approximately $1 million. </w:t>
      </w:r>
    </w:p>
    <w:p>
      <w:pPr>
        <w:pStyle w:val="TextBody"/>
        <w:spacing w:before="0" w:after="0"/>
        <w:ind w:left="0" w:right="0" w:hanging="0"/>
        <w:jc w:val="left"/>
        <w:rPr/>
      </w:pPr>
      <w:r>
        <w:rPr/>
        <w:t> </w:t>
      </w:r>
    </w:p>
    <w:p>
      <w:pPr>
        <w:pStyle w:val="TextBody"/>
        <w:spacing w:before="0" w:after="0"/>
        <w:ind w:left="0" w:right="0" w:hanging="0"/>
        <w:jc w:val="left"/>
        <w:rPr>
          <w:rFonts w:ascii="Calibri;Arial;sans-serif" w:hAnsi="Calibri;Arial;sans-serif"/>
          <w:sz w:val="20"/>
        </w:rPr>
      </w:pPr>
      <w:r>
        <w:rPr>
          <w:rFonts w:ascii="Calibri;Arial;sans-serif" w:hAnsi="Calibri;Arial;sans-serif"/>
          <w:sz w:val="20"/>
        </w:rPr>
        <w:t>Kodak decreased workers’ compensation reserves by approximately $4 million in the three months ended March 31, 2022, driven by changes in discount rates. The decrease in reserves in the three months ended March 31, 2022 impacted gross profit by approximately $3 million and SG&amp;A expenses by approximately $1 million.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Segment Measure of Profit and Loss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segment measure of profit and loss is an adjusted earnings (loss) before interest, taxes, depreciation and amortization (“Operational EBITDA”). Operational EBITDA represents the earnings from operations excluding the provision for income taxes; non-service cost components of pension and OPEB income; depreciation and amortization expense; restructuring costs and other; stock-based compensation expense; consulting and other costs; idle costs; interest expense, other operating expense, net and other income (charges),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PRINT SEGMENT</w:t>
      </w:r>
    </w:p>
    <w:p>
      <w:pPr>
        <w:pStyle w:val="TextBody"/>
        <w:spacing w:before="0" w:after="0"/>
        <w:ind w:left="0" w:right="0" w:hanging="0"/>
        <w:rPr>
          <w:caps w:val="false"/>
          <w:smallCaps w:val="false"/>
        </w:rPr>
      </w:pPr>
      <w:r>
        <w:rPr>
          <w:caps w:val="false"/>
          <w:smallCaps w:val="false"/>
        </w:rPr>
        <w:t> </w:t>
      </w:r>
    </w:p>
    <w:tbl>
      <w:tblPr>
        <w:tblW w:w="5983" w:type="dxa"/>
        <w:jc w:val="left"/>
        <w:tblInd w:w="0" w:type="dxa"/>
        <w:tblCellMar>
          <w:top w:w="0" w:type="dxa"/>
          <w:left w:w="0" w:type="dxa"/>
          <w:bottom w:w="0" w:type="dxa"/>
          <w:right w:w="0" w:type="dxa"/>
        </w:tblCellMar>
      </w:tblPr>
      <w:tblGrid>
        <w:gridCol w:w="3080"/>
        <w:gridCol w:w="60"/>
        <w:gridCol w:w="177"/>
        <w:gridCol w:w="474"/>
        <w:gridCol w:w="219"/>
        <w:gridCol w:w="84"/>
        <w:gridCol w:w="177"/>
        <w:gridCol w:w="474"/>
        <w:gridCol w:w="304"/>
        <w:gridCol w:w="84"/>
        <w:gridCol w:w="231"/>
        <w:gridCol w:w="539"/>
        <w:gridCol w:w="80"/>
      </w:tblGrid>
      <w:tr>
        <w:trPr/>
        <w:tc>
          <w:tcPr>
            <w:tcW w:w="30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63"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80" w:type="dxa"/>
            <w:tcBorders/>
            <w:shd w:fill="FFFFFF" w:val="clear"/>
            <w:vAlign w:val="center"/>
          </w:tcPr>
          <w:p>
            <w:pPr>
              <w:pStyle w:val="TableContents"/>
              <w:spacing w:before="0" w:after="283"/>
              <w:rPr/>
            </w:pPr>
            <w:r>
              <w:rPr/>
              <w:t> </w:t>
            </w:r>
          </w:p>
        </w:tc>
      </w:tr>
      <w:tr>
        <w:trPr/>
        <w:tc>
          <w:tcPr>
            <w:tcW w:w="30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5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219"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ind w:left="0" w:right="0" w:hanging="0"/>
              <w:rPr/>
            </w:pPr>
            <w:r>
              <w:rPr/>
              <w:t> </w:t>
            </w:r>
          </w:p>
        </w:tc>
        <w:tc>
          <w:tcPr>
            <w:tcW w:w="65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304"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80" w:type="dxa"/>
            <w:tcBorders/>
            <w:shd w:fill="FFFFFF" w:val="clear"/>
            <w:vAlign w:val="center"/>
          </w:tcPr>
          <w:p>
            <w:pPr>
              <w:pStyle w:val="TableContents"/>
              <w:spacing w:before="0" w:after="283"/>
              <w:rPr/>
            </w:pPr>
            <w:r>
              <w:rPr/>
              <w:t> </w:t>
            </w:r>
          </w:p>
        </w:tc>
      </w:tr>
      <w:tr>
        <w:trPr/>
        <w:tc>
          <w:tcPr>
            <w:tcW w:w="308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209</w:t>
            </w:r>
          </w:p>
        </w:tc>
        <w:tc>
          <w:tcPr>
            <w:tcW w:w="219"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228</w:t>
            </w:r>
          </w:p>
        </w:tc>
        <w:tc>
          <w:tcPr>
            <w:tcW w:w="30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ind w:left="0" w:right="0" w:hanging="0"/>
              <w:rPr/>
            </w:pPr>
            <w:r>
              <w:rPr/>
              <w:t> </w:t>
            </w:r>
          </w:p>
        </w:tc>
        <w:tc>
          <w:tcPr>
            <w:tcW w:w="231"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r>
      <w:tr>
        <w:trPr/>
        <w:tc>
          <w:tcPr>
            <w:tcW w:w="30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474" w:type="dxa"/>
            <w:tcBorders/>
            <w:shd w:fill="FFFFFF" w:val="clear"/>
            <w:vAlign w:val="center"/>
          </w:tcPr>
          <w:p>
            <w:pPr>
              <w:pStyle w:val="TableContents"/>
              <w:spacing w:before="0" w:after="283"/>
              <w:rPr/>
            </w:pPr>
            <w:r>
              <w:rPr/>
              <w:t> </w:t>
            </w:r>
          </w:p>
        </w:tc>
        <w:tc>
          <w:tcPr>
            <w:tcW w:w="219"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474" w:type="dxa"/>
            <w:tcBorders/>
            <w:shd w:fill="FFFFFF" w:val="clear"/>
            <w:vAlign w:val="center"/>
          </w:tcPr>
          <w:p>
            <w:pPr>
              <w:pStyle w:val="TableContents"/>
              <w:spacing w:before="0" w:after="283"/>
              <w:rPr/>
            </w:pPr>
            <w:r>
              <w:rPr/>
              <w:t> </w:t>
            </w:r>
          </w:p>
        </w:tc>
        <w:tc>
          <w:tcPr>
            <w:tcW w:w="304"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53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08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spacing w:before="0" w:after="283"/>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w:t>
            </w:r>
          </w:p>
        </w:tc>
        <w:tc>
          <w:tcPr>
            <w:tcW w:w="219"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ind w:left="0" w:right="0" w:hanging="0"/>
              <w:rPr/>
            </w:pPr>
            <w:r>
              <w:rPr/>
              <w:t> </w:t>
            </w:r>
          </w:p>
        </w:tc>
        <w:tc>
          <w:tcPr>
            <w:tcW w:w="17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304"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84" w:type="dxa"/>
            <w:tcBorders/>
            <w:shd w:fill="CCEEFF" w:val="clear"/>
            <w:vAlign w:val="center"/>
          </w:tcPr>
          <w:p>
            <w:pPr>
              <w:pStyle w:val="TableContents"/>
              <w:spacing w:before="0" w:after="283"/>
              <w:ind w:left="0" w:right="0" w:hanging="0"/>
              <w:rPr/>
            </w:pPr>
            <w:r>
              <w:rPr/>
              <w:t> </w:t>
            </w:r>
          </w:p>
        </w:tc>
        <w:tc>
          <w:tcPr>
            <w:tcW w:w="231"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13</w:t>
            </w:r>
          </w:p>
        </w:tc>
        <w:tc>
          <w:tcPr>
            <w:tcW w:w="80" w:type="dxa"/>
            <w:tcBorders/>
            <w:shd w:fill="CCEEFF" w:val="clear"/>
            <w:vAlign w:val="center"/>
          </w:tcPr>
          <w:p>
            <w:pPr>
              <w:pStyle w:val="TableContents"/>
              <w:spacing w:before="0" w:after="283"/>
              <w:rPr/>
            </w:pPr>
            <w:r>
              <w:rPr/>
              <w:t> </w:t>
            </w:r>
          </w:p>
        </w:tc>
      </w:tr>
      <w:tr>
        <w:trPr/>
        <w:tc>
          <w:tcPr>
            <w:tcW w:w="308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Operational EBITDA as a % of revenues</w:t>
            </w:r>
          </w:p>
        </w:tc>
        <w:tc>
          <w:tcPr>
            <w:tcW w:w="60"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474"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219"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84"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474"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304"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84"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539"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decrease in Print revenues for the three months ended March 31, 2023 of approximately $19 million reflected lower volumes in Prepress consumables ($33 million), Electrophotographic Printing Solutions consumables ($3 million), Prepress equipment and PROSPER annuities (each $1 million) as well as unfavorable foreign exchange impact ($9 million) partially offset by improved pricing in Prepress Solutions consumables ($25 million) and PROSPER annuities ($1 million) and improved pricing and product mix in Prepress equipment ($2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Print Operational EBITDA for the three months ended March 31, 2023 improved $13 million reflecting price improvements in Prepress Solutions consumables ($25 million), higher margins on PROSPER equipment ($1 million) and lower SG&amp;A and R&amp;D costs ($1 million in total) partially offset by increased manufacturing costs ($13 million) driven by lower volumes and increases in other costs such as utilities, transportation and supplies, and the net impact of changes in employee benefit and workers' compensation reserves ($3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ADVANCED MATERIALS AND CHEMICALS SEGMENT</w:t>
      </w:r>
    </w:p>
    <w:p>
      <w:pPr>
        <w:pStyle w:val="TextBody"/>
        <w:spacing w:before="0" w:after="0"/>
        <w:ind w:left="0" w:right="0" w:hanging="0"/>
        <w:rPr>
          <w:caps w:val="false"/>
          <w:smallCaps w:val="false"/>
        </w:rPr>
      </w:pPr>
      <w:r>
        <w:rPr>
          <w:caps w:val="false"/>
          <w:smallCaps w:val="false"/>
        </w:rPr>
        <w:t> </w:t>
      </w:r>
    </w:p>
    <w:tbl>
      <w:tblPr>
        <w:tblW w:w="4565" w:type="dxa"/>
        <w:jc w:val="left"/>
        <w:tblInd w:w="0" w:type="dxa"/>
        <w:tblCellMar>
          <w:top w:w="0" w:type="dxa"/>
          <w:left w:w="0" w:type="dxa"/>
          <w:bottom w:w="0" w:type="dxa"/>
          <w:right w:w="0" w:type="dxa"/>
        </w:tblCellMar>
      </w:tblPr>
      <w:tblGrid>
        <w:gridCol w:w="1595"/>
        <w:gridCol w:w="60"/>
        <w:gridCol w:w="258"/>
        <w:gridCol w:w="537"/>
        <w:gridCol w:w="124"/>
        <w:gridCol w:w="124"/>
        <w:gridCol w:w="258"/>
        <w:gridCol w:w="475"/>
        <w:gridCol w:w="165"/>
        <w:gridCol w:w="124"/>
        <w:gridCol w:w="385"/>
        <w:gridCol w:w="385"/>
        <w:gridCol w:w="75"/>
      </w:tblGrid>
      <w:tr>
        <w:trPr/>
        <w:tc>
          <w:tcPr>
            <w:tcW w:w="1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835"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75" w:type="dxa"/>
            <w:tcBorders/>
            <w:shd w:fill="FFFF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7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24"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ind w:left="0" w:right="0" w:hanging="0"/>
              <w:rPr/>
            </w:pPr>
            <w:r>
              <w:rPr/>
              <w:t> </w:t>
            </w:r>
          </w:p>
        </w:tc>
        <w:tc>
          <w:tcPr>
            <w:tcW w:w="733"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165"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75"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61</w:t>
            </w:r>
          </w:p>
        </w:tc>
        <w:tc>
          <w:tcPr>
            <w:tcW w:w="12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ind w:left="0" w:right="0" w:hanging="0"/>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54</w:t>
            </w:r>
          </w:p>
        </w:tc>
        <w:tc>
          <w:tcPr>
            <w:tcW w:w="165"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ind w:left="0" w:right="0" w:hanging="0"/>
              <w:rPr/>
            </w:pPr>
            <w:r>
              <w:rPr/>
              <w:t> </w:t>
            </w:r>
          </w:p>
        </w:tc>
        <w:tc>
          <w:tcPr>
            <w:tcW w:w="38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7</w:t>
            </w:r>
          </w:p>
        </w:tc>
        <w:tc>
          <w:tcPr>
            <w:tcW w:w="75" w:type="dxa"/>
            <w:tcBorders/>
            <w:shd w:fill="CCEE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537"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rPr/>
            </w:pPr>
            <w:r>
              <w:rPr/>
              <w:t> </w:t>
            </w:r>
          </w:p>
        </w:tc>
        <w:tc>
          <w:tcPr>
            <w:tcW w:w="475"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rPr/>
            </w:pPr>
            <w:r>
              <w:rPr/>
              <w:t> </w:t>
            </w:r>
          </w:p>
        </w:tc>
        <w:tc>
          <w:tcPr>
            <w:tcW w:w="385" w:type="dxa"/>
            <w:tcBorders/>
            <w:shd w:fill="FFFFFF" w:val="clear"/>
            <w:vAlign w:val="center"/>
          </w:tcPr>
          <w:p>
            <w:pPr>
              <w:pStyle w:val="TableContents"/>
              <w:spacing w:before="0" w:after="283"/>
              <w:rPr/>
            </w:pPr>
            <w:r>
              <w:rPr/>
              <w:t> </w:t>
            </w:r>
          </w:p>
        </w:tc>
        <w:tc>
          <w:tcPr>
            <w:tcW w:w="385"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spacing w:before="0" w:after="283"/>
              <w:ind w:left="0" w:right="0" w:hanging="0"/>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3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124"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ind w:left="0" w:right="0" w:hanging="0"/>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7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65"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24" w:type="dxa"/>
            <w:tcBorders/>
            <w:shd w:fill="CCEEFF" w:val="clear"/>
            <w:vAlign w:val="center"/>
          </w:tcPr>
          <w:p>
            <w:pPr>
              <w:pStyle w:val="TableContents"/>
              <w:spacing w:before="0" w:after="283"/>
              <w:ind w:left="0" w:right="0" w:hanging="0"/>
              <w:rPr/>
            </w:pPr>
            <w:r>
              <w:rPr/>
              <w:t> </w:t>
            </w:r>
          </w:p>
        </w:tc>
        <w:tc>
          <w:tcPr>
            <w:tcW w:w="38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3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revenues for the three months ended March 31, 2023 improved $7 million primarily from pricing improvements in Industrial Film and Chemicals and Motion Picture ($9 million and $1 million, respectively), partially offset by reduced volume in Industrial Film and Chemicals ($3 million) and unfavorable foreign exchange impact ($1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Operational EBITDA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Advanced Materials and Chemicals Operational EBITDA improved $3 million for the three months ended March 31, 2023 reflecting pricing improvements as well as higher margins in Industrial Film and Chemicals ($9 million and $1 million, respectively) partially offset by increased manufacturing costs ($3 million), higher SG&amp;A costs ($1 million) and the net impact of changes in employee benefit and workers' compensation reserves ($2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BRAND SEGMENT</w:t>
      </w:r>
    </w:p>
    <w:p>
      <w:pPr>
        <w:pStyle w:val="TextBody"/>
        <w:spacing w:before="0" w:after="0"/>
        <w:ind w:left="0" w:right="0" w:hanging="0"/>
        <w:rPr>
          <w:caps w:val="false"/>
          <w:smallCaps w:val="false"/>
        </w:rPr>
      </w:pPr>
      <w:r>
        <w:rPr>
          <w:caps w:val="false"/>
          <w:smallCaps w:val="false"/>
        </w:rPr>
        <w:t> </w:t>
      </w:r>
    </w:p>
    <w:tbl>
      <w:tblPr>
        <w:tblW w:w="4310" w:type="dxa"/>
        <w:jc w:val="left"/>
        <w:tblInd w:w="0" w:type="dxa"/>
        <w:tblCellMar>
          <w:top w:w="0" w:type="dxa"/>
          <w:left w:w="0" w:type="dxa"/>
          <w:bottom w:w="0" w:type="dxa"/>
          <w:right w:w="0" w:type="dxa"/>
        </w:tblCellMar>
      </w:tblPr>
      <w:tblGrid>
        <w:gridCol w:w="1595"/>
        <w:gridCol w:w="60"/>
        <w:gridCol w:w="287"/>
        <w:gridCol w:w="287"/>
        <w:gridCol w:w="137"/>
        <w:gridCol w:w="137"/>
        <w:gridCol w:w="287"/>
        <w:gridCol w:w="287"/>
        <w:gridCol w:w="137"/>
        <w:gridCol w:w="137"/>
        <w:gridCol w:w="287"/>
        <w:gridCol w:w="597"/>
        <w:gridCol w:w="75"/>
      </w:tblGrid>
      <w:tr>
        <w:trPr/>
        <w:tc>
          <w:tcPr>
            <w:tcW w:w="1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0" w:type="dxa"/>
            <w:gridSpan w:val="10"/>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 March 31,</w:t>
            </w:r>
          </w:p>
        </w:tc>
        <w:tc>
          <w:tcPr>
            <w:tcW w:w="75" w:type="dxa"/>
            <w:tcBorders/>
            <w:shd w:fill="FFFF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5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3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5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13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ind w:left="0" w:right="0" w:hanging="0"/>
              <w:rPr/>
            </w:pPr>
            <w:r>
              <w:rPr/>
              <w:t> </w:t>
            </w:r>
          </w:p>
        </w:tc>
        <w:tc>
          <w:tcPr>
            <w:tcW w:w="88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 Change</w:t>
            </w:r>
          </w:p>
        </w:tc>
        <w:tc>
          <w:tcPr>
            <w:tcW w:w="75"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w:t>
            </w:r>
          </w:p>
        </w:tc>
        <w:tc>
          <w:tcPr>
            <w:tcW w:w="13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9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75" w:type="dxa"/>
            <w:tcBorders/>
            <w:shd w:fill="CCEEFF" w:val="clear"/>
            <w:vAlign w:val="center"/>
          </w:tcPr>
          <w:p>
            <w:pPr>
              <w:pStyle w:val="TableContents"/>
              <w:spacing w:before="0" w:after="283"/>
              <w:rPr/>
            </w:pPr>
            <w:r>
              <w:rPr/>
              <w:t> </w:t>
            </w:r>
          </w:p>
        </w:tc>
      </w:tr>
      <w:tr>
        <w:trPr/>
        <w:tc>
          <w:tcPr>
            <w:tcW w:w="15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287" w:type="dxa"/>
            <w:tcBorders/>
            <w:shd w:fill="FFFFFF" w:val="clear"/>
            <w:vAlign w:val="center"/>
          </w:tcPr>
          <w:p>
            <w:pPr>
              <w:pStyle w:val="TableContents"/>
              <w:spacing w:before="0" w:after="283"/>
              <w:rPr/>
            </w:pPr>
            <w:r>
              <w:rPr/>
              <w:t> </w:t>
            </w:r>
          </w:p>
        </w:tc>
        <w:tc>
          <w:tcPr>
            <w:tcW w:w="597"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159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Operational EBITDA</w:t>
            </w:r>
          </w:p>
        </w:tc>
        <w:tc>
          <w:tcPr>
            <w:tcW w:w="60" w:type="dxa"/>
            <w:tcBorders/>
            <w:shd w:fill="CCEEFF" w:val="clear"/>
            <w:vAlign w:val="center"/>
          </w:tcPr>
          <w:p>
            <w:pPr>
              <w:pStyle w:val="TableContents"/>
              <w:spacing w:before="0" w:after="283"/>
              <w:ind w:left="0" w:right="0" w:hanging="0"/>
              <w:rPr/>
            </w:pPr>
            <w:r>
              <w:rPr/>
              <w:t> </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3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w:t>
            </w:r>
          </w:p>
        </w:tc>
        <w:tc>
          <w:tcPr>
            <w:tcW w:w="137"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ind w:left="0" w:right="0" w:hanging="0"/>
              <w:rPr/>
            </w:pPr>
            <w:r>
              <w:rPr/>
              <w:t> </w:t>
            </w:r>
          </w:p>
        </w:tc>
        <w:tc>
          <w:tcPr>
            <w:tcW w:w="28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97" w:type="dxa"/>
            <w:tcBorders>
              <w:bottom w:val="double" w:sz="6" w:space="0" w:color="000000"/>
            </w:tcBorders>
            <w:shd w:fill="CCEEFF" w:val="clear"/>
            <w:tcMar>
              <w:bottom w:w="28" w:type="dxa"/>
            </w:tcMar>
            <w:vAlign w:val="center"/>
          </w:tcPr>
          <w:p>
            <w:pPr>
              <w:pStyle w:val="TableContents"/>
              <w:spacing w:before="0" w:after="283"/>
              <w:ind w:left="0" w:right="0" w:hanging="0"/>
              <w:jc w:val="right"/>
              <w:rPr/>
            </w:pPr>
            <w:r>
              <w:rPr/>
              <w:t>—</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There were no changes in Brand revenues or Operational EBITDA for the three months ended March 31, 2023 compared to the prior year quarter.</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RESTRUCTURING COSTS AND OTHER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recorded $1 million of charges for the three months ended March 31, 2023 in Restructuring costs and other in the Consolidated Statement of Operations which consisted of $3 million of severance charges partially offset by a reduction of $2 million in contractual obligations recorded in the fourth quarter of 2022 related to the cessation of manufacturing of the Electrophotographic Printing Solutions equipment products.  During the first quarter of 2023, Kodak settled certain obligations for open purchase orders for less than the contractual amounts.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made cash payments related to restructuring of approximately $3 million during the three months ended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restructuring actions implemented in the first three months of 2023 are expected to generate future annual cash savings of approximately $3 million, which are expected to reduce future annual SG&amp;A and Cost of revenues expenses by $2 million and $1 million, respectively. The majority of the annual savings are expected to be in effect by the end of the second quarter of 2023 as actions are completed.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bookmarkStart w:id="12" w:name="liquid"/>
      <w:bookmarkEnd w:id="12"/>
      <w:r>
        <w:rPr>
          <w:rFonts w:ascii="Calibri;Arial;sans-serif" w:hAnsi="Calibri;Arial;sans-serif"/>
          <w:b/>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Management</w:t>
      </w:r>
      <w:r>
        <w:rPr>
          <w:rFonts w:ascii="Calibri;Arial;sans-serif" w:hAnsi="Calibri;Arial;sans-serif"/>
          <w:caps w:val="false"/>
          <w:smallCaps w:val="false"/>
          <w:sz w:val="20"/>
        </w:rPr>
        <w:t>’</w:t>
      </w:r>
      <w:r>
        <w:rPr>
          <w:rFonts w:ascii="Calibri;Arial;sans-serif" w:hAnsi="Calibri;Arial;sans-serif"/>
          <w:b/>
          <w:caps w:val="false"/>
          <w:smallCaps w:val="false"/>
          <w:sz w:val="20"/>
        </w:rPr>
        <w:t xml:space="preserve">s Assessment of Liquidity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ended the quarter with a cash balance of $225 million, an increase of $8 million from December 31,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financing transactions entered into during the first quarter of 2021 and the full draw down of the Delayed Draw Term Loans in the second quarter of 2022 provided additional liquidity to the Company to fund on‐going operations and obligations, invest in growth opportunities in Kodak’s businesses of print and advanced materials and chemicals and for corporate infrastructure investments expected to contribute to improvements in cash flow.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Available liquidity includes cash balances and the Excess Availability under the 2023 Amended ABL Credit Agreement (see below for the definition of Excess Availability). The amount of available liquidity is subject to fluctuations and includes cash balances held by various entities worldwide. At March 31, 2023 and December 31, 2022 approximately $146 million and $152 million, respectively, of cash and cash equivalents were held within the U.S. and approximately $79 million and $65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 of March 31, 2023 and December 31, 2022, outstanding inter-company loans to the U.S. were $394 million and $399 million, respectively, which include short-term inter-company loans from Kodak’s international finance center of $104 million and $109 million, respectively</w:t>
      </w:r>
      <w:r>
        <w:rPr>
          <w:rFonts w:ascii="Calibri;Arial;sans-serif" w:hAnsi="Calibri;Arial;sans-serif"/>
          <w:b/>
          <w:caps w:val="false"/>
          <w:smallCaps w:val="false"/>
          <w:sz w:val="20"/>
        </w:rPr>
        <w:t xml:space="preserve">. </w:t>
      </w:r>
      <w:r>
        <w:rPr>
          <w:rFonts w:ascii="Calibri;Arial;sans-serif" w:hAnsi="Calibri;Arial;sans-serif"/>
          <w:caps w:val="false"/>
          <w:smallCaps w:val="false"/>
          <w:sz w:val="20"/>
        </w:rPr>
        <w:t>In China, where approximately $28 million and $24 million of cash and cash equivalents was held as of March 31, 2023 and December 31, 2022, respectively, there are limitations related to net asset balances that may impact the ability to make cash available to other jurisdictions in the world. Under the terms of the 2023 Amended ABL Credit Agreement, the Company is permitted to invest up to $75 million in Restricted Subsidiaries that are not Loan Parties and in joint ventures or Unrestricted Subsidiaries that are not party to the 2023 Amended ABL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Calibri;Arial;sans-serif" w:hAnsi="Calibri;Arial;sans-serif"/>
          <w:caps w:val="false"/>
          <w:smallCaps w:val="false"/>
          <w:sz w:val="20"/>
        </w:rPr>
        <w:t>The Company’s Hong Kong subsidiary has an $80 million inter‐company loan from one of the Company’s Chinese subsidiaries with a maturity date of November 16, 2024, the proceeds of which were in turn loaned to the Company. The inter‐company loan is required to be repaid in the next two years in four equal installments, with the first $20 million installment due by November 16, 2023 and the remaining installments due in 2024. The amounts repaid to the Chinese subsidiary may not be able to be loaned, repatriated or otherwise moved back to the U.S., in which case the Company’s U.S. liquidity would be reduced. If the inter‐company loan is not extended, refinanced or amended and the Hong Kong subsidiary does not pay any of the installments by the end of the 30‐day grace period following notice by the Chinese subsidiary after a failure to pay on the due date of such installment, the Hong Kong subsidiary would default on the inter‐company loan. Such a default may cause a cross‐default under the Company’s other credit facilities unless requisite waivers are obtained. The Company intends to pursue alternatives that will allow it and its subsidiaries to perform their obligations to each other while minimizing the impact on U.S. liquidity.</w:t>
      </w:r>
      <w:r>
        <w:rPr>
          <w:rFonts w:ascii="Times New Roman" w:hAnsi="Times New Roman"/>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maturity date of the 2023 Amended ABL Credit Agreement and the 2023 Amended L/C Agreement is June 12, 2024 or the date that is 91 days prior to the earliest scheduled maturity date or mandatory redemption date of any of the Company's Term Loans, 2021 Convertible Notes, Series B Preferred Stock, Series C Preferred Stock or any refinancings of any of the foregoing. Should the Company not amend, refinance or extend the 2023 Amended ABL Credit Agreement prior to its maturity date, then upon the occurrence of the termination date under the 2023 Amended ABL Credit Agreement the obligations thereunder will become due, and the Company will need to provide alternate collateral in place of the letters of credit issued under the 2023 Amended ABL Credit Agreement.   In addition, on February 26, 2024 the aggregate amount of commitments under the 2023 Amended ABL Credit Agreement will decrease from $90 million to $81 million.  At that time, the Company will need to provide alternate collateral for any letters of credit issued under the 2023 Amended ABL Credit Agreement in excess of $81 million.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Under both the 2023 Amended ABL Credit Agreement and the 2023 Amended L/C Facility Agreement the Company is required to maintain Minimum Liquidity of at least: (a) $50 million on a daily basis, subject to certain cure rights, and (b) $80 million at the end of each quarter. The Company maintained quarterly Minimum Liquidity of $143 million and $150 million at March 31, 2023 and December 31, 2022, respectively, and maintained daily Minimum Liquidity in excess of the $50 million threshold.  If Minimum Liquidity falls below the required minimum amounts an Event of Default would occur and the Agent will have the right to declare the obligation of each Lender to make Revolving Loans and of the Issuing Banks to issue Letters of Credit to be immediately terminated, and declare the Revolving Loans, all interest thereon and all other amounts payable under the 2023 Amended ABL Credit Agreement to be immediately due and payable.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br/>
        <w:t>Kodak's cash flows continue to be negatively impacted by supply chain disruptions, shortages in materials and labor, increased labor, commodity and distribution costs and slowdown in customer demand related to global economic conditions. The impacts from price increases, continued cost reduction actions and supply chain-related cost improvements that have largely been implemented during 2022 have positively impacted Kodak’s operations during the first quarter of 2023. The economic uncertainty surrounding the current inflationary environment and other global events represents additional elements of complexity in Kodak’s plans to return to sustainable positive cash flow. The Company cannot predict the duration and scope of such events, including the war in Ukraine, and other factors such as the ability to continue to secure raw materials and components, the impact of rising costs of labor, commodity and distribution costs, or how quickly and to what extent normal economic and operating conditions can resume.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Kodak's plans to return to sustainable positive cash flow include growing revenues profitably through pricing actions, implementing effective working capital utilization, reducing operating expenses, continuing to simplify the organizational structure, investing in information technology systems to drive operational efficiencies, generating cash from selling and leasing underutilized assets and implementing ways to reduce cash collateral needs.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br/>
        <w:t>Kodak believes that its liquidity position is adequate to fund its operating and investing needs for the next twelve months, to maintain compliance with the Minimum Liquidity provisions under the Credit Agreements and to provide the flexibility to respond as necessary to ordinary changes in the business and economic environment. Kodak’s ability to adequately fund its long‐term liquidity and capital requirements will be dependent on amending, refinancing or extending the maturity date of the 2023 Amended ABL Credit Agreement and 2023 Amended L/C Facility Agreement, or finding alternative collateral in place of the letters of credit issued under such facilities, managing world‐wide cash through intercompany loans, distributions or other mechanisms while minimizing the impact on U.S. liquidity, generating positive cash flows from operations or obtaining additional financing to fund its growth investments.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2023 Amended and Restated ABL Credit Agreement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Company had approximately $58 million letters of credit outstanding under the 2023 Amended ABL Credit Agreement and Amended ABL Credit Agreement as of both March 31, 2023 and December 31,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2023 Amended Letter of Credit Facility Agreement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Company had approximately $43 million letters of credit outstanding under the L/C Facility Agreement as of both March 31, 2023 and December 31, 2022. The letters of credit under the 2023 L/C Facility Agreement are collateralized by cash collateral (L/C Cash Collateral). The L/C Cash Collateral was $44 million at both March 31, 2023 and December 31, 2022, which was classified as Restricted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Under both the 2023 Amended ABL Credit Agreement and 2023 Amended L/C Agreement the Company is required to maintain Excess Availability above the greater of 12.5% of lender commitments or $11.25 million ($11.25 million as of both March 31, 2023 and December 31, 2022), which is tested at the end of each month. Excess Availability was $21 million as of both March 31, 2023 and December 31, 2022. If Excess Availability falls below the greater of 12.5% of lender commitments or $11.25 million a Fixed Charge Coverage Ratio Trigger Event would occur.  During any Fixed Charge Coverage Ratio Trigger Event, the Company would be required to maintain a Fixed Charge Coverage Ratio of greater than or equal to 1.0 to 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If Excess Availability falls below the greater of 12.5% of lender commitments or $11.25 million, Kodak may, in addition to the requirement to be in compliance with the minimum Fixed Charge Coverage Ratio, become subject to cash dominion control. Since Excess Availability was greater than 12.5% of lender commitments at March 31, 2023 and December 31, 2022, Kodak is not required to have a minimum Fixed Charge Coverage Ratio of 1.0 to 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If Excess Availability falls below the greater of 12.5% of lender commitments or $11.25 million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Credit Agreements to be due and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intends to continue to maintain Excess Availability above the minimum threshold. The borrowing base is supported by Eligible Receivables, Eligible Inventory and Eligible Equipment. As noted above, since Excess Availability was the greater of 12.5% of lender commitments or $11.25 million, Kodak was not required to have a minimum Fixed Charge Coverage Ratio of 1.0 to 1.0. As of March 31, 2023 Consolidated EBITDA (minus Capital Expenditures and income taxes paid in cash) (as defined in the 2023 Amended ABL Credit Agreement) exceeded Fixed Charges by approximately $9 million, therefore the Fixed Charges Coverage Ratio was more than 1.0 to 1.0.</w:t>
      </w:r>
    </w:p>
    <w:p>
      <w:pPr>
        <w:pStyle w:val="TextBody"/>
        <w:spacing w:before="0" w:after="0"/>
        <w:ind w:left="0" w:right="0" w:hanging="0"/>
        <w:rPr>
          <w:caps w:val="false"/>
          <w:smallCaps w:val="false"/>
        </w:rPr>
      </w:pPr>
      <w:r>
        <w:rPr>
          <w:caps w:val="false"/>
          <w:smallCaps w:val="false"/>
        </w:rPr>
        <w:t> </w:t>
      </w:r>
    </w:p>
    <w:tbl>
      <w:tblPr>
        <w:tblW w:w="5578" w:type="dxa"/>
        <w:jc w:val="left"/>
        <w:tblInd w:w="0" w:type="dxa"/>
        <w:tblCellMar>
          <w:top w:w="0" w:type="dxa"/>
          <w:left w:w="0" w:type="dxa"/>
          <w:bottom w:w="0" w:type="dxa"/>
          <w:right w:w="0" w:type="dxa"/>
        </w:tblCellMar>
      </w:tblPr>
      <w:tblGrid>
        <w:gridCol w:w="3320"/>
        <w:gridCol w:w="60"/>
        <w:gridCol w:w="225"/>
        <w:gridCol w:w="604"/>
        <w:gridCol w:w="60"/>
        <w:gridCol w:w="60"/>
        <w:gridCol w:w="318"/>
        <w:gridCol w:w="856"/>
        <w:gridCol w:w="75"/>
      </w:tblGrid>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9"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December 31,</w:t>
            </w:r>
          </w:p>
        </w:tc>
        <w:tc>
          <w:tcPr>
            <w:tcW w:w="75" w:type="dxa"/>
            <w:tcBorders/>
            <w:shd w:fill="FFFF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8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75"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cash equivalents and restricted cash</w:t>
            </w:r>
          </w:p>
        </w:tc>
        <w:tc>
          <w:tcPr>
            <w:tcW w:w="60" w:type="dxa"/>
            <w:tcBorders/>
            <w:shd w:fill="CCEEFF" w:val="clear"/>
            <w:vAlign w:val="center"/>
          </w:tcPr>
          <w:p>
            <w:pPr>
              <w:pStyle w:val="TableContents"/>
              <w:spacing w:before="0" w:after="283"/>
              <w:ind w:left="0" w:right="0" w:hanging="0"/>
              <w:rPr/>
            </w:pPr>
            <w:r>
              <w:rPr/>
              <w:t> </w:t>
            </w:r>
          </w:p>
        </w:tc>
        <w:tc>
          <w:tcPr>
            <w:tcW w:w="225"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0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8"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85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286</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Cash Flow Activity</w:t>
      </w:r>
    </w:p>
    <w:p>
      <w:pPr>
        <w:pStyle w:val="TextBody"/>
        <w:spacing w:before="0" w:after="0"/>
        <w:ind w:left="0" w:right="0" w:hanging="0"/>
        <w:rPr>
          <w:caps w:val="false"/>
          <w:smallCaps w:val="false"/>
        </w:rPr>
      </w:pPr>
      <w:r>
        <w:rPr>
          <w:caps w:val="false"/>
          <w:smallCaps w:val="false"/>
        </w:rPr>
        <w:t> </w:t>
      </w:r>
    </w:p>
    <w:tbl>
      <w:tblPr>
        <w:tblW w:w="9287" w:type="dxa"/>
        <w:jc w:val="left"/>
        <w:tblInd w:w="0" w:type="dxa"/>
        <w:tblCellMar>
          <w:top w:w="0" w:type="dxa"/>
          <w:left w:w="0" w:type="dxa"/>
          <w:bottom w:w="0" w:type="dxa"/>
          <w:right w:w="0" w:type="dxa"/>
        </w:tblCellMar>
      </w:tblPr>
      <w:tblGrid>
        <w:gridCol w:w="5345"/>
        <w:gridCol w:w="60"/>
        <w:gridCol w:w="237"/>
        <w:gridCol w:w="437"/>
        <w:gridCol w:w="152"/>
        <w:gridCol w:w="114"/>
        <w:gridCol w:w="237"/>
        <w:gridCol w:w="551"/>
        <w:gridCol w:w="80"/>
        <w:gridCol w:w="60"/>
        <w:gridCol w:w="629"/>
        <w:gridCol w:w="1310"/>
        <w:gridCol w:w="75"/>
      </w:tblGrid>
      <w:tr>
        <w:trPr/>
        <w:tc>
          <w:tcPr>
            <w:tcW w:w="53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Three Months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9" w:type="dxa"/>
            <w:tcBorders/>
            <w:shd w:fill="FFFFFF" w:val="clear"/>
            <w:vAlign w:val="center"/>
          </w:tcPr>
          <w:p>
            <w:pPr>
              <w:pStyle w:val="TableContents"/>
              <w:spacing w:before="0" w:after="283"/>
              <w:rPr/>
            </w:pPr>
            <w:r>
              <w:rPr/>
              <w:t> </w:t>
            </w:r>
          </w:p>
        </w:tc>
        <w:tc>
          <w:tcPr>
            <w:tcW w:w="1310"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rPr/>
            </w:pPr>
            <w:r>
              <w:rPr/>
              <w:t> </w:t>
            </w:r>
          </w:p>
        </w:tc>
      </w:tr>
      <w:tr>
        <w:trPr/>
        <w:tc>
          <w:tcPr>
            <w:tcW w:w="53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March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29" w:type="dxa"/>
            <w:tcBorders/>
            <w:shd w:fill="FFFFFF" w:val="clear"/>
            <w:vAlign w:val="center"/>
          </w:tcPr>
          <w:p>
            <w:pPr>
              <w:pStyle w:val="TableContents"/>
              <w:spacing w:before="0" w:after="283"/>
              <w:rPr/>
            </w:pPr>
            <w:r>
              <w:rPr/>
              <w:t> </w:t>
            </w:r>
          </w:p>
        </w:tc>
        <w:tc>
          <w:tcPr>
            <w:tcW w:w="1310" w:type="dxa"/>
            <w:tcBorders/>
            <w:shd w:fill="FFFFFF" w:val="clear"/>
            <w:vAlign w:val="center"/>
          </w:tcPr>
          <w:p>
            <w:pPr>
              <w:pStyle w:val="TableContents"/>
              <w:spacing w:before="0" w:after="283"/>
              <w:jc w:val="center"/>
              <w:rPr/>
            </w:pPr>
            <w:r>
              <w:rPr/>
              <w:t> </w:t>
            </w:r>
          </w:p>
        </w:tc>
        <w:tc>
          <w:tcPr>
            <w:tcW w:w="75" w:type="dxa"/>
            <w:tcBorders/>
            <w:shd w:fill="FFFFFF" w:val="clear"/>
            <w:vAlign w:val="center"/>
          </w:tcPr>
          <w:p>
            <w:pPr>
              <w:pStyle w:val="TableContents"/>
              <w:spacing w:before="0" w:after="283"/>
              <w:rPr/>
            </w:pPr>
            <w:r>
              <w:rPr/>
              <w:t> </w:t>
            </w:r>
          </w:p>
        </w:tc>
      </w:tr>
      <w:tr>
        <w:trPr/>
        <w:tc>
          <w:tcPr>
            <w:tcW w:w="53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 millions)</w:t>
            </w:r>
          </w:p>
        </w:tc>
        <w:tc>
          <w:tcPr>
            <w:tcW w:w="60" w:type="dxa"/>
            <w:tcBorders/>
            <w:shd w:fill="FFFFFF" w:val="clear"/>
            <w:vAlign w:val="center"/>
          </w:tcPr>
          <w:p>
            <w:pPr>
              <w:pStyle w:val="TableContents"/>
              <w:spacing w:before="0" w:after="283"/>
              <w:ind w:left="0" w:right="0" w:hanging="0"/>
              <w:rPr/>
            </w:pPr>
            <w:r>
              <w:rPr/>
              <w:t> </w:t>
            </w:r>
          </w:p>
        </w:tc>
        <w:tc>
          <w:tcPr>
            <w:tcW w:w="67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2023</w:t>
            </w:r>
          </w:p>
        </w:tc>
        <w:tc>
          <w:tcPr>
            <w:tcW w:w="15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78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2022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Year-Over-Year Change</w:t>
            </w:r>
          </w:p>
        </w:tc>
        <w:tc>
          <w:tcPr>
            <w:tcW w:w="75" w:type="dxa"/>
            <w:tcBorders/>
            <w:shd w:fill="FFFFFF"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operating activities:</w:t>
            </w:r>
          </w:p>
        </w:tc>
        <w:tc>
          <w:tcPr>
            <w:tcW w:w="6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437"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53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provided by (used in) operating activities</w:t>
            </w:r>
          </w:p>
        </w:tc>
        <w:tc>
          <w:tcPr>
            <w:tcW w:w="60" w:type="dxa"/>
            <w:tcBorders/>
            <w:shd w:fill="FFFFFF" w:val="clear"/>
            <w:vAlign w:val="center"/>
          </w:tcPr>
          <w:p>
            <w:pPr>
              <w:pStyle w:val="TableContents"/>
              <w:spacing w:before="0" w:after="283"/>
              <w:ind w:left="0" w:right="0" w:hanging="0"/>
              <w:rPr/>
            </w:pPr>
            <w:r>
              <w:rPr/>
              <w:t> </w:t>
            </w:r>
          </w:p>
        </w:tc>
        <w:tc>
          <w:tcPr>
            <w:tcW w:w="237" w:type="dxa"/>
            <w:tcBorders>
              <w:bottom w:val="single" w:sz="2"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14</w:t>
            </w:r>
          </w:p>
        </w:tc>
        <w:tc>
          <w:tcPr>
            <w:tcW w:w="15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ind w:left="0" w:right="0" w:hanging="0"/>
              <w:rPr/>
            </w:pPr>
            <w:r>
              <w:rPr/>
              <w:t> </w:t>
            </w:r>
          </w:p>
        </w:tc>
        <w:tc>
          <w:tcPr>
            <w:tcW w:w="237" w:type="dxa"/>
            <w:tcBorders>
              <w:bottom w:val="single" w:sz="2"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(43</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ind w:left="0" w:right="0" w:hanging="0"/>
              <w:rPr/>
            </w:pPr>
            <w:r>
              <w:rPr/>
              <w:t> </w:t>
            </w:r>
          </w:p>
        </w:tc>
        <w:tc>
          <w:tcPr>
            <w:tcW w:w="629" w:type="dxa"/>
            <w:tcBorders>
              <w:bottom w:val="single" w:sz="2" w:space="0" w:color="000000"/>
            </w:tcBorders>
            <w:shd w:fill="FFFF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31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57</w:t>
            </w:r>
          </w:p>
        </w:tc>
        <w:tc>
          <w:tcPr>
            <w:tcW w:w="75" w:type="dxa"/>
            <w:tcBorders/>
            <w:shd w:fill="FFFFFF"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investing activities:</w:t>
            </w:r>
          </w:p>
        </w:tc>
        <w:tc>
          <w:tcPr>
            <w:tcW w:w="6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437"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53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w:t>
            </w:r>
          </w:p>
        </w:tc>
        <w:tc>
          <w:tcPr>
            <w:tcW w:w="60" w:type="dxa"/>
            <w:tcBorders/>
            <w:shd w:fill="FFFFFF" w:val="clear"/>
            <w:vAlign w:val="center"/>
          </w:tcPr>
          <w:p>
            <w:pPr>
              <w:pStyle w:val="TableContents"/>
              <w:spacing w:before="0" w:after="283"/>
              <w:rPr/>
            </w:pPr>
            <w:r>
              <w:rPr/>
              <w:t> </w:t>
            </w:r>
          </w:p>
        </w:tc>
        <w:tc>
          <w:tcPr>
            <w:tcW w:w="2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152"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spacing w:before="0" w:after="283"/>
              <w:rPr/>
            </w:pPr>
            <w:r>
              <w:rPr/>
              <w:t> </w:t>
            </w:r>
          </w:p>
        </w:tc>
        <w:tc>
          <w:tcPr>
            <w:tcW w:w="2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6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3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75" w:type="dxa"/>
            <w:tcBorders/>
            <w:shd w:fill="FFFFFF"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u w:val="single"/>
              </w:rPr>
            </w:pPr>
            <w:r>
              <w:rPr>
                <w:rFonts w:ascii="Calibri;Arial;sans-serif" w:hAnsi="Calibri;Arial;sans-serif"/>
                <w:caps w:val="false"/>
                <w:smallCaps w:val="false"/>
                <w:sz w:val="20"/>
                <w:u w:val="single"/>
              </w:rPr>
              <w:t>Cash flows from financing activities:</w:t>
            </w:r>
          </w:p>
        </w:tc>
        <w:tc>
          <w:tcPr>
            <w:tcW w:w="60"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437"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rPr/>
            </w:pPr>
            <w:r>
              <w:rPr/>
              <w:t> </w:t>
            </w:r>
          </w:p>
        </w:tc>
        <w:tc>
          <w:tcPr>
            <w:tcW w:w="237"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29"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5345"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w:t>
            </w:r>
          </w:p>
        </w:tc>
        <w:tc>
          <w:tcPr>
            <w:tcW w:w="60" w:type="dxa"/>
            <w:tcBorders/>
            <w:shd w:fill="FFFFFF" w:val="clear"/>
            <w:vAlign w:val="center"/>
          </w:tcPr>
          <w:p>
            <w:pPr>
              <w:pStyle w:val="TableContents"/>
              <w:spacing w:before="0" w:after="283"/>
              <w:rPr/>
            </w:pPr>
            <w:r>
              <w:rPr/>
              <w:t> </w:t>
            </w:r>
          </w:p>
        </w:tc>
        <w:tc>
          <w:tcPr>
            <w:tcW w:w="2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152"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114" w:type="dxa"/>
            <w:tcBorders/>
            <w:shd w:fill="FFFFFF" w:val="clear"/>
            <w:vAlign w:val="center"/>
          </w:tcPr>
          <w:p>
            <w:pPr>
              <w:pStyle w:val="TableContents"/>
              <w:spacing w:before="0" w:after="283"/>
              <w:rPr/>
            </w:pPr>
            <w:r>
              <w:rPr/>
              <w:t> </w:t>
            </w:r>
          </w:p>
        </w:tc>
        <w:tc>
          <w:tcPr>
            <w:tcW w:w="23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w:t>
            </w:r>
          </w:p>
        </w:tc>
        <w:tc>
          <w:tcPr>
            <w:tcW w:w="80" w:type="dxa"/>
            <w:tcBorders/>
            <w:shd w:fill="FFFF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FFFFFF" w:val="clear"/>
            <w:vAlign w:val="center"/>
          </w:tcPr>
          <w:p>
            <w:pPr>
              <w:pStyle w:val="TableContents"/>
              <w:spacing w:before="0" w:after="283"/>
              <w:rPr/>
            </w:pPr>
            <w:r>
              <w:rPr/>
              <w:t> </w:t>
            </w:r>
          </w:p>
        </w:tc>
        <w:tc>
          <w:tcPr>
            <w:tcW w:w="6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310" w:type="dxa"/>
            <w:tcBorders>
              <w:bottom w:val="single" w:sz="2" w:space="0" w:color="000000"/>
            </w:tcBorders>
            <w:shd w:fill="FFFFFF" w:val="clear"/>
            <w:tcMar>
              <w:bottom w:w="28" w:type="dxa"/>
            </w:tcMar>
            <w:vAlign w:val="center"/>
          </w:tcPr>
          <w:p>
            <w:pPr>
              <w:pStyle w:val="TableContents"/>
              <w:spacing w:before="0" w:after="283"/>
              <w:ind w:left="0" w:right="0" w:hanging="0"/>
              <w:jc w:val="right"/>
              <w:rPr/>
            </w:pPr>
            <w:r>
              <w:rPr/>
              <w:t>—</w:t>
            </w:r>
          </w:p>
        </w:tc>
        <w:tc>
          <w:tcPr>
            <w:tcW w:w="75" w:type="dxa"/>
            <w:tcBorders/>
            <w:shd w:fill="FFFFFF" w:val="clear"/>
            <w:vAlign w:val="center"/>
          </w:tcPr>
          <w:p>
            <w:pPr>
              <w:pStyle w:val="TableContents"/>
              <w:spacing w:before="0" w:after="283"/>
              <w:rPr/>
            </w:pPr>
            <w:r>
              <w:rPr/>
              <w:t> </w:t>
            </w:r>
          </w:p>
        </w:tc>
      </w:tr>
      <w:tr>
        <w:trPr/>
        <w:tc>
          <w:tcPr>
            <w:tcW w:w="5345"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increase (decrease) in cash, cash equivalents and restricted cash</w:t>
            </w:r>
          </w:p>
        </w:tc>
        <w:tc>
          <w:tcPr>
            <w:tcW w:w="60" w:type="dxa"/>
            <w:tcBorders/>
            <w:shd w:fill="CCEEFF" w:val="clear"/>
            <w:vAlign w:val="center"/>
          </w:tcPr>
          <w:p>
            <w:pPr>
              <w:pStyle w:val="TableContents"/>
              <w:spacing w:before="0" w:after="283"/>
              <w:ind w:left="0" w:right="0" w:hanging="0"/>
              <w:rPr/>
            </w:pPr>
            <w:r>
              <w:rPr/>
              <w:t> </w:t>
            </w:r>
          </w:p>
        </w:tc>
        <w:tc>
          <w:tcPr>
            <w:tcW w:w="23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43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8</w:t>
            </w:r>
          </w:p>
        </w:tc>
        <w:tc>
          <w:tcPr>
            <w:tcW w:w="15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ind w:left="0" w:right="0" w:hanging="0"/>
              <w:rPr/>
            </w:pPr>
            <w:r>
              <w:rPr/>
              <w:t> </w:t>
            </w:r>
          </w:p>
        </w:tc>
        <w:tc>
          <w:tcPr>
            <w:tcW w:w="237"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55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(49</w:t>
            </w:r>
          </w:p>
        </w:tc>
        <w:tc>
          <w:tcPr>
            <w:tcW w:w="80" w:type="dxa"/>
            <w:tcBorders/>
            <w:shd w:fill="CCEEFF" w:val="clear"/>
            <w:vAlign w:val="center"/>
          </w:tcPr>
          <w:p>
            <w:pPr>
              <w:pStyle w:val="TableContents"/>
              <w:spacing w:before="0" w:after="283"/>
              <w:rPr>
                <w:rFonts w:ascii="Calibri;Arial;sans-serif" w:hAnsi="Calibri;Arial;sans-serif"/>
                <w:sz w:val="20"/>
              </w:rPr>
            </w:pPr>
            <w:r>
              <w:rPr>
                <w:rFonts w:ascii="Calibri;Arial;sans-serif" w:hAnsi="Calibri;Arial;sans-serif"/>
                <w:sz w:val="20"/>
              </w:rPr>
              <w:t>)</w:t>
            </w:r>
          </w:p>
        </w:tc>
        <w:tc>
          <w:tcPr>
            <w:tcW w:w="60" w:type="dxa"/>
            <w:tcBorders/>
            <w:shd w:fill="CCEEFF" w:val="clear"/>
            <w:vAlign w:val="center"/>
          </w:tcPr>
          <w:p>
            <w:pPr>
              <w:pStyle w:val="TableContents"/>
              <w:spacing w:before="0" w:after="283"/>
              <w:ind w:left="0" w:right="0" w:hanging="0"/>
              <w:rPr/>
            </w:pPr>
            <w:r>
              <w:rPr/>
              <w:t> </w:t>
            </w:r>
          </w:p>
        </w:tc>
        <w:tc>
          <w:tcPr>
            <w:tcW w:w="629" w:type="dxa"/>
            <w:tcBorders>
              <w:bottom w:val="double" w:sz="6" w:space="0" w:color="000000"/>
            </w:tcBorders>
            <w:shd w:fill="CCEEFF" w:val="clear"/>
            <w:tcMar>
              <w:bottom w:w="28" w:type="dxa"/>
            </w:tcM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131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57</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Operating Activities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operating activities decreased $57 million for the three months ended March 31, 2023 as compared with the corresponding period in 2022 primarily due to improved earnings, proceeds from insurance reimbursements and a refund from a governmental authority, decreased investment in inventory and a decrease in trade receivables, partially offset by a lower reduction in trade payables. During the quarter ended March 31, 2023, Kodak received $15 million of insurance reimbursement proceeds of legal costs previously paid by the Company associated with investigations and litigation matters and a $9 million refund from a governmental authority.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Investing Activities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investing activities for the three months ended March 31, 2023 was the same as the corresponding period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i/>
          <w:caps w:val="false"/>
          <w:smallCaps w:val="false"/>
          <w:sz w:val="20"/>
        </w:rPr>
      </w:pPr>
      <w:r>
        <w:rPr>
          <w:rFonts w:ascii="Calibri;Arial;sans-serif" w:hAnsi="Calibri;Arial;sans-serif"/>
          <w:b/>
          <w:i/>
          <w:caps w:val="false"/>
          <w:smallCaps w:val="false"/>
          <w:sz w:val="20"/>
        </w:rPr>
        <w:t>Financing Activities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Net cash used in financing activities for the three months ended March 31, 2023 was the same as the corresponding period in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Other Uses of Cash Related to Financing Transactions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holders of the Term Loans are entitled to quarterly cash interest payments at a rate of 8.5% per annum and holders of the Series B Preferred Stock are entitled to cumulative dividends payable quarterly in cash at a rate of 4.0% per annum. The 2021 Convertible Notes do not require any debt service until maturity on May 28, 2026 and holders of the Series C Preferred Stock are entitled to cumulative dividends payable quarterly “in-kind” in the form of additional shares of Series C Preferred Stock at a rate of 5.0% per annum. All interest and dividends have been paid when due.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b/>
          <w:caps w:val="false"/>
          <w:smallCaps w:val="false"/>
          <w:sz w:val="20"/>
        </w:rPr>
        <w:t>Other Collateral Requirements</w:t>
      </w:r>
      <w:r>
        <w:rPr>
          <w:rFonts w:ascii="Calibri;Arial;sans-serif" w:hAnsi="Calibri;Arial;sans-serif"/>
          <w:caps w:val="false"/>
          <w:smallCaps w:val="false"/>
          <w:sz w:val="20"/>
        </w:rPr>
        <w:t> </w:t>
        <w:br/>
        <w:t>The New York State Workers’ Compensation Board (“NYSWCB”)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had posted $75.0 million of collateral, representing 107% of the Company’s undiscounted actuarial workers’ compensation obligations. Based on informal communications with representatives of the NYSWCB, the Company understands the NYSWCB may adopt a financial contingency requirement based on the self‐insured’s credit rating that could obligate the Company to post up to an additional $38 million of collateral as early as December 2023. The Company believes no financial contingency is appropriate where the security deposit is already 107% of the undiscounted actuarial liability; however, the Company cannot predict the financial contingency methodology that will be adopted by the NYSWCB, if any. Any additional security deposit required based on a financial contingency concept adopted by the NYSWCB would reduce the Company’s liquidity to the extent the Company is unable to obtain some form of relief from such requirement.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br/>
        <w:t>Based on the legacy nature of the Company’s workers’ compensation obligations, the undiscounted actuarial obligation has been declining and the Company expects it to continue to decline. While it may not be indicative of the rate of future declines, the undiscounted actuarial liability declined by an average of $5.5 million per year between 2014 and 2022. Accordingly, subject to the possibility of being required to post additional collateral based on a financial contingency methodology adopted by the NYSWCB or other changes to the calculation of required security deposits by the NYSWCB, the Company expects the amount of the required security deposit to decline over time and gradually return the capital used to support the security deposits that have been made.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 a result of the Company’s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$4 million of letters of credit to the issuers of certain surety bonds in the future to fully collateralize the bonds.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 xml:space="preserve">Defined Benefit Pension and Postretirement Plans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made net contributions (funded plans) or paid benefits (unfunded plans) totaling approximately $4 million to its defined benefit pension and postretirement benefit plans in the first three months of 2023.  For the balance of 2023, the forecasted contribution (funded plans) and benefit payment (unfunded plans) requirements for its pension and postretirement plans are approximately $9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Capital Expenditures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Cash flow from investing activities included $5 million of capital expenditures for the three months ended March 31, 2023. Kodak expects approximately $30 million to $40 million of total capital expenditures for 2023.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Critical Accounting Policies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Company’s Annual Report on Form 10-K for the year ended December 31, 2022.  There have been no material changes in the Company's critical accounting policies or estimates since December 31, 2022.</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bookmarkStart w:id="13" w:name="qqd"/>
      <w:bookmarkEnd w:id="13"/>
      <w:r>
        <w:rPr>
          <w:rFonts w:ascii="Calibri;Arial;sans-serif" w:hAnsi="Calibri;Arial;sans-serif"/>
          <w:b/>
          <w:caps w:val="false"/>
          <w:smallCaps w:val="false"/>
          <w:sz w:val="20"/>
        </w:rPr>
        <w:t xml:space="preserve">Item 3. QUANTITATIVE AND QUALITATIVE DISCLOSURES ABOUT MARKET RISK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As noted in the 2022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2022 Form 10-K.</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caps w:val="false"/>
          <w:smallCaps w:val="false"/>
          <w:sz w:val="20"/>
        </w:rPr>
      </w:pPr>
      <w:bookmarkStart w:id="14" w:name="controls"/>
      <w:bookmarkEnd w:id="14"/>
      <w:r>
        <w:rPr>
          <w:rFonts w:ascii="Calibri;Arial;sans-serif" w:hAnsi="Calibri;Arial;sans-serif"/>
          <w:b/>
          <w:caps w:val="false"/>
          <w:smallCaps w:val="false"/>
          <w:sz w:val="20"/>
        </w:rPr>
        <w:t>Item</w:t>
      </w:r>
      <w:r>
        <w:rPr>
          <w:rFonts w:ascii="Calibri;Arial;sans-serif" w:hAnsi="Calibri;Arial;sans-serif"/>
          <w:caps w:val="false"/>
          <w:smallCaps w:val="false"/>
          <w:sz w:val="20"/>
        </w:rPr>
        <w:t> </w:t>
      </w:r>
      <w:r>
        <w:rPr>
          <w:rFonts w:ascii="Calibri;Arial;sans-serif" w:hAnsi="Calibri;Arial;sans-serif"/>
          <w:b/>
          <w:caps w:val="false"/>
          <w:smallCaps w:val="false"/>
          <w:sz w:val="20"/>
        </w:rPr>
        <w:t>4.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Evaluation of Disclosure Controls and Procedures</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Changes in Internal Control Over Financial Reporting</w:t>
      </w:r>
    </w:p>
    <w:p>
      <w:pPr>
        <w:pStyle w:val="TextBody"/>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In the first quarter of 2023, Kodak upgraded its global enterprise resource planning ("ERP") system as part of a multi-year project to modernize and enhance the Company’s global information technology systems, to improve and standardize business and financial processes and to increase the efficiency and effectiveness of financial planning and reporting. As part of this upgrade, Kodak changed or modified the design of certain processes within its existing ERP system, however, these changes did not materially affect the Company’s internal controls over financial reporting.  Other than the ERP system implementation, there have been no changes in Kodak’s internal control over financial reporting during the most recently completed fiscal quarter that have materially affected, or are reasonably likely to materially affect, Kodak’s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Calibri;Arial;sans-serif" w:hAnsi="Calibri;Arial;sans-serif"/>
          <w:b/>
          <w:caps w:val="false"/>
          <w:smallCaps w:val="false"/>
          <w:sz w:val="20"/>
        </w:rPr>
      </w:pPr>
      <w:bookmarkStart w:id="15" w:name="part2other"/>
      <w:bookmarkEnd w:id="15"/>
      <w:r>
        <w:rPr>
          <w:rFonts w:ascii="Calibri;Arial;sans-serif" w:hAnsi="Calibri;Arial;sans-serif"/>
          <w:b/>
          <w:caps w:val="false"/>
          <w:smallCaps w:val="false"/>
          <w:sz w:val="20"/>
        </w:rPr>
        <w:t>Part II. OTHER INFORMATION</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bookmarkStart w:id="16" w:name="item1legal"/>
      <w:bookmarkEnd w:id="16"/>
      <w:r>
        <w:rPr>
          <w:rFonts w:ascii="Calibri;Arial;sans-serif" w:hAnsi="Calibri;Arial;sans-serif"/>
          <w:b/>
          <w:caps w:val="false"/>
          <w:smallCaps w:val="false"/>
          <w:sz w:val="20"/>
        </w:rPr>
        <w:t>Item 1.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See Note 6, “Commitments and Contingencies” in the Notes to the Financial Statements included in Part I, Item 1, “Financial Statements” for information regarding certain legal proceedings in which Kodak is involved.</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bookmarkStart w:id="17" w:name="item1arisk"/>
      <w:bookmarkEnd w:id="17"/>
      <w:r>
        <w:rPr>
          <w:rFonts w:ascii="Calibri;Arial;sans-serif" w:hAnsi="Calibri;Arial;sans-serif"/>
          <w:b/>
          <w:caps w:val="false"/>
          <w:smallCaps w:val="false"/>
          <w:sz w:val="20"/>
        </w:rPr>
        <w:t>Item 1A.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See the Risk Factors set forth in Part I, Item 1A. of the 2022 Form 10-K for a detailed discussion of risk factors that could materially affect Kodak’s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bookmarkStart w:id="18" w:name="item2unregistered"/>
      <w:bookmarkEnd w:id="18"/>
      <w:r>
        <w:rPr>
          <w:rFonts w:ascii="Calibri;Arial;sans-serif" w:hAnsi="Calibri;Arial;sans-serif"/>
          <w:b/>
          <w:caps w:val="false"/>
          <w:smallCaps w:val="false"/>
          <w:sz w:val="20"/>
        </w:rPr>
        <w:t>Item 2. Unregistered Sales of Equity Securities and Use of Proceeds</w:t>
      </w:r>
    </w:p>
    <w:p>
      <w:pPr>
        <w:pStyle w:val="TextBody"/>
        <w:spacing w:before="0" w:after="0"/>
        <w:ind w:left="0" w:right="0" w:hanging="0"/>
        <w:rPr>
          <w:caps w:val="false"/>
          <w:smallCaps w:val="false"/>
        </w:rPr>
      </w:pPr>
      <w:r>
        <w:rPr>
          <w:caps w:val="false"/>
          <w:smallCaps w:val="false"/>
        </w:rPr>
        <w:t> </w:t>
      </w:r>
    </w:p>
    <w:tbl>
      <w:tblPr>
        <w:tblW w:w="6265" w:type="dxa"/>
        <w:jc w:val="left"/>
        <w:tblInd w:w="0" w:type="dxa"/>
        <w:tblCellMar>
          <w:top w:w="0" w:type="dxa"/>
          <w:left w:w="0" w:type="dxa"/>
          <w:bottom w:w="0" w:type="dxa"/>
          <w:right w:w="0" w:type="dxa"/>
        </w:tblCellMar>
      </w:tblPr>
      <w:tblGrid>
        <w:gridCol w:w="230"/>
        <w:gridCol w:w="6035"/>
      </w:tblGrid>
      <w:tr>
        <w:trPr/>
        <w:tc>
          <w:tcPr>
            <w:tcW w:w="23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(a)</w:t>
            </w:r>
          </w:p>
        </w:tc>
        <w:tc>
          <w:tcPr>
            <w:tcW w:w="6035"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Sales of unregistered securities during the quarter ended March 31,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Calibri;Arial;sans-serif" w:hAnsi="Calibri;Arial;sans-serif"/>
          <w:caps w:val="false"/>
          <w:smallCaps w:val="false"/>
          <w:sz w:val="20"/>
        </w:rPr>
      </w:pPr>
      <w:r>
        <w:rPr>
          <w:rFonts w:ascii="Calibri;Arial;sans-serif" w:hAnsi="Calibri;Arial;sans-serif"/>
          <w:caps w:val="false"/>
          <w:smallCaps w:val="false"/>
          <w:sz w:val="20"/>
        </w:rPr>
        <w:t>None.</w:t>
      </w:r>
    </w:p>
    <w:p>
      <w:pPr>
        <w:pStyle w:val="TextBody"/>
        <w:spacing w:before="0" w:after="0"/>
        <w:ind w:left="0" w:right="0" w:hanging="0"/>
        <w:rPr>
          <w:caps w:val="false"/>
          <w:smallCaps w:val="false"/>
        </w:rPr>
      </w:pPr>
      <w:r>
        <w:rPr>
          <w:caps w:val="false"/>
          <w:smallCaps w:val="false"/>
        </w:rPr>
        <w:t> </w:t>
      </w:r>
    </w:p>
    <w:tbl>
      <w:tblPr>
        <w:tblW w:w="6670" w:type="dxa"/>
        <w:jc w:val="left"/>
        <w:tblInd w:w="0" w:type="dxa"/>
        <w:tblCellMar>
          <w:top w:w="0" w:type="dxa"/>
          <w:left w:w="0" w:type="dxa"/>
          <w:bottom w:w="0" w:type="dxa"/>
          <w:right w:w="0" w:type="dxa"/>
        </w:tblCellMar>
      </w:tblPr>
      <w:tblGrid>
        <w:gridCol w:w="245"/>
        <w:gridCol w:w="6425"/>
      </w:tblGrid>
      <w:tr>
        <w:trPr/>
        <w:tc>
          <w:tcPr>
            <w:tcW w:w="245"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(b)</w:t>
            </w:r>
          </w:p>
        </w:tc>
        <w:tc>
          <w:tcPr>
            <w:tcW w:w="6425"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Issuer purchases of equity securities during the quarter ended March 31, 2023</w:t>
            </w:r>
          </w:p>
        </w:tc>
      </w:tr>
    </w:tbl>
    <w:p>
      <w:pPr>
        <w:pStyle w:val="TextBody"/>
        <w:spacing w:before="0" w:after="0"/>
        <w:ind w:left="0" w:right="0" w:hanging="0"/>
        <w:rPr>
          <w:caps w:val="false"/>
          <w:smallCaps w:val="false"/>
        </w:rPr>
      </w:pPr>
      <w:r>
        <w:rPr>
          <w:caps w:val="false"/>
          <w:smallCaps w:val="false"/>
        </w:rPr>
        <w:t> </w:t>
      </w:r>
    </w:p>
    <w:tbl>
      <w:tblPr>
        <w:tblW w:w="7311" w:type="dxa"/>
        <w:jc w:val="left"/>
        <w:tblInd w:w="0" w:type="dxa"/>
        <w:tblCellMar>
          <w:top w:w="0" w:type="dxa"/>
          <w:left w:w="0" w:type="dxa"/>
          <w:bottom w:w="0" w:type="dxa"/>
          <w:right w:w="0" w:type="dxa"/>
        </w:tblCellMar>
      </w:tblPr>
      <w:tblGrid>
        <w:gridCol w:w="1850"/>
        <w:gridCol w:w="60"/>
        <w:gridCol w:w="106"/>
        <w:gridCol w:w="1053"/>
        <w:gridCol w:w="60"/>
        <w:gridCol w:w="60"/>
        <w:gridCol w:w="201"/>
        <w:gridCol w:w="613"/>
        <w:gridCol w:w="60"/>
        <w:gridCol w:w="60"/>
        <w:gridCol w:w="324"/>
        <w:gridCol w:w="1090"/>
        <w:gridCol w:w="60"/>
        <w:gridCol w:w="60"/>
        <w:gridCol w:w="364"/>
        <w:gridCol w:w="1215"/>
        <w:gridCol w:w="75"/>
      </w:tblGrid>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1053"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rPr/>
            </w:pPr>
            <w:r>
              <w:rPr/>
              <w:t> </w:t>
            </w:r>
          </w:p>
        </w:tc>
        <w:tc>
          <w:tcPr>
            <w:tcW w:w="613"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79"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Maximum Number</w:t>
            </w:r>
          </w:p>
        </w:tc>
        <w:tc>
          <w:tcPr>
            <w:tcW w:w="75"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1053"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rPr/>
            </w:pPr>
            <w:r>
              <w:rPr/>
              <w:t> </w:t>
            </w:r>
          </w:p>
        </w:tc>
        <w:tc>
          <w:tcPr>
            <w:tcW w:w="613"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4" w:type="dxa"/>
            <w:gridSpan w:val="2"/>
            <w:tcBorders/>
            <w:shd w:fill="FFFFFF" w:val="clear"/>
            <w:vAlign w:val="center"/>
          </w:tcPr>
          <w:p>
            <w:pPr>
              <w:pStyle w:val="TableContents"/>
              <w:spacing w:before="0" w:after="283"/>
              <w:jc w:val="center"/>
              <w:rPr>
                <w:rFonts w:ascii="Calibri;Arial;sans-serif" w:hAnsi="Calibri;Arial;sans-serif"/>
                <w:b/>
                <w:sz w:val="20"/>
              </w:rPr>
            </w:pPr>
            <w:r>
              <w:rPr>
                <w:rFonts w:ascii="Calibri;Arial;sans-serif" w:hAnsi="Calibri;Arial;sans-serif"/>
                <w:b/>
                <w:sz w:val="20"/>
              </w:rPr>
              <w:t>of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9" w:type="dxa"/>
            <w:gridSpan w:val="2"/>
            <w:tcBorders/>
            <w:shd w:fill="FFFFFF" w:val="clear"/>
            <w:vAlign w:val="center"/>
          </w:tcPr>
          <w:p>
            <w:pPr>
              <w:pStyle w:val="TableContents"/>
              <w:spacing w:before="0" w:after="283"/>
              <w:jc w:val="center"/>
              <w:rPr>
                <w:rFonts w:ascii="Calibri;Arial;sans-serif" w:hAnsi="Calibri;Arial;sans-serif"/>
                <w:b/>
                <w:sz w:val="20"/>
              </w:rPr>
            </w:pPr>
            <w:r>
              <w:rPr>
                <w:rFonts w:ascii="Calibri;Arial;sans-serif" w:hAnsi="Calibri;Arial;sans-serif"/>
                <w:b/>
                <w:sz w:val="20"/>
              </w:rPr>
              <w:t>of Shares</w:t>
            </w:r>
          </w:p>
        </w:tc>
        <w:tc>
          <w:tcPr>
            <w:tcW w:w="75"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1053"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rPr/>
            </w:pPr>
            <w:r>
              <w:rPr/>
              <w:t> </w:t>
            </w:r>
          </w:p>
        </w:tc>
        <w:tc>
          <w:tcPr>
            <w:tcW w:w="613"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4" w:type="dxa"/>
            <w:gridSpan w:val="2"/>
            <w:tcBorders/>
            <w:shd w:fill="FFFFFF" w:val="clear"/>
            <w:vAlign w:val="center"/>
          </w:tcPr>
          <w:p>
            <w:pPr>
              <w:pStyle w:val="TableContents"/>
              <w:spacing w:before="0" w:after="283"/>
              <w:jc w:val="center"/>
              <w:rPr>
                <w:rFonts w:ascii="Calibri;Arial;sans-serif" w:hAnsi="Calibri;Arial;sans-serif"/>
                <w:b/>
                <w:sz w:val="20"/>
              </w:rPr>
            </w:pPr>
            <w:r>
              <w:rPr>
                <w:rFonts w:ascii="Calibri;Arial;sans-serif" w:hAnsi="Calibri;Arial;sans-serif"/>
                <w:b/>
                <w:sz w:val="20"/>
              </w:rPr>
              <w:t>Purchased as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79" w:type="dxa"/>
            <w:gridSpan w:val="2"/>
            <w:tcBorders/>
            <w:shd w:fill="FFFFFF" w:val="clear"/>
            <w:vAlign w:val="center"/>
          </w:tcPr>
          <w:p>
            <w:pPr>
              <w:pStyle w:val="TableContents"/>
              <w:spacing w:before="0" w:after="283"/>
              <w:jc w:val="center"/>
              <w:rPr>
                <w:rFonts w:ascii="Calibri;Arial;sans-serif" w:hAnsi="Calibri;Arial;sans-serif"/>
                <w:b/>
                <w:sz w:val="20"/>
              </w:rPr>
            </w:pPr>
            <w:r>
              <w:rPr>
                <w:rFonts w:ascii="Calibri;Arial;sans-serif" w:hAnsi="Calibri;Arial;sans-serif"/>
                <w:b/>
                <w:sz w:val="20"/>
              </w:rPr>
              <w:t>That May Yet</w:t>
            </w:r>
          </w:p>
        </w:tc>
        <w:tc>
          <w:tcPr>
            <w:tcW w:w="75"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9"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Total Number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4"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Average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Part of Publicly</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79"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Be Purchased</w:t>
            </w:r>
          </w:p>
        </w:tc>
        <w:tc>
          <w:tcPr>
            <w:tcW w:w="75"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9"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of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4"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Price Paid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Announced Plans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79" w:type="dxa"/>
            <w:gridSpan w:val="2"/>
            <w:tcBorders/>
            <w:shd w:fill="FFFFFF" w:val="cle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under the Plans or</w:t>
            </w:r>
          </w:p>
        </w:tc>
        <w:tc>
          <w:tcPr>
            <w:tcW w:w="75" w:type="dxa"/>
            <w:tcBorders/>
            <w:shd w:fill="FFFF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Purchased (1)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per Share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1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or Programs (2)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Programs (2)</w:t>
            </w:r>
          </w:p>
        </w:tc>
        <w:tc>
          <w:tcPr>
            <w:tcW w:w="75" w:type="dxa"/>
            <w:tcBorders/>
            <w:shd w:fill="FFFFFF"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January 1 through 31</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ind w:left="0" w:right="0" w:hanging="0"/>
              <w:rPr/>
            </w:pPr>
            <w:r>
              <w:rPr/>
              <w:t> </w:t>
            </w:r>
          </w:p>
        </w:tc>
        <w:tc>
          <w:tcPr>
            <w:tcW w:w="105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5,592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1" w:type="dxa"/>
            <w:tcBorders/>
            <w:shd w:fill="CCEEFF" w:val="clear"/>
            <w:vAlign w:val="center"/>
          </w:tcPr>
          <w:p>
            <w:pPr>
              <w:pStyle w:val="TableContents"/>
              <w:spacing w:before="0" w:after="283"/>
              <w:ind w:left="0" w:right="0" w:hanging="0"/>
              <w:rPr>
                <w:rFonts w:ascii="Calibri;Arial;sans-serif" w:hAnsi="Calibri;Arial;sans-serif"/>
                <w:sz w:val="20"/>
              </w:rPr>
            </w:pPr>
            <w:r>
              <w:rPr>
                <w:rFonts w:ascii="Calibri;Arial;sans-serif" w:hAnsi="Calibri;Arial;sans-serif"/>
                <w:sz w:val="20"/>
              </w:rPr>
              <w:t>$</w:t>
            </w:r>
          </w:p>
        </w:tc>
        <w:tc>
          <w:tcPr>
            <w:tcW w:w="613"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4" w:type="dxa"/>
            <w:tcBorders/>
            <w:shd w:fill="CCEEFF" w:val="clear"/>
            <w:vAlign w:val="center"/>
          </w:tcPr>
          <w:p>
            <w:pPr>
              <w:pStyle w:val="TableContents"/>
              <w:spacing w:before="0" w:after="283"/>
              <w:ind w:left="0" w:right="0" w:hanging="0"/>
              <w:rPr/>
            </w:pPr>
            <w:r>
              <w:rPr/>
              <w:t> </w:t>
            </w:r>
          </w:p>
        </w:tc>
        <w:tc>
          <w:tcPr>
            <w:tcW w:w="10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4" w:type="dxa"/>
            <w:tcBorders/>
            <w:shd w:fill="CCEEFF" w:val="clear"/>
            <w:vAlign w:val="center"/>
          </w:tcPr>
          <w:p>
            <w:pPr>
              <w:pStyle w:val="TableContents"/>
              <w:spacing w:before="0" w:after="283"/>
              <w:ind w:left="0" w:right="0" w:hanging="0"/>
              <w:rPr/>
            </w:pPr>
            <w:r>
              <w:rPr/>
              <w:t> </w:t>
            </w:r>
          </w:p>
        </w:tc>
        <w:tc>
          <w:tcPr>
            <w:tcW w:w="121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spacing w:before="0" w:after="283"/>
              <w:rPr/>
            </w:pPr>
            <w:r>
              <w:rPr/>
              <w:t> </w:t>
            </w:r>
          </w:p>
        </w:tc>
      </w:tr>
      <w:tr>
        <w:trPr/>
        <w:tc>
          <w:tcPr>
            <w:tcW w:w="1850" w:type="dxa"/>
            <w:tcBorders/>
            <w:shd w:fill="FFFF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February 1 through 28</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ind w:left="0" w:right="0" w:hanging="0"/>
              <w:rPr/>
            </w:pPr>
            <w:r>
              <w:rPr/>
              <w:t> </w:t>
            </w:r>
          </w:p>
        </w:tc>
        <w:tc>
          <w:tcPr>
            <w:tcW w:w="105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19,076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1" w:type="dxa"/>
            <w:tcBorders/>
            <w:shd w:fill="FFFFFF" w:val="clear"/>
            <w:vAlign w:val="center"/>
          </w:tcPr>
          <w:p>
            <w:pPr>
              <w:pStyle w:val="TableContents"/>
              <w:spacing w:before="0" w:after="283"/>
              <w:ind w:left="0" w:right="0" w:hanging="0"/>
              <w:rPr/>
            </w:pPr>
            <w:r>
              <w:rPr/>
              <w:t> </w:t>
            </w:r>
          </w:p>
        </w:tc>
        <w:tc>
          <w:tcPr>
            <w:tcW w:w="613"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3.63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24" w:type="dxa"/>
            <w:tcBorders/>
            <w:shd w:fill="FFFFFF" w:val="clear"/>
            <w:vAlign w:val="center"/>
          </w:tcPr>
          <w:p>
            <w:pPr>
              <w:pStyle w:val="TableContents"/>
              <w:spacing w:before="0" w:after="283"/>
              <w:ind w:left="0" w:right="0" w:hanging="0"/>
              <w:rPr/>
            </w:pPr>
            <w:r>
              <w:rPr/>
              <w:t> </w:t>
            </w:r>
          </w:p>
        </w:tc>
        <w:tc>
          <w:tcPr>
            <w:tcW w:w="1090"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4" w:type="dxa"/>
            <w:tcBorders/>
            <w:shd w:fill="FFFFFF" w:val="clear"/>
            <w:vAlign w:val="center"/>
          </w:tcPr>
          <w:p>
            <w:pPr>
              <w:pStyle w:val="TableContents"/>
              <w:spacing w:before="0" w:after="283"/>
              <w:ind w:left="0" w:right="0" w:hanging="0"/>
              <w:rPr/>
            </w:pPr>
            <w:r>
              <w:rPr/>
              <w:t> </w:t>
            </w:r>
          </w:p>
        </w:tc>
        <w:tc>
          <w:tcPr>
            <w:tcW w:w="1215" w:type="dxa"/>
            <w:tcBorders/>
            <w:shd w:fill="FFFF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FFFFFF" w:val="clear"/>
            <w:vAlign w:val="center"/>
          </w:tcPr>
          <w:p>
            <w:pPr>
              <w:pStyle w:val="TableContents"/>
              <w:spacing w:before="0" w:after="283"/>
              <w:rPr/>
            </w:pPr>
            <w:r>
              <w:rPr/>
              <w:t> </w:t>
            </w:r>
          </w:p>
        </w:tc>
      </w:tr>
      <w:tr>
        <w:trPr/>
        <w:tc>
          <w:tcPr>
            <w:tcW w:w="1850" w:type="dxa"/>
            <w:tcBorders/>
            <w:shd w:fill="CCEEFF"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March 1 through 31</w:t>
            </w:r>
          </w:p>
        </w:tc>
        <w:tc>
          <w:tcPr>
            <w:tcW w:w="60" w:type="dxa"/>
            <w:tcBorders/>
            <w:shd w:fill="CCEEFF" w:val="clear"/>
            <w:vAlign w:val="center"/>
          </w:tcPr>
          <w:p>
            <w:pPr>
              <w:pStyle w:val="TableContents"/>
              <w:spacing w:before="0" w:after="283"/>
              <w:rPr/>
            </w:pPr>
            <w:r>
              <w:rPr/>
              <w:t> </w:t>
            </w:r>
          </w:p>
        </w:tc>
        <w:tc>
          <w:tcPr>
            <w:tcW w:w="1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5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13" w:type="dxa"/>
            <w:tcBorders>
              <w:bottom w:val="single" w:sz="2" w:space="0" w:color="000000"/>
            </w:tcBorders>
            <w:shd w:fill="CCEEFF" w:val="clear"/>
            <w:tcMar>
              <w:bottom w:w="28" w:type="dxa"/>
            </w:tcMar>
            <w:vAlign w:val="center"/>
          </w:tcPr>
          <w:p>
            <w:pPr>
              <w:pStyle w:val="TableContents"/>
              <w:spacing w:before="0" w:after="283"/>
              <w:ind w:left="0" w:right="0" w:hanging="0"/>
              <w:jc w:val="righ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24" w:type="dxa"/>
            <w:tcBorders/>
            <w:shd w:fill="CCEEFF" w:val="clear"/>
            <w:vAlign w:val="center"/>
          </w:tcPr>
          <w:p>
            <w:pPr>
              <w:pStyle w:val="TableContents"/>
              <w:spacing w:before="0" w:after="283"/>
              <w:ind w:left="0" w:right="0" w:hanging="0"/>
              <w:rPr/>
            </w:pPr>
            <w:r>
              <w:rPr/>
              <w:t> </w:t>
            </w:r>
          </w:p>
        </w:tc>
        <w:tc>
          <w:tcPr>
            <w:tcW w:w="1090"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64" w:type="dxa"/>
            <w:tcBorders/>
            <w:shd w:fill="CCEEFF" w:val="clear"/>
            <w:vAlign w:val="center"/>
          </w:tcPr>
          <w:p>
            <w:pPr>
              <w:pStyle w:val="TableContents"/>
              <w:spacing w:before="0" w:after="283"/>
              <w:ind w:left="0" w:right="0" w:hanging="0"/>
              <w:rPr/>
            </w:pPr>
            <w:r>
              <w:rPr/>
              <w:t> </w:t>
            </w:r>
          </w:p>
        </w:tc>
        <w:tc>
          <w:tcPr>
            <w:tcW w:w="1215" w:type="dxa"/>
            <w:tcBorders/>
            <w:shd w:fill="CCEEFF" w:val="clear"/>
            <w:vAlign w:val="center"/>
          </w:tcPr>
          <w:p>
            <w:pPr>
              <w:pStyle w:val="TableContents"/>
              <w:spacing w:before="0" w:after="283"/>
              <w:ind w:left="0" w:right="0" w:hanging="0"/>
              <w:jc w:val="right"/>
              <w:rPr>
                <w:rFonts w:ascii="Calibri;Arial;sans-serif" w:hAnsi="Calibri;Arial;sans-serif"/>
                <w:sz w:val="20"/>
              </w:rPr>
            </w:pPr>
            <w:r>
              <w:rPr>
                <w:rFonts w:ascii="Calibri;Arial;sans-serif" w:hAnsi="Calibri;Arial;sans-serif"/>
                <w:sz w:val="20"/>
              </w:rPr>
              <w:t>n/a</w:t>
            </w:r>
          </w:p>
        </w:tc>
        <w:tc>
          <w:tcPr>
            <w:tcW w:w="75" w:type="dxa"/>
            <w:tcBorders/>
            <w:shd w:fill="CCEEFF" w:val="clear"/>
            <w:vAlign w:val="center"/>
          </w:tcPr>
          <w:p>
            <w:pPr>
              <w:pStyle w:val="TableContents"/>
              <w:spacing w:before="0" w:after="283"/>
              <w:ind w:left="0" w:right="0" w:hanging="0"/>
              <w:rPr/>
            </w:pPr>
            <w:r>
              <w:rPr/>
              <w:t> </w:t>
            </w:r>
          </w:p>
        </w:tc>
      </w:tr>
      <w:tr>
        <w:trPr/>
        <w:tc>
          <w:tcPr>
            <w:tcW w:w="1850" w:type="dxa"/>
            <w:tcBorders/>
            <w:shd w:fill="FFFFFF" w:val="cle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Total</w:t>
            </w:r>
          </w:p>
        </w:tc>
        <w:tc>
          <w:tcPr>
            <w:tcW w:w="60" w:type="dxa"/>
            <w:tcBorders/>
            <w:shd w:fill="FFFFFF" w:val="clear"/>
            <w:vAlign w:val="center"/>
          </w:tcPr>
          <w:p>
            <w:pPr>
              <w:pStyle w:val="TableContents"/>
              <w:spacing w:before="0" w:after="0"/>
              <w:ind w:left="0" w:right="0" w:hanging="0"/>
              <w:rPr/>
            </w:pPr>
            <w:r>
              <w:rPr/>
              <w:t> </w:t>
            </w:r>
          </w:p>
        </w:tc>
        <w:tc>
          <w:tcPr>
            <w:tcW w:w="10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053"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24,668</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01" w:type="dxa"/>
            <w:tcBorders>
              <w:bottom w:val="double" w:sz="6" w:space="0" w:color="000000"/>
            </w:tcBorders>
            <w:shd w:fill="FFFFFF" w:val="clear"/>
            <w:tcMar>
              <w:bottom w:w="28" w:type="dxa"/>
            </w:tcMar>
            <w:vAlign w:val="center"/>
          </w:tcPr>
          <w:p>
            <w:pPr>
              <w:pStyle w:val="TableContents"/>
              <w:spacing w:before="0" w:after="0"/>
              <w:ind w:left="0" w:right="0" w:hanging="0"/>
              <w:rPr>
                <w:rFonts w:ascii="Calibri;Arial;sans-serif" w:hAnsi="Calibri;Arial;sans-serif"/>
                <w:sz w:val="20"/>
              </w:rPr>
            </w:pPr>
            <w:r>
              <w:rPr>
                <w:rFonts w:ascii="Calibri;Arial;sans-serif" w:hAnsi="Calibri;Arial;sans-serif"/>
                <w:sz w:val="20"/>
              </w:rPr>
              <w:t>$</w:t>
            </w:r>
          </w:p>
        </w:tc>
        <w:tc>
          <w:tcPr>
            <w:tcW w:w="613"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Calibri;Arial;sans-serif" w:hAnsi="Calibri;Arial;sans-serif"/>
                <w:sz w:val="20"/>
              </w:rPr>
            </w:pPr>
            <w:r>
              <w:rPr>
                <w:rFonts w:ascii="Calibri;Arial;sans-serif" w:hAnsi="Calibri;Arial;sans-serif"/>
                <w:sz w:val="20"/>
              </w:rPr>
              <w:t>3.60</w:t>
            </w:r>
          </w:p>
        </w:tc>
        <w:tc>
          <w:tcPr>
            <w:tcW w:w="60" w:type="dxa"/>
            <w:tcBorders/>
            <w:shd w:fill="FFFFFF" w:val="clear"/>
            <w:vAlign w:val="center"/>
          </w:tcPr>
          <w:p>
            <w:pPr>
              <w:pStyle w:val="TableContents"/>
              <w:spacing w:before="0" w:after="0"/>
              <w:rPr/>
            </w:pPr>
            <w:r>
              <w:rPr/>
              <w:t> </w:t>
            </w:r>
          </w:p>
        </w:tc>
        <w:tc>
          <w:tcPr>
            <w:tcW w:w="60" w:type="dxa"/>
            <w:tcBorders/>
            <w:shd w:fill="FFFFFF" w:val="clear"/>
            <w:vAlign w:val="center"/>
          </w:tcPr>
          <w:p>
            <w:pPr>
              <w:pStyle w:val="TableContents"/>
              <w:spacing w:before="0" w:after="283"/>
              <w:rPr/>
            </w:pPr>
            <w:r>
              <w:rPr/>
              <w:t> </w:t>
            </w:r>
          </w:p>
        </w:tc>
        <w:tc>
          <w:tcPr>
            <w:tcW w:w="324" w:type="dxa"/>
            <w:tcBorders/>
            <w:shd w:fill="FFFFFF" w:val="clear"/>
            <w:vAlign w:val="center"/>
          </w:tcPr>
          <w:p>
            <w:pPr>
              <w:pStyle w:val="TableContents"/>
              <w:spacing w:before="0" w:after="283"/>
              <w:ind w:left="0" w:right="0" w:hanging="0"/>
              <w:rPr/>
            </w:pPr>
            <w:r>
              <w:rPr/>
              <w:t> </w:t>
            </w:r>
          </w:p>
        </w:tc>
        <w:tc>
          <w:tcPr>
            <w:tcW w:w="1090" w:type="dxa"/>
            <w:tcBorders/>
            <w:shd w:fill="FFFFFF" w:val="clear"/>
            <w:vAlign w:val="center"/>
          </w:tcPr>
          <w:p>
            <w:pPr>
              <w:pStyle w:val="TableContents"/>
              <w:spacing w:before="0" w:after="0"/>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64" w:type="dxa"/>
            <w:tcBorders/>
            <w:shd w:fill="FFFFFF" w:val="clear"/>
            <w:vAlign w:val="center"/>
          </w:tcPr>
          <w:p>
            <w:pPr>
              <w:pStyle w:val="TableContents"/>
              <w:spacing w:before="0" w:after="283"/>
              <w:ind w:left="0" w:right="0" w:hanging="0"/>
              <w:rPr/>
            </w:pPr>
            <w:r>
              <w:rPr/>
              <w:t> </w:t>
            </w:r>
          </w:p>
        </w:tc>
        <w:tc>
          <w:tcPr>
            <w:tcW w:w="1215" w:type="dxa"/>
            <w:tcBorders/>
            <w:shd w:fill="FFFFFF" w:val="clear"/>
            <w:vAlign w:val="center"/>
          </w:tcPr>
          <w:p>
            <w:pPr>
              <w:pStyle w:val="TableContents"/>
              <w:spacing w:before="0" w:after="0"/>
              <w:jc w:val="right"/>
              <w:rPr/>
            </w:pPr>
            <w:r>
              <w:rPr/>
              <w:t> </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237"/>
        <w:gridCol w:w="9908"/>
      </w:tblGrid>
      <w:tr>
        <w:trPr/>
        <w:tc>
          <w:tcPr>
            <w:tcW w:w="60" w:type="dxa"/>
            <w:tcBorders/>
            <w:shd w:fill="auto" w:val="clear"/>
            <w:vAlign w:val="center"/>
          </w:tcPr>
          <w:p>
            <w:pPr>
              <w:pStyle w:val="TableContents"/>
              <w:spacing w:before="0" w:after="283"/>
              <w:rPr/>
            </w:pPr>
            <w:r>
              <w:rPr/>
              <w:t> </w:t>
            </w:r>
          </w:p>
        </w:tc>
        <w:tc>
          <w:tcPr>
            <w:tcW w:w="237" w:type="dxa"/>
            <w:tcBorders/>
            <w:shd w:fill="auto"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8"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These purchases were made to satisfy tax withholding obligations in connection with the vesting of restricted stock units issued to employees.</w:t>
            </w:r>
          </w:p>
        </w:tc>
      </w:tr>
    </w:tbl>
    <w:p>
      <w:pPr>
        <w:pStyle w:val="TextBody"/>
        <w:spacing w:before="0" w:after="0"/>
        <w:ind w:left="0" w:right="0" w:hanging="0"/>
        <w:rPr>
          <w:caps w:val="false"/>
          <w:smallCaps w:val="false"/>
        </w:rPr>
      </w:pPr>
      <w:r>
        <w:rPr>
          <w:caps w:val="false"/>
          <w:smallCaps w:val="false"/>
        </w:rPr>
        <w:t> </w:t>
      </w:r>
    </w:p>
    <w:tbl>
      <w:tblPr>
        <w:tblW w:w="6025" w:type="dxa"/>
        <w:jc w:val="left"/>
        <w:tblInd w:w="0" w:type="dxa"/>
        <w:tblCellMar>
          <w:top w:w="0" w:type="dxa"/>
          <w:left w:w="0" w:type="dxa"/>
          <w:bottom w:w="0" w:type="dxa"/>
          <w:right w:w="0" w:type="dxa"/>
        </w:tblCellMar>
      </w:tblPr>
      <w:tblGrid>
        <w:gridCol w:w="60"/>
        <w:gridCol w:w="245"/>
        <w:gridCol w:w="5720"/>
      </w:tblGrid>
      <w:tr>
        <w:trPr/>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lineRule="auto" w:line="288"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572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Kodak does not have a publicly announced repurchase plan or program.</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Items 3 through 5 of Part II have been omitted because they are not applicable with respect to the current reporting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rPr>
          <w:caps w:val="false"/>
          <w:smallCaps w:val="false"/>
        </w:rPr>
      </w:pPr>
      <w:r>
        <w:rPr>
          <w:caps w:val="false"/>
          <w:smallCaps w:val="false"/>
        </w:rPr>
        <w:t> </w:t>
      </w:r>
    </w:p>
    <w:p>
      <w:pPr>
        <w:pStyle w:val="TextBody"/>
        <w:rPr/>
      </w:pPr>
      <w:r>
        <w:rPr/>
        <w:t xml:space="preserve">  </w:t>
      </w:r>
    </w:p>
    <w:p>
      <w:pPr>
        <w:pStyle w:val="TextBody"/>
        <w:spacing w:before="0" w:after="0"/>
        <w:ind w:left="0" w:right="0" w:hanging="0"/>
        <w:rPr>
          <w:rFonts w:ascii="Calibri;Arial;sans-serif" w:hAnsi="Calibri;Arial;sans-serif"/>
          <w:b/>
          <w:caps w:val="false"/>
          <w:smallCaps w:val="false"/>
          <w:sz w:val="20"/>
        </w:rPr>
      </w:pPr>
      <w:bookmarkStart w:id="19" w:name="exhibits"/>
      <w:bookmarkEnd w:id="19"/>
      <w:r>
        <w:rPr>
          <w:rFonts w:ascii="Calibri;Arial;sans-serif" w:hAnsi="Calibri;Arial;sans-serif"/>
          <w:b/>
          <w:caps w:val="false"/>
          <w:smallCaps w:val="false"/>
          <w:sz w:val="20"/>
        </w:rPr>
        <w:t>Item 6. Exhibits</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Index to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Exhibit</w:t>
            </w:r>
          </w:p>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Number</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(3.1)</w:t>
            </w:r>
          </w:p>
        </w:tc>
        <w:tc>
          <w:tcPr>
            <w:tcW w:w="9495" w:type="dxa"/>
            <w:tcBorders/>
            <w:shd w:fill="auto" w:val="clear"/>
            <w:vAlign w:val="center"/>
          </w:tcPr>
          <w:p>
            <w:pPr>
              <w:pStyle w:val="TableContents"/>
              <w:spacing w:before="0" w:after="0"/>
              <w:ind w:left="0" w:right="0" w:hanging="0"/>
              <w:rPr/>
            </w:pPr>
            <w:hyperlink r:id="rId2">
              <w:r>
                <w:rPr>
                  <w:rStyle w:val="InternetLink"/>
                  <w:rFonts w:ascii="Calibri;Arial;sans-serif" w:hAnsi="Calibri;Arial;sans-serif"/>
                  <w:caps w:val="false"/>
                  <w:smallCaps w:val="false"/>
                  <w:sz w:val="20"/>
                  <w:u w:val="single"/>
                </w:rPr>
                <w:t>Second Amended and Restated Certificate of Incorporation of Eastman Kodak Company (Incorporated by reference to Exhibit 4.1 of the Company’s Registration Statement on Form S-8 as filed on September 3, 2013).</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(3.2)</w:t>
            </w:r>
          </w:p>
        </w:tc>
        <w:tc>
          <w:tcPr>
            <w:tcW w:w="9495" w:type="dxa"/>
            <w:tcBorders/>
            <w:shd w:fill="auto" w:val="clear"/>
            <w:vAlign w:val="center"/>
          </w:tcPr>
          <w:p>
            <w:pPr>
              <w:pStyle w:val="TableContents"/>
              <w:spacing w:before="0" w:after="0"/>
              <w:ind w:left="0" w:right="0" w:hanging="0"/>
              <w:rPr/>
            </w:pPr>
            <w:hyperlink r:id="rId3">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November 16, 2016).</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(3.3)</w:t>
            </w:r>
          </w:p>
        </w:tc>
        <w:tc>
          <w:tcPr>
            <w:tcW w:w="9495" w:type="dxa"/>
            <w:tcBorders/>
            <w:shd w:fill="auto" w:val="clear"/>
            <w:vAlign w:val="center"/>
          </w:tcPr>
          <w:p>
            <w:pPr>
              <w:pStyle w:val="TableContents"/>
              <w:spacing w:before="0" w:after="0"/>
              <w:ind w:left="0" w:right="0" w:hanging="0"/>
              <w:rPr/>
            </w:pPr>
            <w:hyperlink r:id="rId4">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September 12, 2019).</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(3.4)</w:t>
            </w:r>
          </w:p>
        </w:tc>
        <w:tc>
          <w:tcPr>
            <w:tcW w:w="9495" w:type="dxa"/>
            <w:tcBorders/>
            <w:shd w:fill="auto" w:val="clear"/>
            <w:vAlign w:val="center"/>
          </w:tcPr>
          <w:p>
            <w:pPr>
              <w:pStyle w:val="TableContents"/>
              <w:spacing w:before="0" w:after="0"/>
              <w:ind w:left="0" w:right="0" w:hanging="0"/>
              <w:rPr/>
            </w:pPr>
            <w:hyperlink r:id="rId5">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September 12, 2019).</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(3.5)</w:t>
            </w:r>
          </w:p>
        </w:tc>
        <w:tc>
          <w:tcPr>
            <w:tcW w:w="9495" w:type="dxa"/>
            <w:tcBorders/>
            <w:shd w:fill="auto" w:val="clear"/>
            <w:vAlign w:val="center"/>
          </w:tcPr>
          <w:p>
            <w:pPr>
              <w:pStyle w:val="TableContents"/>
              <w:spacing w:before="0" w:after="0"/>
              <w:ind w:left="0" w:right="0" w:hanging="0"/>
              <w:rPr/>
            </w:pPr>
            <w:hyperlink r:id="rId6">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December 29, 2020).</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(3.6)</w:t>
            </w:r>
          </w:p>
        </w:tc>
        <w:tc>
          <w:tcPr>
            <w:tcW w:w="9495" w:type="dxa"/>
            <w:tcBorders/>
            <w:shd w:fill="auto" w:val="clear"/>
            <w:vAlign w:val="center"/>
          </w:tcPr>
          <w:p>
            <w:pPr>
              <w:pStyle w:val="TableContents"/>
              <w:spacing w:before="0" w:after="0"/>
              <w:ind w:left="0" w:right="0" w:hanging="0"/>
              <w:rPr/>
            </w:pPr>
            <w:hyperlink r:id="rId7">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3.1 of the Company’s Current Report on Form 8-K as filed March 1, 2021).</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(3.7)</w:t>
            </w:r>
          </w:p>
        </w:tc>
        <w:tc>
          <w:tcPr>
            <w:tcW w:w="9495" w:type="dxa"/>
            <w:tcBorders/>
            <w:shd w:fill="auto" w:val="clear"/>
            <w:vAlign w:val="center"/>
          </w:tcPr>
          <w:p>
            <w:pPr>
              <w:pStyle w:val="TableContents"/>
              <w:spacing w:before="0" w:after="0"/>
              <w:ind w:left="0" w:right="0" w:hanging="0"/>
              <w:rPr/>
            </w:pPr>
            <w:hyperlink r:id="rId8">
              <w:r>
                <w:rPr>
                  <w:rStyle w:val="InternetLink"/>
                  <w:rFonts w:ascii="Calibri;Arial;sans-serif" w:hAnsi="Calibri;Arial;sans-serif"/>
                  <w:caps w:val="false"/>
                  <w:smallCaps w:val="false"/>
                  <w:sz w:val="20"/>
                  <w:u w:val="single"/>
                </w:rPr>
                <w:t>Certificate of Amendment to the Second Amended and Restated Certificate of Incorporation of Eastman Kodak Company (Incorporated by reference to Exhibit 3.2 of the Company’s Current Report on Form 8-K as filed March 1, 2021).</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(3.8)</w:t>
            </w:r>
          </w:p>
        </w:tc>
        <w:tc>
          <w:tcPr>
            <w:tcW w:w="9495" w:type="dxa"/>
            <w:tcBorders/>
            <w:shd w:fill="auto" w:val="clear"/>
            <w:vAlign w:val="center"/>
          </w:tcPr>
          <w:p>
            <w:pPr>
              <w:pStyle w:val="TableContents"/>
              <w:spacing w:before="0" w:after="0"/>
              <w:ind w:left="0" w:right="0" w:hanging="0"/>
              <w:rPr/>
            </w:pPr>
            <w:hyperlink r:id="rId9">
              <w:r>
                <w:rPr>
                  <w:rStyle w:val="InternetLink"/>
                  <w:rFonts w:ascii="Calibri;Arial;sans-serif" w:hAnsi="Calibri;Arial;sans-serif"/>
                  <w:caps w:val="false"/>
                  <w:smallCaps w:val="fals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w:t>
            </w:r>
          </w:p>
        </w:tc>
        <w:tc>
          <w:tcPr>
            <w:tcW w:w="9495" w:type="dxa"/>
            <w:tcBorders/>
            <w:shd w:fill="auto" w:val="clear"/>
            <w:vAlign w:val="center"/>
          </w:tcPr>
          <w:p>
            <w:pPr>
              <w:pStyle w:val="TableContents"/>
              <w:spacing w:before="0" w:after="0"/>
              <w:ind w:left="0" w:right="0" w:hanging="0"/>
              <w:rPr/>
            </w:pPr>
            <w:r>
              <w:rPr>
                <w:rFonts w:ascii="Calibri;Arial;sans-serif" w:hAnsi="Calibri;Arial;sans-serif"/>
                <w:caps w:val="false"/>
                <w:smallCaps w:val="false"/>
                <w:sz w:val="20"/>
              </w:rPr>
              <w:t>E</w:t>
            </w:r>
            <w:hyperlink r:id="rId10">
              <w:r>
                <w:rPr>
                  <w:rStyle w:val="InternetLink"/>
                  <w:rFonts w:ascii="Calibri;Arial;sans-serif" w:hAnsi="Calibri;Arial;sans-serif"/>
                  <w:caps w:val="false"/>
                  <w:smallCaps w:val="false"/>
                  <w:sz w:val="20"/>
                </w:rPr>
                <w:t>astman Kodak Company Officer Severance Policy, effective as of November 10, 2015 and revised as of February 16, 2023 (Incorporated by reference to Exhibit (10.21) of the Company</w:t>
              </w:r>
            </w:hyperlink>
            <w:hyperlink r:id="rId11">
              <w:r>
                <w:rPr>
                  <w:rStyle w:val="InternetLink"/>
                  <w:rFonts w:ascii="Calibri;Arial;sans-serif" w:hAnsi="Calibri;Arial;sans-serif"/>
                  <w:caps w:val="false"/>
                  <w:smallCaps w:val="false"/>
                  <w:sz w:val="20"/>
                  <w:u w:val="single"/>
                </w:rPr>
                <w:t>’s Annual Report on Form 10-K for the year ended December 31, 2022 as filed on March 16, 2023).</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(10.2)</w:t>
            </w:r>
          </w:p>
        </w:tc>
        <w:tc>
          <w:tcPr>
            <w:tcW w:w="9495" w:type="dxa"/>
            <w:tcBorders/>
            <w:shd w:fill="auto" w:val="clear"/>
            <w:vAlign w:val="center"/>
          </w:tcPr>
          <w:p>
            <w:pPr>
              <w:pStyle w:val="TableContents"/>
              <w:spacing w:before="0" w:after="0"/>
              <w:ind w:left="0" w:right="0" w:hanging="0"/>
              <w:rPr/>
            </w:pPr>
            <w:hyperlink r:id="rId12">
              <w:r>
                <w:rPr>
                  <w:rStyle w:val="InternetLink"/>
                  <w:rFonts w:ascii="Calibri;Arial;sans-serif" w:hAnsi="Calibri;Arial;sans-serif"/>
                  <w:caps w:val="false"/>
                  <w:smallCaps w:val="false"/>
                  <w:sz w:val="20"/>
                </w:rPr>
                <w:t>Amendment No. 5 to Amended and Restated Credit Agreement (including attached Amended and Restated Credit Agreement), dated as of March 14, 2023, by and among Eastman Kodak Company, certain Lenders named therein, the Guarantors named therein and Bank of America, N.A., as agent (Incorporated by reference to Exhibit (10.27) of the Company</w:t>
              </w:r>
            </w:hyperlink>
            <w:hyperlink r:id="rId13">
              <w:r>
                <w:rPr>
                  <w:rStyle w:val="InternetLink"/>
                  <w:rFonts w:ascii="Calibri;Arial;sans-serif" w:hAnsi="Calibri;Arial;sans-serif"/>
                  <w:caps w:val="false"/>
                  <w:smallCaps w:val="false"/>
                  <w:sz w:val="20"/>
                  <w:u w:val="single"/>
                </w:rPr>
                <w:t>’s Annual Report on Form 10-K for the year ended December 31, 2022 as filed on March 16, 2023).</w:t>
              </w:r>
            </w:hyperlink>
          </w:p>
        </w:tc>
      </w:tr>
      <w:tr>
        <w:trPr/>
        <w:tc>
          <w:tcPr>
            <w:tcW w:w="710" w:type="dxa"/>
            <w:tcBorders/>
            <w:shd w:fill="auto" w:val="clear"/>
            <w:vAlign w:val="center"/>
          </w:tcPr>
          <w:p>
            <w:pPr>
              <w:pStyle w:val="TableContents"/>
              <w:spacing w:before="0" w:after="283"/>
              <w:rPr/>
            </w:pPr>
            <w:r>
              <w:rPr/>
              <w:t> </w:t>
            </w:r>
          </w:p>
        </w:tc>
        <w:tc>
          <w:tcPr>
            <w:tcW w:w="949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(10.3)</w:t>
            </w:r>
          </w:p>
        </w:tc>
        <w:tc>
          <w:tcPr>
            <w:tcW w:w="9495" w:type="dxa"/>
            <w:tcBorders/>
            <w:shd w:fill="auto" w:val="clear"/>
            <w:vAlign w:val="center"/>
          </w:tcPr>
          <w:p>
            <w:pPr>
              <w:pStyle w:val="TableContents"/>
              <w:spacing w:before="0" w:after="0"/>
              <w:ind w:left="0" w:right="0" w:hanging="0"/>
              <w:rPr/>
            </w:pPr>
            <w:hyperlink r:id="rId14">
              <w:r>
                <w:rPr>
                  <w:rStyle w:val="InternetLink"/>
                  <w:rFonts w:ascii="Calibri;Arial;sans-serif" w:hAnsi="Calibri;Arial;sans-serif"/>
                  <w:caps w:val="false"/>
                  <w:smallCaps w:val="false"/>
                  <w:sz w:val="20"/>
                </w:rPr>
                <w:t>Amendment No. 1 to Letter of Credit Facility Agreement, dated as of March 14, 2023, by and among Eastman Kodak Company, the Lenders named therein, the Guarantors named therein, Bank of America, N.A., as administrative agent and collateral agent, and Bank of America, N.A., as issuing bank (Incorporated by reference to Exhibit (10.30) of the Company</w:t>
              </w:r>
            </w:hyperlink>
            <w:hyperlink r:id="rId15">
              <w:r>
                <w:rPr>
                  <w:rStyle w:val="InternetLink"/>
                  <w:rFonts w:ascii="Calibri;Arial;sans-serif" w:hAnsi="Calibri;Arial;sans-serif"/>
                  <w:caps w:val="false"/>
                  <w:smallCaps w:val="false"/>
                  <w:sz w:val="20"/>
                  <w:u w:val="single"/>
                </w:rPr>
                <w:t>’s Annual Report on Form 10-K for the year ended December 31, 2022 as filed on March 16, 2023).</w:t>
              </w:r>
            </w:hyperlink>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99"/>
        <w:gridCol w:w="9506"/>
      </w:tblGrid>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(31.1)</w:t>
            </w:r>
          </w:p>
        </w:tc>
        <w:tc>
          <w:tcPr>
            <w:tcW w:w="9506" w:type="dxa"/>
            <w:tcBorders/>
            <w:shd w:fill="auto" w:val="clear"/>
            <w:vAlign w:val="center"/>
          </w:tcPr>
          <w:p>
            <w:pPr>
              <w:pStyle w:val="TableContents"/>
              <w:spacing w:before="0" w:after="0"/>
              <w:ind w:left="0" w:right="0" w:hanging="0"/>
              <w:rPr/>
            </w:pPr>
            <w:hyperlink w:anchor="ex_462544.htm">
              <w:r>
                <w:rPr>
                  <w:rStyle w:val="InternetLink"/>
                  <w:rFonts w:ascii="Calibri;Arial;sans-serif" w:hAnsi="Calibri;Arial;sans-serif"/>
                  <w:caps w:val="false"/>
                  <w:smallCaps w:val="false"/>
                  <w:sz w:val="20"/>
                </w:rPr>
                <w:t>Certification signed by James V. Continenza, filed herewith.</w:t>
              </w:r>
            </w:hyperlink>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(31.2)</w:t>
            </w:r>
          </w:p>
        </w:tc>
        <w:tc>
          <w:tcPr>
            <w:tcW w:w="9506" w:type="dxa"/>
            <w:tcBorders/>
            <w:shd w:fill="auto" w:val="clear"/>
            <w:vAlign w:val="center"/>
          </w:tcPr>
          <w:p>
            <w:pPr>
              <w:pStyle w:val="TableContents"/>
              <w:spacing w:before="0" w:after="0"/>
              <w:ind w:left="0" w:right="0" w:hanging="0"/>
              <w:rPr/>
            </w:pPr>
            <w:hyperlink w:anchor="ex_462545.htm">
              <w:r>
                <w:rPr>
                  <w:rStyle w:val="InternetLink"/>
                  <w:rFonts w:ascii="Calibri;Arial;sans-serif" w:hAnsi="Calibri;Arial;sans-serif"/>
                  <w:caps w:val="false"/>
                  <w:smallCaps w:val="false"/>
                  <w:sz w:val="20"/>
                </w:rPr>
                <w:t>Certification signed by David E. Bullwinkle, filed herewith.</w:t>
              </w:r>
            </w:hyperlink>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(32.1)</w:t>
            </w:r>
          </w:p>
        </w:tc>
        <w:tc>
          <w:tcPr>
            <w:tcW w:w="9506" w:type="dxa"/>
            <w:tcBorders/>
            <w:shd w:fill="auto" w:val="clear"/>
            <w:vAlign w:val="center"/>
          </w:tcPr>
          <w:p>
            <w:pPr>
              <w:pStyle w:val="TableContents"/>
              <w:spacing w:before="0" w:after="0"/>
              <w:ind w:left="0" w:right="0" w:hanging="0"/>
              <w:rPr/>
            </w:pPr>
            <w:hyperlink w:anchor="ex_462546.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James V. Continenza, filed herewith.</w:t>
              </w:r>
            </w:hyperlink>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(32.2)</w:t>
            </w:r>
          </w:p>
        </w:tc>
        <w:tc>
          <w:tcPr>
            <w:tcW w:w="9506" w:type="dxa"/>
            <w:tcBorders/>
            <w:shd w:fill="auto" w:val="clear"/>
            <w:vAlign w:val="center"/>
          </w:tcPr>
          <w:p>
            <w:pPr>
              <w:pStyle w:val="TableContents"/>
              <w:spacing w:before="0" w:after="0"/>
              <w:ind w:left="0" w:right="0" w:hanging="0"/>
              <w:rPr/>
            </w:pPr>
            <w:hyperlink w:anchor="ex_462547.htm">
              <w:r>
                <w:rPr>
                  <w:rStyle w:val="InternetLink"/>
                  <w:rFonts w:ascii="Calibri;Arial;sans-serif" w:hAnsi="Calibri;Arial;sans-serif"/>
                  <w:caps w:val="false"/>
                  <w:smallCaps w:val="false"/>
                  <w:sz w:val="20"/>
                </w:rPr>
                <w:t>Certification Pursuant to 18 U.S.C. Section 1350, as Adopted Pursuant to Section 906 of the Sarbanes-Oxley Act of 2002 signed by David E. Bullwinkle, filed herewith.</w:t>
              </w:r>
            </w:hyperlink>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(101.CAL)</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Calculation Linkbase.</w:t>
            </w:r>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(101.INS)</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Inline XBRL Instance Document.</w:t>
            </w:r>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(101.LAB)</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Label Linkbase.</w:t>
            </w:r>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(101.PRE)</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Presentation Linkbase.</w:t>
            </w:r>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(101.SCH)</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Schema Linkbase.</w:t>
            </w:r>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(101.DEF)</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Inline XBRL Taxonomy Extension Definition Linkbase</w:t>
            </w:r>
          </w:p>
        </w:tc>
      </w:tr>
      <w:tr>
        <w:trPr/>
        <w:tc>
          <w:tcPr>
            <w:tcW w:w="699" w:type="dxa"/>
            <w:tcBorders/>
            <w:shd w:fill="auto" w:val="clear"/>
            <w:vAlign w:val="center"/>
          </w:tcPr>
          <w:p>
            <w:pPr>
              <w:pStyle w:val="TableContents"/>
              <w:spacing w:before="0" w:after="283"/>
              <w:rPr/>
            </w:pPr>
            <w:r>
              <w:rPr/>
              <w:t> </w:t>
            </w:r>
          </w:p>
        </w:tc>
        <w:tc>
          <w:tcPr>
            <w:tcW w:w="9506" w:type="dxa"/>
            <w:tcBorders/>
            <w:shd w:fill="auto" w:val="clear"/>
            <w:vAlign w:val="center"/>
          </w:tcPr>
          <w:p>
            <w:pPr>
              <w:pStyle w:val="TableContents"/>
              <w:spacing w:before="0" w:after="283"/>
              <w:rPr/>
            </w:pPr>
            <w:r>
              <w:rPr/>
              <w:t> </w:t>
            </w:r>
          </w:p>
        </w:tc>
      </w:tr>
      <w:tr>
        <w:trPr/>
        <w:tc>
          <w:tcPr>
            <w:tcW w:w="699" w:type="dxa"/>
            <w:tcBorders/>
            <w:shd w:fill="auto" w:val="clear"/>
            <w:vAlign w:val="center"/>
          </w:tcPr>
          <w:p>
            <w:pPr>
              <w:pStyle w:val="TableContents"/>
              <w:spacing w:before="0" w:after="0"/>
              <w:ind w:left="360" w:right="0" w:hanging="360"/>
              <w:rPr>
                <w:rFonts w:ascii="Calibri;Arial;sans-serif" w:hAnsi="Calibri;Arial;sans-serif"/>
                <w:caps w:val="false"/>
                <w:smallCaps w:val="false"/>
                <w:sz w:val="20"/>
              </w:rPr>
            </w:pPr>
            <w:r>
              <w:rPr>
                <w:rFonts w:ascii="Calibri;Arial;sans-serif" w:hAnsi="Calibri;Arial;sans-serif"/>
                <w:caps w:val="false"/>
                <w:smallCaps w:val="false"/>
                <w:sz w:val="20"/>
              </w:rPr>
              <w:t>(104)</w:t>
            </w:r>
          </w:p>
        </w:tc>
        <w:tc>
          <w:tcPr>
            <w:tcW w:w="9506"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Cover Page Interactive Data File (formatted in Inline XBRL and contained in Exhibit 101).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60" w:right="0" w:hanging="0"/>
        <w:rPr>
          <w:rFonts w:ascii="Calibri;Arial;sans-serif" w:hAnsi="Calibri;Arial;sans-serif"/>
          <w:caps w:val="false"/>
          <w:smallCaps w:val="false"/>
          <w:sz w:val="20"/>
        </w:rPr>
      </w:pPr>
      <w:r>
        <w:rPr>
          <w:rFonts w:ascii="Calibri;Arial;sans-serif" w:hAnsi="Calibri;Arial;sans-serif"/>
          <w:caps w:val="false"/>
          <w:smallCaps w:val="false"/>
          <w:sz w:val="20"/>
        </w:rPr>
        <w:t>* Management contract or compensatory plan or arrangement.</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Calibri;Arial;sans-serif" w:hAnsi="Calibri;Arial;sans-serif"/>
          <w:b/>
          <w:caps w:val="false"/>
          <w:smallCaps w:val="false"/>
          <w:sz w:val="20"/>
        </w:rPr>
      </w:pPr>
      <w:bookmarkStart w:id="20" w:name="sigs"/>
      <w:bookmarkEnd w:id="20"/>
      <w:r>
        <w:rPr>
          <w:rFonts w:ascii="Calibri;Arial;sans-serif" w:hAnsi="Calibri;Arial;sans-serif"/>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740" w:type="dxa"/>
        <w:jc w:val="left"/>
        <w:tblInd w:w="0" w:type="dxa"/>
        <w:tblCellMar>
          <w:top w:w="0" w:type="dxa"/>
          <w:left w:w="0" w:type="dxa"/>
          <w:bottom w:w="0" w:type="dxa"/>
          <w:right w:w="0" w:type="dxa"/>
        </w:tblCellMar>
      </w:tblPr>
      <w:tblGrid>
        <w:gridCol w:w="1520"/>
        <w:gridCol w:w="4220"/>
      </w:tblGrid>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EASTMAN KODAK COMPANY</w:t>
            </w:r>
          </w:p>
        </w:tc>
      </w:tr>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(Registrant)</w:t>
            </w:r>
          </w:p>
        </w:tc>
      </w:tr>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283"/>
              <w:rPr/>
            </w:pPr>
            <w:r>
              <w:rPr/>
              <w:t> </w:t>
            </w:r>
          </w:p>
        </w:tc>
      </w:tr>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283"/>
              <w:rPr/>
            </w:pPr>
            <w:r>
              <w:rPr/>
              <w:t> </w:t>
            </w:r>
          </w:p>
        </w:tc>
      </w:tr>
      <w:tr>
        <w:trPr/>
        <w:tc>
          <w:tcPr>
            <w:tcW w:w="152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Date: May 9, 2023</w:t>
            </w:r>
          </w:p>
        </w:tc>
        <w:tc>
          <w:tcPr>
            <w:tcW w:w="4220" w:type="dxa"/>
            <w:tcBorders>
              <w:bottom w:val="single" w:sz="2" w:space="0" w:color="000000"/>
            </w:tcBorders>
            <w:shd w:fill="auto" w:val="clear"/>
            <w:tcMar>
              <w:bottom w:w="28" w:type="dxa"/>
            </w:tcM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/s/ Richard T. Michaels</w:t>
            </w:r>
          </w:p>
        </w:tc>
      </w:tr>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Richard T. Michaels</w:t>
            </w:r>
          </w:p>
        </w:tc>
      </w:tr>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Corporate Controller</w:t>
            </w:r>
          </w:p>
        </w:tc>
      </w:tr>
      <w:tr>
        <w:trPr/>
        <w:tc>
          <w:tcPr>
            <w:tcW w:w="152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ind w:left="0" w:right="0" w:hanging="0"/>
              <w:rPr>
                <w:rFonts w:ascii="Calibri;Arial;sans-serif" w:hAnsi="Calibri;Arial;sans-serif"/>
                <w:b/>
                <w:caps w:val="false"/>
                <w:smallCaps w:val="false"/>
                <w:sz w:val="20"/>
              </w:rPr>
            </w:pPr>
            <w:r>
              <w:rPr>
                <w:rFonts w:ascii="Calibri;Arial;sans-serif" w:hAnsi="Calibri;Arial;sans-serif"/>
                <w:b/>
                <w:caps w:val="false"/>
                <w:smallCaps w:val="false"/>
                <w:sz w:val="20"/>
              </w:rPr>
              <w:t>(Chief Accounting Officer and 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 w:hAnsi="Times New Roman"/>
          <w:sz w:val="20"/>
        </w:rPr>
      </w:pPr>
      <w:r>
        <w:rPr>
          <w:rFonts w:ascii="Times New Roman" w:hAnsi="Times New Roman"/>
          <w:sz w:val="20"/>
        </w:rPr>
        <w:t xml:space="preserve">[53] </w:t>
      </w:r>
    </w:p>
    <w:p>
      <w:pPr>
        <w:pStyle w:val="TextBody"/>
        <w:rPr/>
      </w:pPr>
      <w:r>
        <w:rPr/>
        <w:t xml:space="preserve">  </w:t>
      </w:r>
      <w:r>
        <w:br w:type="page"/>
      </w:r>
    </w:p>
    <w:p>
      <w:pPr>
        <w:pStyle w:val="TextBody"/>
        <w:spacing w:before="0" w:after="0"/>
        <w:ind w:left="0" w:right="0" w:hanging="0"/>
        <w:jc w:val="right"/>
        <w:rPr>
          <w:rFonts w:ascii="Calibri;Arial;sans-serif" w:hAnsi="Calibri;Arial;sans-serif"/>
          <w:b/>
          <w:caps w:val="false"/>
          <w:smallCaps w:val="false"/>
          <w:sz w:val="20"/>
        </w:rPr>
      </w:pPr>
      <w:bookmarkStart w:id="21" w:name="ex_462544.htm"/>
      <w:bookmarkStart w:id="22" w:name="ksex_462544"/>
      <w:bookmarkEnd w:id="21"/>
      <w:bookmarkEnd w:id="22"/>
      <w:r>
        <w:rPr>
          <w:rFonts w:ascii="Calibri;Arial;sans-serif" w:hAnsi="Calibri;Arial;sans-serif"/>
          <w:b/>
          <w:caps w:val="false"/>
          <w:smallCaps w:val="false"/>
          <w:sz w:val="20"/>
        </w:rPr>
        <w:t>Exhibit (31.1)</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 James V. Continenza, certify that:</w:t>
      </w:r>
    </w:p>
    <w:p>
      <w:pPr>
        <w:pStyle w:val="TextBody"/>
        <w:spacing w:before="0" w:after="0"/>
        <w:ind w:left="0" w:right="0" w:hanging="0"/>
        <w:rPr>
          <w:caps w:val="false"/>
          <w:smallCaps w:val="false"/>
        </w:rPr>
      </w:pPr>
      <w:r>
        <w:rPr>
          <w:caps w:val="false"/>
          <w:smallCaps w:val="false"/>
        </w:rPr>
        <w:t> </w:t>
      </w:r>
    </w:p>
    <w:tbl>
      <w:tblPr>
        <w:tblW w:w="4975" w:type="dxa"/>
        <w:jc w:val="left"/>
        <w:tblInd w:w="0" w:type="dxa"/>
        <w:tblCellMar>
          <w:top w:w="0" w:type="dxa"/>
          <w:left w:w="0" w:type="dxa"/>
          <w:bottom w:w="0" w:type="dxa"/>
          <w:right w:w="0" w:type="dxa"/>
        </w:tblCellMar>
      </w:tblPr>
      <w:tblGrid>
        <w:gridCol w:w="185"/>
        <w:gridCol w:w="4790"/>
      </w:tblGrid>
      <w:tr>
        <w:trPr/>
        <w:tc>
          <w:tcPr>
            <w:tcW w:w="18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970" w:type="dxa"/>
        <w:jc w:val="left"/>
        <w:tblInd w:w="0" w:type="dxa"/>
        <w:tblCellMar>
          <w:top w:w="0" w:type="dxa"/>
          <w:left w:w="0" w:type="dxa"/>
          <w:bottom w:w="28" w:type="dxa"/>
          <w:right w:w="0" w:type="dxa"/>
        </w:tblCellMar>
      </w:tblPr>
      <w:tblGrid>
        <w:gridCol w:w="1910"/>
        <w:gridCol w:w="60"/>
      </w:tblGrid>
      <w:tr>
        <w:trPr/>
        <w:tc>
          <w:tcPr>
            <w:tcW w:w="1910" w:type="dxa"/>
            <w:tcBorders>
              <w:bottom w:val="single" w:sz="2" w:space="0" w:color="000000"/>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c>
          <w:tcPr>
            <w:tcW w:w="60" w:type="dxa"/>
            <w:tcBorders/>
            <w:shd w:fill="auto" w:val="clear"/>
            <w:tcMar>
              <w:bottom w:w="0" w:type="dxa"/>
            </w:tcMar>
            <w:vAlign w:val="center"/>
          </w:tcPr>
          <w:p>
            <w:pPr>
              <w:pStyle w:val="TableContents"/>
              <w:spacing w:before="0" w:after="283"/>
              <w:rPr/>
            </w:pPr>
            <w:r>
              <w:rPr/>
              <w:t> </w:t>
            </w:r>
          </w:p>
        </w:tc>
      </w:tr>
      <w:tr>
        <w:trPr/>
        <w:tc>
          <w:tcPr>
            <w:tcW w:w="1910"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c>
          <w:tcPr>
            <w:tcW w:w="60" w:type="dxa"/>
            <w:tcBorders/>
            <w:shd w:fill="auto" w:val="clear"/>
            <w:tcMar>
              <w:bottom w:w="0" w:type="dxa"/>
            </w:tcMar>
            <w:vAlign w:val="center"/>
          </w:tcPr>
          <w:p>
            <w:pPr>
              <w:pStyle w:val="TableContents"/>
              <w:spacing w:before="0" w:after="283"/>
              <w:rPr/>
            </w:pPr>
            <w:r>
              <w:rPr/>
              <w:t> </w:t>
            </w:r>
          </w:p>
        </w:tc>
      </w:tr>
      <w:tr>
        <w:trPr/>
        <w:tc>
          <w:tcPr>
            <w:tcW w:w="1910"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c>
          <w:tcPr>
            <w:tcW w:w="60" w:type="dxa"/>
            <w:tcBorders/>
            <w:shd w:fill="auto" w:val="clear"/>
            <w:tcMar>
              <w:bottom w:w="0" w:type="dxa"/>
            </w:tcMar>
            <w:vAlign w:val="center"/>
          </w:tcPr>
          <w:p>
            <w:pPr>
              <w:pStyle w:val="TableContents"/>
              <w:spacing w:before="0" w:after="283"/>
              <w:rPr/>
            </w:pPr>
            <w:r>
              <w:rPr/>
              <w:t> </w:t>
            </w:r>
          </w:p>
        </w:tc>
      </w:tr>
      <w:tr>
        <w:trPr/>
        <w:tc>
          <w:tcPr>
            <w:tcW w:w="1910"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c>
          <w:tcPr>
            <w:tcW w:w="60" w:type="dxa"/>
            <w:tcBorders/>
            <w:shd w:fill="auto" w:val="clear"/>
            <w:tcMar>
              <w:bottom w:w="0" w:type="dxa"/>
            </w:tcMar>
            <w:vAlign w:val="center"/>
          </w:tcPr>
          <w:p>
            <w:pPr>
              <w:pStyle w:val="TableContents"/>
              <w:spacing w:before="0" w:after="283"/>
              <w:rPr/>
            </w:pPr>
            <w:r>
              <w:rPr/>
              <w:t> </w:t>
            </w:r>
          </w:p>
        </w:tc>
      </w:tr>
      <w:tr>
        <w:trPr/>
        <w:tc>
          <w:tcPr>
            <w:tcW w:w="19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r>
      <w:tr>
        <w:trPr/>
        <w:tc>
          <w:tcPr>
            <w:tcW w:w="191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r>
      <w:tr>
        <w:trPr/>
        <w:tc>
          <w:tcPr>
            <w:tcW w:w="1910"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3" w:name="led293237F20228261664228988848"/>
            <w:bookmarkEnd w:id="23"/>
            <w:r>
              <w:rPr>
                <w:rFonts w:ascii="Calibri;Arial;sans-serif" w:hAnsi="Calibri;Arial;sans-serif"/>
                <w:caps w:val="false"/>
                <w:smallCaps w:val="false"/>
                <w:sz w:val="20"/>
              </w:rPr>
              <w:t>May 9, 2023</w:t>
            </w:r>
          </w:p>
        </w:tc>
        <w:tc>
          <w:tcPr>
            <w:tcW w:w="6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Calibri;Arial;sans-serif" w:hAnsi="Calibri;Arial;sans-serif"/>
          <w:b/>
          <w:caps w:val="false"/>
          <w:smallCaps w:val="false"/>
          <w:sz w:val="20"/>
        </w:rPr>
      </w:pPr>
      <w:bookmarkStart w:id="24" w:name="ex_462545.htm"/>
      <w:bookmarkStart w:id="25" w:name="ksex_462545"/>
      <w:bookmarkEnd w:id="24"/>
      <w:bookmarkEnd w:id="25"/>
      <w:r>
        <w:rPr>
          <w:rFonts w:ascii="Calibri;Arial;sans-serif" w:hAnsi="Calibri;Arial;sans-serif"/>
          <w:b/>
          <w:caps w:val="false"/>
          <w:smallCaps w:val="false"/>
          <w:sz w:val="20"/>
        </w:rPr>
        <w:t>Exhibit (31.2)</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 David E. Bullwinkle, certify that:</w:t>
      </w:r>
    </w:p>
    <w:p>
      <w:pPr>
        <w:pStyle w:val="TextBody"/>
        <w:spacing w:before="0" w:after="0"/>
        <w:ind w:left="0" w:right="0" w:hanging="0"/>
        <w:rPr>
          <w:caps w:val="false"/>
          <w:smallCaps w:val="false"/>
        </w:rPr>
      </w:pPr>
      <w:r>
        <w:rPr>
          <w:caps w:val="false"/>
          <w:smallCaps w:val="false"/>
        </w:rPr>
        <w:t> </w:t>
      </w:r>
    </w:p>
    <w:tbl>
      <w:tblPr>
        <w:tblW w:w="4975" w:type="dxa"/>
        <w:jc w:val="left"/>
        <w:tblInd w:w="0" w:type="dxa"/>
        <w:tblCellMar>
          <w:top w:w="0" w:type="dxa"/>
          <w:left w:w="0" w:type="dxa"/>
          <w:bottom w:w="0" w:type="dxa"/>
          <w:right w:w="0" w:type="dxa"/>
        </w:tblCellMar>
      </w:tblPr>
      <w:tblGrid>
        <w:gridCol w:w="185"/>
        <w:gridCol w:w="4790"/>
      </w:tblGrid>
      <w:tr>
        <w:trPr/>
        <w:tc>
          <w:tcPr>
            <w:tcW w:w="18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479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I have reviewed this Form 10-Q of Eastman Kodak Company;</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2)</w:t>
            </w:r>
          </w:p>
        </w:tc>
        <w:tc>
          <w:tcPr>
            <w:tcW w:w="10057"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3)</w:t>
            </w:r>
          </w:p>
        </w:tc>
        <w:tc>
          <w:tcPr>
            <w:tcW w:w="10054"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4)</w:t>
            </w:r>
          </w:p>
        </w:tc>
        <w:tc>
          <w:tcPr>
            <w:tcW w:w="10058"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5)</w:t>
            </w:r>
          </w:p>
        </w:tc>
        <w:tc>
          <w:tcPr>
            <w:tcW w:w="10055"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835" w:type="dxa"/>
        <w:jc w:val="left"/>
        <w:tblInd w:w="0" w:type="dxa"/>
        <w:tblCellMar>
          <w:top w:w="0" w:type="dxa"/>
          <w:left w:w="0" w:type="dxa"/>
          <w:bottom w:w="28" w:type="dxa"/>
          <w:right w:w="0" w:type="dxa"/>
        </w:tblCellMar>
      </w:tblPr>
      <w:tblGrid>
        <w:gridCol w:w="1775"/>
        <w:gridCol w:w="60"/>
      </w:tblGrid>
      <w:tr>
        <w:trPr/>
        <w:tc>
          <w:tcPr>
            <w:tcW w:w="1775" w:type="dxa"/>
            <w:tcBorders>
              <w:bottom w:val="single" w:sz="2" w:space="0" w:color="000000"/>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c>
          <w:tcPr>
            <w:tcW w:w="60" w:type="dxa"/>
            <w:tcBorders/>
            <w:shd w:fill="auto" w:val="clear"/>
            <w:tcMar>
              <w:bottom w:w="0" w:type="dxa"/>
            </w:tcMar>
            <w:vAlign w:val="center"/>
          </w:tcPr>
          <w:p>
            <w:pPr>
              <w:pStyle w:val="TableContents"/>
              <w:spacing w:before="0" w:after="283"/>
              <w:rPr/>
            </w:pPr>
            <w:r>
              <w:rPr/>
              <w:t> </w:t>
            </w:r>
          </w:p>
        </w:tc>
      </w:tr>
      <w:tr>
        <w:trPr/>
        <w:tc>
          <w:tcPr>
            <w:tcW w:w="1775"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c>
          <w:tcPr>
            <w:tcW w:w="60" w:type="dxa"/>
            <w:tcBorders/>
            <w:shd w:fill="auto" w:val="clear"/>
            <w:tcMar>
              <w:bottom w:w="0" w:type="dxa"/>
            </w:tcMar>
            <w:vAlign w:val="center"/>
          </w:tcPr>
          <w:p>
            <w:pPr>
              <w:pStyle w:val="TableContents"/>
              <w:spacing w:before="0" w:after="283"/>
              <w:rPr/>
            </w:pPr>
            <w:r>
              <w:rPr/>
              <w:t> </w:t>
            </w:r>
          </w:p>
        </w:tc>
      </w:tr>
      <w:tr>
        <w:trPr/>
        <w:tc>
          <w:tcPr>
            <w:tcW w:w="1775"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c>
          <w:tcPr>
            <w:tcW w:w="60" w:type="dxa"/>
            <w:tcBorders/>
            <w:shd w:fill="auto" w:val="clear"/>
            <w:tcMar>
              <w:bottom w:w="0" w:type="dxa"/>
            </w:tcMar>
            <w:vAlign w:val="center"/>
          </w:tcPr>
          <w:p>
            <w:pPr>
              <w:pStyle w:val="TableContents"/>
              <w:spacing w:before="0" w:after="283"/>
              <w:rPr/>
            </w:pPr>
            <w:r>
              <w:rPr/>
              <w:t> </w:t>
            </w:r>
          </w:p>
        </w:tc>
      </w:tr>
      <w:tr>
        <w:trPr/>
        <w:tc>
          <w:tcPr>
            <w:tcW w:w="17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r>
      <w:tr>
        <w:trPr/>
        <w:tc>
          <w:tcPr>
            <w:tcW w:w="17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r>
      <w:tr>
        <w:trPr/>
        <w:tc>
          <w:tcPr>
            <w:tcW w:w="1775"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26" w:name="led293237F20228271664312050973"/>
            <w:bookmarkEnd w:id="26"/>
            <w:r>
              <w:rPr>
                <w:rFonts w:ascii="Calibri;Arial;sans-serif" w:hAnsi="Calibri;Arial;sans-serif"/>
                <w:caps w:val="false"/>
                <w:smallCaps w:val="false"/>
                <w:sz w:val="20"/>
              </w:rPr>
              <w:t>May 9, 2023</w:t>
            </w:r>
          </w:p>
        </w:tc>
        <w:tc>
          <w:tcPr>
            <w:tcW w:w="6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Calibri;Arial;sans-serif" w:hAnsi="Calibri;Arial;sans-serif"/>
          <w:b/>
          <w:caps w:val="false"/>
          <w:smallCaps w:val="false"/>
          <w:sz w:val="20"/>
        </w:rPr>
      </w:pPr>
      <w:bookmarkStart w:id="27" w:name="ex_462546.htm"/>
      <w:bookmarkStart w:id="28" w:name="ksex_462546"/>
      <w:bookmarkEnd w:id="27"/>
      <w:bookmarkEnd w:id="28"/>
      <w:r>
        <w:rPr>
          <w:rFonts w:ascii="Calibri;Arial;sans-serif" w:hAnsi="Calibri;Arial;sans-serif"/>
          <w:b/>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29" w:name="led293237F20228271664312073087"/>
      <w:bookmarkEnd w:id="29"/>
      <w:r>
        <w:rPr>
          <w:rFonts w:ascii="Calibri;Arial;sans-serif" w:hAnsi="Calibri;Arial;sans-serif"/>
          <w:caps w:val="false"/>
          <w:smallCaps w:val="false"/>
          <w:sz w:val="20"/>
        </w:rPr>
        <w:t>March 31, 2023,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940" w:type="dxa"/>
        <w:jc w:val="left"/>
        <w:tblInd w:w="0" w:type="dxa"/>
        <w:tblCellMar>
          <w:top w:w="0" w:type="dxa"/>
          <w:left w:w="0" w:type="dxa"/>
          <w:bottom w:w="0" w:type="dxa"/>
          <w:right w:w="0" w:type="dxa"/>
        </w:tblCellMar>
      </w:tblPr>
      <w:tblGrid>
        <w:gridCol w:w="1940"/>
      </w:tblGrid>
      <w:tr>
        <w:trPr/>
        <w:tc>
          <w:tcPr>
            <w:tcW w:w="1940" w:type="dxa"/>
            <w:tcBorders/>
            <w:shd w:fill="auto" w:val="clear"/>
            <w:vAlign w:val="center"/>
          </w:tcPr>
          <w:p>
            <w:pPr>
              <w:pStyle w:val="TableContents"/>
              <w:spacing w:before="0" w:after="283"/>
              <w:rPr/>
            </w:pPr>
            <w:r>
              <w:rPr/>
              <w:t> </w:t>
            </w:r>
          </w:p>
        </w:tc>
      </w:tr>
      <w:tr>
        <w:trPr/>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 James V. Continenza</w:t>
            </w:r>
          </w:p>
        </w:tc>
      </w:tr>
      <w:tr>
        <w:trPr/>
        <w:tc>
          <w:tcPr>
            <w:tcW w:w="194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James V. Continenza</w:t>
            </w:r>
          </w:p>
        </w:tc>
      </w:tr>
      <w:tr>
        <w:trPr/>
        <w:tc>
          <w:tcPr>
            <w:tcW w:w="194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Executive Chairman and</w:t>
            </w:r>
          </w:p>
        </w:tc>
      </w:tr>
      <w:tr>
        <w:trPr/>
        <w:tc>
          <w:tcPr>
            <w:tcW w:w="194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Chief Executive Officer</w:t>
            </w:r>
          </w:p>
        </w:tc>
      </w:tr>
      <w:tr>
        <w:trPr/>
        <w:tc>
          <w:tcPr>
            <w:tcW w:w="1940" w:type="dxa"/>
            <w:tcBorders/>
            <w:shd w:fill="auto"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283"/>
              <w:rPr/>
            </w:pPr>
            <w:r>
              <w:rPr/>
              <w:t> </w:t>
            </w:r>
          </w:p>
        </w:tc>
      </w:tr>
      <w:tr>
        <w:trPr/>
        <w:tc>
          <w:tcPr>
            <w:tcW w:w="1940" w:type="dxa"/>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0" w:name="led293237F20228271664312082859"/>
            <w:bookmarkEnd w:id="30"/>
            <w:r>
              <w:rPr>
                <w:rFonts w:ascii="Calibri;Arial;sans-serif" w:hAnsi="Calibri;Arial;sans-serif"/>
                <w:caps w:val="false"/>
                <w:smallCaps w:val="false"/>
                <w:sz w:val="20"/>
              </w:rPr>
              <w:t>May 9, 2023</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Calibri;Arial;sans-serif" w:hAnsi="Calibri;Arial;sans-serif"/>
          <w:b/>
          <w:caps w:val="false"/>
          <w:smallCaps w:val="false"/>
          <w:sz w:val="20"/>
        </w:rPr>
      </w:pPr>
      <w:bookmarkStart w:id="31" w:name="ex_462547.htm"/>
      <w:bookmarkStart w:id="32" w:name="ksex_462547"/>
      <w:bookmarkEnd w:id="31"/>
      <w:bookmarkEnd w:id="32"/>
      <w:r>
        <w:rPr>
          <w:rFonts w:ascii="Calibri;Arial;sans-serif" w:hAnsi="Calibri;Arial;sans-serif"/>
          <w:b/>
          <w:caps w:val="false"/>
          <w:smallCaps w:val="false"/>
          <w:sz w:val="20"/>
        </w:rPr>
        <w:t>Exhibit (32.2)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CERTIFICATION PURSUANT TO</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18 U.S.C. Section 1350,</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AS ADOPTED PURSUANT TO</w:t>
      </w:r>
    </w:p>
    <w:p>
      <w:pPr>
        <w:pStyle w:val="TextBody"/>
        <w:spacing w:before="0" w:after="0"/>
        <w:ind w:left="0" w:right="0" w:hanging="0"/>
        <w:jc w:val="center"/>
        <w:rPr>
          <w:rFonts w:ascii="Calibri;Arial;sans-serif" w:hAnsi="Calibri;Arial;sans-serif"/>
          <w:b/>
          <w:caps w:val="false"/>
          <w:smallCaps w:val="false"/>
          <w:sz w:val="20"/>
        </w:rPr>
      </w:pPr>
      <w:r>
        <w:rPr>
          <w:rFonts w:ascii="Calibri;Arial;sans-serif" w:hAnsi="Calibri;Arial;sans-serif"/>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In connection with the Quarterly Report of Eastman Kodak Company (the "Company") on Form 10-Q for the period ended </w:t>
      </w:r>
      <w:bookmarkStart w:id="33" w:name="led293237F20228271664312106691"/>
      <w:bookmarkEnd w:id="33"/>
      <w:r>
        <w:rPr>
          <w:rFonts w:ascii="Calibri;Arial;sans-serif" w:hAnsi="Calibri;Arial;sans-serif"/>
          <w:caps w:val="false"/>
          <w:smallCaps w:val="false"/>
          <w:sz w:val="20"/>
        </w:rPr>
        <w:t>March 31, 2023,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1)  The Report fully complies with the requirements of section 13(a) or 15(d) of the Securities Exchange Act of 1934; and</w:t>
      </w:r>
    </w:p>
    <w:p>
      <w:pPr>
        <w:pStyle w:val="TextBody"/>
        <w:spacing w:before="0" w:after="0"/>
        <w:ind w:left="540" w:right="0" w:hanging="0"/>
        <w:rPr>
          <w:caps w:val="false"/>
          <w:smallCaps w:val="false"/>
        </w:rPr>
      </w:pPr>
      <w:r>
        <w:rPr>
          <w:caps w:val="false"/>
          <w:smallCaps w:val="false"/>
        </w:rPr>
        <w:t> </w:t>
      </w:r>
    </w:p>
    <w:p>
      <w:pPr>
        <w:pStyle w:val="TextBody"/>
        <w:spacing w:before="0" w:after="0"/>
        <w:ind w:left="540" w:right="0" w:hanging="0"/>
        <w:rPr>
          <w:rFonts w:ascii="Calibri;Arial;sans-serif" w:hAnsi="Calibri;Arial;sans-serif"/>
          <w:caps w:val="false"/>
          <w:smallCaps w:val="false"/>
          <w:sz w:val="20"/>
        </w:rPr>
      </w:pPr>
      <w:r>
        <w:rPr>
          <w:rFonts w:ascii="Calibri;Arial;sans-serif" w:hAnsi="Calibri;Arial;sans-serif"/>
          <w:caps w:val="false"/>
          <w:smallCaps w:val="false"/>
          <w:sz w:val="20"/>
        </w:rPr>
        <w:t>2)  The information contained in the Report fairly presents, in all material respects, the financial condition and results of operations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805" w:type="dxa"/>
        <w:jc w:val="left"/>
        <w:tblInd w:w="0" w:type="dxa"/>
        <w:tblCellMar>
          <w:top w:w="0" w:type="dxa"/>
          <w:left w:w="0" w:type="dxa"/>
          <w:bottom w:w="28" w:type="dxa"/>
          <w:right w:w="0" w:type="dxa"/>
        </w:tblCellMar>
      </w:tblPr>
      <w:tblGrid>
        <w:gridCol w:w="1805"/>
      </w:tblGrid>
      <w:tr>
        <w:trPr/>
        <w:tc>
          <w:tcPr>
            <w:tcW w:w="1805" w:type="dxa"/>
            <w:tcBorders>
              <w:bottom w:val="single" w:sz="2" w:space="0" w:color="000000"/>
            </w:tcBorders>
            <w:shd w:fill="auto" w:val="cle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/s/ David E. Bullwinkle</w:t>
            </w:r>
          </w:p>
        </w:tc>
      </w:tr>
      <w:tr>
        <w:trPr/>
        <w:tc>
          <w:tcPr>
            <w:tcW w:w="1805"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David E. Bullwinkle</w:t>
            </w:r>
          </w:p>
        </w:tc>
      </w:tr>
      <w:tr>
        <w:trPr/>
        <w:tc>
          <w:tcPr>
            <w:tcW w:w="1805"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Chief Financial Officer</w:t>
            </w:r>
          </w:p>
        </w:tc>
      </w:tr>
      <w:tr>
        <w:trPr/>
        <w:tc>
          <w:tcPr>
            <w:tcW w:w="1805" w:type="dxa"/>
            <w:tcBorders/>
            <w:shd w:fill="auto" w:val="clear"/>
            <w:tcMar>
              <w:bottom w:w="0" w:type="dxa"/>
            </w:tcMar>
            <w:vAlign w:val="center"/>
          </w:tcPr>
          <w:p>
            <w:pPr>
              <w:pStyle w:val="TableContents"/>
              <w:spacing w:before="0" w:after="283"/>
              <w:rPr/>
            </w:pPr>
            <w:r>
              <w:rPr/>
              <w:t> </w:t>
            </w:r>
          </w:p>
        </w:tc>
      </w:tr>
      <w:tr>
        <w:trPr/>
        <w:tc>
          <w:tcPr>
            <w:tcW w:w="1805" w:type="dxa"/>
            <w:tcBorders/>
            <w:shd w:fill="auto" w:val="clear"/>
            <w:tcMar>
              <w:bottom w:w="0" w:type="dxa"/>
            </w:tcMar>
            <w:vAlign w:val="center"/>
          </w:tcPr>
          <w:p>
            <w:pPr>
              <w:pStyle w:val="TableContents"/>
              <w:spacing w:before="0" w:after="283"/>
              <w:rPr/>
            </w:pPr>
            <w:r>
              <w:rPr/>
              <w:t> </w:t>
            </w:r>
          </w:p>
        </w:tc>
      </w:tr>
      <w:tr>
        <w:trPr/>
        <w:tc>
          <w:tcPr>
            <w:tcW w:w="1805" w:type="dxa"/>
            <w:tcBorders/>
            <w:shd w:fill="auto" w:val="clear"/>
            <w:tcMar>
              <w:bottom w:w="0" w:type="dxa"/>
            </w:tcMar>
            <w:vAlign w:val="center"/>
          </w:tcPr>
          <w:p>
            <w:pPr>
              <w:pStyle w:val="TableContents"/>
              <w:spacing w:before="0" w:after="0"/>
              <w:ind w:left="0" w:right="0" w:hanging="0"/>
              <w:rPr>
                <w:rFonts w:ascii="Calibri;Arial;sans-serif" w:hAnsi="Calibri;Arial;sans-serif"/>
                <w:caps w:val="false"/>
                <w:smallCaps w:val="false"/>
                <w:sz w:val="20"/>
              </w:rPr>
            </w:pPr>
            <w:r>
              <w:rPr>
                <w:rFonts w:ascii="Calibri;Arial;sans-serif" w:hAnsi="Calibri;Arial;sans-serif"/>
                <w:caps w:val="false"/>
                <w:smallCaps w:val="false"/>
                <w:sz w:val="20"/>
              </w:rPr>
              <w:t xml:space="preserve">Date:  </w:t>
            </w:r>
            <w:bookmarkStart w:id="34" w:name="led293237F20228271664312116962"/>
            <w:bookmarkEnd w:id="34"/>
            <w:r>
              <w:rPr>
                <w:rFonts w:ascii="Calibri;Arial;sans-serif" w:hAnsi="Calibri;Arial;sans-serif"/>
                <w:caps w:val="false"/>
                <w:smallCaps w:val="false"/>
                <w:sz w:val="20"/>
              </w:rPr>
              <w:t>May 9, 2023</w:t>
            </w:r>
          </w:p>
        </w:tc>
      </w:tr>
    </w:tbl>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235/000119312513354928/d591063dex41.htm" TargetMode="External"/><Relationship Id="rId3" Type="http://schemas.openxmlformats.org/officeDocument/2006/relationships/hyperlink" Target="http://www.sec.gov/Archives/edgar/data/31235/000156459016029358/kodk-ex31_26.htm" TargetMode="External"/><Relationship Id="rId4" Type="http://schemas.openxmlformats.org/officeDocument/2006/relationships/hyperlink" Target="http://www.sec.gov/Archives/edgar/data/31235/000119312519243935/d803063dex31.htm" TargetMode="External"/><Relationship Id="rId5" Type="http://schemas.openxmlformats.org/officeDocument/2006/relationships/hyperlink" Target="http://www.sec.gov/Archives/edgar/data/31235/000119312519243935/d803063dex32.htm" TargetMode="External"/><Relationship Id="rId6" Type="http://schemas.openxmlformats.org/officeDocument/2006/relationships/hyperlink" Target="http://www.sec.gov/Archives/edgar/data/31235/000156459020058718/kodk-ex31_14.htm" TargetMode="External"/><Relationship Id="rId7" Type="http://schemas.openxmlformats.org/officeDocument/2006/relationships/hyperlink" Target="http://www.sec.gov/Archives/edgar/data/31235/000119312521062328/d468860dex31.htm" TargetMode="External"/><Relationship Id="rId8" Type="http://schemas.openxmlformats.org/officeDocument/2006/relationships/hyperlink" Target="http://www.sec.gov/Archives/edgar/data/31235/000119312521062328/d468860dex32.htm" TargetMode="External"/><Relationship Id="rId9" Type="http://schemas.openxmlformats.org/officeDocument/2006/relationships/hyperlink" Target="http://www.sec.gov/Archives/edgar/data/31235/000156459020024666/kodk-ex35_31.htm" TargetMode="External"/><Relationship Id="rId10" Type="http://schemas.openxmlformats.org/officeDocument/2006/relationships/hyperlink" Target="http://www.sec.gov/Archives/edgar/data/31235/000143774923006897/ex_487018.htm" TargetMode="External"/><Relationship Id="rId11" Type="http://schemas.openxmlformats.org/officeDocument/2006/relationships/hyperlink" Target="http://www.sec.gov/Archives/edgar/data/31235/000143774923006897/ex_487018.htm" TargetMode="External"/><Relationship Id="rId12" Type="http://schemas.openxmlformats.org/officeDocument/2006/relationships/hyperlink" Target="http://www.sec.gov/Archives/edgar/data/31235/000143774923006897/ex_488970.htm" TargetMode="External"/><Relationship Id="rId13" Type="http://schemas.openxmlformats.org/officeDocument/2006/relationships/hyperlink" Target="http://www.sec.gov/Archives/edgar/data/31235/000143774923006897/ex_488970.htm" TargetMode="External"/><Relationship Id="rId14" Type="http://schemas.openxmlformats.org/officeDocument/2006/relationships/hyperlink" Target="http://www.sec.gov/Archives/edgar/data/31235/000143774923006897/ex_488971.htm" TargetMode="External"/><Relationship Id="rId15" Type="http://schemas.openxmlformats.org/officeDocument/2006/relationships/hyperlink" Target="http://www.sec.gov/Archives/edgar/data/31235/000143774923006897/ex_48897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22382</Words>
  <CharactersWithSpaces>145610</CharactersWithSpaces>
  <Paragraphs>6288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